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C9E0" w14:textId="77777777" w:rsidR="00115843" w:rsidRPr="005A7C0B" w:rsidRDefault="00115843" w:rsidP="0037308F">
      <w:pPr>
        <w:pStyle w:val="PartHeading-TOC"/>
      </w:pPr>
      <w:bookmarkStart w:id="1" w:name="_Toc117345150"/>
      <w:r w:rsidRPr="005A7C0B">
        <w:t xml:space="preserve">Department of </w:t>
      </w:r>
      <w:r>
        <w:t>Infrastructure, Transport, Regional Development, Communications and the Arts</w:t>
      </w:r>
      <w:bookmarkEnd w:id="1"/>
    </w:p>
    <w:p w14:paraId="27AB6B45" w14:textId="77777777" w:rsidR="00115843" w:rsidRDefault="00115843" w:rsidP="00115843">
      <w:pPr>
        <w:pStyle w:val="PartHeading"/>
      </w:pPr>
    </w:p>
    <w:p w14:paraId="763F082F" w14:textId="6DBB4812" w:rsidR="00115843" w:rsidRDefault="00115843" w:rsidP="00267E75">
      <w:pPr>
        <w:pStyle w:val="PartHeading"/>
      </w:pPr>
      <w:r>
        <w:t>Entity resources and planned performance</w:t>
      </w:r>
    </w:p>
    <w:p w14:paraId="6B29F645" w14:textId="77777777" w:rsidR="00115843" w:rsidRDefault="00115843" w:rsidP="00115843">
      <w:pPr>
        <w:pStyle w:val="ContentsHeading"/>
        <w:sectPr w:rsidR="00115843" w:rsidSect="00FB0D02">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531" w:footer="1531" w:gutter="0"/>
          <w:cols w:space="708"/>
          <w:vAlign w:val="center"/>
          <w:titlePg/>
          <w:docGrid w:linePitch="360"/>
        </w:sectPr>
      </w:pPr>
      <w:bookmarkStart w:id="4" w:name="_Toc190766150"/>
    </w:p>
    <w:p w14:paraId="43D9B75E" w14:textId="77777777" w:rsidR="00115843" w:rsidRPr="00E36F77" w:rsidRDefault="00115843" w:rsidP="00115843">
      <w:pPr>
        <w:pStyle w:val="ContentsHeading"/>
      </w:pPr>
      <w:r w:rsidRPr="00E36F77">
        <w:lastRenderedPageBreak/>
        <w:t xml:space="preserve">Department of </w:t>
      </w:r>
      <w:bookmarkEnd w:id="4"/>
      <w:r>
        <w:t>Infrastructure, Transport, Regional Development, Communications and the Arts</w:t>
      </w:r>
    </w:p>
    <w:p w14:paraId="10609B35" w14:textId="652FE343" w:rsidR="00ED5ABC" w:rsidRDefault="00115843">
      <w:pPr>
        <w:pStyle w:val="TOC1"/>
        <w:rPr>
          <w:rFonts w:asciiTheme="minorHAnsi" w:eastAsiaTheme="minorEastAsia" w:hAnsiTheme="minorHAnsi" w:cstheme="minorBidi"/>
          <w:b w:val="0"/>
          <w:caps w:val="0"/>
          <w:noProof/>
          <w:sz w:val="22"/>
          <w:szCs w:val="22"/>
        </w:rPr>
      </w:pPr>
      <w:r>
        <w:fldChar w:fldCharType="begin"/>
      </w:r>
      <w:r>
        <w:instrText xml:space="preserve"> TOC \h \z \t "Heading 2 - ITRDCA,1,Heading 3 - ITRDCA,2" </w:instrText>
      </w:r>
      <w:r>
        <w:fldChar w:fldCharType="separate"/>
      </w:r>
      <w:hyperlink w:anchor="_Toc117242342" w:history="1">
        <w:r w:rsidR="00ED5ABC" w:rsidRPr="00BF7199">
          <w:rPr>
            <w:rStyle w:val="Hyperlink"/>
            <w:noProof/>
          </w:rPr>
          <w:t>Section 1: Entity overview and resources</w:t>
        </w:r>
        <w:r w:rsidR="00ED5ABC">
          <w:rPr>
            <w:noProof/>
            <w:webHidden/>
          </w:rPr>
          <w:tab/>
        </w:r>
        <w:r w:rsidR="00ED5ABC">
          <w:rPr>
            <w:noProof/>
            <w:webHidden/>
          </w:rPr>
          <w:fldChar w:fldCharType="begin"/>
        </w:r>
        <w:r w:rsidR="00ED5ABC">
          <w:rPr>
            <w:noProof/>
            <w:webHidden/>
          </w:rPr>
          <w:instrText xml:space="preserve"> PAGEREF _Toc117242342 \h </w:instrText>
        </w:r>
        <w:r w:rsidR="00ED5ABC">
          <w:rPr>
            <w:noProof/>
            <w:webHidden/>
          </w:rPr>
        </w:r>
        <w:r w:rsidR="00ED5ABC">
          <w:rPr>
            <w:noProof/>
            <w:webHidden/>
          </w:rPr>
          <w:fldChar w:fldCharType="separate"/>
        </w:r>
        <w:r w:rsidR="005C752E">
          <w:rPr>
            <w:noProof/>
            <w:webHidden/>
          </w:rPr>
          <w:t>25</w:t>
        </w:r>
        <w:r w:rsidR="00ED5ABC">
          <w:rPr>
            <w:noProof/>
            <w:webHidden/>
          </w:rPr>
          <w:fldChar w:fldCharType="end"/>
        </w:r>
      </w:hyperlink>
    </w:p>
    <w:p w14:paraId="652F04E3" w14:textId="3CBBCD19" w:rsidR="00ED5ABC" w:rsidRDefault="005615F4">
      <w:pPr>
        <w:pStyle w:val="TOC2"/>
        <w:tabs>
          <w:tab w:val="left" w:pos="800"/>
        </w:tabs>
        <w:rPr>
          <w:rFonts w:asciiTheme="minorHAnsi" w:eastAsiaTheme="minorEastAsia" w:hAnsiTheme="minorHAnsi" w:cstheme="minorBidi"/>
          <w:noProof/>
          <w:sz w:val="22"/>
          <w:szCs w:val="22"/>
        </w:rPr>
      </w:pPr>
      <w:hyperlink w:anchor="_Toc117242343" w:history="1">
        <w:r w:rsidR="00ED5ABC" w:rsidRPr="00BF7199">
          <w:rPr>
            <w:rStyle w:val="Hyperlink"/>
            <w:noProof/>
          </w:rPr>
          <w:t>1.1</w:t>
        </w:r>
        <w:r w:rsidR="00ED5ABC">
          <w:rPr>
            <w:rFonts w:asciiTheme="minorHAnsi" w:eastAsiaTheme="minorEastAsia" w:hAnsiTheme="minorHAnsi" w:cstheme="minorBidi"/>
            <w:noProof/>
            <w:sz w:val="22"/>
            <w:szCs w:val="22"/>
          </w:rPr>
          <w:tab/>
        </w:r>
        <w:r w:rsidR="00ED5ABC" w:rsidRPr="00BF7199">
          <w:rPr>
            <w:rStyle w:val="Hyperlink"/>
            <w:noProof/>
          </w:rPr>
          <w:t>Strategic direction statement</w:t>
        </w:r>
        <w:r w:rsidR="00ED5ABC">
          <w:rPr>
            <w:noProof/>
            <w:webHidden/>
          </w:rPr>
          <w:tab/>
        </w:r>
        <w:r w:rsidR="00ED5ABC">
          <w:rPr>
            <w:noProof/>
            <w:webHidden/>
          </w:rPr>
          <w:fldChar w:fldCharType="begin"/>
        </w:r>
        <w:r w:rsidR="00ED5ABC">
          <w:rPr>
            <w:noProof/>
            <w:webHidden/>
          </w:rPr>
          <w:instrText xml:space="preserve"> PAGEREF _Toc117242343 \h </w:instrText>
        </w:r>
        <w:r w:rsidR="00ED5ABC">
          <w:rPr>
            <w:noProof/>
            <w:webHidden/>
          </w:rPr>
        </w:r>
        <w:r w:rsidR="00ED5ABC">
          <w:rPr>
            <w:noProof/>
            <w:webHidden/>
          </w:rPr>
          <w:fldChar w:fldCharType="separate"/>
        </w:r>
        <w:r w:rsidR="005C752E">
          <w:rPr>
            <w:noProof/>
            <w:webHidden/>
          </w:rPr>
          <w:t>25</w:t>
        </w:r>
        <w:r w:rsidR="00ED5ABC">
          <w:rPr>
            <w:noProof/>
            <w:webHidden/>
          </w:rPr>
          <w:fldChar w:fldCharType="end"/>
        </w:r>
      </w:hyperlink>
    </w:p>
    <w:p w14:paraId="57DB60FD" w14:textId="04E5E59A" w:rsidR="00ED5ABC" w:rsidRDefault="005615F4">
      <w:pPr>
        <w:pStyle w:val="TOC2"/>
        <w:tabs>
          <w:tab w:val="left" w:pos="800"/>
        </w:tabs>
        <w:rPr>
          <w:rFonts w:asciiTheme="minorHAnsi" w:eastAsiaTheme="minorEastAsia" w:hAnsiTheme="minorHAnsi" w:cstheme="minorBidi"/>
          <w:noProof/>
          <w:sz w:val="22"/>
          <w:szCs w:val="22"/>
        </w:rPr>
      </w:pPr>
      <w:hyperlink w:anchor="_Toc117242344" w:history="1">
        <w:r w:rsidR="00ED5ABC" w:rsidRPr="00BF7199">
          <w:rPr>
            <w:rStyle w:val="Hyperlink"/>
            <w:noProof/>
          </w:rPr>
          <w:t>1.2</w:t>
        </w:r>
        <w:r w:rsidR="00ED5ABC">
          <w:rPr>
            <w:rFonts w:asciiTheme="minorHAnsi" w:eastAsiaTheme="minorEastAsia" w:hAnsiTheme="minorHAnsi" w:cstheme="minorBidi"/>
            <w:noProof/>
            <w:sz w:val="22"/>
            <w:szCs w:val="22"/>
          </w:rPr>
          <w:tab/>
        </w:r>
        <w:r w:rsidR="00ED5ABC" w:rsidRPr="00BF7199">
          <w:rPr>
            <w:rStyle w:val="Hyperlink"/>
            <w:noProof/>
          </w:rPr>
          <w:t>Entity resource statement</w:t>
        </w:r>
        <w:r w:rsidR="00ED5ABC">
          <w:rPr>
            <w:noProof/>
            <w:webHidden/>
          </w:rPr>
          <w:tab/>
        </w:r>
        <w:r w:rsidR="00ED5ABC">
          <w:rPr>
            <w:noProof/>
            <w:webHidden/>
          </w:rPr>
          <w:fldChar w:fldCharType="begin"/>
        </w:r>
        <w:r w:rsidR="00ED5ABC">
          <w:rPr>
            <w:noProof/>
            <w:webHidden/>
          </w:rPr>
          <w:instrText xml:space="preserve"> PAGEREF _Toc117242344 \h </w:instrText>
        </w:r>
        <w:r w:rsidR="00ED5ABC">
          <w:rPr>
            <w:noProof/>
            <w:webHidden/>
          </w:rPr>
        </w:r>
        <w:r w:rsidR="00ED5ABC">
          <w:rPr>
            <w:noProof/>
            <w:webHidden/>
          </w:rPr>
          <w:fldChar w:fldCharType="separate"/>
        </w:r>
        <w:r w:rsidR="005C752E">
          <w:rPr>
            <w:noProof/>
            <w:webHidden/>
          </w:rPr>
          <w:t>27</w:t>
        </w:r>
        <w:r w:rsidR="00ED5ABC">
          <w:rPr>
            <w:noProof/>
            <w:webHidden/>
          </w:rPr>
          <w:fldChar w:fldCharType="end"/>
        </w:r>
      </w:hyperlink>
    </w:p>
    <w:p w14:paraId="1624B2AA" w14:textId="1DD6A4BF" w:rsidR="00ED5ABC" w:rsidRDefault="005615F4">
      <w:pPr>
        <w:pStyle w:val="TOC2"/>
        <w:tabs>
          <w:tab w:val="left" w:pos="800"/>
        </w:tabs>
        <w:rPr>
          <w:rFonts w:asciiTheme="minorHAnsi" w:eastAsiaTheme="minorEastAsia" w:hAnsiTheme="minorHAnsi" w:cstheme="minorBidi"/>
          <w:noProof/>
          <w:sz w:val="22"/>
          <w:szCs w:val="22"/>
        </w:rPr>
      </w:pPr>
      <w:hyperlink w:anchor="_Toc117242345" w:history="1">
        <w:r w:rsidR="00ED5ABC" w:rsidRPr="00BF7199">
          <w:rPr>
            <w:rStyle w:val="Hyperlink"/>
            <w:noProof/>
          </w:rPr>
          <w:t>1.3</w:t>
        </w:r>
        <w:r w:rsidR="00ED5ABC">
          <w:rPr>
            <w:rFonts w:asciiTheme="minorHAnsi" w:eastAsiaTheme="minorEastAsia" w:hAnsiTheme="minorHAnsi" w:cstheme="minorBidi"/>
            <w:noProof/>
            <w:sz w:val="22"/>
            <w:szCs w:val="22"/>
          </w:rPr>
          <w:tab/>
        </w:r>
        <w:r w:rsidR="00ED5ABC" w:rsidRPr="00BF7199">
          <w:rPr>
            <w:rStyle w:val="Hyperlink"/>
            <w:noProof/>
          </w:rPr>
          <w:t>Budget measures</w:t>
        </w:r>
        <w:r w:rsidR="00ED5ABC">
          <w:rPr>
            <w:noProof/>
            <w:webHidden/>
          </w:rPr>
          <w:tab/>
        </w:r>
        <w:r w:rsidR="00ED5ABC">
          <w:rPr>
            <w:noProof/>
            <w:webHidden/>
          </w:rPr>
          <w:fldChar w:fldCharType="begin"/>
        </w:r>
        <w:r w:rsidR="00ED5ABC">
          <w:rPr>
            <w:noProof/>
            <w:webHidden/>
          </w:rPr>
          <w:instrText xml:space="preserve"> PAGEREF _Toc117242345 \h </w:instrText>
        </w:r>
        <w:r w:rsidR="00ED5ABC">
          <w:rPr>
            <w:noProof/>
            <w:webHidden/>
          </w:rPr>
        </w:r>
        <w:r w:rsidR="00ED5ABC">
          <w:rPr>
            <w:noProof/>
            <w:webHidden/>
          </w:rPr>
          <w:fldChar w:fldCharType="separate"/>
        </w:r>
        <w:r w:rsidR="005C752E">
          <w:rPr>
            <w:noProof/>
            <w:webHidden/>
          </w:rPr>
          <w:t>31</w:t>
        </w:r>
        <w:r w:rsidR="00ED5ABC">
          <w:rPr>
            <w:noProof/>
            <w:webHidden/>
          </w:rPr>
          <w:fldChar w:fldCharType="end"/>
        </w:r>
      </w:hyperlink>
    </w:p>
    <w:p w14:paraId="18E6D4B0" w14:textId="325ED418" w:rsidR="00ED5ABC" w:rsidRDefault="005615F4">
      <w:pPr>
        <w:pStyle w:val="TOC1"/>
        <w:rPr>
          <w:rFonts w:asciiTheme="minorHAnsi" w:eastAsiaTheme="minorEastAsia" w:hAnsiTheme="minorHAnsi" w:cstheme="minorBidi"/>
          <w:b w:val="0"/>
          <w:caps w:val="0"/>
          <w:noProof/>
          <w:sz w:val="22"/>
          <w:szCs w:val="22"/>
        </w:rPr>
      </w:pPr>
      <w:hyperlink w:anchor="_Toc117242346" w:history="1">
        <w:r w:rsidR="00ED5ABC" w:rsidRPr="00BF7199">
          <w:rPr>
            <w:rStyle w:val="Hyperlink"/>
            <w:noProof/>
          </w:rPr>
          <w:t>Section 2: Outcomes and planned performance</w:t>
        </w:r>
        <w:r w:rsidR="00ED5ABC">
          <w:rPr>
            <w:noProof/>
            <w:webHidden/>
          </w:rPr>
          <w:tab/>
        </w:r>
        <w:r w:rsidR="00ED5ABC">
          <w:rPr>
            <w:noProof/>
            <w:webHidden/>
          </w:rPr>
          <w:fldChar w:fldCharType="begin"/>
        </w:r>
        <w:r w:rsidR="00ED5ABC">
          <w:rPr>
            <w:noProof/>
            <w:webHidden/>
          </w:rPr>
          <w:instrText xml:space="preserve"> PAGEREF _Toc117242346 \h </w:instrText>
        </w:r>
        <w:r w:rsidR="00ED5ABC">
          <w:rPr>
            <w:noProof/>
            <w:webHidden/>
          </w:rPr>
        </w:r>
        <w:r w:rsidR="00ED5ABC">
          <w:rPr>
            <w:noProof/>
            <w:webHidden/>
          </w:rPr>
          <w:fldChar w:fldCharType="separate"/>
        </w:r>
        <w:r w:rsidR="005C752E">
          <w:rPr>
            <w:noProof/>
            <w:webHidden/>
          </w:rPr>
          <w:t>34</w:t>
        </w:r>
        <w:r w:rsidR="00ED5ABC">
          <w:rPr>
            <w:noProof/>
            <w:webHidden/>
          </w:rPr>
          <w:fldChar w:fldCharType="end"/>
        </w:r>
      </w:hyperlink>
    </w:p>
    <w:p w14:paraId="6A7A2EDD" w14:textId="18F2069B" w:rsidR="00ED5ABC" w:rsidRDefault="005615F4">
      <w:pPr>
        <w:pStyle w:val="TOC2"/>
        <w:tabs>
          <w:tab w:val="left" w:pos="800"/>
        </w:tabs>
        <w:rPr>
          <w:rFonts w:asciiTheme="minorHAnsi" w:eastAsiaTheme="minorEastAsia" w:hAnsiTheme="minorHAnsi" w:cstheme="minorBidi"/>
          <w:noProof/>
          <w:sz w:val="22"/>
          <w:szCs w:val="22"/>
        </w:rPr>
      </w:pPr>
      <w:hyperlink w:anchor="_Toc117242347" w:history="1">
        <w:r w:rsidR="00ED5ABC" w:rsidRPr="00BF7199">
          <w:rPr>
            <w:rStyle w:val="Hyperlink"/>
            <w:noProof/>
          </w:rPr>
          <w:t xml:space="preserve">2.1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1</w:t>
        </w:r>
        <w:r w:rsidR="00ED5ABC">
          <w:rPr>
            <w:noProof/>
            <w:webHidden/>
          </w:rPr>
          <w:tab/>
        </w:r>
        <w:r w:rsidR="00ED5ABC">
          <w:rPr>
            <w:noProof/>
            <w:webHidden/>
          </w:rPr>
          <w:fldChar w:fldCharType="begin"/>
        </w:r>
        <w:r w:rsidR="00ED5ABC">
          <w:rPr>
            <w:noProof/>
            <w:webHidden/>
          </w:rPr>
          <w:instrText xml:space="preserve"> PAGEREF _Toc117242347 \h </w:instrText>
        </w:r>
        <w:r w:rsidR="00ED5ABC">
          <w:rPr>
            <w:noProof/>
            <w:webHidden/>
          </w:rPr>
        </w:r>
        <w:r w:rsidR="00ED5ABC">
          <w:rPr>
            <w:noProof/>
            <w:webHidden/>
          </w:rPr>
          <w:fldChar w:fldCharType="separate"/>
        </w:r>
        <w:r w:rsidR="005C752E">
          <w:rPr>
            <w:noProof/>
            <w:webHidden/>
          </w:rPr>
          <w:t>35</w:t>
        </w:r>
        <w:r w:rsidR="00ED5ABC">
          <w:rPr>
            <w:noProof/>
            <w:webHidden/>
          </w:rPr>
          <w:fldChar w:fldCharType="end"/>
        </w:r>
      </w:hyperlink>
    </w:p>
    <w:p w14:paraId="6C64C6B3" w14:textId="06824F70" w:rsidR="00ED5ABC" w:rsidRDefault="005615F4">
      <w:pPr>
        <w:pStyle w:val="TOC2"/>
        <w:tabs>
          <w:tab w:val="left" w:pos="800"/>
        </w:tabs>
        <w:rPr>
          <w:rFonts w:asciiTheme="minorHAnsi" w:eastAsiaTheme="minorEastAsia" w:hAnsiTheme="minorHAnsi" w:cstheme="minorBidi"/>
          <w:noProof/>
          <w:sz w:val="22"/>
          <w:szCs w:val="22"/>
        </w:rPr>
      </w:pPr>
      <w:hyperlink w:anchor="_Toc117242348" w:history="1">
        <w:r w:rsidR="00ED5ABC" w:rsidRPr="00BF7199">
          <w:rPr>
            <w:rStyle w:val="Hyperlink"/>
            <w:noProof/>
          </w:rPr>
          <w:t xml:space="preserve">2.2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2</w:t>
        </w:r>
        <w:r w:rsidR="00ED5ABC">
          <w:rPr>
            <w:noProof/>
            <w:webHidden/>
          </w:rPr>
          <w:tab/>
        </w:r>
        <w:r w:rsidR="00ED5ABC">
          <w:rPr>
            <w:noProof/>
            <w:webHidden/>
          </w:rPr>
          <w:fldChar w:fldCharType="begin"/>
        </w:r>
        <w:r w:rsidR="00ED5ABC">
          <w:rPr>
            <w:noProof/>
            <w:webHidden/>
          </w:rPr>
          <w:instrText xml:space="preserve"> PAGEREF _Toc117242348 \h </w:instrText>
        </w:r>
        <w:r w:rsidR="00ED5ABC">
          <w:rPr>
            <w:noProof/>
            <w:webHidden/>
          </w:rPr>
        </w:r>
        <w:r w:rsidR="00ED5ABC">
          <w:rPr>
            <w:noProof/>
            <w:webHidden/>
          </w:rPr>
          <w:fldChar w:fldCharType="separate"/>
        </w:r>
        <w:r w:rsidR="005C752E">
          <w:rPr>
            <w:noProof/>
            <w:webHidden/>
          </w:rPr>
          <w:t>41</w:t>
        </w:r>
        <w:r w:rsidR="00ED5ABC">
          <w:rPr>
            <w:noProof/>
            <w:webHidden/>
          </w:rPr>
          <w:fldChar w:fldCharType="end"/>
        </w:r>
      </w:hyperlink>
    </w:p>
    <w:p w14:paraId="7127A8E0" w14:textId="0EA5A97A" w:rsidR="00ED5ABC" w:rsidRDefault="005615F4">
      <w:pPr>
        <w:pStyle w:val="TOC2"/>
        <w:tabs>
          <w:tab w:val="left" w:pos="800"/>
        </w:tabs>
        <w:rPr>
          <w:rFonts w:asciiTheme="minorHAnsi" w:eastAsiaTheme="minorEastAsia" w:hAnsiTheme="minorHAnsi" w:cstheme="minorBidi"/>
          <w:noProof/>
          <w:sz w:val="22"/>
          <w:szCs w:val="22"/>
        </w:rPr>
      </w:pPr>
      <w:hyperlink w:anchor="_Toc117242349" w:history="1">
        <w:r w:rsidR="00ED5ABC" w:rsidRPr="00BF7199">
          <w:rPr>
            <w:rStyle w:val="Hyperlink"/>
            <w:noProof/>
          </w:rPr>
          <w:t xml:space="preserve">2.3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3</w:t>
        </w:r>
        <w:r w:rsidR="00ED5ABC">
          <w:rPr>
            <w:noProof/>
            <w:webHidden/>
          </w:rPr>
          <w:tab/>
        </w:r>
        <w:r w:rsidR="00ED5ABC">
          <w:rPr>
            <w:noProof/>
            <w:webHidden/>
          </w:rPr>
          <w:fldChar w:fldCharType="begin"/>
        </w:r>
        <w:r w:rsidR="00ED5ABC">
          <w:rPr>
            <w:noProof/>
            <w:webHidden/>
          </w:rPr>
          <w:instrText xml:space="preserve"> PAGEREF _Toc117242349 \h </w:instrText>
        </w:r>
        <w:r w:rsidR="00ED5ABC">
          <w:rPr>
            <w:noProof/>
            <w:webHidden/>
          </w:rPr>
        </w:r>
        <w:r w:rsidR="00ED5ABC">
          <w:rPr>
            <w:noProof/>
            <w:webHidden/>
          </w:rPr>
          <w:fldChar w:fldCharType="separate"/>
        </w:r>
        <w:r w:rsidR="005C752E">
          <w:rPr>
            <w:noProof/>
            <w:webHidden/>
          </w:rPr>
          <w:t>56</w:t>
        </w:r>
        <w:r w:rsidR="00ED5ABC">
          <w:rPr>
            <w:noProof/>
            <w:webHidden/>
          </w:rPr>
          <w:fldChar w:fldCharType="end"/>
        </w:r>
      </w:hyperlink>
    </w:p>
    <w:p w14:paraId="1986904A" w14:textId="71B63121" w:rsidR="00ED5ABC" w:rsidRDefault="005615F4">
      <w:pPr>
        <w:pStyle w:val="TOC2"/>
        <w:tabs>
          <w:tab w:val="left" w:pos="800"/>
        </w:tabs>
        <w:rPr>
          <w:rFonts w:asciiTheme="minorHAnsi" w:eastAsiaTheme="minorEastAsia" w:hAnsiTheme="minorHAnsi" w:cstheme="minorBidi"/>
          <w:noProof/>
          <w:sz w:val="22"/>
          <w:szCs w:val="22"/>
        </w:rPr>
      </w:pPr>
      <w:hyperlink w:anchor="_Toc117242350" w:history="1">
        <w:r w:rsidR="00ED5ABC" w:rsidRPr="00BF7199">
          <w:rPr>
            <w:rStyle w:val="Hyperlink"/>
            <w:noProof/>
          </w:rPr>
          <w:t xml:space="preserve">2.4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4</w:t>
        </w:r>
        <w:r w:rsidR="00ED5ABC">
          <w:rPr>
            <w:noProof/>
            <w:webHidden/>
          </w:rPr>
          <w:tab/>
        </w:r>
        <w:r w:rsidR="00ED5ABC">
          <w:rPr>
            <w:noProof/>
            <w:webHidden/>
          </w:rPr>
          <w:fldChar w:fldCharType="begin"/>
        </w:r>
        <w:r w:rsidR="00ED5ABC">
          <w:rPr>
            <w:noProof/>
            <w:webHidden/>
          </w:rPr>
          <w:instrText xml:space="preserve"> PAGEREF _Toc117242350 \h </w:instrText>
        </w:r>
        <w:r w:rsidR="00ED5ABC">
          <w:rPr>
            <w:noProof/>
            <w:webHidden/>
          </w:rPr>
        </w:r>
        <w:r w:rsidR="00ED5ABC">
          <w:rPr>
            <w:noProof/>
            <w:webHidden/>
          </w:rPr>
          <w:fldChar w:fldCharType="separate"/>
        </w:r>
        <w:r w:rsidR="005C752E">
          <w:rPr>
            <w:noProof/>
            <w:webHidden/>
          </w:rPr>
          <w:t>68</w:t>
        </w:r>
        <w:r w:rsidR="00ED5ABC">
          <w:rPr>
            <w:noProof/>
            <w:webHidden/>
          </w:rPr>
          <w:fldChar w:fldCharType="end"/>
        </w:r>
      </w:hyperlink>
    </w:p>
    <w:p w14:paraId="5A5A248C" w14:textId="6256066A" w:rsidR="00ED5ABC" w:rsidRDefault="005615F4">
      <w:pPr>
        <w:pStyle w:val="TOC2"/>
        <w:tabs>
          <w:tab w:val="left" w:pos="800"/>
        </w:tabs>
        <w:rPr>
          <w:rFonts w:asciiTheme="minorHAnsi" w:eastAsiaTheme="minorEastAsia" w:hAnsiTheme="minorHAnsi" w:cstheme="minorBidi"/>
          <w:noProof/>
          <w:sz w:val="22"/>
          <w:szCs w:val="22"/>
        </w:rPr>
      </w:pPr>
      <w:hyperlink w:anchor="_Toc117242351" w:history="1">
        <w:r w:rsidR="00ED5ABC" w:rsidRPr="00BF7199">
          <w:rPr>
            <w:rStyle w:val="Hyperlink"/>
            <w:noProof/>
          </w:rPr>
          <w:t xml:space="preserve">2.5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5</w:t>
        </w:r>
        <w:r w:rsidR="00ED5ABC">
          <w:rPr>
            <w:noProof/>
            <w:webHidden/>
          </w:rPr>
          <w:tab/>
        </w:r>
        <w:r w:rsidR="00ED5ABC">
          <w:rPr>
            <w:noProof/>
            <w:webHidden/>
          </w:rPr>
          <w:fldChar w:fldCharType="begin"/>
        </w:r>
        <w:r w:rsidR="00ED5ABC">
          <w:rPr>
            <w:noProof/>
            <w:webHidden/>
          </w:rPr>
          <w:instrText xml:space="preserve"> PAGEREF _Toc117242351 \h </w:instrText>
        </w:r>
        <w:r w:rsidR="00ED5ABC">
          <w:rPr>
            <w:noProof/>
            <w:webHidden/>
          </w:rPr>
        </w:r>
        <w:r w:rsidR="00ED5ABC">
          <w:rPr>
            <w:noProof/>
            <w:webHidden/>
          </w:rPr>
          <w:fldChar w:fldCharType="separate"/>
        </w:r>
        <w:r w:rsidR="005C752E">
          <w:rPr>
            <w:noProof/>
            <w:webHidden/>
          </w:rPr>
          <w:t>72</w:t>
        </w:r>
        <w:r w:rsidR="00ED5ABC">
          <w:rPr>
            <w:noProof/>
            <w:webHidden/>
          </w:rPr>
          <w:fldChar w:fldCharType="end"/>
        </w:r>
      </w:hyperlink>
    </w:p>
    <w:p w14:paraId="4F38FB81" w14:textId="7C239A14" w:rsidR="00ED5ABC" w:rsidRDefault="005615F4">
      <w:pPr>
        <w:pStyle w:val="TOC2"/>
        <w:tabs>
          <w:tab w:val="left" w:pos="800"/>
        </w:tabs>
        <w:rPr>
          <w:rFonts w:asciiTheme="minorHAnsi" w:eastAsiaTheme="minorEastAsia" w:hAnsiTheme="minorHAnsi" w:cstheme="minorBidi"/>
          <w:noProof/>
          <w:sz w:val="22"/>
          <w:szCs w:val="22"/>
        </w:rPr>
      </w:pPr>
      <w:hyperlink w:anchor="_Toc117242352" w:history="1">
        <w:r w:rsidR="00ED5ABC" w:rsidRPr="00BF7199">
          <w:rPr>
            <w:rStyle w:val="Hyperlink"/>
            <w:noProof/>
          </w:rPr>
          <w:t xml:space="preserve">2.6 </w:t>
        </w:r>
        <w:r w:rsidR="00ED5ABC">
          <w:rPr>
            <w:rFonts w:asciiTheme="minorHAnsi" w:eastAsiaTheme="minorEastAsia" w:hAnsiTheme="minorHAnsi" w:cstheme="minorBidi"/>
            <w:noProof/>
            <w:sz w:val="22"/>
            <w:szCs w:val="22"/>
          </w:rPr>
          <w:tab/>
        </w:r>
        <w:r w:rsidR="00ED5ABC" w:rsidRPr="00BF7199">
          <w:rPr>
            <w:rStyle w:val="Hyperlink"/>
            <w:noProof/>
          </w:rPr>
          <w:t>Budgeted expenses and performance for Outcome 6</w:t>
        </w:r>
        <w:r w:rsidR="00ED5ABC">
          <w:rPr>
            <w:noProof/>
            <w:webHidden/>
          </w:rPr>
          <w:tab/>
        </w:r>
        <w:r w:rsidR="00ED5ABC">
          <w:rPr>
            <w:noProof/>
            <w:webHidden/>
          </w:rPr>
          <w:fldChar w:fldCharType="begin"/>
        </w:r>
        <w:r w:rsidR="00ED5ABC">
          <w:rPr>
            <w:noProof/>
            <w:webHidden/>
          </w:rPr>
          <w:instrText xml:space="preserve"> PAGEREF _Toc117242352 \h </w:instrText>
        </w:r>
        <w:r w:rsidR="00ED5ABC">
          <w:rPr>
            <w:noProof/>
            <w:webHidden/>
          </w:rPr>
        </w:r>
        <w:r w:rsidR="00ED5ABC">
          <w:rPr>
            <w:noProof/>
            <w:webHidden/>
          </w:rPr>
          <w:fldChar w:fldCharType="separate"/>
        </w:r>
        <w:r w:rsidR="005C752E">
          <w:rPr>
            <w:noProof/>
            <w:webHidden/>
          </w:rPr>
          <w:t>84</w:t>
        </w:r>
        <w:r w:rsidR="00ED5ABC">
          <w:rPr>
            <w:noProof/>
            <w:webHidden/>
          </w:rPr>
          <w:fldChar w:fldCharType="end"/>
        </w:r>
      </w:hyperlink>
    </w:p>
    <w:p w14:paraId="58156C3D" w14:textId="087F8273" w:rsidR="00ED5ABC" w:rsidRDefault="005615F4">
      <w:pPr>
        <w:pStyle w:val="TOC1"/>
        <w:rPr>
          <w:rFonts w:asciiTheme="minorHAnsi" w:eastAsiaTheme="minorEastAsia" w:hAnsiTheme="minorHAnsi" w:cstheme="minorBidi"/>
          <w:b w:val="0"/>
          <w:caps w:val="0"/>
          <w:noProof/>
          <w:sz w:val="22"/>
          <w:szCs w:val="22"/>
        </w:rPr>
      </w:pPr>
      <w:hyperlink w:anchor="_Toc117242353" w:history="1">
        <w:r w:rsidR="00ED5ABC" w:rsidRPr="00BF7199">
          <w:rPr>
            <w:rStyle w:val="Hyperlink"/>
            <w:noProof/>
          </w:rPr>
          <w:t>Section 3: Budgeted financial statements</w:t>
        </w:r>
        <w:r w:rsidR="00ED5ABC">
          <w:rPr>
            <w:noProof/>
            <w:webHidden/>
          </w:rPr>
          <w:tab/>
        </w:r>
        <w:r w:rsidR="00ED5ABC">
          <w:rPr>
            <w:noProof/>
            <w:webHidden/>
          </w:rPr>
          <w:fldChar w:fldCharType="begin"/>
        </w:r>
        <w:r w:rsidR="00ED5ABC">
          <w:rPr>
            <w:noProof/>
            <w:webHidden/>
          </w:rPr>
          <w:instrText xml:space="preserve"> PAGEREF _Toc117242353 \h </w:instrText>
        </w:r>
        <w:r w:rsidR="00ED5ABC">
          <w:rPr>
            <w:noProof/>
            <w:webHidden/>
          </w:rPr>
        </w:r>
        <w:r w:rsidR="00ED5ABC">
          <w:rPr>
            <w:noProof/>
            <w:webHidden/>
          </w:rPr>
          <w:fldChar w:fldCharType="separate"/>
        </w:r>
        <w:r w:rsidR="005C752E">
          <w:rPr>
            <w:noProof/>
            <w:webHidden/>
          </w:rPr>
          <w:t>94</w:t>
        </w:r>
        <w:r w:rsidR="00ED5ABC">
          <w:rPr>
            <w:noProof/>
            <w:webHidden/>
          </w:rPr>
          <w:fldChar w:fldCharType="end"/>
        </w:r>
      </w:hyperlink>
    </w:p>
    <w:p w14:paraId="48E63AF9" w14:textId="145B729F" w:rsidR="00ED5ABC" w:rsidRDefault="005615F4">
      <w:pPr>
        <w:pStyle w:val="TOC2"/>
        <w:tabs>
          <w:tab w:val="left" w:pos="800"/>
        </w:tabs>
        <w:rPr>
          <w:rFonts w:asciiTheme="minorHAnsi" w:eastAsiaTheme="minorEastAsia" w:hAnsiTheme="minorHAnsi" w:cstheme="minorBidi"/>
          <w:noProof/>
          <w:sz w:val="22"/>
          <w:szCs w:val="22"/>
        </w:rPr>
      </w:pPr>
      <w:hyperlink w:anchor="_Toc117242354" w:history="1">
        <w:r w:rsidR="00ED5ABC" w:rsidRPr="00BF7199">
          <w:rPr>
            <w:rStyle w:val="Hyperlink"/>
            <w:noProof/>
          </w:rPr>
          <w:t>3.1</w:t>
        </w:r>
        <w:r w:rsidR="00ED5ABC">
          <w:rPr>
            <w:rFonts w:asciiTheme="minorHAnsi" w:eastAsiaTheme="minorEastAsia" w:hAnsiTheme="minorHAnsi" w:cstheme="minorBidi"/>
            <w:noProof/>
            <w:sz w:val="22"/>
            <w:szCs w:val="22"/>
          </w:rPr>
          <w:tab/>
        </w:r>
        <w:r w:rsidR="00ED5ABC" w:rsidRPr="00BF7199">
          <w:rPr>
            <w:rStyle w:val="Hyperlink"/>
            <w:noProof/>
          </w:rPr>
          <w:t>Budgeted financial statements</w:t>
        </w:r>
        <w:r w:rsidR="00ED5ABC">
          <w:rPr>
            <w:noProof/>
            <w:webHidden/>
          </w:rPr>
          <w:tab/>
        </w:r>
        <w:r w:rsidR="00ED5ABC">
          <w:rPr>
            <w:noProof/>
            <w:webHidden/>
          </w:rPr>
          <w:fldChar w:fldCharType="begin"/>
        </w:r>
        <w:r w:rsidR="00ED5ABC">
          <w:rPr>
            <w:noProof/>
            <w:webHidden/>
          </w:rPr>
          <w:instrText xml:space="preserve"> PAGEREF _Toc117242354 \h </w:instrText>
        </w:r>
        <w:r w:rsidR="00ED5ABC">
          <w:rPr>
            <w:noProof/>
            <w:webHidden/>
          </w:rPr>
        </w:r>
        <w:r w:rsidR="00ED5ABC">
          <w:rPr>
            <w:noProof/>
            <w:webHidden/>
          </w:rPr>
          <w:fldChar w:fldCharType="separate"/>
        </w:r>
        <w:r w:rsidR="005C752E">
          <w:rPr>
            <w:noProof/>
            <w:webHidden/>
          </w:rPr>
          <w:t>94</w:t>
        </w:r>
        <w:r w:rsidR="00ED5ABC">
          <w:rPr>
            <w:noProof/>
            <w:webHidden/>
          </w:rPr>
          <w:fldChar w:fldCharType="end"/>
        </w:r>
      </w:hyperlink>
    </w:p>
    <w:p w14:paraId="437141FE" w14:textId="20C0D154" w:rsidR="00ED5ABC" w:rsidRDefault="005615F4">
      <w:pPr>
        <w:pStyle w:val="TOC2"/>
        <w:tabs>
          <w:tab w:val="left" w:pos="800"/>
        </w:tabs>
        <w:rPr>
          <w:rFonts w:asciiTheme="minorHAnsi" w:eastAsiaTheme="minorEastAsia" w:hAnsiTheme="minorHAnsi" w:cstheme="minorBidi"/>
          <w:noProof/>
          <w:sz w:val="22"/>
          <w:szCs w:val="22"/>
        </w:rPr>
      </w:pPr>
      <w:hyperlink w:anchor="_Toc117242355" w:history="1">
        <w:r w:rsidR="00ED5ABC" w:rsidRPr="00BF7199">
          <w:rPr>
            <w:rStyle w:val="Hyperlink"/>
            <w:noProof/>
            <w:lang w:val="x-none" w:eastAsia="x-none"/>
          </w:rPr>
          <w:t>3.2</w:t>
        </w:r>
        <w:r w:rsidR="00ED5ABC">
          <w:rPr>
            <w:rFonts w:asciiTheme="minorHAnsi" w:eastAsiaTheme="minorEastAsia" w:hAnsiTheme="minorHAnsi" w:cstheme="minorBidi"/>
            <w:noProof/>
            <w:sz w:val="22"/>
            <w:szCs w:val="22"/>
          </w:rPr>
          <w:tab/>
        </w:r>
        <w:r w:rsidR="00ED5ABC" w:rsidRPr="00BF7199">
          <w:rPr>
            <w:rStyle w:val="Hyperlink"/>
            <w:noProof/>
            <w:lang w:val="x-none" w:eastAsia="x-none"/>
          </w:rPr>
          <w:t>Budgeted financial statements tables</w:t>
        </w:r>
        <w:r w:rsidR="00ED5ABC">
          <w:rPr>
            <w:noProof/>
            <w:webHidden/>
          </w:rPr>
          <w:tab/>
        </w:r>
        <w:r w:rsidR="00ED5ABC">
          <w:rPr>
            <w:noProof/>
            <w:webHidden/>
          </w:rPr>
          <w:fldChar w:fldCharType="begin"/>
        </w:r>
        <w:r w:rsidR="00ED5ABC">
          <w:rPr>
            <w:noProof/>
            <w:webHidden/>
          </w:rPr>
          <w:instrText xml:space="preserve"> PAGEREF _Toc117242355 \h </w:instrText>
        </w:r>
        <w:r w:rsidR="00ED5ABC">
          <w:rPr>
            <w:noProof/>
            <w:webHidden/>
          </w:rPr>
        </w:r>
        <w:r w:rsidR="00ED5ABC">
          <w:rPr>
            <w:noProof/>
            <w:webHidden/>
          </w:rPr>
          <w:fldChar w:fldCharType="separate"/>
        </w:r>
        <w:r w:rsidR="005C752E">
          <w:rPr>
            <w:noProof/>
            <w:webHidden/>
          </w:rPr>
          <w:t>95</w:t>
        </w:r>
        <w:r w:rsidR="00ED5ABC">
          <w:rPr>
            <w:noProof/>
            <w:webHidden/>
          </w:rPr>
          <w:fldChar w:fldCharType="end"/>
        </w:r>
      </w:hyperlink>
    </w:p>
    <w:p w14:paraId="007749B0" w14:textId="1E327288" w:rsidR="00115843" w:rsidRDefault="00115843" w:rsidP="00115843">
      <w:pPr>
        <w:pStyle w:val="TOC1"/>
        <w:sectPr w:rsidR="00115843" w:rsidSect="00FB0D02">
          <w:headerReference w:type="first" r:id="rId20"/>
          <w:footerReference w:type="first" r:id="rId21"/>
          <w:type w:val="oddPage"/>
          <w:pgSz w:w="11906" w:h="16838" w:code="9"/>
          <w:pgMar w:top="2835" w:right="2098" w:bottom="2466" w:left="2098" w:header="1531" w:footer="1531" w:gutter="0"/>
          <w:cols w:space="708"/>
          <w:titlePg/>
          <w:docGrid w:linePitch="360"/>
        </w:sectPr>
      </w:pPr>
      <w:r>
        <w:fldChar w:fldCharType="end"/>
      </w:r>
    </w:p>
    <w:p w14:paraId="7B528DB2" w14:textId="2E169494" w:rsidR="00115843" w:rsidRDefault="00115843" w:rsidP="00115843">
      <w:pPr>
        <w:pStyle w:val="Heading1"/>
      </w:pPr>
      <w:bookmarkStart w:id="5" w:name="_Toc65243502"/>
      <w:bookmarkStart w:id="6" w:name="_Toc117326636"/>
      <w:r>
        <w:lastRenderedPageBreak/>
        <w:t xml:space="preserve">Department of </w:t>
      </w:r>
      <w:bookmarkEnd w:id="5"/>
      <w:r>
        <w:t>Infrastructure, Transport, Regional Development, Communications and the Arts</w:t>
      </w:r>
      <w:bookmarkEnd w:id="6"/>
      <w:r>
        <w:t xml:space="preserve"> </w:t>
      </w:r>
    </w:p>
    <w:p w14:paraId="2912DEAD" w14:textId="77777777" w:rsidR="00115843" w:rsidRPr="002C4D41" w:rsidRDefault="00115843" w:rsidP="00115843">
      <w:pPr>
        <w:pStyle w:val="Heading2-ITRDCA"/>
      </w:pPr>
      <w:bookmarkStart w:id="7" w:name="_Toc117242342"/>
      <w:r w:rsidRPr="002C4D41">
        <w:t xml:space="preserve">Section 1: Entity overview and </w:t>
      </w:r>
      <w:r>
        <w:t>reso</w:t>
      </w:r>
      <w:r w:rsidRPr="002C4D41">
        <w:t>urces</w:t>
      </w:r>
      <w:bookmarkEnd w:id="7"/>
    </w:p>
    <w:p w14:paraId="53F55F59" w14:textId="77777777" w:rsidR="00115843" w:rsidRDefault="00115843" w:rsidP="00115843">
      <w:pPr>
        <w:pStyle w:val="Heading3-ITRDCA"/>
      </w:pPr>
      <w:bookmarkStart w:id="8" w:name="_Toc117242343"/>
      <w:r>
        <w:t>1.1</w:t>
      </w:r>
      <w:r>
        <w:tab/>
        <w:t>Strategic direction statement</w:t>
      </w:r>
      <w:bookmarkEnd w:id="8"/>
    </w:p>
    <w:p w14:paraId="0757C4A2" w14:textId="77777777" w:rsidR="00115843" w:rsidRPr="00D77163" w:rsidRDefault="00115843" w:rsidP="00115843">
      <w:pPr>
        <w:spacing w:before="120" w:after="120" w:line="240" w:lineRule="auto"/>
        <w:rPr>
          <w:rFonts w:eastAsia="Calibri" w:cs="Arial"/>
          <w:szCs w:val="22"/>
        </w:rPr>
      </w:pPr>
      <w:r w:rsidRPr="00D77163">
        <w:rPr>
          <w:rFonts w:eastAsia="Calibri" w:cs="Arial"/>
          <w:szCs w:val="22"/>
        </w:rPr>
        <w:t xml:space="preserve">The work of the Department of Infrastructure, Transport, Regional Development, Communications and the Arts touches the lives of every Australian, every day. The </w:t>
      </w:r>
      <w:r>
        <w:rPr>
          <w:rFonts w:eastAsia="Calibri" w:cs="Arial"/>
          <w:szCs w:val="22"/>
        </w:rPr>
        <w:t>D</w:t>
      </w:r>
      <w:r w:rsidRPr="00D77163">
        <w:rPr>
          <w:rFonts w:eastAsia="Calibri" w:cs="Arial"/>
          <w:szCs w:val="22"/>
        </w:rPr>
        <w:t>epartment has a national footprint with our people working in Canberra (Ngunnawal Country) and across all States and Territories. We have a truly national perspective in our ambition to connect Australians, enrich our communities and empower our regions.</w:t>
      </w:r>
    </w:p>
    <w:p w14:paraId="4D1F3286" w14:textId="2DC1E16E" w:rsidR="00115843" w:rsidRPr="00D77163" w:rsidRDefault="00115843" w:rsidP="00115843">
      <w:pPr>
        <w:rPr>
          <w:rFonts w:cs="Arial"/>
          <w:szCs w:val="22"/>
        </w:rPr>
      </w:pPr>
      <w:r w:rsidRPr="00D77163">
        <w:rPr>
          <w:rFonts w:cs="Arial"/>
          <w:szCs w:val="22"/>
        </w:rPr>
        <w:t xml:space="preserve">The </w:t>
      </w:r>
      <w:r w:rsidR="004D2494">
        <w:rPr>
          <w:rFonts w:cs="Arial"/>
          <w:szCs w:val="22"/>
        </w:rPr>
        <w:t>PB</w:t>
      </w:r>
      <w:r w:rsidRPr="00D77163">
        <w:rPr>
          <w:rFonts w:cs="Arial"/>
          <w:szCs w:val="22"/>
        </w:rPr>
        <w:t xml:space="preserve"> Statements showcase how we plan to deliver across one of the most diverse portfolios in the Australian Public Service. We are supporting the Australian Government’s reform and recovery agenda. We will deliver through respectful and meaningful engagement across all levels of government, with our </w:t>
      </w:r>
      <w:r>
        <w:rPr>
          <w:rFonts w:cs="Arial"/>
          <w:szCs w:val="22"/>
        </w:rPr>
        <w:t xml:space="preserve">seven </w:t>
      </w:r>
      <w:r w:rsidRPr="00D77163">
        <w:rPr>
          <w:rFonts w:cs="Arial"/>
          <w:szCs w:val="22"/>
        </w:rPr>
        <w:t>Ministers, 30 portfolio entities and key industry stakeholders.</w:t>
      </w:r>
    </w:p>
    <w:p w14:paraId="40E216F2" w14:textId="77777777" w:rsidR="00115843" w:rsidRPr="00D77163" w:rsidRDefault="00115843" w:rsidP="00115843">
      <w:pPr>
        <w:spacing w:before="120" w:after="120" w:line="240" w:lineRule="auto"/>
        <w:rPr>
          <w:rFonts w:eastAsia="Calibri" w:cs="Arial"/>
          <w:szCs w:val="22"/>
        </w:rPr>
      </w:pPr>
      <w:r w:rsidRPr="00D77163">
        <w:rPr>
          <w:rFonts w:eastAsia="Calibri" w:cs="Arial"/>
          <w:szCs w:val="22"/>
        </w:rPr>
        <w:t xml:space="preserve">Our nation building projects support economic and social development, disaster resilience and recovery, and create long-term productivity benefits for producers, businesses and communities. The </w:t>
      </w:r>
      <w:r>
        <w:rPr>
          <w:rFonts w:eastAsia="Calibri" w:cs="Arial"/>
          <w:szCs w:val="22"/>
        </w:rPr>
        <w:t>D</w:t>
      </w:r>
      <w:r w:rsidRPr="00D77163">
        <w:rPr>
          <w:rFonts w:eastAsia="Calibri" w:cs="Arial"/>
          <w:szCs w:val="22"/>
        </w:rPr>
        <w:t>epartment’s work with each transport sector connects Australians to the world and each other. To set the scene for future growth and development we will deliver on the government’s commitments to an Aviation White Paper and a Maritime Strategic Fleet.</w:t>
      </w:r>
    </w:p>
    <w:p w14:paraId="3C971AB4" w14:textId="77777777" w:rsidR="00115843" w:rsidRPr="00D77163" w:rsidRDefault="00115843" w:rsidP="00115843">
      <w:pPr>
        <w:spacing w:before="120" w:after="120" w:line="240" w:lineRule="auto"/>
        <w:rPr>
          <w:rFonts w:eastAsia="Calibri" w:cs="Arial"/>
          <w:szCs w:val="22"/>
        </w:rPr>
      </w:pPr>
      <w:r w:rsidRPr="00D77163">
        <w:rPr>
          <w:rFonts w:eastAsia="Calibri" w:cs="Arial"/>
          <w:szCs w:val="22"/>
        </w:rPr>
        <w:t>Our portfolio will play a significant role in supporting the Government to reach its emissions reduction targets and achieve net zero, including reducing emissions in the transport sector, increasing resilience of our infrastructure and supporting our regions in the transition from fossil fuels.</w:t>
      </w:r>
    </w:p>
    <w:p w14:paraId="0BE84E99" w14:textId="77777777" w:rsidR="00115843" w:rsidRPr="00D77163" w:rsidRDefault="00115843" w:rsidP="00115843">
      <w:pPr>
        <w:spacing w:before="120" w:after="120" w:line="240" w:lineRule="auto"/>
        <w:rPr>
          <w:rFonts w:eastAsia="Calibri" w:cs="Arial"/>
          <w:szCs w:val="22"/>
        </w:rPr>
      </w:pPr>
      <w:r w:rsidRPr="00D77163">
        <w:rPr>
          <w:rFonts w:eastAsia="Calibri" w:cs="Arial"/>
          <w:szCs w:val="22"/>
        </w:rPr>
        <w:t>Our work across the cities, rural and regional areas and Australia’s territories connects and empowers communities, improves productivity and seeks to lift living standards. We will continue to coordinate and implement policies that benefit Australians wherever they live and support sustainable economic development and provide a foundation for resilient communities.</w:t>
      </w:r>
    </w:p>
    <w:p w14:paraId="6A1C09F0" w14:textId="77777777" w:rsidR="00115843" w:rsidRPr="00D77163" w:rsidRDefault="00115843" w:rsidP="00115843">
      <w:pPr>
        <w:spacing w:before="120" w:after="120" w:line="240" w:lineRule="auto"/>
        <w:rPr>
          <w:rFonts w:eastAsia="Calibri" w:cs="Arial"/>
          <w:szCs w:val="22"/>
        </w:rPr>
      </w:pPr>
      <w:r w:rsidRPr="00D77163">
        <w:rPr>
          <w:rFonts w:eastAsia="Calibri" w:cs="Arial"/>
          <w:szCs w:val="22"/>
        </w:rPr>
        <w:t>Communications service accessibility is essential to an inclusive and prosperous society. We will continue to work towards affordable and reliable communications and postal services across the country</w:t>
      </w:r>
      <w:r>
        <w:rPr>
          <w:rFonts w:eastAsia="Calibri" w:cs="Arial"/>
          <w:szCs w:val="22"/>
        </w:rPr>
        <w:t xml:space="preserve"> through appropriate regulatory reform as well as investment in digital connectivity in regional and rural Australia including overseeing </w:t>
      </w:r>
      <w:r w:rsidRPr="00252AAD">
        <w:rPr>
          <w:rFonts w:eastAsia="Calibri" w:cs="Arial"/>
          <w:szCs w:val="22"/>
        </w:rPr>
        <w:t>$480 million</w:t>
      </w:r>
      <w:r>
        <w:rPr>
          <w:rFonts w:eastAsia="Calibri" w:cs="Arial"/>
          <w:szCs w:val="22"/>
        </w:rPr>
        <w:t xml:space="preserve"> to improve NBN fixed wireless services</w:t>
      </w:r>
      <w:r w:rsidRPr="00D77163">
        <w:rPr>
          <w:rFonts w:eastAsia="Calibri" w:cs="Arial"/>
          <w:szCs w:val="22"/>
        </w:rPr>
        <w:t xml:space="preserve">. </w:t>
      </w:r>
      <w:r>
        <w:rPr>
          <w:rFonts w:eastAsia="Calibri" w:cs="Arial"/>
          <w:szCs w:val="22"/>
        </w:rPr>
        <w:t>The availability of digital communication services continues to disrupt and challenge Australia’s media funding arrangements for the national broadcasters.</w:t>
      </w:r>
    </w:p>
    <w:p w14:paraId="50B62B88" w14:textId="77777777" w:rsidR="00115843" w:rsidRPr="00D77163" w:rsidRDefault="00115843" w:rsidP="00115843">
      <w:pPr>
        <w:spacing w:before="120" w:after="120" w:line="240" w:lineRule="auto"/>
        <w:rPr>
          <w:rFonts w:eastAsia="Calibri" w:cs="Arial"/>
          <w:szCs w:val="22"/>
        </w:rPr>
      </w:pPr>
      <w:bookmarkStart w:id="9" w:name="_Hlk117071139"/>
      <w:r w:rsidRPr="00D77163">
        <w:rPr>
          <w:rFonts w:eastAsia="Calibri" w:cs="Arial"/>
          <w:szCs w:val="22"/>
        </w:rPr>
        <w:lastRenderedPageBreak/>
        <w:t xml:space="preserve">We are supporting the government to </w:t>
      </w:r>
      <w:r>
        <w:rPr>
          <w:rFonts w:eastAsia="Calibri" w:cs="Arial"/>
          <w:szCs w:val="22"/>
        </w:rPr>
        <w:t>establish a comprehensive roadmap that will guide</w:t>
      </w:r>
      <w:r w:rsidRPr="00D77163">
        <w:rPr>
          <w:rFonts w:eastAsia="Calibri" w:cs="Arial"/>
          <w:szCs w:val="22"/>
        </w:rPr>
        <w:t xml:space="preserve"> the creative sectors through the development of an updated National Cultural Policy that celebrates and invests in our unique arts industries and cultural institutions. This will require dialogue with our First Nations peoples to build policy and programs that are respectful of First Nations’ cultural heritage, art and languages.</w:t>
      </w:r>
    </w:p>
    <w:p w14:paraId="77B0D718" w14:textId="77777777" w:rsidR="00115843" w:rsidRPr="00D77163" w:rsidRDefault="00115843" w:rsidP="00115843">
      <w:pPr>
        <w:spacing w:before="120" w:after="120" w:line="240" w:lineRule="auto"/>
        <w:rPr>
          <w:rFonts w:eastAsia="Calibri" w:cs="Arial"/>
          <w:szCs w:val="22"/>
        </w:rPr>
      </w:pPr>
      <w:r w:rsidRPr="00D77163">
        <w:rPr>
          <w:rFonts w:eastAsia="Calibri" w:cs="Arial"/>
          <w:szCs w:val="22"/>
        </w:rPr>
        <w:t>On 1 July 2022, the National Water Grid Authority transferred to the Department of Climate Change, Energy, the Environment and Water, and the copyright function transferred to the Attorney-General’s Department. As a result</w:t>
      </w:r>
      <w:r>
        <w:rPr>
          <w:rFonts w:eastAsia="Calibri" w:cs="Arial"/>
          <w:szCs w:val="22"/>
        </w:rPr>
        <w:t xml:space="preserve"> of the </w:t>
      </w:r>
      <w:r w:rsidRPr="00D77163">
        <w:rPr>
          <w:rFonts w:eastAsia="Calibri" w:cs="Arial"/>
          <w:szCs w:val="22"/>
        </w:rPr>
        <w:t>National Water Grid Authority</w:t>
      </w:r>
      <w:r>
        <w:rPr>
          <w:rFonts w:eastAsia="Calibri" w:cs="Arial"/>
          <w:szCs w:val="22"/>
        </w:rPr>
        <w:t xml:space="preserve"> transfer</w:t>
      </w:r>
      <w:r w:rsidRPr="00D77163">
        <w:rPr>
          <w:rFonts w:eastAsia="Calibri" w:cs="Arial"/>
          <w:szCs w:val="22"/>
        </w:rPr>
        <w:t xml:space="preserve">, </w:t>
      </w:r>
      <w:r>
        <w:rPr>
          <w:rFonts w:eastAsia="Calibri" w:cs="Arial"/>
          <w:szCs w:val="22"/>
        </w:rPr>
        <w:t>the Department</w:t>
      </w:r>
      <w:r w:rsidRPr="00D77163">
        <w:rPr>
          <w:rFonts w:eastAsia="Calibri" w:cs="Arial"/>
          <w:szCs w:val="22"/>
        </w:rPr>
        <w:t xml:space="preserve"> no longer reports on the previous water infrastructure purpose.</w:t>
      </w:r>
    </w:p>
    <w:p w14:paraId="5638B9FD" w14:textId="77777777" w:rsidR="00115843" w:rsidRPr="00D77163" w:rsidRDefault="00115843" w:rsidP="00115843">
      <w:pPr>
        <w:spacing w:before="120" w:after="120" w:line="240" w:lineRule="auto"/>
        <w:rPr>
          <w:rFonts w:eastAsia="Calibri" w:cs="Arial"/>
          <w:szCs w:val="22"/>
          <w:lang w:val="en-US"/>
        </w:rPr>
      </w:pPr>
      <w:r w:rsidRPr="00D77163">
        <w:rPr>
          <w:rFonts w:eastAsia="Calibri" w:cs="Arial"/>
          <w:szCs w:val="22"/>
          <w:lang w:val="en-US"/>
        </w:rPr>
        <w:t xml:space="preserve">We will monitor our progress, measure and deliver through our </w:t>
      </w:r>
      <w:r>
        <w:rPr>
          <w:rFonts w:eastAsia="Calibri" w:cs="Arial"/>
          <w:szCs w:val="22"/>
          <w:lang w:val="en-US"/>
        </w:rPr>
        <w:t>five</w:t>
      </w:r>
      <w:r w:rsidRPr="00D77163">
        <w:rPr>
          <w:rFonts w:eastAsia="Calibri" w:cs="Arial"/>
          <w:szCs w:val="22"/>
          <w:lang w:val="en-US"/>
        </w:rPr>
        <w:t xml:space="preserve"> purposes, which are: </w:t>
      </w:r>
    </w:p>
    <w:p w14:paraId="59440BEE" w14:textId="77777777" w:rsidR="00115843" w:rsidRPr="00D77163" w:rsidRDefault="00115843" w:rsidP="00115843">
      <w:pPr>
        <w:numPr>
          <w:ilvl w:val="0"/>
          <w:numId w:val="182"/>
        </w:numPr>
        <w:spacing w:before="120" w:after="120" w:line="240" w:lineRule="auto"/>
        <w:rPr>
          <w:rFonts w:eastAsia="Calibri" w:cs="Arial"/>
          <w:szCs w:val="22"/>
          <w:lang w:val="en-US"/>
        </w:rPr>
      </w:pPr>
      <w:r w:rsidRPr="00D77163">
        <w:rPr>
          <w:rFonts w:eastAsia="Calibri" w:cs="Arial"/>
          <w:b/>
          <w:szCs w:val="22"/>
          <w:lang w:val="en-US"/>
        </w:rPr>
        <w:t>Transport Connectivity</w:t>
      </w:r>
      <w:r w:rsidRPr="00D77163">
        <w:rPr>
          <w:rFonts w:eastAsia="Calibri" w:cs="Arial"/>
          <w:szCs w:val="22"/>
          <w:lang w:val="en-US"/>
        </w:rPr>
        <w:br/>
        <w:t>Supporting an efficient, sustainable, competitive, accessible, safe and secure transport system and supporting jobs through infrastructure investment</w:t>
      </w:r>
    </w:p>
    <w:p w14:paraId="228A8E51" w14:textId="77777777" w:rsidR="00115843" w:rsidRPr="00D77163" w:rsidRDefault="00115843" w:rsidP="00115843">
      <w:pPr>
        <w:numPr>
          <w:ilvl w:val="0"/>
          <w:numId w:val="182"/>
        </w:numPr>
        <w:spacing w:before="120" w:after="120" w:line="240" w:lineRule="auto"/>
        <w:ind w:left="357" w:hanging="357"/>
        <w:rPr>
          <w:rFonts w:eastAsia="Calibri" w:cs="Arial"/>
          <w:szCs w:val="22"/>
          <w:lang w:val="en-US"/>
        </w:rPr>
      </w:pPr>
      <w:r w:rsidRPr="00D77163">
        <w:rPr>
          <w:rFonts w:eastAsia="Calibri" w:cs="Arial"/>
          <w:b/>
          <w:szCs w:val="22"/>
        </w:rPr>
        <w:t>Regional Development, northern Australia and Cities</w:t>
      </w:r>
      <w:r w:rsidRPr="00D77163">
        <w:rPr>
          <w:rFonts w:eastAsia="Calibri" w:cs="Arial"/>
          <w:szCs w:val="22"/>
        </w:rPr>
        <w:br/>
        <w:t>Improving living standards and facilitating economic growth in cities and regions including northern Australia</w:t>
      </w:r>
    </w:p>
    <w:p w14:paraId="38827FA2" w14:textId="77777777" w:rsidR="00115843" w:rsidRPr="00D77163" w:rsidRDefault="00115843" w:rsidP="00115843">
      <w:pPr>
        <w:numPr>
          <w:ilvl w:val="0"/>
          <w:numId w:val="182"/>
        </w:numPr>
        <w:spacing w:before="120" w:after="120" w:line="240" w:lineRule="auto"/>
        <w:ind w:left="357" w:hanging="357"/>
        <w:rPr>
          <w:rFonts w:eastAsia="Calibri" w:cs="Arial"/>
          <w:szCs w:val="22"/>
        </w:rPr>
      </w:pPr>
      <w:r w:rsidRPr="00D77163">
        <w:rPr>
          <w:rFonts w:eastAsia="Calibri" w:cs="Arial"/>
          <w:b/>
          <w:szCs w:val="22"/>
        </w:rPr>
        <w:t>Territories</w:t>
      </w:r>
      <w:r w:rsidRPr="00D77163">
        <w:rPr>
          <w:rFonts w:eastAsia="Calibri" w:cs="Arial"/>
          <w:szCs w:val="22"/>
        </w:rPr>
        <w:br/>
        <w:t>Providing governance frameworks and services to support communities in the territories</w:t>
      </w:r>
    </w:p>
    <w:p w14:paraId="01674B43" w14:textId="77777777" w:rsidR="00115843" w:rsidRPr="00D77163" w:rsidRDefault="00115843" w:rsidP="00115843">
      <w:pPr>
        <w:numPr>
          <w:ilvl w:val="0"/>
          <w:numId w:val="182"/>
        </w:numPr>
        <w:spacing w:before="120" w:after="120" w:line="240" w:lineRule="auto"/>
        <w:ind w:left="357" w:hanging="357"/>
        <w:rPr>
          <w:rFonts w:eastAsia="Calibri" w:cs="Arial"/>
          <w:szCs w:val="22"/>
        </w:rPr>
      </w:pPr>
      <w:r w:rsidRPr="00D77163">
        <w:rPr>
          <w:rFonts w:eastAsia="Calibri" w:cs="Arial"/>
          <w:b/>
          <w:szCs w:val="22"/>
        </w:rPr>
        <w:t>Communications Connectivity</w:t>
      </w:r>
      <w:r w:rsidRPr="00D77163">
        <w:rPr>
          <w:rFonts w:eastAsia="Calibri" w:cs="Arial"/>
          <w:szCs w:val="22"/>
        </w:rPr>
        <w:br/>
        <w:t>Enabling people in Australia to connect to effective, safe communications services. Enabling investment in communications technologies, for inclusiveness and sustainable economic growth</w:t>
      </w:r>
    </w:p>
    <w:p w14:paraId="72BF01E8" w14:textId="77777777" w:rsidR="00115843" w:rsidRPr="00D77163" w:rsidRDefault="00115843" w:rsidP="00115843">
      <w:pPr>
        <w:numPr>
          <w:ilvl w:val="0"/>
          <w:numId w:val="182"/>
        </w:numPr>
        <w:spacing w:before="120" w:after="120" w:line="240" w:lineRule="auto"/>
        <w:ind w:left="357" w:hanging="357"/>
        <w:rPr>
          <w:rFonts w:eastAsia="Calibri" w:cs="Arial"/>
          <w:szCs w:val="22"/>
        </w:rPr>
      </w:pPr>
      <w:r w:rsidRPr="00D77163">
        <w:rPr>
          <w:rFonts w:eastAsia="Calibri" w:cs="Arial"/>
          <w:b/>
          <w:szCs w:val="22"/>
        </w:rPr>
        <w:t>Creativity and culture</w:t>
      </w:r>
      <w:r w:rsidRPr="00D77163">
        <w:rPr>
          <w:rFonts w:eastAsia="Calibri" w:cs="Arial"/>
          <w:szCs w:val="22"/>
        </w:rPr>
        <w:br/>
        <w:t>Supporting sustainable and inclusive creative and cultural sectors, and protecting and promoting Australian content and culture.</w:t>
      </w:r>
    </w:p>
    <w:p w14:paraId="24B926CE" w14:textId="77777777" w:rsidR="00115843" w:rsidRPr="00D77163" w:rsidRDefault="00115843" w:rsidP="00115843">
      <w:pPr>
        <w:rPr>
          <w:rFonts w:cs="Arial"/>
          <w:szCs w:val="22"/>
        </w:rPr>
      </w:pPr>
      <w:r w:rsidRPr="00D77163">
        <w:rPr>
          <w:rFonts w:cs="Arial"/>
          <w:szCs w:val="22"/>
        </w:rPr>
        <w:t xml:space="preserve">We work with people across </w:t>
      </w:r>
      <w:r>
        <w:rPr>
          <w:rFonts w:cs="Arial"/>
          <w:szCs w:val="22"/>
        </w:rPr>
        <w:t>the Department</w:t>
      </w:r>
      <w:r w:rsidRPr="00D77163">
        <w:rPr>
          <w:rFonts w:cs="Arial"/>
          <w:szCs w:val="22"/>
        </w:rPr>
        <w:t xml:space="preserve"> and our portfolio entities to deliver our programs, projects and services in the major infrastructure, transport, communications and arts sectors, supporting our regions, cities and territories.</w:t>
      </w:r>
    </w:p>
    <w:p w14:paraId="6E128613" w14:textId="77777777" w:rsidR="00115843" w:rsidRPr="00D77163" w:rsidRDefault="00115843" w:rsidP="00115843">
      <w:pPr>
        <w:rPr>
          <w:color w:val="000000" w:themeColor="text1"/>
          <w:szCs w:val="22"/>
          <w:u w:val="single"/>
        </w:rPr>
      </w:pPr>
      <w:r w:rsidRPr="00D77163">
        <w:rPr>
          <w:rFonts w:cs="Arial"/>
          <w:szCs w:val="22"/>
        </w:rPr>
        <w:t xml:space="preserve">For more information on our strategic direction and performance, please refer to our Corporate Plan, online at: </w:t>
      </w:r>
      <w:r w:rsidRPr="00D77163">
        <w:rPr>
          <w:rFonts w:cs="Arial"/>
          <w:color w:val="000000" w:themeColor="text1"/>
          <w:szCs w:val="22"/>
          <w:u w:val="single"/>
        </w:rPr>
        <w:t>https://www.infrastructure.gov.au/department/about/corporate-plan.</w:t>
      </w:r>
    </w:p>
    <w:bookmarkEnd w:id="9"/>
    <w:p w14:paraId="57AE6D8E" w14:textId="77777777" w:rsidR="00115843" w:rsidRDefault="00115843" w:rsidP="00115843">
      <w:pPr>
        <w:pStyle w:val="Heading3-ITRDCA"/>
      </w:pPr>
      <w:r w:rsidRPr="0079797F">
        <w:br w:type="page"/>
      </w:r>
    </w:p>
    <w:p w14:paraId="59ADB4BB" w14:textId="77777777" w:rsidR="00115843" w:rsidRDefault="00115843" w:rsidP="00115843">
      <w:pPr>
        <w:pStyle w:val="Heading3-ITRDCA"/>
      </w:pPr>
      <w:bookmarkStart w:id="10" w:name="_Toc117242344"/>
      <w:r>
        <w:lastRenderedPageBreak/>
        <w:t>1.2</w:t>
      </w:r>
      <w:r>
        <w:tab/>
        <w:t>Entity resource statement</w:t>
      </w:r>
      <w:bookmarkEnd w:id="10"/>
    </w:p>
    <w:p w14:paraId="77FB4318" w14:textId="77777777" w:rsidR="00115843" w:rsidRDefault="00115843" w:rsidP="00115843">
      <w:r>
        <w:t>Table 1.1 shows the total funding from all sources available to the Department for its operations and to deliver programs and services on behalf of the Government.</w:t>
      </w:r>
    </w:p>
    <w:p w14:paraId="7D49F5C3" w14:textId="77777777" w:rsidR="00115843" w:rsidRDefault="00115843" w:rsidP="00115843">
      <w:r>
        <w:t>The table summarises how resources will be applied by outcome (government strategic policy objectives) and by administered (on behalf of the Government or the public) and departmental (for the Department’s operations) classification.</w:t>
      </w:r>
    </w:p>
    <w:p w14:paraId="19663865" w14:textId="77777777" w:rsidR="00115843" w:rsidRDefault="00115843" w:rsidP="00115843">
      <w:r>
        <w:t xml:space="preserve">For more detailed information on special accounts and special appropriations, please refer to the </w:t>
      </w:r>
      <w:r w:rsidRPr="00552136">
        <w:rPr>
          <w:i/>
        </w:rPr>
        <w:t>October</w:t>
      </w:r>
      <w:r>
        <w:t xml:space="preserve"> </w:t>
      </w:r>
      <w:r w:rsidRPr="00412C0B">
        <w:rPr>
          <w:i/>
        </w:rPr>
        <w:t>Budget Paper No. 4 – Agency Resourcing</w:t>
      </w:r>
      <w:r>
        <w:t>.</w:t>
      </w:r>
    </w:p>
    <w:p w14:paraId="018E4C98" w14:textId="77777777" w:rsidR="00115843" w:rsidRDefault="00115843" w:rsidP="00115843">
      <w:r>
        <w:t>Information in this table is presented on a resourcing (that is, appropriations/cash available) basis, whilst the ‘Budgeted expenses by Outcome’ tables in Section 2 and the financial statements in Section 3 are presented on an accrual basis.</w:t>
      </w:r>
    </w:p>
    <w:p w14:paraId="4B1D04C9" w14:textId="77777777" w:rsidR="00115843" w:rsidRPr="00FE1091" w:rsidRDefault="00115843" w:rsidP="00115843">
      <w:pPr>
        <w:pStyle w:val="TableHeading"/>
        <w:rPr>
          <w:b w:val="0"/>
        </w:rPr>
      </w:pPr>
      <w:r w:rsidRPr="00D44150">
        <w:t xml:space="preserve">Table 1.1: </w:t>
      </w:r>
      <w:r>
        <w:t>Department of Infrastructure, Transport, Regional Development, Communications and the Arts</w:t>
      </w:r>
      <w:r w:rsidRPr="00D44150">
        <w:t xml:space="preserve"> resource statement</w:t>
      </w:r>
      <w:r>
        <w:t xml:space="preserve"> — Budget estimates for 2022</w:t>
      </w:r>
      <w:r>
        <w:noBreakHyphen/>
        <w:t xml:space="preserve">23 </w:t>
      </w:r>
      <w:r w:rsidRPr="00D44150">
        <w:t xml:space="preserve">as at </w:t>
      </w:r>
      <w:r>
        <w:t>October</w:t>
      </w:r>
      <w:r w:rsidRPr="00D44150">
        <w:t xml:space="preserve"> Budget </w:t>
      </w:r>
      <w:r>
        <w:t>2022</w:t>
      </w:r>
    </w:p>
    <w:tbl>
      <w:tblPr>
        <w:tblW w:w="5000" w:type="pct"/>
        <w:tblLook w:val="04A0" w:firstRow="1" w:lastRow="0" w:firstColumn="1" w:lastColumn="0" w:noHBand="0" w:noVBand="1"/>
      </w:tblPr>
      <w:tblGrid>
        <w:gridCol w:w="5140"/>
        <w:gridCol w:w="1363"/>
        <w:gridCol w:w="1207"/>
      </w:tblGrid>
      <w:tr w:rsidR="00115843" w:rsidRPr="008A4505" w14:paraId="3E61AC1A" w14:textId="77777777" w:rsidTr="00436AC0">
        <w:trPr>
          <w:trHeight w:val="204"/>
        </w:trPr>
        <w:tc>
          <w:tcPr>
            <w:tcW w:w="3333" w:type="pct"/>
            <w:tcBorders>
              <w:top w:val="single" w:sz="4" w:space="0" w:color="auto"/>
              <w:left w:val="nil"/>
              <w:bottom w:val="nil"/>
              <w:right w:val="nil"/>
            </w:tcBorders>
            <w:shd w:val="clear" w:color="auto" w:fill="auto"/>
            <w:noWrap/>
            <w:vAlign w:val="bottom"/>
            <w:hideMark/>
          </w:tcPr>
          <w:p w14:paraId="334D7B3F" w14:textId="77777777" w:rsidR="00115843" w:rsidRPr="008A4505" w:rsidRDefault="00115843" w:rsidP="00FB0D02">
            <w:pPr>
              <w:spacing w:after="0" w:line="240" w:lineRule="auto"/>
              <w:jc w:val="right"/>
              <w:rPr>
                <w:rFonts w:ascii="Arial" w:hAnsi="Arial" w:cs="Arial"/>
                <w:sz w:val="16"/>
                <w:szCs w:val="16"/>
              </w:rPr>
            </w:pPr>
          </w:p>
        </w:tc>
        <w:tc>
          <w:tcPr>
            <w:tcW w:w="884" w:type="pct"/>
            <w:tcBorders>
              <w:top w:val="single" w:sz="4" w:space="0" w:color="auto"/>
              <w:left w:val="nil"/>
              <w:bottom w:val="single" w:sz="4" w:space="0" w:color="auto"/>
              <w:right w:val="nil"/>
            </w:tcBorders>
            <w:shd w:val="clear" w:color="000000" w:fill="FFFFFF"/>
            <w:vAlign w:val="bottom"/>
            <w:hideMark/>
          </w:tcPr>
          <w:p w14:paraId="3E7DF83A" w14:textId="77777777" w:rsidR="00115843" w:rsidRPr="008A4505" w:rsidRDefault="00115843" w:rsidP="00FB0D02">
            <w:pPr>
              <w:spacing w:after="0" w:line="240" w:lineRule="auto"/>
              <w:jc w:val="right"/>
              <w:rPr>
                <w:rFonts w:ascii="Arial" w:hAnsi="Arial" w:cs="Arial"/>
                <w:iCs/>
                <w:color w:val="000000"/>
                <w:sz w:val="16"/>
                <w:szCs w:val="16"/>
              </w:rPr>
            </w:pPr>
            <w:r w:rsidRPr="008A4505">
              <w:rPr>
                <w:rFonts w:ascii="Arial" w:hAnsi="Arial" w:cs="Arial"/>
                <w:iCs/>
                <w:color w:val="000000"/>
                <w:sz w:val="16"/>
                <w:szCs w:val="16"/>
              </w:rPr>
              <w:t>2021-22 Estimated actual</w:t>
            </w:r>
            <w:r w:rsidRPr="008A4505">
              <w:rPr>
                <w:rFonts w:ascii="Arial" w:hAnsi="Arial" w:cs="Arial"/>
                <w:iCs/>
                <w:color w:val="000000"/>
                <w:sz w:val="16"/>
                <w:szCs w:val="16"/>
              </w:rPr>
              <w:br/>
              <w:t>$'000</w:t>
            </w:r>
          </w:p>
        </w:tc>
        <w:tc>
          <w:tcPr>
            <w:tcW w:w="783" w:type="pct"/>
            <w:tcBorders>
              <w:top w:val="single" w:sz="4" w:space="0" w:color="auto"/>
              <w:left w:val="nil"/>
              <w:bottom w:val="single" w:sz="4" w:space="0" w:color="auto"/>
              <w:right w:val="nil"/>
            </w:tcBorders>
            <w:shd w:val="clear" w:color="auto" w:fill="E6E6E6"/>
            <w:vAlign w:val="bottom"/>
            <w:hideMark/>
          </w:tcPr>
          <w:p w14:paraId="01A8A8D5" w14:textId="77777777" w:rsidR="00115843" w:rsidRPr="008A4505" w:rsidRDefault="00115843" w:rsidP="00FB0D02">
            <w:pPr>
              <w:spacing w:after="0" w:line="240" w:lineRule="auto"/>
              <w:jc w:val="right"/>
              <w:rPr>
                <w:rFonts w:ascii="Arial" w:hAnsi="Arial" w:cs="Arial"/>
                <w:color w:val="000000"/>
                <w:sz w:val="16"/>
                <w:szCs w:val="16"/>
              </w:rPr>
            </w:pPr>
            <w:r w:rsidRPr="008A4505">
              <w:rPr>
                <w:rFonts w:ascii="Arial" w:hAnsi="Arial" w:cs="Arial"/>
                <w:color w:val="000000"/>
                <w:sz w:val="16"/>
                <w:szCs w:val="16"/>
              </w:rPr>
              <w:t>2022-23</w:t>
            </w:r>
            <w:r w:rsidRPr="008A4505">
              <w:rPr>
                <w:rFonts w:ascii="Arial" w:hAnsi="Arial" w:cs="Arial"/>
                <w:color w:val="000000"/>
                <w:sz w:val="16"/>
                <w:szCs w:val="16"/>
                <w:vertAlign w:val="superscript"/>
              </w:rPr>
              <w:t>(a)</w:t>
            </w:r>
            <w:r w:rsidRPr="008A4505">
              <w:rPr>
                <w:rFonts w:ascii="Arial" w:hAnsi="Arial" w:cs="Arial"/>
                <w:color w:val="000000"/>
                <w:sz w:val="16"/>
                <w:szCs w:val="16"/>
              </w:rPr>
              <w:t xml:space="preserve"> Estimate</w:t>
            </w:r>
            <w:r w:rsidRPr="008A4505">
              <w:rPr>
                <w:rFonts w:ascii="Arial" w:hAnsi="Arial" w:cs="Arial"/>
                <w:color w:val="000000"/>
                <w:sz w:val="16"/>
                <w:szCs w:val="16"/>
              </w:rPr>
              <w:br/>
            </w:r>
            <w:r w:rsidRPr="008A4505">
              <w:rPr>
                <w:rFonts w:ascii="Arial" w:hAnsi="Arial" w:cs="Arial"/>
                <w:color w:val="000000"/>
                <w:sz w:val="16"/>
                <w:szCs w:val="16"/>
              </w:rPr>
              <w:br/>
              <w:t>$'000</w:t>
            </w:r>
          </w:p>
        </w:tc>
      </w:tr>
      <w:tr w:rsidR="00115843" w:rsidRPr="008A4505" w14:paraId="611FD197" w14:textId="77777777" w:rsidTr="00436AC0">
        <w:trPr>
          <w:trHeight w:val="204"/>
        </w:trPr>
        <w:tc>
          <w:tcPr>
            <w:tcW w:w="3333" w:type="pct"/>
            <w:tcBorders>
              <w:top w:val="nil"/>
              <w:left w:val="nil"/>
              <w:bottom w:val="nil"/>
              <w:right w:val="nil"/>
            </w:tcBorders>
            <w:shd w:val="clear" w:color="auto" w:fill="auto"/>
            <w:noWrap/>
            <w:vAlign w:val="bottom"/>
            <w:hideMark/>
          </w:tcPr>
          <w:p w14:paraId="4414282E" w14:textId="77777777" w:rsidR="00115843" w:rsidRPr="008A4505" w:rsidRDefault="00115843" w:rsidP="00FB0D02">
            <w:pPr>
              <w:spacing w:after="0" w:line="240" w:lineRule="auto"/>
              <w:rPr>
                <w:rFonts w:ascii="Arial" w:hAnsi="Arial" w:cs="Arial"/>
                <w:b/>
                <w:bCs/>
                <w:sz w:val="16"/>
                <w:szCs w:val="16"/>
              </w:rPr>
            </w:pPr>
            <w:r w:rsidRPr="008A4505">
              <w:rPr>
                <w:rFonts w:ascii="Arial" w:hAnsi="Arial" w:cs="Arial"/>
                <w:b/>
                <w:bCs/>
                <w:sz w:val="16"/>
                <w:szCs w:val="16"/>
              </w:rPr>
              <w:t>Departmental</w:t>
            </w:r>
          </w:p>
        </w:tc>
        <w:tc>
          <w:tcPr>
            <w:tcW w:w="884" w:type="pct"/>
            <w:tcBorders>
              <w:top w:val="nil"/>
              <w:left w:val="nil"/>
              <w:bottom w:val="nil"/>
              <w:right w:val="nil"/>
            </w:tcBorders>
            <w:shd w:val="clear" w:color="auto" w:fill="auto"/>
            <w:noWrap/>
            <w:vAlign w:val="bottom"/>
            <w:hideMark/>
          </w:tcPr>
          <w:p w14:paraId="54563DA2" w14:textId="77777777" w:rsidR="00115843" w:rsidRPr="008A4505" w:rsidRDefault="00115843" w:rsidP="00FB0D02">
            <w:pPr>
              <w:spacing w:after="0" w:line="240" w:lineRule="auto"/>
              <w:jc w:val="right"/>
              <w:rPr>
                <w:rFonts w:ascii="Arial" w:hAnsi="Arial" w:cs="Arial"/>
                <w:iCs/>
                <w:sz w:val="16"/>
                <w:szCs w:val="16"/>
              </w:rPr>
            </w:pPr>
          </w:p>
        </w:tc>
        <w:tc>
          <w:tcPr>
            <w:tcW w:w="783" w:type="pct"/>
            <w:tcBorders>
              <w:top w:val="nil"/>
              <w:left w:val="nil"/>
              <w:bottom w:val="nil"/>
              <w:right w:val="nil"/>
            </w:tcBorders>
            <w:shd w:val="clear" w:color="auto" w:fill="E6E6E6"/>
            <w:noWrap/>
            <w:vAlign w:val="bottom"/>
            <w:hideMark/>
          </w:tcPr>
          <w:p w14:paraId="0B87504A" w14:textId="77777777" w:rsidR="00115843" w:rsidRPr="008A4505" w:rsidRDefault="00115843" w:rsidP="00FB0D02">
            <w:pPr>
              <w:spacing w:after="0" w:line="240" w:lineRule="auto"/>
              <w:jc w:val="right"/>
              <w:rPr>
                <w:rFonts w:ascii="Arial" w:hAnsi="Arial" w:cs="Arial"/>
                <w:sz w:val="16"/>
                <w:szCs w:val="16"/>
              </w:rPr>
            </w:pPr>
          </w:p>
        </w:tc>
      </w:tr>
      <w:tr w:rsidR="00115843" w:rsidRPr="008A4505" w14:paraId="4E2E29B6" w14:textId="77777777" w:rsidTr="00436AC0">
        <w:trPr>
          <w:trHeight w:val="204"/>
        </w:trPr>
        <w:tc>
          <w:tcPr>
            <w:tcW w:w="3333" w:type="pct"/>
            <w:tcBorders>
              <w:top w:val="nil"/>
              <w:left w:val="nil"/>
              <w:bottom w:val="nil"/>
              <w:right w:val="nil"/>
            </w:tcBorders>
            <w:shd w:val="clear" w:color="auto" w:fill="auto"/>
            <w:noWrap/>
            <w:vAlign w:val="bottom"/>
            <w:hideMark/>
          </w:tcPr>
          <w:p w14:paraId="1CB87C3A" w14:textId="77777777" w:rsidR="00115843" w:rsidRPr="008A4505" w:rsidRDefault="00115843" w:rsidP="00FB0D02">
            <w:pPr>
              <w:spacing w:after="0" w:line="240" w:lineRule="auto"/>
              <w:rPr>
                <w:rFonts w:ascii="Arial" w:hAnsi="Arial" w:cs="Arial"/>
                <w:sz w:val="16"/>
                <w:szCs w:val="16"/>
              </w:rPr>
            </w:pPr>
            <w:r w:rsidRPr="008A4505">
              <w:rPr>
                <w:rFonts w:ascii="Arial" w:hAnsi="Arial" w:cs="Arial"/>
                <w:sz w:val="16"/>
                <w:szCs w:val="16"/>
              </w:rPr>
              <w:t xml:space="preserve">Annual appropriations - ordinary annual services </w:t>
            </w:r>
            <w:r w:rsidRPr="008A4505">
              <w:rPr>
                <w:rFonts w:ascii="Arial" w:hAnsi="Arial" w:cs="Arial"/>
                <w:sz w:val="16"/>
                <w:szCs w:val="16"/>
                <w:vertAlign w:val="superscript"/>
              </w:rPr>
              <w:t>(b)</w:t>
            </w:r>
          </w:p>
        </w:tc>
        <w:tc>
          <w:tcPr>
            <w:tcW w:w="884" w:type="pct"/>
            <w:tcBorders>
              <w:top w:val="nil"/>
              <w:left w:val="nil"/>
              <w:bottom w:val="nil"/>
              <w:right w:val="nil"/>
            </w:tcBorders>
            <w:shd w:val="clear" w:color="auto" w:fill="auto"/>
            <w:noWrap/>
            <w:vAlign w:val="bottom"/>
            <w:hideMark/>
          </w:tcPr>
          <w:p w14:paraId="6C8285E6" w14:textId="77777777" w:rsidR="00115843" w:rsidRPr="004D2494" w:rsidRDefault="00115843" w:rsidP="00FB0D02">
            <w:pPr>
              <w:spacing w:after="0" w:line="240" w:lineRule="auto"/>
              <w:jc w:val="right"/>
              <w:rPr>
                <w:rFonts w:ascii="Arial" w:hAnsi="Arial" w:cs="Arial"/>
                <w:sz w:val="16"/>
                <w:szCs w:val="16"/>
              </w:rPr>
            </w:pPr>
          </w:p>
        </w:tc>
        <w:tc>
          <w:tcPr>
            <w:tcW w:w="783" w:type="pct"/>
            <w:tcBorders>
              <w:top w:val="nil"/>
              <w:left w:val="nil"/>
              <w:bottom w:val="nil"/>
              <w:right w:val="nil"/>
            </w:tcBorders>
            <w:shd w:val="clear" w:color="auto" w:fill="E6E6E6"/>
            <w:noWrap/>
            <w:vAlign w:val="bottom"/>
            <w:hideMark/>
          </w:tcPr>
          <w:p w14:paraId="6657B7AC" w14:textId="77777777" w:rsidR="00115843" w:rsidRPr="004D2494" w:rsidRDefault="00115843" w:rsidP="00FB0D02">
            <w:pPr>
              <w:spacing w:after="0" w:line="240" w:lineRule="auto"/>
              <w:jc w:val="right"/>
              <w:rPr>
                <w:rFonts w:ascii="Arial" w:hAnsi="Arial" w:cs="Arial"/>
                <w:sz w:val="16"/>
                <w:szCs w:val="16"/>
              </w:rPr>
            </w:pPr>
          </w:p>
        </w:tc>
      </w:tr>
      <w:tr w:rsidR="00061A23" w:rsidRPr="008A4505" w14:paraId="5578894E" w14:textId="77777777" w:rsidTr="00436AC0">
        <w:trPr>
          <w:trHeight w:val="204"/>
        </w:trPr>
        <w:tc>
          <w:tcPr>
            <w:tcW w:w="3333" w:type="pct"/>
            <w:tcBorders>
              <w:top w:val="nil"/>
              <w:left w:val="nil"/>
              <w:bottom w:val="nil"/>
              <w:right w:val="nil"/>
            </w:tcBorders>
            <w:shd w:val="clear" w:color="auto" w:fill="auto"/>
            <w:noWrap/>
            <w:vAlign w:val="bottom"/>
            <w:hideMark/>
          </w:tcPr>
          <w:p w14:paraId="5C02F7FE"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Prior year appropriations available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78F0B30C" w14:textId="5E05C420"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163,881</w:t>
            </w:r>
          </w:p>
        </w:tc>
        <w:tc>
          <w:tcPr>
            <w:tcW w:w="783" w:type="pct"/>
            <w:tcBorders>
              <w:top w:val="nil"/>
              <w:left w:val="nil"/>
              <w:bottom w:val="nil"/>
              <w:right w:val="nil"/>
            </w:tcBorders>
            <w:shd w:val="clear" w:color="auto" w:fill="E6E6E6"/>
            <w:noWrap/>
            <w:vAlign w:val="bottom"/>
            <w:hideMark/>
          </w:tcPr>
          <w:p w14:paraId="4511C327" w14:textId="1E41ECA6"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113,792</w:t>
            </w:r>
          </w:p>
        </w:tc>
      </w:tr>
      <w:tr w:rsidR="00061A23" w:rsidRPr="008A4505" w14:paraId="529F54CE" w14:textId="77777777" w:rsidTr="00436AC0">
        <w:trPr>
          <w:trHeight w:val="204"/>
        </w:trPr>
        <w:tc>
          <w:tcPr>
            <w:tcW w:w="3333" w:type="pct"/>
            <w:tcBorders>
              <w:top w:val="nil"/>
              <w:left w:val="nil"/>
              <w:bottom w:val="nil"/>
              <w:right w:val="nil"/>
            </w:tcBorders>
            <w:shd w:val="clear" w:color="auto" w:fill="auto"/>
            <w:noWrap/>
            <w:vAlign w:val="bottom"/>
            <w:hideMark/>
          </w:tcPr>
          <w:p w14:paraId="0C3862E2"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Departmental appropriation </w:t>
            </w:r>
            <w:r w:rsidRPr="008A4505">
              <w:rPr>
                <w:rFonts w:ascii="Arial" w:hAnsi="Arial" w:cs="Arial"/>
                <w:sz w:val="16"/>
                <w:szCs w:val="16"/>
                <w:vertAlign w:val="superscript"/>
              </w:rPr>
              <w:t>(d)</w:t>
            </w:r>
          </w:p>
        </w:tc>
        <w:tc>
          <w:tcPr>
            <w:tcW w:w="884" w:type="pct"/>
            <w:tcBorders>
              <w:top w:val="nil"/>
              <w:left w:val="nil"/>
              <w:bottom w:val="nil"/>
              <w:right w:val="nil"/>
            </w:tcBorders>
            <w:shd w:val="clear" w:color="auto" w:fill="auto"/>
            <w:noWrap/>
            <w:vAlign w:val="bottom"/>
            <w:hideMark/>
          </w:tcPr>
          <w:p w14:paraId="6A364101" w14:textId="62205ACB"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436,242</w:t>
            </w:r>
          </w:p>
        </w:tc>
        <w:tc>
          <w:tcPr>
            <w:tcW w:w="783" w:type="pct"/>
            <w:tcBorders>
              <w:top w:val="nil"/>
              <w:left w:val="nil"/>
              <w:bottom w:val="nil"/>
              <w:right w:val="nil"/>
            </w:tcBorders>
            <w:shd w:val="clear" w:color="auto" w:fill="E6E6E6"/>
            <w:noWrap/>
            <w:vAlign w:val="bottom"/>
            <w:hideMark/>
          </w:tcPr>
          <w:p w14:paraId="3E68B973" w14:textId="0E480A52"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401,210</w:t>
            </w:r>
          </w:p>
        </w:tc>
      </w:tr>
      <w:tr w:rsidR="00061A23" w:rsidRPr="008A4505" w14:paraId="239835E0" w14:textId="77777777" w:rsidTr="00436AC0">
        <w:trPr>
          <w:trHeight w:val="204"/>
        </w:trPr>
        <w:tc>
          <w:tcPr>
            <w:tcW w:w="3333" w:type="pct"/>
            <w:tcBorders>
              <w:top w:val="nil"/>
              <w:left w:val="nil"/>
              <w:bottom w:val="nil"/>
              <w:right w:val="nil"/>
            </w:tcBorders>
            <w:shd w:val="clear" w:color="auto" w:fill="auto"/>
            <w:noWrap/>
            <w:vAlign w:val="bottom"/>
            <w:hideMark/>
          </w:tcPr>
          <w:p w14:paraId="45854F7B"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s74 external revenue </w:t>
            </w:r>
            <w:r w:rsidRPr="008A4505">
              <w:rPr>
                <w:rFonts w:ascii="Arial" w:hAnsi="Arial" w:cs="Arial"/>
                <w:sz w:val="16"/>
                <w:szCs w:val="16"/>
                <w:vertAlign w:val="superscript"/>
              </w:rPr>
              <w:t>(e)</w:t>
            </w:r>
          </w:p>
        </w:tc>
        <w:tc>
          <w:tcPr>
            <w:tcW w:w="884" w:type="pct"/>
            <w:tcBorders>
              <w:top w:val="nil"/>
              <w:left w:val="nil"/>
              <w:bottom w:val="nil"/>
              <w:right w:val="nil"/>
            </w:tcBorders>
            <w:shd w:val="clear" w:color="auto" w:fill="auto"/>
            <w:noWrap/>
            <w:vAlign w:val="bottom"/>
            <w:hideMark/>
          </w:tcPr>
          <w:p w14:paraId="26470A10" w14:textId="7CC0A6D4"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21,934</w:t>
            </w:r>
          </w:p>
        </w:tc>
        <w:tc>
          <w:tcPr>
            <w:tcW w:w="783" w:type="pct"/>
            <w:tcBorders>
              <w:top w:val="nil"/>
              <w:left w:val="nil"/>
              <w:bottom w:val="nil"/>
              <w:right w:val="nil"/>
            </w:tcBorders>
            <w:shd w:val="clear" w:color="auto" w:fill="E6E6E6"/>
            <w:noWrap/>
            <w:vAlign w:val="bottom"/>
            <w:hideMark/>
          </w:tcPr>
          <w:p w14:paraId="0E59BC44" w14:textId="05CD1851"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8,284</w:t>
            </w:r>
          </w:p>
        </w:tc>
      </w:tr>
      <w:tr w:rsidR="00061A23" w:rsidRPr="008A4505" w14:paraId="4F76164C" w14:textId="77777777" w:rsidTr="00436AC0">
        <w:trPr>
          <w:trHeight w:val="204"/>
        </w:trPr>
        <w:tc>
          <w:tcPr>
            <w:tcW w:w="3333" w:type="pct"/>
            <w:tcBorders>
              <w:top w:val="nil"/>
              <w:left w:val="nil"/>
              <w:bottom w:val="nil"/>
              <w:right w:val="nil"/>
            </w:tcBorders>
            <w:shd w:val="clear" w:color="auto" w:fill="auto"/>
            <w:noWrap/>
            <w:vAlign w:val="bottom"/>
            <w:hideMark/>
          </w:tcPr>
          <w:p w14:paraId="21579C8E"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Departmental capital budget </w:t>
            </w:r>
            <w:r w:rsidRPr="008A4505">
              <w:rPr>
                <w:rFonts w:ascii="Arial" w:hAnsi="Arial" w:cs="Arial"/>
                <w:sz w:val="16"/>
                <w:szCs w:val="16"/>
                <w:vertAlign w:val="superscript"/>
              </w:rPr>
              <w:t>(f)</w:t>
            </w:r>
          </w:p>
        </w:tc>
        <w:tc>
          <w:tcPr>
            <w:tcW w:w="884" w:type="pct"/>
            <w:tcBorders>
              <w:top w:val="nil"/>
              <w:left w:val="nil"/>
              <w:bottom w:val="nil"/>
              <w:right w:val="nil"/>
            </w:tcBorders>
            <w:shd w:val="clear" w:color="auto" w:fill="auto"/>
            <w:noWrap/>
            <w:vAlign w:val="bottom"/>
            <w:hideMark/>
          </w:tcPr>
          <w:p w14:paraId="391DC6AF" w14:textId="282A944C"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20,989</w:t>
            </w:r>
          </w:p>
        </w:tc>
        <w:tc>
          <w:tcPr>
            <w:tcW w:w="783" w:type="pct"/>
            <w:tcBorders>
              <w:top w:val="nil"/>
              <w:left w:val="nil"/>
              <w:bottom w:val="nil"/>
              <w:right w:val="nil"/>
            </w:tcBorders>
            <w:shd w:val="clear" w:color="auto" w:fill="E6E6E6"/>
            <w:noWrap/>
            <w:vAlign w:val="bottom"/>
            <w:hideMark/>
          </w:tcPr>
          <w:p w14:paraId="465BEBE9" w14:textId="0487FC48"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12,456</w:t>
            </w:r>
          </w:p>
        </w:tc>
      </w:tr>
      <w:tr w:rsidR="00061A23" w:rsidRPr="00D65AFE" w14:paraId="46FA285E" w14:textId="77777777" w:rsidTr="00436AC0">
        <w:trPr>
          <w:trHeight w:val="204"/>
        </w:trPr>
        <w:tc>
          <w:tcPr>
            <w:tcW w:w="3333" w:type="pct"/>
            <w:tcBorders>
              <w:top w:val="nil"/>
              <w:left w:val="nil"/>
              <w:bottom w:val="nil"/>
              <w:right w:val="nil"/>
            </w:tcBorders>
            <w:shd w:val="clear" w:color="auto" w:fill="auto"/>
            <w:noWrap/>
            <w:vAlign w:val="bottom"/>
            <w:hideMark/>
          </w:tcPr>
          <w:p w14:paraId="0042347C" w14:textId="77777777" w:rsidR="00061A23" w:rsidRPr="00D65AFE" w:rsidRDefault="00061A23" w:rsidP="00061A23">
            <w:pPr>
              <w:spacing w:after="0" w:line="240" w:lineRule="auto"/>
              <w:rPr>
                <w:rFonts w:ascii="Arial" w:hAnsi="Arial" w:cs="Arial"/>
                <w:sz w:val="16"/>
                <w:szCs w:val="16"/>
              </w:rPr>
            </w:pPr>
            <w:r w:rsidRPr="00D65AFE">
              <w:rPr>
                <w:rFonts w:ascii="Arial" w:hAnsi="Arial" w:cs="Arial"/>
                <w:sz w:val="16"/>
                <w:szCs w:val="16"/>
              </w:rPr>
              <w:t>Total departmental annual appropriations</w:t>
            </w:r>
          </w:p>
        </w:tc>
        <w:tc>
          <w:tcPr>
            <w:tcW w:w="884" w:type="pct"/>
            <w:tcBorders>
              <w:top w:val="single" w:sz="4" w:space="0" w:color="auto"/>
              <w:left w:val="nil"/>
              <w:bottom w:val="single" w:sz="4" w:space="0" w:color="auto"/>
              <w:right w:val="nil"/>
            </w:tcBorders>
            <w:shd w:val="clear" w:color="auto" w:fill="auto"/>
            <w:noWrap/>
            <w:vAlign w:val="bottom"/>
            <w:hideMark/>
          </w:tcPr>
          <w:p w14:paraId="06E4287B" w14:textId="6FE6135F"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643,046</w:t>
            </w:r>
          </w:p>
        </w:tc>
        <w:tc>
          <w:tcPr>
            <w:tcW w:w="783" w:type="pct"/>
            <w:tcBorders>
              <w:top w:val="single" w:sz="4" w:space="0" w:color="auto"/>
              <w:left w:val="nil"/>
              <w:bottom w:val="single" w:sz="4" w:space="0" w:color="auto"/>
              <w:right w:val="nil"/>
            </w:tcBorders>
            <w:shd w:val="clear" w:color="auto" w:fill="E6E6E6"/>
            <w:noWrap/>
            <w:vAlign w:val="bottom"/>
            <w:hideMark/>
          </w:tcPr>
          <w:p w14:paraId="79F1A955" w14:textId="68820CB5"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535,742</w:t>
            </w:r>
          </w:p>
        </w:tc>
      </w:tr>
      <w:tr w:rsidR="00115843" w:rsidRPr="008A4505" w14:paraId="5962D70B" w14:textId="77777777" w:rsidTr="00436AC0">
        <w:trPr>
          <w:trHeight w:val="204"/>
        </w:trPr>
        <w:tc>
          <w:tcPr>
            <w:tcW w:w="3333" w:type="pct"/>
            <w:tcBorders>
              <w:top w:val="nil"/>
              <w:left w:val="nil"/>
              <w:bottom w:val="nil"/>
              <w:right w:val="nil"/>
            </w:tcBorders>
            <w:shd w:val="clear" w:color="auto" w:fill="auto"/>
            <w:noWrap/>
            <w:vAlign w:val="bottom"/>
            <w:hideMark/>
          </w:tcPr>
          <w:p w14:paraId="05EB6A81" w14:textId="77777777" w:rsidR="00115843" w:rsidRPr="008A4505" w:rsidRDefault="00115843" w:rsidP="00FB0D02">
            <w:pPr>
              <w:spacing w:after="0" w:line="240" w:lineRule="auto"/>
              <w:rPr>
                <w:rFonts w:ascii="Arial" w:hAnsi="Arial" w:cs="Arial"/>
                <w:sz w:val="16"/>
                <w:szCs w:val="16"/>
              </w:rPr>
            </w:pPr>
            <w:r w:rsidRPr="008A4505">
              <w:rPr>
                <w:rFonts w:ascii="Arial" w:hAnsi="Arial" w:cs="Arial"/>
                <w:sz w:val="16"/>
                <w:szCs w:val="16"/>
              </w:rPr>
              <w:t xml:space="preserve">Special accounts </w:t>
            </w:r>
          </w:p>
        </w:tc>
        <w:tc>
          <w:tcPr>
            <w:tcW w:w="884" w:type="pct"/>
            <w:tcBorders>
              <w:top w:val="nil"/>
              <w:left w:val="nil"/>
              <w:bottom w:val="nil"/>
              <w:right w:val="nil"/>
            </w:tcBorders>
            <w:shd w:val="clear" w:color="auto" w:fill="auto"/>
            <w:noWrap/>
            <w:vAlign w:val="bottom"/>
            <w:hideMark/>
          </w:tcPr>
          <w:p w14:paraId="33618DDD" w14:textId="77777777" w:rsidR="00115843" w:rsidRPr="004D2494" w:rsidRDefault="00115843" w:rsidP="00FA4EF4">
            <w:pPr>
              <w:spacing w:after="0" w:line="240" w:lineRule="auto"/>
              <w:jc w:val="right"/>
              <w:rPr>
                <w:rFonts w:ascii="Arial" w:hAnsi="Arial" w:cs="Arial"/>
                <w:iCs/>
                <w:sz w:val="16"/>
                <w:szCs w:val="16"/>
              </w:rPr>
            </w:pPr>
          </w:p>
        </w:tc>
        <w:tc>
          <w:tcPr>
            <w:tcW w:w="783" w:type="pct"/>
            <w:tcBorders>
              <w:top w:val="nil"/>
              <w:left w:val="nil"/>
              <w:bottom w:val="nil"/>
              <w:right w:val="nil"/>
            </w:tcBorders>
            <w:shd w:val="clear" w:color="auto" w:fill="E6E6E6"/>
            <w:noWrap/>
            <w:vAlign w:val="bottom"/>
            <w:hideMark/>
          </w:tcPr>
          <w:p w14:paraId="408C1733" w14:textId="77777777" w:rsidR="00115843" w:rsidRPr="004D2494" w:rsidRDefault="00115843" w:rsidP="00FA4EF4">
            <w:pPr>
              <w:spacing w:after="0" w:line="240" w:lineRule="auto"/>
              <w:jc w:val="right"/>
              <w:rPr>
                <w:rFonts w:ascii="Arial" w:hAnsi="Arial" w:cs="Arial"/>
                <w:sz w:val="16"/>
                <w:szCs w:val="16"/>
              </w:rPr>
            </w:pPr>
          </w:p>
        </w:tc>
      </w:tr>
      <w:tr w:rsidR="00061A23" w:rsidRPr="008A4505" w14:paraId="3CC28200" w14:textId="77777777" w:rsidTr="00436AC0">
        <w:trPr>
          <w:trHeight w:val="204"/>
        </w:trPr>
        <w:tc>
          <w:tcPr>
            <w:tcW w:w="3333" w:type="pct"/>
            <w:tcBorders>
              <w:top w:val="nil"/>
              <w:left w:val="nil"/>
              <w:bottom w:val="nil"/>
              <w:right w:val="nil"/>
            </w:tcBorders>
            <w:shd w:val="clear" w:color="auto" w:fill="auto"/>
            <w:noWrap/>
            <w:vAlign w:val="bottom"/>
            <w:hideMark/>
          </w:tcPr>
          <w:p w14:paraId="3FE0A0D4"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Opening balance</w:t>
            </w:r>
          </w:p>
        </w:tc>
        <w:tc>
          <w:tcPr>
            <w:tcW w:w="884" w:type="pct"/>
            <w:tcBorders>
              <w:top w:val="nil"/>
              <w:left w:val="nil"/>
              <w:bottom w:val="nil"/>
              <w:right w:val="nil"/>
            </w:tcBorders>
            <w:shd w:val="clear" w:color="auto" w:fill="auto"/>
            <w:noWrap/>
            <w:vAlign w:val="bottom"/>
            <w:hideMark/>
          </w:tcPr>
          <w:p w14:paraId="2786CB12" w14:textId="602E7CDB"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6,591</w:t>
            </w:r>
          </w:p>
        </w:tc>
        <w:tc>
          <w:tcPr>
            <w:tcW w:w="783" w:type="pct"/>
            <w:tcBorders>
              <w:top w:val="nil"/>
              <w:left w:val="nil"/>
              <w:bottom w:val="nil"/>
              <w:right w:val="nil"/>
            </w:tcBorders>
            <w:shd w:val="clear" w:color="auto" w:fill="E6E6E6"/>
            <w:noWrap/>
            <w:vAlign w:val="bottom"/>
            <w:hideMark/>
          </w:tcPr>
          <w:p w14:paraId="79293426" w14:textId="7278B61F"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7,125</w:t>
            </w:r>
          </w:p>
        </w:tc>
      </w:tr>
      <w:tr w:rsidR="00061A23" w:rsidRPr="008A4505" w14:paraId="0D0AF4D0" w14:textId="77777777" w:rsidTr="00436AC0">
        <w:trPr>
          <w:trHeight w:val="204"/>
        </w:trPr>
        <w:tc>
          <w:tcPr>
            <w:tcW w:w="3333" w:type="pct"/>
            <w:tcBorders>
              <w:top w:val="nil"/>
              <w:left w:val="nil"/>
              <w:bottom w:val="nil"/>
              <w:right w:val="nil"/>
            </w:tcBorders>
            <w:shd w:val="clear" w:color="auto" w:fill="auto"/>
            <w:noWrap/>
            <w:vAlign w:val="bottom"/>
            <w:hideMark/>
          </w:tcPr>
          <w:p w14:paraId="0D021EEF"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Appropriation receipts</w:t>
            </w:r>
          </w:p>
        </w:tc>
        <w:tc>
          <w:tcPr>
            <w:tcW w:w="884" w:type="pct"/>
            <w:tcBorders>
              <w:top w:val="nil"/>
              <w:left w:val="nil"/>
              <w:bottom w:val="nil"/>
              <w:right w:val="nil"/>
            </w:tcBorders>
            <w:shd w:val="clear" w:color="auto" w:fill="auto"/>
            <w:noWrap/>
            <w:vAlign w:val="bottom"/>
            <w:hideMark/>
          </w:tcPr>
          <w:p w14:paraId="25695DA4" w14:textId="1BEFB7ED"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4,046</w:t>
            </w:r>
          </w:p>
        </w:tc>
        <w:tc>
          <w:tcPr>
            <w:tcW w:w="783" w:type="pct"/>
            <w:tcBorders>
              <w:top w:val="nil"/>
              <w:left w:val="nil"/>
              <w:bottom w:val="nil"/>
              <w:right w:val="nil"/>
            </w:tcBorders>
            <w:shd w:val="clear" w:color="auto" w:fill="E6E6E6"/>
            <w:noWrap/>
            <w:vAlign w:val="bottom"/>
            <w:hideMark/>
          </w:tcPr>
          <w:p w14:paraId="563A1380" w14:textId="566FD1E4"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4,941</w:t>
            </w:r>
          </w:p>
        </w:tc>
      </w:tr>
      <w:tr w:rsidR="00061A23" w:rsidRPr="008A4505" w14:paraId="4ED0DF67" w14:textId="77777777" w:rsidTr="00436AC0">
        <w:trPr>
          <w:trHeight w:val="204"/>
        </w:trPr>
        <w:tc>
          <w:tcPr>
            <w:tcW w:w="3333" w:type="pct"/>
            <w:tcBorders>
              <w:top w:val="nil"/>
              <w:left w:val="nil"/>
              <w:bottom w:val="nil"/>
              <w:right w:val="nil"/>
            </w:tcBorders>
            <w:shd w:val="clear" w:color="auto" w:fill="auto"/>
            <w:noWrap/>
            <w:vAlign w:val="bottom"/>
            <w:hideMark/>
          </w:tcPr>
          <w:p w14:paraId="785E84D5"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Non-appropriation receipts</w:t>
            </w:r>
          </w:p>
        </w:tc>
        <w:tc>
          <w:tcPr>
            <w:tcW w:w="884" w:type="pct"/>
            <w:tcBorders>
              <w:top w:val="nil"/>
              <w:left w:val="nil"/>
              <w:bottom w:val="nil"/>
              <w:right w:val="nil"/>
            </w:tcBorders>
            <w:shd w:val="clear" w:color="auto" w:fill="auto"/>
            <w:noWrap/>
            <w:vAlign w:val="bottom"/>
            <w:hideMark/>
          </w:tcPr>
          <w:p w14:paraId="5D1AE533" w14:textId="1AD40D05"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5,038</w:t>
            </w:r>
          </w:p>
        </w:tc>
        <w:tc>
          <w:tcPr>
            <w:tcW w:w="783" w:type="pct"/>
            <w:tcBorders>
              <w:top w:val="nil"/>
              <w:left w:val="nil"/>
              <w:bottom w:val="nil"/>
              <w:right w:val="nil"/>
            </w:tcBorders>
            <w:shd w:val="clear" w:color="auto" w:fill="E6E6E6"/>
            <w:noWrap/>
            <w:vAlign w:val="bottom"/>
            <w:hideMark/>
          </w:tcPr>
          <w:p w14:paraId="6BD7BF40" w14:textId="54042F97"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3,829</w:t>
            </w:r>
          </w:p>
        </w:tc>
      </w:tr>
      <w:tr w:rsidR="00061A23" w:rsidRPr="008A4505" w14:paraId="23FE5F9A" w14:textId="77777777" w:rsidTr="00436AC0">
        <w:trPr>
          <w:trHeight w:val="204"/>
        </w:trPr>
        <w:tc>
          <w:tcPr>
            <w:tcW w:w="3333" w:type="pct"/>
            <w:tcBorders>
              <w:top w:val="nil"/>
              <w:left w:val="nil"/>
              <w:bottom w:val="nil"/>
              <w:right w:val="nil"/>
            </w:tcBorders>
            <w:shd w:val="clear" w:color="auto" w:fill="auto"/>
            <w:noWrap/>
            <w:vAlign w:val="bottom"/>
            <w:hideMark/>
          </w:tcPr>
          <w:p w14:paraId="3E1754A6" w14:textId="77777777" w:rsidR="00061A23" w:rsidRPr="008A4505" w:rsidRDefault="00061A23" w:rsidP="00061A23">
            <w:pPr>
              <w:spacing w:after="0" w:line="240" w:lineRule="auto"/>
              <w:rPr>
                <w:rFonts w:ascii="Arial" w:hAnsi="Arial" w:cs="Arial"/>
                <w:sz w:val="16"/>
                <w:szCs w:val="16"/>
              </w:rPr>
            </w:pPr>
            <w:r w:rsidRPr="008A4505">
              <w:rPr>
                <w:rFonts w:ascii="Arial" w:hAnsi="Arial" w:cs="Arial"/>
                <w:sz w:val="16"/>
                <w:szCs w:val="16"/>
              </w:rPr>
              <w:t>Total special accounts</w:t>
            </w:r>
          </w:p>
        </w:tc>
        <w:tc>
          <w:tcPr>
            <w:tcW w:w="884" w:type="pct"/>
            <w:tcBorders>
              <w:top w:val="single" w:sz="4" w:space="0" w:color="auto"/>
              <w:left w:val="nil"/>
              <w:bottom w:val="single" w:sz="4" w:space="0" w:color="auto"/>
              <w:right w:val="nil"/>
            </w:tcBorders>
            <w:shd w:val="clear" w:color="auto" w:fill="auto"/>
            <w:noWrap/>
            <w:vAlign w:val="bottom"/>
            <w:hideMark/>
          </w:tcPr>
          <w:p w14:paraId="2017432B" w14:textId="3FA2853A"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15,675</w:t>
            </w:r>
          </w:p>
        </w:tc>
        <w:tc>
          <w:tcPr>
            <w:tcW w:w="783" w:type="pct"/>
            <w:tcBorders>
              <w:top w:val="single" w:sz="4" w:space="0" w:color="auto"/>
              <w:left w:val="nil"/>
              <w:bottom w:val="single" w:sz="4" w:space="0" w:color="auto"/>
              <w:right w:val="nil"/>
            </w:tcBorders>
            <w:shd w:val="clear" w:color="auto" w:fill="E6E6E6"/>
            <w:noWrap/>
            <w:vAlign w:val="bottom"/>
            <w:hideMark/>
          </w:tcPr>
          <w:p w14:paraId="37787A73" w14:textId="58DDE5F3"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15,895</w:t>
            </w:r>
          </w:p>
        </w:tc>
      </w:tr>
      <w:tr w:rsidR="00061A23" w:rsidRPr="008A4505" w14:paraId="2C4333F3" w14:textId="77777777" w:rsidTr="00436AC0">
        <w:trPr>
          <w:trHeight w:val="204"/>
        </w:trPr>
        <w:tc>
          <w:tcPr>
            <w:tcW w:w="3333" w:type="pct"/>
            <w:tcBorders>
              <w:top w:val="nil"/>
              <w:left w:val="nil"/>
              <w:bottom w:val="nil"/>
              <w:right w:val="nil"/>
            </w:tcBorders>
            <w:shd w:val="clear" w:color="auto" w:fill="auto"/>
            <w:vAlign w:val="bottom"/>
            <w:hideMark/>
          </w:tcPr>
          <w:p w14:paraId="70A657E8" w14:textId="77777777" w:rsidR="00061A23" w:rsidRPr="008A4505" w:rsidRDefault="00061A23" w:rsidP="00061A23">
            <w:pPr>
              <w:spacing w:after="0" w:line="240" w:lineRule="auto"/>
              <w:ind w:left="113"/>
              <w:rPr>
                <w:rFonts w:ascii="Arial" w:hAnsi="Arial" w:cs="Arial"/>
                <w:iCs/>
                <w:sz w:val="16"/>
                <w:szCs w:val="16"/>
              </w:rPr>
            </w:pPr>
            <w:r w:rsidRPr="008A4505">
              <w:rPr>
                <w:rFonts w:ascii="Arial" w:hAnsi="Arial" w:cs="Arial"/>
                <w:iCs/>
                <w:sz w:val="16"/>
                <w:szCs w:val="16"/>
              </w:rPr>
              <w:t>less departmental appropriations drawn from annual/special appropriations and credited to special accounts</w:t>
            </w:r>
          </w:p>
        </w:tc>
        <w:tc>
          <w:tcPr>
            <w:tcW w:w="884" w:type="pct"/>
            <w:tcBorders>
              <w:top w:val="nil"/>
              <w:left w:val="nil"/>
              <w:bottom w:val="single" w:sz="4" w:space="0" w:color="auto"/>
              <w:right w:val="nil"/>
            </w:tcBorders>
            <w:shd w:val="clear" w:color="auto" w:fill="auto"/>
            <w:noWrap/>
            <w:vAlign w:val="bottom"/>
            <w:hideMark/>
          </w:tcPr>
          <w:p w14:paraId="38874BA1" w14:textId="74B300FB" w:rsidR="00061A23" w:rsidRPr="004D2494" w:rsidRDefault="00061A23" w:rsidP="00061A23">
            <w:pPr>
              <w:spacing w:after="0" w:line="240" w:lineRule="auto"/>
              <w:jc w:val="right"/>
              <w:rPr>
                <w:rFonts w:ascii="Arial" w:hAnsi="Arial" w:cs="Arial"/>
                <w:iCs/>
                <w:sz w:val="16"/>
                <w:szCs w:val="16"/>
              </w:rPr>
            </w:pPr>
            <w:r>
              <w:rPr>
                <w:rFonts w:ascii="Arial" w:hAnsi="Arial" w:cs="Arial"/>
                <w:sz w:val="16"/>
                <w:szCs w:val="16"/>
              </w:rPr>
              <w:t>(4,046)</w:t>
            </w:r>
          </w:p>
        </w:tc>
        <w:tc>
          <w:tcPr>
            <w:tcW w:w="783" w:type="pct"/>
            <w:tcBorders>
              <w:top w:val="nil"/>
              <w:left w:val="nil"/>
              <w:bottom w:val="nil"/>
              <w:right w:val="nil"/>
            </w:tcBorders>
            <w:shd w:val="clear" w:color="auto" w:fill="E6E6E6"/>
            <w:noWrap/>
            <w:vAlign w:val="bottom"/>
            <w:hideMark/>
          </w:tcPr>
          <w:p w14:paraId="396D2C24" w14:textId="44669298" w:rsidR="00061A23" w:rsidRPr="004D2494" w:rsidRDefault="00061A23" w:rsidP="00061A23">
            <w:pPr>
              <w:spacing w:after="0" w:line="240" w:lineRule="auto"/>
              <w:jc w:val="right"/>
              <w:rPr>
                <w:rFonts w:ascii="Arial" w:hAnsi="Arial" w:cs="Arial"/>
                <w:sz w:val="16"/>
                <w:szCs w:val="16"/>
              </w:rPr>
            </w:pPr>
            <w:r>
              <w:rPr>
                <w:rFonts w:ascii="Arial" w:hAnsi="Arial" w:cs="Arial"/>
                <w:sz w:val="16"/>
                <w:szCs w:val="16"/>
              </w:rPr>
              <w:t>(4,941)</w:t>
            </w:r>
          </w:p>
        </w:tc>
      </w:tr>
      <w:tr w:rsidR="00061A23" w:rsidRPr="008A4505" w14:paraId="425DB83D" w14:textId="77777777" w:rsidTr="00436AC0">
        <w:trPr>
          <w:trHeight w:val="204"/>
        </w:trPr>
        <w:tc>
          <w:tcPr>
            <w:tcW w:w="3333" w:type="pct"/>
            <w:tcBorders>
              <w:top w:val="nil"/>
              <w:left w:val="nil"/>
              <w:bottom w:val="single" w:sz="4" w:space="0" w:color="auto"/>
              <w:right w:val="nil"/>
            </w:tcBorders>
            <w:shd w:val="clear" w:color="auto" w:fill="auto"/>
            <w:noWrap/>
            <w:vAlign w:val="bottom"/>
            <w:hideMark/>
          </w:tcPr>
          <w:p w14:paraId="292CC712" w14:textId="77777777" w:rsidR="00061A23" w:rsidRPr="008A4505" w:rsidRDefault="00061A23" w:rsidP="00061A23">
            <w:pPr>
              <w:spacing w:after="0" w:line="240" w:lineRule="auto"/>
              <w:rPr>
                <w:rFonts w:ascii="Arial" w:hAnsi="Arial" w:cs="Arial"/>
                <w:b/>
                <w:bCs/>
                <w:sz w:val="16"/>
                <w:szCs w:val="16"/>
              </w:rPr>
            </w:pPr>
            <w:r w:rsidRPr="008A4505">
              <w:rPr>
                <w:rFonts w:ascii="Arial" w:hAnsi="Arial" w:cs="Arial"/>
                <w:b/>
                <w:bCs/>
                <w:sz w:val="16"/>
                <w:szCs w:val="16"/>
              </w:rPr>
              <w:t>Total departmental resourcing</w:t>
            </w:r>
          </w:p>
        </w:tc>
        <w:tc>
          <w:tcPr>
            <w:tcW w:w="884" w:type="pct"/>
            <w:tcBorders>
              <w:top w:val="nil"/>
              <w:left w:val="nil"/>
              <w:bottom w:val="single" w:sz="4" w:space="0" w:color="auto"/>
              <w:right w:val="nil"/>
            </w:tcBorders>
            <w:shd w:val="clear" w:color="auto" w:fill="auto"/>
            <w:noWrap/>
            <w:vAlign w:val="bottom"/>
            <w:hideMark/>
          </w:tcPr>
          <w:p w14:paraId="35DDD68E" w14:textId="53CB79FC" w:rsidR="00061A23" w:rsidRPr="004D2494" w:rsidRDefault="00061A23" w:rsidP="00061A23">
            <w:pPr>
              <w:spacing w:after="0" w:line="240" w:lineRule="auto"/>
              <w:jc w:val="right"/>
              <w:rPr>
                <w:rFonts w:ascii="Arial" w:hAnsi="Arial" w:cs="Arial"/>
                <w:b/>
                <w:bCs/>
                <w:sz w:val="16"/>
                <w:szCs w:val="16"/>
              </w:rPr>
            </w:pPr>
            <w:r>
              <w:rPr>
                <w:rFonts w:ascii="Arial" w:hAnsi="Arial" w:cs="Arial"/>
                <w:b/>
                <w:bCs/>
                <w:sz w:val="16"/>
                <w:szCs w:val="16"/>
              </w:rPr>
              <w:t>654,675</w:t>
            </w:r>
          </w:p>
        </w:tc>
        <w:tc>
          <w:tcPr>
            <w:tcW w:w="783" w:type="pct"/>
            <w:tcBorders>
              <w:top w:val="single" w:sz="4" w:space="0" w:color="auto"/>
              <w:left w:val="nil"/>
              <w:bottom w:val="single" w:sz="4" w:space="0" w:color="auto"/>
              <w:right w:val="nil"/>
            </w:tcBorders>
            <w:shd w:val="clear" w:color="auto" w:fill="E6E6E6"/>
            <w:noWrap/>
            <w:vAlign w:val="bottom"/>
            <w:hideMark/>
          </w:tcPr>
          <w:p w14:paraId="1A7CD756" w14:textId="4013A92A" w:rsidR="00061A23" w:rsidRPr="004D2494" w:rsidRDefault="00061A23" w:rsidP="00061A23">
            <w:pPr>
              <w:spacing w:after="0" w:line="240" w:lineRule="auto"/>
              <w:jc w:val="right"/>
              <w:rPr>
                <w:rFonts w:ascii="Arial" w:hAnsi="Arial" w:cs="Arial"/>
                <w:b/>
                <w:bCs/>
                <w:sz w:val="16"/>
                <w:szCs w:val="16"/>
              </w:rPr>
            </w:pPr>
            <w:r>
              <w:rPr>
                <w:rFonts w:ascii="Arial" w:hAnsi="Arial" w:cs="Arial"/>
                <w:b/>
                <w:bCs/>
                <w:sz w:val="16"/>
                <w:szCs w:val="16"/>
              </w:rPr>
              <w:t>546,696</w:t>
            </w:r>
          </w:p>
        </w:tc>
      </w:tr>
    </w:tbl>
    <w:p w14:paraId="2071C644" w14:textId="77777777" w:rsidR="00115843" w:rsidRDefault="00115843" w:rsidP="00115843">
      <w:r>
        <w:br w:type="page"/>
      </w:r>
    </w:p>
    <w:p w14:paraId="47CFEAD5" w14:textId="77777777" w:rsidR="00115843" w:rsidRPr="00FE1091" w:rsidRDefault="00115843" w:rsidP="00115843">
      <w:pPr>
        <w:pStyle w:val="TableHeading"/>
        <w:rPr>
          <w:b w:val="0"/>
        </w:rPr>
      </w:pPr>
      <w:r w:rsidRPr="00D44150">
        <w:lastRenderedPageBreak/>
        <w:t xml:space="preserve">Table 1.1: </w:t>
      </w:r>
      <w:r>
        <w:t>Department of Infrastructure, Transport, Regional Development, Communications and the Arts</w:t>
      </w:r>
      <w:r w:rsidRPr="00D44150">
        <w:t xml:space="preserve"> resource statement</w:t>
      </w:r>
      <w:r>
        <w:t xml:space="preserve"> — Budget estimates for 2022</w:t>
      </w:r>
      <w:r>
        <w:noBreakHyphen/>
        <w:t xml:space="preserve">23 </w:t>
      </w:r>
      <w:r w:rsidRPr="00D44150">
        <w:t xml:space="preserve">as at </w:t>
      </w:r>
      <w:r>
        <w:t>October</w:t>
      </w:r>
      <w:r w:rsidRPr="00D44150">
        <w:t xml:space="preserve"> Budget </w:t>
      </w:r>
      <w:r>
        <w:t>2022 (continued)</w:t>
      </w:r>
    </w:p>
    <w:tbl>
      <w:tblPr>
        <w:tblW w:w="5000" w:type="pct"/>
        <w:tblLook w:val="04A0" w:firstRow="1" w:lastRow="0" w:firstColumn="1" w:lastColumn="0" w:noHBand="0" w:noVBand="1"/>
      </w:tblPr>
      <w:tblGrid>
        <w:gridCol w:w="5140"/>
        <w:gridCol w:w="1363"/>
        <w:gridCol w:w="1207"/>
      </w:tblGrid>
      <w:tr w:rsidR="00EB12A6" w:rsidRPr="008A4505" w14:paraId="61A5481F" w14:textId="77777777" w:rsidTr="00436AC0">
        <w:trPr>
          <w:trHeight w:val="204"/>
        </w:trPr>
        <w:tc>
          <w:tcPr>
            <w:tcW w:w="3333" w:type="pct"/>
            <w:tcBorders>
              <w:top w:val="single" w:sz="4" w:space="0" w:color="auto"/>
              <w:left w:val="nil"/>
              <w:bottom w:val="nil"/>
              <w:right w:val="nil"/>
            </w:tcBorders>
            <w:shd w:val="clear" w:color="auto" w:fill="auto"/>
            <w:noWrap/>
            <w:vAlign w:val="bottom"/>
            <w:hideMark/>
          </w:tcPr>
          <w:p w14:paraId="1C9BD505" w14:textId="77777777" w:rsidR="00EB12A6" w:rsidRPr="008A4505" w:rsidRDefault="00EB12A6" w:rsidP="00C70DB0">
            <w:pPr>
              <w:spacing w:after="0" w:line="240" w:lineRule="auto"/>
              <w:jc w:val="right"/>
              <w:rPr>
                <w:rFonts w:ascii="Arial" w:hAnsi="Arial" w:cs="Arial"/>
                <w:sz w:val="16"/>
                <w:szCs w:val="16"/>
              </w:rPr>
            </w:pPr>
          </w:p>
        </w:tc>
        <w:tc>
          <w:tcPr>
            <w:tcW w:w="884" w:type="pct"/>
            <w:tcBorders>
              <w:top w:val="single" w:sz="4" w:space="0" w:color="auto"/>
              <w:left w:val="nil"/>
              <w:bottom w:val="single" w:sz="4" w:space="0" w:color="auto"/>
              <w:right w:val="nil"/>
            </w:tcBorders>
            <w:shd w:val="clear" w:color="000000" w:fill="FFFFFF"/>
            <w:vAlign w:val="bottom"/>
            <w:hideMark/>
          </w:tcPr>
          <w:p w14:paraId="2147DA37" w14:textId="77777777" w:rsidR="00EB12A6" w:rsidRPr="008A4505" w:rsidRDefault="00EB12A6" w:rsidP="00C70DB0">
            <w:pPr>
              <w:spacing w:after="0" w:line="240" w:lineRule="auto"/>
              <w:jc w:val="right"/>
              <w:rPr>
                <w:rFonts w:ascii="Arial" w:hAnsi="Arial" w:cs="Arial"/>
                <w:iCs/>
                <w:color w:val="000000"/>
                <w:sz w:val="16"/>
                <w:szCs w:val="16"/>
              </w:rPr>
            </w:pPr>
            <w:r w:rsidRPr="008A4505">
              <w:rPr>
                <w:rFonts w:ascii="Arial" w:hAnsi="Arial" w:cs="Arial"/>
                <w:iCs/>
                <w:color w:val="000000"/>
                <w:sz w:val="16"/>
                <w:szCs w:val="16"/>
              </w:rPr>
              <w:t>2021-22 Estimated actual</w:t>
            </w:r>
            <w:r w:rsidRPr="008A4505">
              <w:rPr>
                <w:rFonts w:ascii="Arial" w:hAnsi="Arial" w:cs="Arial"/>
                <w:iCs/>
                <w:color w:val="000000"/>
                <w:sz w:val="16"/>
                <w:szCs w:val="16"/>
              </w:rPr>
              <w:br/>
              <w:t>$'000</w:t>
            </w:r>
          </w:p>
        </w:tc>
        <w:tc>
          <w:tcPr>
            <w:tcW w:w="783" w:type="pct"/>
            <w:tcBorders>
              <w:top w:val="single" w:sz="4" w:space="0" w:color="auto"/>
              <w:left w:val="nil"/>
              <w:bottom w:val="single" w:sz="4" w:space="0" w:color="auto"/>
              <w:right w:val="nil"/>
            </w:tcBorders>
            <w:shd w:val="clear" w:color="auto" w:fill="E6E6E6"/>
            <w:vAlign w:val="bottom"/>
            <w:hideMark/>
          </w:tcPr>
          <w:p w14:paraId="5C8B28B3" w14:textId="77777777" w:rsidR="00EB12A6" w:rsidRPr="008A4505" w:rsidRDefault="00EB12A6" w:rsidP="00C70DB0">
            <w:pPr>
              <w:spacing w:after="0" w:line="240" w:lineRule="auto"/>
              <w:jc w:val="right"/>
              <w:rPr>
                <w:rFonts w:ascii="Arial" w:hAnsi="Arial" w:cs="Arial"/>
                <w:color w:val="000000"/>
                <w:sz w:val="16"/>
                <w:szCs w:val="16"/>
              </w:rPr>
            </w:pPr>
            <w:r w:rsidRPr="008A4505">
              <w:rPr>
                <w:rFonts w:ascii="Arial" w:hAnsi="Arial" w:cs="Arial"/>
                <w:color w:val="000000"/>
                <w:sz w:val="16"/>
                <w:szCs w:val="16"/>
              </w:rPr>
              <w:t>2022-23</w:t>
            </w:r>
            <w:r w:rsidRPr="008A4505">
              <w:rPr>
                <w:rFonts w:ascii="Arial" w:hAnsi="Arial" w:cs="Arial"/>
                <w:color w:val="000000"/>
                <w:sz w:val="16"/>
                <w:szCs w:val="16"/>
                <w:vertAlign w:val="superscript"/>
              </w:rPr>
              <w:t>(a)</w:t>
            </w:r>
            <w:r w:rsidRPr="008A4505">
              <w:rPr>
                <w:rFonts w:ascii="Arial" w:hAnsi="Arial" w:cs="Arial"/>
                <w:color w:val="000000"/>
                <w:sz w:val="16"/>
                <w:szCs w:val="16"/>
              </w:rPr>
              <w:t xml:space="preserve"> Estimate</w:t>
            </w:r>
            <w:r w:rsidRPr="008A4505">
              <w:rPr>
                <w:rFonts w:ascii="Arial" w:hAnsi="Arial" w:cs="Arial"/>
                <w:color w:val="000000"/>
                <w:sz w:val="16"/>
                <w:szCs w:val="16"/>
              </w:rPr>
              <w:br/>
            </w:r>
            <w:r w:rsidRPr="008A4505">
              <w:rPr>
                <w:rFonts w:ascii="Arial" w:hAnsi="Arial" w:cs="Arial"/>
                <w:color w:val="000000"/>
                <w:sz w:val="16"/>
                <w:szCs w:val="16"/>
              </w:rPr>
              <w:br/>
              <w:t>$'000</w:t>
            </w:r>
          </w:p>
        </w:tc>
      </w:tr>
      <w:tr w:rsidR="00115843" w:rsidRPr="008A4505" w14:paraId="100430A8" w14:textId="77777777" w:rsidTr="00436AC0">
        <w:trPr>
          <w:trHeight w:hRule="exact" w:val="204"/>
        </w:trPr>
        <w:tc>
          <w:tcPr>
            <w:tcW w:w="3333" w:type="pct"/>
            <w:tcBorders>
              <w:left w:val="nil"/>
              <w:bottom w:val="nil"/>
              <w:right w:val="nil"/>
            </w:tcBorders>
            <w:shd w:val="clear" w:color="auto" w:fill="auto"/>
            <w:noWrap/>
            <w:vAlign w:val="bottom"/>
            <w:hideMark/>
          </w:tcPr>
          <w:p w14:paraId="0E70B5D7" w14:textId="77777777" w:rsidR="00115843" w:rsidRPr="008A4505" w:rsidRDefault="00115843" w:rsidP="00FB0D02">
            <w:pPr>
              <w:spacing w:after="0" w:line="240" w:lineRule="auto"/>
              <w:rPr>
                <w:rFonts w:ascii="Arial" w:hAnsi="Arial" w:cs="Arial"/>
                <w:b/>
                <w:bCs/>
                <w:sz w:val="16"/>
                <w:szCs w:val="16"/>
              </w:rPr>
            </w:pPr>
            <w:r w:rsidRPr="008A4505">
              <w:rPr>
                <w:rFonts w:ascii="Arial" w:hAnsi="Arial" w:cs="Arial"/>
                <w:b/>
                <w:bCs/>
                <w:sz w:val="16"/>
                <w:szCs w:val="16"/>
              </w:rPr>
              <w:t>Administered</w:t>
            </w:r>
          </w:p>
        </w:tc>
        <w:tc>
          <w:tcPr>
            <w:tcW w:w="884" w:type="pct"/>
            <w:tcBorders>
              <w:top w:val="single" w:sz="4" w:space="0" w:color="auto"/>
              <w:left w:val="nil"/>
              <w:bottom w:val="nil"/>
              <w:right w:val="nil"/>
            </w:tcBorders>
            <w:shd w:val="clear" w:color="auto" w:fill="auto"/>
            <w:noWrap/>
            <w:vAlign w:val="bottom"/>
            <w:hideMark/>
          </w:tcPr>
          <w:p w14:paraId="14FC9F06" w14:textId="77777777" w:rsidR="00115843" w:rsidRPr="008A4505" w:rsidRDefault="00115843" w:rsidP="00FB0D02">
            <w:pPr>
              <w:spacing w:after="0" w:line="240" w:lineRule="auto"/>
              <w:jc w:val="right"/>
              <w:rPr>
                <w:rFonts w:ascii="Arial" w:hAnsi="Arial" w:cs="Arial"/>
                <w:b/>
                <w:bCs/>
                <w:sz w:val="16"/>
                <w:szCs w:val="16"/>
              </w:rPr>
            </w:pPr>
          </w:p>
        </w:tc>
        <w:tc>
          <w:tcPr>
            <w:tcW w:w="783" w:type="pct"/>
            <w:tcBorders>
              <w:top w:val="single" w:sz="4" w:space="0" w:color="auto"/>
              <w:left w:val="nil"/>
              <w:bottom w:val="nil"/>
              <w:right w:val="nil"/>
            </w:tcBorders>
            <w:shd w:val="clear" w:color="auto" w:fill="E6E6E6"/>
            <w:noWrap/>
            <w:vAlign w:val="bottom"/>
            <w:hideMark/>
          </w:tcPr>
          <w:p w14:paraId="3A6D5936" w14:textId="77777777" w:rsidR="00115843" w:rsidRPr="008A4505" w:rsidRDefault="00115843" w:rsidP="00FB0D02">
            <w:pPr>
              <w:spacing w:after="0" w:line="240" w:lineRule="auto"/>
              <w:jc w:val="right"/>
              <w:rPr>
                <w:rFonts w:ascii="Arial" w:hAnsi="Arial" w:cs="Arial"/>
                <w:sz w:val="16"/>
                <w:szCs w:val="16"/>
              </w:rPr>
            </w:pPr>
          </w:p>
        </w:tc>
      </w:tr>
      <w:tr w:rsidR="00115843" w:rsidRPr="008A4505" w14:paraId="647616D6" w14:textId="77777777" w:rsidTr="00436AC0">
        <w:trPr>
          <w:trHeight w:hRule="exact" w:val="204"/>
        </w:trPr>
        <w:tc>
          <w:tcPr>
            <w:tcW w:w="3333" w:type="pct"/>
            <w:tcBorders>
              <w:top w:val="nil"/>
              <w:left w:val="nil"/>
              <w:bottom w:val="nil"/>
              <w:right w:val="nil"/>
            </w:tcBorders>
            <w:shd w:val="clear" w:color="auto" w:fill="auto"/>
            <w:noWrap/>
            <w:vAlign w:val="bottom"/>
            <w:hideMark/>
          </w:tcPr>
          <w:p w14:paraId="0BCB4DD0" w14:textId="77777777" w:rsidR="00115843" w:rsidRPr="008A4505" w:rsidRDefault="00115843" w:rsidP="00FB0D02">
            <w:pPr>
              <w:spacing w:after="0" w:line="240" w:lineRule="auto"/>
              <w:rPr>
                <w:rFonts w:ascii="Arial" w:hAnsi="Arial" w:cs="Arial"/>
                <w:sz w:val="16"/>
                <w:szCs w:val="16"/>
              </w:rPr>
            </w:pPr>
            <w:r w:rsidRPr="008A4505">
              <w:rPr>
                <w:rFonts w:ascii="Arial" w:hAnsi="Arial" w:cs="Arial"/>
                <w:sz w:val="16"/>
                <w:szCs w:val="16"/>
              </w:rPr>
              <w:t xml:space="preserve">Annual appropriations - ordinary annual services </w:t>
            </w:r>
            <w:r w:rsidRPr="008A4505">
              <w:rPr>
                <w:rFonts w:ascii="Arial" w:hAnsi="Arial" w:cs="Arial"/>
                <w:sz w:val="16"/>
                <w:szCs w:val="16"/>
                <w:vertAlign w:val="superscript"/>
              </w:rPr>
              <w:t>(b)</w:t>
            </w:r>
          </w:p>
        </w:tc>
        <w:tc>
          <w:tcPr>
            <w:tcW w:w="884" w:type="pct"/>
            <w:tcBorders>
              <w:top w:val="nil"/>
              <w:left w:val="nil"/>
              <w:bottom w:val="nil"/>
              <w:right w:val="nil"/>
            </w:tcBorders>
            <w:shd w:val="clear" w:color="auto" w:fill="auto"/>
            <w:noWrap/>
            <w:vAlign w:val="bottom"/>
            <w:hideMark/>
          </w:tcPr>
          <w:p w14:paraId="1174E18F" w14:textId="77777777" w:rsidR="00115843" w:rsidRPr="008A4505" w:rsidRDefault="00115843" w:rsidP="00FB0D02">
            <w:pPr>
              <w:spacing w:after="0" w:line="240" w:lineRule="auto"/>
              <w:jc w:val="right"/>
              <w:rPr>
                <w:rFonts w:ascii="Arial" w:hAnsi="Arial" w:cs="Arial"/>
                <w:sz w:val="16"/>
                <w:szCs w:val="16"/>
              </w:rPr>
            </w:pPr>
          </w:p>
        </w:tc>
        <w:tc>
          <w:tcPr>
            <w:tcW w:w="783" w:type="pct"/>
            <w:tcBorders>
              <w:top w:val="nil"/>
              <w:left w:val="nil"/>
              <w:bottom w:val="nil"/>
              <w:right w:val="nil"/>
            </w:tcBorders>
            <w:shd w:val="clear" w:color="auto" w:fill="E6E6E6"/>
            <w:noWrap/>
            <w:vAlign w:val="bottom"/>
            <w:hideMark/>
          </w:tcPr>
          <w:p w14:paraId="4BFDD8E1" w14:textId="77777777" w:rsidR="00115843" w:rsidRPr="008A4505" w:rsidRDefault="00115843" w:rsidP="00FB0D02">
            <w:pPr>
              <w:spacing w:after="0" w:line="240" w:lineRule="auto"/>
              <w:jc w:val="right"/>
              <w:rPr>
                <w:rFonts w:ascii="Arial" w:hAnsi="Arial" w:cs="Arial"/>
                <w:sz w:val="16"/>
                <w:szCs w:val="16"/>
              </w:rPr>
            </w:pPr>
          </w:p>
        </w:tc>
      </w:tr>
      <w:tr w:rsidR="00061A23" w:rsidRPr="008A4505" w14:paraId="144194D7" w14:textId="77777777" w:rsidTr="00436AC0">
        <w:trPr>
          <w:trHeight w:hRule="exact" w:val="204"/>
        </w:trPr>
        <w:tc>
          <w:tcPr>
            <w:tcW w:w="3333" w:type="pct"/>
            <w:tcBorders>
              <w:top w:val="nil"/>
              <w:left w:val="nil"/>
              <w:bottom w:val="nil"/>
              <w:right w:val="nil"/>
            </w:tcBorders>
            <w:shd w:val="clear" w:color="auto" w:fill="auto"/>
            <w:noWrap/>
            <w:vAlign w:val="bottom"/>
            <w:hideMark/>
          </w:tcPr>
          <w:p w14:paraId="21570D8D" w14:textId="2731C81D"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Prior year appropriations available </w:t>
            </w:r>
            <w:r w:rsidRPr="008A4505">
              <w:rPr>
                <w:rFonts w:ascii="Arial" w:hAnsi="Arial" w:cs="Arial"/>
                <w:sz w:val="16"/>
                <w:szCs w:val="16"/>
                <w:vertAlign w:val="superscript"/>
              </w:rPr>
              <w:t>(</w:t>
            </w:r>
            <w:r>
              <w:rPr>
                <w:rFonts w:ascii="Arial" w:hAnsi="Arial" w:cs="Arial"/>
                <w:sz w:val="16"/>
                <w:szCs w:val="16"/>
                <w:vertAlign w:val="superscript"/>
              </w:rPr>
              <w:t>c</w:t>
            </w:r>
            <w:r w:rsidRPr="008A4505">
              <w:rPr>
                <w:rFonts w:ascii="Arial" w:hAnsi="Arial" w:cs="Arial"/>
                <w:sz w:val="16"/>
                <w:szCs w:val="16"/>
                <w:vertAlign w:val="superscript"/>
              </w:rPr>
              <w:t>)</w:t>
            </w:r>
          </w:p>
        </w:tc>
        <w:tc>
          <w:tcPr>
            <w:tcW w:w="884" w:type="pct"/>
            <w:tcBorders>
              <w:top w:val="nil"/>
              <w:left w:val="nil"/>
              <w:bottom w:val="nil"/>
              <w:right w:val="nil"/>
            </w:tcBorders>
            <w:shd w:val="clear" w:color="auto" w:fill="auto"/>
            <w:noWrap/>
            <w:vAlign w:val="bottom"/>
            <w:hideMark/>
          </w:tcPr>
          <w:p w14:paraId="23AF8CBA" w14:textId="0B1749AB"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2,341,226</w:t>
            </w:r>
          </w:p>
        </w:tc>
        <w:tc>
          <w:tcPr>
            <w:tcW w:w="783" w:type="pct"/>
            <w:tcBorders>
              <w:top w:val="nil"/>
              <w:left w:val="nil"/>
              <w:bottom w:val="nil"/>
              <w:right w:val="nil"/>
            </w:tcBorders>
            <w:shd w:val="clear" w:color="auto" w:fill="E6E6E6"/>
            <w:noWrap/>
            <w:vAlign w:val="bottom"/>
            <w:hideMark/>
          </w:tcPr>
          <w:p w14:paraId="20B67F62" w14:textId="1771D6F4"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2,073,563</w:t>
            </w:r>
          </w:p>
        </w:tc>
      </w:tr>
      <w:tr w:rsidR="00061A23" w:rsidRPr="008A4505" w14:paraId="4D0A8CB8" w14:textId="77777777" w:rsidTr="00436AC0">
        <w:trPr>
          <w:trHeight w:hRule="exact" w:val="204"/>
        </w:trPr>
        <w:tc>
          <w:tcPr>
            <w:tcW w:w="3333" w:type="pct"/>
            <w:tcBorders>
              <w:top w:val="nil"/>
              <w:left w:val="nil"/>
              <w:bottom w:val="nil"/>
              <w:right w:val="nil"/>
            </w:tcBorders>
            <w:shd w:val="clear" w:color="auto" w:fill="auto"/>
            <w:noWrap/>
            <w:vAlign w:val="bottom"/>
            <w:hideMark/>
          </w:tcPr>
          <w:p w14:paraId="32F7C576"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1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665F1309" w14:textId="054FFA1A"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346,788</w:t>
            </w:r>
          </w:p>
        </w:tc>
        <w:tc>
          <w:tcPr>
            <w:tcW w:w="783" w:type="pct"/>
            <w:tcBorders>
              <w:top w:val="nil"/>
              <w:left w:val="nil"/>
              <w:bottom w:val="nil"/>
              <w:right w:val="nil"/>
            </w:tcBorders>
            <w:shd w:val="clear" w:color="auto" w:fill="E6E6E6"/>
            <w:noWrap/>
            <w:vAlign w:val="bottom"/>
            <w:hideMark/>
          </w:tcPr>
          <w:p w14:paraId="686A31EF" w14:textId="683A7868"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225,435</w:t>
            </w:r>
          </w:p>
        </w:tc>
      </w:tr>
      <w:tr w:rsidR="00061A23" w:rsidRPr="008A4505" w14:paraId="3CD1CD2D" w14:textId="77777777" w:rsidTr="00436AC0">
        <w:trPr>
          <w:trHeight w:hRule="exact" w:val="204"/>
        </w:trPr>
        <w:tc>
          <w:tcPr>
            <w:tcW w:w="3333" w:type="pct"/>
            <w:tcBorders>
              <w:top w:val="nil"/>
              <w:left w:val="nil"/>
              <w:bottom w:val="nil"/>
              <w:right w:val="nil"/>
            </w:tcBorders>
            <w:shd w:val="clear" w:color="auto" w:fill="auto"/>
            <w:noWrap/>
            <w:vAlign w:val="bottom"/>
            <w:hideMark/>
          </w:tcPr>
          <w:p w14:paraId="28C54217"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2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32853EA1" w14:textId="262A1A21"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1,104,484</w:t>
            </w:r>
          </w:p>
        </w:tc>
        <w:tc>
          <w:tcPr>
            <w:tcW w:w="783" w:type="pct"/>
            <w:tcBorders>
              <w:top w:val="nil"/>
              <w:left w:val="nil"/>
              <w:bottom w:val="nil"/>
              <w:right w:val="nil"/>
            </w:tcBorders>
            <w:shd w:val="clear" w:color="auto" w:fill="E6E6E6"/>
            <w:noWrap/>
            <w:vAlign w:val="bottom"/>
            <w:hideMark/>
          </w:tcPr>
          <w:p w14:paraId="3CC06AE6" w14:textId="3839307E"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336,927</w:t>
            </w:r>
          </w:p>
        </w:tc>
      </w:tr>
      <w:tr w:rsidR="00061A23" w:rsidRPr="008A4505" w14:paraId="24A9B39B" w14:textId="77777777" w:rsidTr="00436AC0">
        <w:trPr>
          <w:trHeight w:hRule="exact" w:val="204"/>
        </w:trPr>
        <w:tc>
          <w:tcPr>
            <w:tcW w:w="3333" w:type="pct"/>
            <w:tcBorders>
              <w:top w:val="nil"/>
              <w:left w:val="nil"/>
              <w:bottom w:val="nil"/>
              <w:right w:val="nil"/>
            </w:tcBorders>
            <w:shd w:val="clear" w:color="auto" w:fill="auto"/>
            <w:noWrap/>
            <w:vAlign w:val="bottom"/>
            <w:hideMark/>
          </w:tcPr>
          <w:p w14:paraId="57B90619"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3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702BC33F" w14:textId="050616B6"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637,924</w:t>
            </w:r>
          </w:p>
        </w:tc>
        <w:tc>
          <w:tcPr>
            <w:tcW w:w="783" w:type="pct"/>
            <w:tcBorders>
              <w:top w:val="nil"/>
              <w:left w:val="nil"/>
              <w:bottom w:val="nil"/>
              <w:right w:val="nil"/>
            </w:tcBorders>
            <w:shd w:val="clear" w:color="auto" w:fill="E6E6E6"/>
            <w:noWrap/>
            <w:vAlign w:val="bottom"/>
            <w:hideMark/>
          </w:tcPr>
          <w:p w14:paraId="59EE43BE" w14:textId="55A1FBCA"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784,112</w:t>
            </w:r>
          </w:p>
        </w:tc>
      </w:tr>
      <w:tr w:rsidR="00061A23" w:rsidRPr="008A4505" w14:paraId="11FD453F" w14:textId="77777777" w:rsidTr="00436AC0">
        <w:trPr>
          <w:trHeight w:hRule="exact" w:val="204"/>
        </w:trPr>
        <w:tc>
          <w:tcPr>
            <w:tcW w:w="3333" w:type="pct"/>
            <w:tcBorders>
              <w:top w:val="nil"/>
              <w:left w:val="nil"/>
              <w:bottom w:val="nil"/>
              <w:right w:val="nil"/>
            </w:tcBorders>
            <w:shd w:val="clear" w:color="auto" w:fill="auto"/>
            <w:noWrap/>
            <w:vAlign w:val="bottom"/>
            <w:hideMark/>
          </w:tcPr>
          <w:p w14:paraId="1D5C0426"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4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6E17DA2D" w14:textId="42454CA6"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175,709</w:t>
            </w:r>
          </w:p>
        </w:tc>
        <w:tc>
          <w:tcPr>
            <w:tcW w:w="783" w:type="pct"/>
            <w:tcBorders>
              <w:top w:val="nil"/>
              <w:left w:val="nil"/>
              <w:bottom w:val="nil"/>
              <w:right w:val="nil"/>
            </w:tcBorders>
            <w:shd w:val="clear" w:color="auto" w:fill="E6E6E6"/>
            <w:noWrap/>
            <w:vAlign w:val="bottom"/>
            <w:hideMark/>
          </w:tcPr>
          <w:p w14:paraId="2419EF47" w14:textId="779A5517"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245,704</w:t>
            </w:r>
          </w:p>
        </w:tc>
      </w:tr>
      <w:tr w:rsidR="00061A23" w:rsidRPr="008A4505" w14:paraId="615470DE" w14:textId="77777777" w:rsidTr="00436AC0">
        <w:trPr>
          <w:trHeight w:hRule="exact" w:val="204"/>
        </w:trPr>
        <w:tc>
          <w:tcPr>
            <w:tcW w:w="3333" w:type="pct"/>
            <w:tcBorders>
              <w:top w:val="nil"/>
              <w:left w:val="nil"/>
              <w:bottom w:val="nil"/>
              <w:right w:val="nil"/>
            </w:tcBorders>
            <w:shd w:val="clear" w:color="auto" w:fill="auto"/>
            <w:noWrap/>
            <w:vAlign w:val="bottom"/>
            <w:hideMark/>
          </w:tcPr>
          <w:p w14:paraId="3C563C2E"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5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534F96B0" w14:textId="76BF5CEC"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309,369</w:t>
            </w:r>
          </w:p>
        </w:tc>
        <w:tc>
          <w:tcPr>
            <w:tcW w:w="783" w:type="pct"/>
            <w:tcBorders>
              <w:top w:val="nil"/>
              <w:left w:val="nil"/>
              <w:bottom w:val="nil"/>
              <w:right w:val="nil"/>
            </w:tcBorders>
            <w:shd w:val="clear" w:color="auto" w:fill="E6E6E6"/>
            <w:noWrap/>
            <w:vAlign w:val="bottom"/>
            <w:hideMark/>
          </w:tcPr>
          <w:p w14:paraId="2F54BFF2" w14:textId="265CB675"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310,322</w:t>
            </w:r>
          </w:p>
        </w:tc>
      </w:tr>
      <w:tr w:rsidR="00061A23" w:rsidRPr="008A4505" w14:paraId="298F98E9" w14:textId="77777777" w:rsidTr="00436AC0">
        <w:trPr>
          <w:trHeight w:hRule="exact" w:val="204"/>
        </w:trPr>
        <w:tc>
          <w:tcPr>
            <w:tcW w:w="3333" w:type="pct"/>
            <w:tcBorders>
              <w:top w:val="nil"/>
              <w:left w:val="nil"/>
              <w:bottom w:val="nil"/>
              <w:right w:val="nil"/>
            </w:tcBorders>
            <w:shd w:val="clear" w:color="auto" w:fill="auto"/>
            <w:noWrap/>
            <w:vAlign w:val="bottom"/>
            <w:hideMark/>
          </w:tcPr>
          <w:p w14:paraId="7F7AD933"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6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26EB7097" w14:textId="4DD06F8F"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430,263</w:t>
            </w:r>
          </w:p>
        </w:tc>
        <w:tc>
          <w:tcPr>
            <w:tcW w:w="783" w:type="pct"/>
            <w:tcBorders>
              <w:top w:val="nil"/>
              <w:left w:val="nil"/>
              <w:bottom w:val="nil"/>
              <w:right w:val="nil"/>
            </w:tcBorders>
            <w:shd w:val="clear" w:color="auto" w:fill="E6E6E6"/>
            <w:noWrap/>
            <w:vAlign w:val="bottom"/>
            <w:hideMark/>
          </w:tcPr>
          <w:p w14:paraId="314B1C76" w14:textId="50549E9C"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294,977</w:t>
            </w:r>
          </w:p>
        </w:tc>
      </w:tr>
      <w:tr w:rsidR="00061A23" w:rsidRPr="008A4505" w14:paraId="2E638B92" w14:textId="77777777" w:rsidTr="00436AC0">
        <w:trPr>
          <w:trHeight w:hRule="exact" w:val="204"/>
        </w:trPr>
        <w:tc>
          <w:tcPr>
            <w:tcW w:w="3333" w:type="pct"/>
            <w:tcBorders>
              <w:top w:val="nil"/>
              <w:left w:val="nil"/>
              <w:bottom w:val="nil"/>
              <w:right w:val="nil"/>
            </w:tcBorders>
            <w:shd w:val="clear" w:color="auto" w:fill="auto"/>
            <w:noWrap/>
            <w:vAlign w:val="bottom"/>
            <w:hideMark/>
          </w:tcPr>
          <w:p w14:paraId="04E9E569"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Administered capital budget </w:t>
            </w:r>
            <w:r w:rsidRPr="008A4505">
              <w:rPr>
                <w:rFonts w:ascii="Arial" w:hAnsi="Arial" w:cs="Arial"/>
                <w:sz w:val="16"/>
                <w:szCs w:val="16"/>
                <w:vertAlign w:val="superscript"/>
              </w:rPr>
              <w:t>(g)</w:t>
            </w:r>
          </w:p>
        </w:tc>
        <w:tc>
          <w:tcPr>
            <w:tcW w:w="884" w:type="pct"/>
            <w:tcBorders>
              <w:top w:val="nil"/>
              <w:left w:val="nil"/>
              <w:bottom w:val="nil"/>
              <w:right w:val="nil"/>
            </w:tcBorders>
            <w:shd w:val="clear" w:color="auto" w:fill="auto"/>
            <w:noWrap/>
            <w:vAlign w:val="bottom"/>
            <w:hideMark/>
          </w:tcPr>
          <w:p w14:paraId="1C129A8E" w14:textId="5955A275"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17,758</w:t>
            </w:r>
          </w:p>
        </w:tc>
        <w:tc>
          <w:tcPr>
            <w:tcW w:w="783" w:type="pct"/>
            <w:tcBorders>
              <w:top w:val="nil"/>
              <w:left w:val="nil"/>
              <w:bottom w:val="nil"/>
              <w:right w:val="nil"/>
            </w:tcBorders>
            <w:shd w:val="clear" w:color="auto" w:fill="E6E6E6"/>
            <w:noWrap/>
            <w:vAlign w:val="bottom"/>
            <w:hideMark/>
          </w:tcPr>
          <w:p w14:paraId="10BFEFEA" w14:textId="45464FE6"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39,244</w:t>
            </w:r>
          </w:p>
        </w:tc>
      </w:tr>
      <w:tr w:rsidR="00061A23" w:rsidRPr="008A4505" w14:paraId="41301B43" w14:textId="77777777" w:rsidTr="00436AC0">
        <w:trPr>
          <w:trHeight w:hRule="exact" w:val="204"/>
        </w:trPr>
        <w:tc>
          <w:tcPr>
            <w:tcW w:w="3333" w:type="pct"/>
            <w:tcBorders>
              <w:top w:val="nil"/>
              <w:left w:val="nil"/>
              <w:bottom w:val="nil"/>
              <w:right w:val="nil"/>
            </w:tcBorders>
            <w:shd w:val="clear" w:color="auto" w:fill="auto"/>
            <w:noWrap/>
            <w:vAlign w:val="bottom"/>
            <w:hideMark/>
          </w:tcPr>
          <w:p w14:paraId="3BEE3648"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Payments to corporate entities </w:t>
            </w:r>
            <w:r w:rsidRPr="008A4505">
              <w:rPr>
                <w:rFonts w:ascii="Arial" w:hAnsi="Arial" w:cs="Arial"/>
                <w:sz w:val="16"/>
                <w:szCs w:val="16"/>
                <w:vertAlign w:val="superscript"/>
              </w:rPr>
              <w:t>(h)</w:t>
            </w:r>
          </w:p>
        </w:tc>
        <w:tc>
          <w:tcPr>
            <w:tcW w:w="884" w:type="pct"/>
            <w:tcBorders>
              <w:top w:val="nil"/>
              <w:left w:val="nil"/>
              <w:bottom w:val="nil"/>
              <w:right w:val="nil"/>
            </w:tcBorders>
            <w:shd w:val="clear" w:color="auto" w:fill="auto"/>
            <w:noWrap/>
            <w:vAlign w:val="bottom"/>
            <w:hideMark/>
          </w:tcPr>
          <w:p w14:paraId="3CA5449E" w14:textId="35740BE3"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2,118,140</w:t>
            </w:r>
          </w:p>
        </w:tc>
        <w:tc>
          <w:tcPr>
            <w:tcW w:w="783" w:type="pct"/>
            <w:tcBorders>
              <w:top w:val="nil"/>
              <w:left w:val="nil"/>
              <w:bottom w:val="nil"/>
              <w:right w:val="nil"/>
            </w:tcBorders>
            <w:shd w:val="clear" w:color="auto" w:fill="E6E6E6"/>
            <w:noWrap/>
            <w:vAlign w:val="bottom"/>
            <w:hideMark/>
          </w:tcPr>
          <w:p w14:paraId="2B4640C9" w14:textId="3FF8DB6E"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2,160,012</w:t>
            </w:r>
          </w:p>
        </w:tc>
      </w:tr>
      <w:tr w:rsidR="00115843" w:rsidRPr="008A4505" w14:paraId="2EECAF4C" w14:textId="77777777" w:rsidTr="00436AC0">
        <w:trPr>
          <w:trHeight w:hRule="exact" w:val="204"/>
        </w:trPr>
        <w:tc>
          <w:tcPr>
            <w:tcW w:w="3333" w:type="pct"/>
            <w:tcBorders>
              <w:top w:val="nil"/>
              <w:left w:val="nil"/>
              <w:bottom w:val="nil"/>
              <w:right w:val="nil"/>
            </w:tcBorders>
            <w:shd w:val="clear" w:color="auto" w:fill="auto"/>
            <w:noWrap/>
            <w:vAlign w:val="bottom"/>
            <w:hideMark/>
          </w:tcPr>
          <w:p w14:paraId="6D92B4AD" w14:textId="77777777" w:rsidR="00115843" w:rsidRPr="008A4505" w:rsidRDefault="00115843" w:rsidP="00FB0D02">
            <w:pPr>
              <w:spacing w:after="0" w:line="240" w:lineRule="auto"/>
              <w:rPr>
                <w:rFonts w:ascii="Arial" w:hAnsi="Arial" w:cs="Arial"/>
                <w:sz w:val="16"/>
                <w:szCs w:val="16"/>
              </w:rPr>
            </w:pPr>
            <w:r w:rsidRPr="008A4505">
              <w:rPr>
                <w:rFonts w:ascii="Arial" w:hAnsi="Arial" w:cs="Arial"/>
                <w:sz w:val="16"/>
                <w:szCs w:val="16"/>
              </w:rPr>
              <w:t xml:space="preserve">Annual appropriations - other services - non-operating </w:t>
            </w:r>
            <w:r w:rsidRPr="008A4505">
              <w:rPr>
                <w:rFonts w:ascii="Arial" w:hAnsi="Arial" w:cs="Arial"/>
                <w:sz w:val="16"/>
                <w:szCs w:val="16"/>
                <w:vertAlign w:val="superscript"/>
              </w:rPr>
              <w:t>(i)</w:t>
            </w:r>
          </w:p>
        </w:tc>
        <w:tc>
          <w:tcPr>
            <w:tcW w:w="884" w:type="pct"/>
            <w:tcBorders>
              <w:top w:val="nil"/>
              <w:left w:val="nil"/>
              <w:bottom w:val="nil"/>
              <w:right w:val="nil"/>
            </w:tcBorders>
            <w:shd w:val="clear" w:color="auto" w:fill="auto"/>
            <w:noWrap/>
            <w:vAlign w:val="bottom"/>
            <w:hideMark/>
          </w:tcPr>
          <w:p w14:paraId="302A3ACC" w14:textId="77777777" w:rsidR="00115843" w:rsidRPr="008A4505" w:rsidRDefault="00115843" w:rsidP="00FB0D02">
            <w:pPr>
              <w:spacing w:after="0" w:line="240" w:lineRule="auto"/>
              <w:jc w:val="right"/>
              <w:rPr>
                <w:rFonts w:ascii="Arial" w:hAnsi="Arial" w:cs="Arial"/>
                <w:sz w:val="16"/>
                <w:szCs w:val="16"/>
              </w:rPr>
            </w:pPr>
          </w:p>
        </w:tc>
        <w:tc>
          <w:tcPr>
            <w:tcW w:w="783" w:type="pct"/>
            <w:tcBorders>
              <w:top w:val="nil"/>
              <w:left w:val="nil"/>
              <w:bottom w:val="nil"/>
              <w:right w:val="nil"/>
            </w:tcBorders>
            <w:shd w:val="clear" w:color="auto" w:fill="E6E6E6"/>
            <w:noWrap/>
            <w:vAlign w:val="bottom"/>
            <w:hideMark/>
          </w:tcPr>
          <w:p w14:paraId="5F1E77F4" w14:textId="77777777" w:rsidR="00115843" w:rsidRPr="008A4505" w:rsidRDefault="00115843" w:rsidP="00FB0D02">
            <w:pPr>
              <w:spacing w:after="0" w:line="240" w:lineRule="auto"/>
              <w:jc w:val="right"/>
              <w:rPr>
                <w:rFonts w:ascii="Arial" w:hAnsi="Arial" w:cs="Arial"/>
                <w:sz w:val="16"/>
                <w:szCs w:val="16"/>
              </w:rPr>
            </w:pPr>
          </w:p>
        </w:tc>
      </w:tr>
      <w:tr w:rsidR="00061A23" w:rsidRPr="008A4505" w14:paraId="7F4A1A73" w14:textId="77777777" w:rsidTr="00436AC0">
        <w:trPr>
          <w:trHeight w:hRule="exact" w:val="204"/>
        </w:trPr>
        <w:tc>
          <w:tcPr>
            <w:tcW w:w="3333" w:type="pct"/>
            <w:tcBorders>
              <w:top w:val="nil"/>
              <w:left w:val="nil"/>
              <w:bottom w:val="nil"/>
              <w:right w:val="nil"/>
            </w:tcBorders>
            <w:shd w:val="clear" w:color="auto" w:fill="auto"/>
            <w:noWrap/>
            <w:vAlign w:val="bottom"/>
            <w:hideMark/>
          </w:tcPr>
          <w:p w14:paraId="490DC06A"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Prior year appropriations available </w:t>
            </w:r>
            <w:r w:rsidRPr="008A4505">
              <w:rPr>
                <w:rFonts w:ascii="Arial" w:hAnsi="Arial" w:cs="Arial"/>
                <w:sz w:val="16"/>
                <w:szCs w:val="16"/>
                <w:vertAlign w:val="superscript"/>
              </w:rPr>
              <w:t>(c)</w:t>
            </w:r>
          </w:p>
        </w:tc>
        <w:tc>
          <w:tcPr>
            <w:tcW w:w="884" w:type="pct"/>
            <w:tcBorders>
              <w:top w:val="nil"/>
              <w:left w:val="nil"/>
              <w:bottom w:val="nil"/>
              <w:right w:val="nil"/>
            </w:tcBorders>
            <w:shd w:val="clear" w:color="auto" w:fill="auto"/>
            <w:noWrap/>
            <w:vAlign w:val="bottom"/>
            <w:hideMark/>
          </w:tcPr>
          <w:p w14:paraId="2F9B7920" w14:textId="4906EE3E"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2,370,433</w:t>
            </w:r>
          </w:p>
        </w:tc>
        <w:tc>
          <w:tcPr>
            <w:tcW w:w="783" w:type="pct"/>
            <w:tcBorders>
              <w:top w:val="nil"/>
              <w:left w:val="nil"/>
              <w:bottom w:val="nil"/>
              <w:right w:val="nil"/>
            </w:tcBorders>
            <w:shd w:val="clear" w:color="auto" w:fill="E6E6E6"/>
            <w:noWrap/>
            <w:vAlign w:val="bottom"/>
            <w:hideMark/>
          </w:tcPr>
          <w:p w14:paraId="7A829990" w14:textId="29EE8DDA"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3,349,454</w:t>
            </w:r>
          </w:p>
        </w:tc>
      </w:tr>
      <w:tr w:rsidR="00061A23" w:rsidRPr="008A4505" w14:paraId="75AA40BD" w14:textId="77777777" w:rsidTr="00436AC0">
        <w:trPr>
          <w:trHeight w:hRule="exact" w:val="204"/>
        </w:trPr>
        <w:tc>
          <w:tcPr>
            <w:tcW w:w="3333" w:type="pct"/>
            <w:tcBorders>
              <w:top w:val="nil"/>
              <w:left w:val="nil"/>
              <w:bottom w:val="nil"/>
              <w:right w:val="nil"/>
            </w:tcBorders>
            <w:shd w:val="clear" w:color="auto" w:fill="auto"/>
            <w:noWrap/>
            <w:vAlign w:val="bottom"/>
            <w:hideMark/>
          </w:tcPr>
          <w:p w14:paraId="58E5B8C5"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Administered assets and liabilities </w:t>
            </w:r>
            <w:r w:rsidRPr="008A4505">
              <w:rPr>
                <w:rFonts w:ascii="Arial" w:hAnsi="Arial" w:cs="Arial"/>
                <w:sz w:val="16"/>
                <w:szCs w:val="16"/>
                <w:vertAlign w:val="superscript"/>
              </w:rPr>
              <w:t>(i)</w:t>
            </w:r>
          </w:p>
        </w:tc>
        <w:tc>
          <w:tcPr>
            <w:tcW w:w="884" w:type="pct"/>
            <w:tcBorders>
              <w:top w:val="nil"/>
              <w:left w:val="nil"/>
              <w:bottom w:val="nil"/>
              <w:right w:val="nil"/>
            </w:tcBorders>
            <w:shd w:val="clear" w:color="auto" w:fill="auto"/>
            <w:noWrap/>
            <w:vAlign w:val="bottom"/>
            <w:hideMark/>
          </w:tcPr>
          <w:p w14:paraId="7FEE354E" w14:textId="3FC4A90E"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2,065,192</w:t>
            </w:r>
          </w:p>
        </w:tc>
        <w:tc>
          <w:tcPr>
            <w:tcW w:w="783" w:type="pct"/>
            <w:tcBorders>
              <w:top w:val="nil"/>
              <w:left w:val="nil"/>
              <w:bottom w:val="nil"/>
              <w:right w:val="nil"/>
            </w:tcBorders>
            <w:shd w:val="clear" w:color="auto" w:fill="E6E6E6"/>
            <w:noWrap/>
            <w:vAlign w:val="bottom"/>
            <w:hideMark/>
          </w:tcPr>
          <w:p w14:paraId="707FE612" w14:textId="76965526"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3,829,129</w:t>
            </w:r>
          </w:p>
        </w:tc>
      </w:tr>
      <w:tr w:rsidR="00061A23" w:rsidRPr="008A4505" w14:paraId="68B2560E" w14:textId="77777777" w:rsidTr="00436AC0">
        <w:trPr>
          <w:trHeight w:hRule="exact" w:val="204"/>
        </w:trPr>
        <w:tc>
          <w:tcPr>
            <w:tcW w:w="3333" w:type="pct"/>
            <w:tcBorders>
              <w:top w:val="nil"/>
              <w:left w:val="nil"/>
              <w:bottom w:val="nil"/>
              <w:right w:val="nil"/>
            </w:tcBorders>
            <w:shd w:val="clear" w:color="auto" w:fill="auto"/>
            <w:noWrap/>
            <w:vAlign w:val="bottom"/>
            <w:hideMark/>
          </w:tcPr>
          <w:p w14:paraId="1F828AC6"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Payments to corporate entities </w:t>
            </w:r>
            <w:r w:rsidRPr="008A4505">
              <w:rPr>
                <w:rFonts w:ascii="Arial" w:hAnsi="Arial" w:cs="Arial"/>
                <w:sz w:val="16"/>
                <w:szCs w:val="16"/>
                <w:vertAlign w:val="superscript"/>
              </w:rPr>
              <w:t>(h)</w:t>
            </w:r>
          </w:p>
        </w:tc>
        <w:tc>
          <w:tcPr>
            <w:tcW w:w="884" w:type="pct"/>
            <w:tcBorders>
              <w:top w:val="nil"/>
              <w:left w:val="nil"/>
              <w:bottom w:val="nil"/>
              <w:right w:val="nil"/>
            </w:tcBorders>
            <w:shd w:val="clear" w:color="auto" w:fill="auto"/>
            <w:noWrap/>
            <w:vAlign w:val="bottom"/>
            <w:hideMark/>
          </w:tcPr>
          <w:p w14:paraId="6E1287FF" w14:textId="004D958F"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75,520</w:t>
            </w:r>
          </w:p>
        </w:tc>
        <w:tc>
          <w:tcPr>
            <w:tcW w:w="783" w:type="pct"/>
            <w:tcBorders>
              <w:top w:val="nil"/>
              <w:left w:val="nil"/>
              <w:bottom w:val="nil"/>
              <w:right w:val="nil"/>
            </w:tcBorders>
            <w:shd w:val="clear" w:color="auto" w:fill="E6E6E6"/>
            <w:noWrap/>
            <w:vAlign w:val="bottom"/>
            <w:hideMark/>
          </w:tcPr>
          <w:p w14:paraId="57F83912" w14:textId="3B6F4114"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43,371</w:t>
            </w:r>
          </w:p>
        </w:tc>
      </w:tr>
      <w:tr w:rsidR="00115843" w:rsidRPr="008A4505" w14:paraId="6C31E7BB" w14:textId="77777777" w:rsidTr="00436AC0">
        <w:trPr>
          <w:trHeight w:val="399"/>
        </w:trPr>
        <w:tc>
          <w:tcPr>
            <w:tcW w:w="3333" w:type="pct"/>
            <w:tcBorders>
              <w:top w:val="nil"/>
              <w:left w:val="nil"/>
              <w:bottom w:val="nil"/>
              <w:right w:val="nil"/>
            </w:tcBorders>
            <w:shd w:val="clear" w:color="auto" w:fill="auto"/>
            <w:vAlign w:val="center"/>
            <w:hideMark/>
          </w:tcPr>
          <w:p w14:paraId="1C9C5438" w14:textId="44CAEFF3" w:rsidR="00115843" w:rsidRPr="008A4505" w:rsidRDefault="00477958" w:rsidP="00477958">
            <w:pPr>
              <w:spacing w:after="0" w:line="240" w:lineRule="auto"/>
              <w:rPr>
                <w:rFonts w:ascii="Arial" w:hAnsi="Arial" w:cs="Arial"/>
                <w:sz w:val="16"/>
                <w:szCs w:val="16"/>
              </w:rPr>
            </w:pPr>
            <w:r w:rsidRPr="00477958">
              <w:rPr>
                <w:rFonts w:ascii="Arial" w:hAnsi="Arial" w:cs="Arial"/>
                <w:sz w:val="16"/>
                <w:szCs w:val="16"/>
              </w:rPr>
              <w:t xml:space="preserve">Annual appropriations - other services - specific payments to States, ACT, NT and local government </w:t>
            </w:r>
            <w:r w:rsidRPr="00477958">
              <w:rPr>
                <w:rFonts w:ascii="Arial" w:hAnsi="Arial" w:cs="Arial"/>
                <w:sz w:val="16"/>
                <w:szCs w:val="16"/>
                <w:vertAlign w:val="superscript"/>
              </w:rPr>
              <w:t>(i)</w:t>
            </w:r>
          </w:p>
        </w:tc>
        <w:tc>
          <w:tcPr>
            <w:tcW w:w="884" w:type="pct"/>
            <w:tcBorders>
              <w:top w:val="nil"/>
              <w:left w:val="nil"/>
              <w:bottom w:val="nil"/>
              <w:right w:val="nil"/>
            </w:tcBorders>
            <w:shd w:val="clear" w:color="auto" w:fill="auto"/>
            <w:vAlign w:val="center"/>
            <w:hideMark/>
          </w:tcPr>
          <w:p w14:paraId="3457A8DC" w14:textId="77777777" w:rsidR="00115843" w:rsidRPr="008A4505" w:rsidRDefault="00115843" w:rsidP="00FB0D02">
            <w:pPr>
              <w:spacing w:after="0" w:line="240" w:lineRule="auto"/>
              <w:jc w:val="right"/>
              <w:rPr>
                <w:rFonts w:ascii="Arial" w:hAnsi="Arial" w:cs="Arial"/>
                <w:sz w:val="16"/>
                <w:szCs w:val="16"/>
              </w:rPr>
            </w:pPr>
          </w:p>
        </w:tc>
        <w:tc>
          <w:tcPr>
            <w:tcW w:w="783" w:type="pct"/>
            <w:tcBorders>
              <w:top w:val="nil"/>
              <w:left w:val="nil"/>
              <w:bottom w:val="nil"/>
              <w:right w:val="nil"/>
            </w:tcBorders>
            <w:shd w:val="clear" w:color="auto" w:fill="E6E6E6"/>
            <w:vAlign w:val="center"/>
            <w:hideMark/>
          </w:tcPr>
          <w:p w14:paraId="21F5C276" w14:textId="77777777" w:rsidR="00115843" w:rsidRPr="008A4505" w:rsidRDefault="00115843" w:rsidP="00FB0D02">
            <w:pPr>
              <w:spacing w:after="0" w:line="240" w:lineRule="auto"/>
              <w:jc w:val="right"/>
              <w:rPr>
                <w:rFonts w:ascii="Arial" w:hAnsi="Arial" w:cs="Arial"/>
                <w:sz w:val="16"/>
                <w:szCs w:val="16"/>
              </w:rPr>
            </w:pPr>
          </w:p>
        </w:tc>
      </w:tr>
      <w:tr w:rsidR="00061A23" w:rsidRPr="008A4505" w14:paraId="47BD4E69" w14:textId="77777777" w:rsidTr="00436AC0">
        <w:trPr>
          <w:trHeight w:hRule="exact" w:val="204"/>
        </w:trPr>
        <w:tc>
          <w:tcPr>
            <w:tcW w:w="3333" w:type="pct"/>
            <w:tcBorders>
              <w:top w:val="nil"/>
              <w:left w:val="nil"/>
              <w:bottom w:val="nil"/>
              <w:right w:val="nil"/>
            </w:tcBorders>
            <w:shd w:val="clear" w:color="auto" w:fill="auto"/>
            <w:noWrap/>
            <w:vAlign w:val="bottom"/>
            <w:hideMark/>
          </w:tcPr>
          <w:p w14:paraId="5193D9FB"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1 </w:t>
            </w:r>
            <w:r w:rsidRPr="008A4505">
              <w:rPr>
                <w:rFonts w:ascii="Arial" w:hAnsi="Arial" w:cs="Arial"/>
                <w:sz w:val="16"/>
                <w:szCs w:val="16"/>
                <w:vertAlign w:val="superscript"/>
              </w:rPr>
              <w:t>(j)</w:t>
            </w:r>
          </w:p>
        </w:tc>
        <w:tc>
          <w:tcPr>
            <w:tcW w:w="884" w:type="pct"/>
            <w:tcBorders>
              <w:top w:val="nil"/>
              <w:left w:val="nil"/>
              <w:bottom w:val="nil"/>
              <w:right w:val="nil"/>
            </w:tcBorders>
            <w:shd w:val="clear" w:color="auto" w:fill="auto"/>
            <w:noWrap/>
            <w:vAlign w:val="bottom"/>
            <w:hideMark/>
          </w:tcPr>
          <w:p w14:paraId="301E6580" w14:textId="3620639A"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499,495</w:t>
            </w:r>
          </w:p>
        </w:tc>
        <w:tc>
          <w:tcPr>
            <w:tcW w:w="783" w:type="pct"/>
            <w:tcBorders>
              <w:top w:val="nil"/>
              <w:left w:val="nil"/>
              <w:bottom w:val="nil"/>
              <w:right w:val="nil"/>
            </w:tcBorders>
            <w:shd w:val="clear" w:color="auto" w:fill="E6E6E6"/>
            <w:noWrap/>
            <w:vAlign w:val="bottom"/>
            <w:hideMark/>
          </w:tcPr>
          <w:p w14:paraId="1928A7E2" w14:textId="1399C9D0"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490,881</w:t>
            </w:r>
          </w:p>
        </w:tc>
      </w:tr>
      <w:tr w:rsidR="00061A23" w:rsidRPr="008A4505" w14:paraId="3B3A897F" w14:textId="77777777" w:rsidTr="00436AC0">
        <w:trPr>
          <w:trHeight w:hRule="exact" w:val="204"/>
        </w:trPr>
        <w:tc>
          <w:tcPr>
            <w:tcW w:w="3333" w:type="pct"/>
            <w:tcBorders>
              <w:top w:val="nil"/>
              <w:left w:val="nil"/>
              <w:bottom w:val="nil"/>
              <w:right w:val="nil"/>
            </w:tcBorders>
            <w:shd w:val="clear" w:color="auto" w:fill="auto"/>
            <w:noWrap/>
            <w:vAlign w:val="bottom"/>
            <w:hideMark/>
          </w:tcPr>
          <w:p w14:paraId="4475ECA8" w14:textId="77777777" w:rsidR="00061A23" w:rsidRPr="008A4505" w:rsidRDefault="00061A23" w:rsidP="00061A23">
            <w:pPr>
              <w:spacing w:after="0" w:line="240" w:lineRule="auto"/>
              <w:ind w:left="113"/>
              <w:rPr>
                <w:rFonts w:ascii="Arial" w:hAnsi="Arial" w:cs="Arial"/>
                <w:sz w:val="16"/>
                <w:szCs w:val="16"/>
              </w:rPr>
            </w:pPr>
            <w:r w:rsidRPr="008A4505">
              <w:rPr>
                <w:rFonts w:ascii="Arial" w:hAnsi="Arial" w:cs="Arial"/>
                <w:sz w:val="16"/>
                <w:szCs w:val="16"/>
              </w:rPr>
              <w:t xml:space="preserve">Outcome 3 </w:t>
            </w:r>
            <w:r w:rsidRPr="008A4505">
              <w:rPr>
                <w:rFonts w:ascii="Arial" w:hAnsi="Arial" w:cs="Arial"/>
                <w:sz w:val="16"/>
                <w:szCs w:val="16"/>
                <w:vertAlign w:val="superscript"/>
              </w:rPr>
              <w:t>(k)</w:t>
            </w:r>
          </w:p>
        </w:tc>
        <w:tc>
          <w:tcPr>
            <w:tcW w:w="884" w:type="pct"/>
            <w:tcBorders>
              <w:top w:val="nil"/>
              <w:left w:val="nil"/>
              <w:bottom w:val="nil"/>
              <w:right w:val="nil"/>
            </w:tcBorders>
            <w:shd w:val="clear" w:color="auto" w:fill="auto"/>
            <w:noWrap/>
            <w:vAlign w:val="bottom"/>
            <w:hideMark/>
          </w:tcPr>
          <w:p w14:paraId="7B04D30D" w14:textId="0DDFF341"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991,227</w:t>
            </w:r>
          </w:p>
        </w:tc>
        <w:tc>
          <w:tcPr>
            <w:tcW w:w="783" w:type="pct"/>
            <w:tcBorders>
              <w:top w:val="nil"/>
              <w:left w:val="nil"/>
              <w:bottom w:val="nil"/>
              <w:right w:val="nil"/>
            </w:tcBorders>
            <w:shd w:val="clear" w:color="auto" w:fill="E6E6E6"/>
            <w:noWrap/>
            <w:vAlign w:val="bottom"/>
            <w:hideMark/>
          </w:tcPr>
          <w:p w14:paraId="03219AC1" w14:textId="6383AB0D"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669,330</w:t>
            </w:r>
          </w:p>
        </w:tc>
      </w:tr>
      <w:tr w:rsidR="00061A23" w:rsidRPr="008A4505" w14:paraId="24AF0C8F" w14:textId="77777777" w:rsidTr="00436AC0">
        <w:trPr>
          <w:trHeight w:hRule="exact" w:val="204"/>
        </w:trPr>
        <w:tc>
          <w:tcPr>
            <w:tcW w:w="3333" w:type="pct"/>
            <w:tcBorders>
              <w:top w:val="nil"/>
              <w:left w:val="nil"/>
              <w:right w:val="nil"/>
            </w:tcBorders>
            <w:shd w:val="clear" w:color="auto" w:fill="auto"/>
            <w:noWrap/>
            <w:vAlign w:val="bottom"/>
            <w:hideMark/>
          </w:tcPr>
          <w:p w14:paraId="4FB9AD7F" w14:textId="77777777" w:rsidR="00061A23" w:rsidRPr="008A4505" w:rsidRDefault="00061A23" w:rsidP="00061A23">
            <w:pPr>
              <w:spacing w:after="0" w:line="240" w:lineRule="auto"/>
              <w:rPr>
                <w:rFonts w:ascii="Arial" w:hAnsi="Arial" w:cs="Arial"/>
                <w:sz w:val="16"/>
                <w:szCs w:val="16"/>
              </w:rPr>
            </w:pPr>
            <w:r w:rsidRPr="008A4505">
              <w:rPr>
                <w:rFonts w:ascii="Arial" w:hAnsi="Arial" w:cs="Arial"/>
                <w:sz w:val="16"/>
                <w:szCs w:val="16"/>
              </w:rPr>
              <w:t>Total administered annual appropriations</w:t>
            </w:r>
          </w:p>
        </w:tc>
        <w:tc>
          <w:tcPr>
            <w:tcW w:w="884" w:type="pct"/>
            <w:tcBorders>
              <w:top w:val="single" w:sz="4" w:space="0" w:color="auto"/>
              <w:left w:val="nil"/>
              <w:bottom w:val="single" w:sz="4" w:space="0" w:color="auto"/>
              <w:right w:val="nil"/>
            </w:tcBorders>
            <w:shd w:val="clear" w:color="auto" w:fill="auto"/>
            <w:noWrap/>
            <w:vAlign w:val="bottom"/>
            <w:hideMark/>
          </w:tcPr>
          <w:p w14:paraId="2141C23F" w14:textId="4D45F288" w:rsidR="00061A23" w:rsidRPr="008A4505" w:rsidRDefault="00061A23" w:rsidP="00061A23">
            <w:pPr>
              <w:spacing w:after="0" w:line="240" w:lineRule="auto"/>
              <w:jc w:val="right"/>
              <w:rPr>
                <w:rFonts w:ascii="Arial" w:hAnsi="Arial" w:cs="Arial"/>
                <w:i/>
                <w:iCs/>
                <w:color w:val="000000"/>
                <w:sz w:val="16"/>
                <w:szCs w:val="16"/>
              </w:rPr>
            </w:pPr>
            <w:r>
              <w:rPr>
                <w:rFonts w:ascii="Arial" w:hAnsi="Arial" w:cs="Arial"/>
                <w:color w:val="000000"/>
                <w:sz w:val="16"/>
                <w:szCs w:val="16"/>
              </w:rPr>
              <w:t>13,483,528</w:t>
            </w:r>
          </w:p>
        </w:tc>
        <w:tc>
          <w:tcPr>
            <w:tcW w:w="783" w:type="pct"/>
            <w:tcBorders>
              <w:top w:val="single" w:sz="4" w:space="0" w:color="auto"/>
              <w:left w:val="nil"/>
              <w:bottom w:val="single" w:sz="4" w:space="0" w:color="auto"/>
              <w:right w:val="nil"/>
            </w:tcBorders>
            <w:shd w:val="clear" w:color="auto" w:fill="E6E6E6"/>
            <w:noWrap/>
            <w:vAlign w:val="bottom"/>
            <w:hideMark/>
          </w:tcPr>
          <w:p w14:paraId="72C5ADF2" w14:textId="0F7618F6"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14,852,460</w:t>
            </w:r>
          </w:p>
        </w:tc>
      </w:tr>
      <w:tr w:rsidR="00061A23" w:rsidRPr="008A4505" w14:paraId="5880DA0C" w14:textId="77777777" w:rsidTr="00436AC0">
        <w:trPr>
          <w:trHeight w:hRule="exact" w:val="204"/>
        </w:trPr>
        <w:tc>
          <w:tcPr>
            <w:tcW w:w="3333" w:type="pct"/>
            <w:tcBorders>
              <w:top w:val="nil"/>
              <w:left w:val="nil"/>
              <w:right w:val="nil"/>
            </w:tcBorders>
            <w:shd w:val="clear" w:color="auto" w:fill="auto"/>
            <w:noWrap/>
            <w:vAlign w:val="bottom"/>
            <w:hideMark/>
          </w:tcPr>
          <w:p w14:paraId="6A81964D" w14:textId="77777777" w:rsidR="00061A23" w:rsidRPr="008A4505" w:rsidRDefault="00061A23" w:rsidP="00061A23">
            <w:pPr>
              <w:spacing w:after="0" w:line="240" w:lineRule="auto"/>
              <w:rPr>
                <w:rFonts w:ascii="Arial" w:hAnsi="Arial" w:cs="Arial"/>
                <w:sz w:val="16"/>
                <w:szCs w:val="16"/>
              </w:rPr>
            </w:pPr>
            <w:r w:rsidRPr="008A4505">
              <w:rPr>
                <w:rFonts w:ascii="Arial" w:hAnsi="Arial" w:cs="Arial"/>
                <w:sz w:val="16"/>
                <w:szCs w:val="16"/>
              </w:rPr>
              <w:t xml:space="preserve">Total administered special appropriations </w:t>
            </w:r>
            <w:r w:rsidRPr="008A4505">
              <w:rPr>
                <w:rFonts w:ascii="Arial" w:hAnsi="Arial" w:cs="Arial"/>
                <w:sz w:val="16"/>
                <w:szCs w:val="16"/>
                <w:vertAlign w:val="superscript"/>
              </w:rPr>
              <w:t>(l)</w:t>
            </w:r>
          </w:p>
        </w:tc>
        <w:tc>
          <w:tcPr>
            <w:tcW w:w="884" w:type="pct"/>
            <w:tcBorders>
              <w:top w:val="nil"/>
              <w:left w:val="nil"/>
              <w:bottom w:val="single" w:sz="4" w:space="0" w:color="auto"/>
              <w:right w:val="nil"/>
            </w:tcBorders>
            <w:shd w:val="clear" w:color="auto" w:fill="auto"/>
            <w:noWrap/>
            <w:vAlign w:val="bottom"/>
            <w:hideMark/>
          </w:tcPr>
          <w:p w14:paraId="086FE556" w14:textId="40A848C5" w:rsidR="00061A23" w:rsidRPr="008A4505" w:rsidRDefault="00061A23" w:rsidP="00061A23">
            <w:pPr>
              <w:spacing w:after="0" w:line="240" w:lineRule="auto"/>
              <w:jc w:val="right"/>
              <w:rPr>
                <w:rFonts w:ascii="Arial" w:hAnsi="Arial" w:cs="Arial"/>
                <w:i/>
                <w:iCs/>
                <w:sz w:val="16"/>
                <w:szCs w:val="16"/>
              </w:rPr>
            </w:pPr>
            <w:r>
              <w:rPr>
                <w:rFonts w:ascii="Arial" w:hAnsi="Arial" w:cs="Arial"/>
                <w:sz w:val="16"/>
                <w:szCs w:val="16"/>
              </w:rPr>
              <w:t>4,162,370</w:t>
            </w:r>
          </w:p>
        </w:tc>
        <w:tc>
          <w:tcPr>
            <w:tcW w:w="783" w:type="pct"/>
            <w:tcBorders>
              <w:top w:val="nil"/>
              <w:left w:val="nil"/>
              <w:bottom w:val="single" w:sz="4" w:space="0" w:color="auto"/>
              <w:right w:val="nil"/>
            </w:tcBorders>
            <w:shd w:val="clear" w:color="auto" w:fill="E6E6E6"/>
            <w:noWrap/>
            <w:vAlign w:val="bottom"/>
            <w:hideMark/>
          </w:tcPr>
          <w:p w14:paraId="47BDD428" w14:textId="12FC7846" w:rsidR="00061A23" w:rsidRPr="008A4505" w:rsidRDefault="00061A23" w:rsidP="00061A23">
            <w:pPr>
              <w:spacing w:after="0" w:line="240" w:lineRule="auto"/>
              <w:jc w:val="right"/>
              <w:rPr>
                <w:rFonts w:ascii="Arial" w:hAnsi="Arial" w:cs="Arial"/>
                <w:sz w:val="16"/>
                <w:szCs w:val="16"/>
              </w:rPr>
            </w:pPr>
            <w:r>
              <w:rPr>
                <w:rFonts w:ascii="Arial" w:hAnsi="Arial" w:cs="Arial"/>
                <w:sz w:val="16"/>
                <w:szCs w:val="16"/>
              </w:rPr>
              <w:t>1,809,867</w:t>
            </w:r>
          </w:p>
        </w:tc>
      </w:tr>
      <w:tr w:rsidR="00115843" w:rsidRPr="00BB0568" w14:paraId="10185CD2" w14:textId="77777777" w:rsidTr="00436AC0">
        <w:trPr>
          <w:trHeight w:hRule="exact" w:val="204"/>
        </w:trPr>
        <w:tc>
          <w:tcPr>
            <w:tcW w:w="3333" w:type="pct"/>
            <w:tcBorders>
              <w:top w:val="nil"/>
              <w:left w:val="nil"/>
              <w:bottom w:val="nil"/>
              <w:right w:val="nil"/>
            </w:tcBorders>
            <w:shd w:val="clear" w:color="auto" w:fill="auto"/>
            <w:noWrap/>
            <w:vAlign w:val="bottom"/>
            <w:hideMark/>
          </w:tcPr>
          <w:p w14:paraId="6239DE31" w14:textId="77777777" w:rsidR="00115843" w:rsidRPr="00BB0568" w:rsidRDefault="00115843" w:rsidP="00FB0D02">
            <w:pPr>
              <w:spacing w:after="0" w:line="240" w:lineRule="auto"/>
              <w:rPr>
                <w:rFonts w:ascii="Arial" w:hAnsi="Arial" w:cs="Arial"/>
                <w:sz w:val="16"/>
                <w:szCs w:val="16"/>
              </w:rPr>
            </w:pPr>
            <w:r w:rsidRPr="00BB0568">
              <w:rPr>
                <w:rFonts w:ascii="Arial" w:hAnsi="Arial" w:cs="Arial"/>
                <w:sz w:val="16"/>
                <w:szCs w:val="16"/>
              </w:rPr>
              <w:t xml:space="preserve">Special accounts </w:t>
            </w:r>
            <w:r w:rsidRPr="00BB0568">
              <w:rPr>
                <w:rFonts w:ascii="Arial" w:hAnsi="Arial" w:cs="Arial"/>
                <w:sz w:val="16"/>
                <w:szCs w:val="16"/>
                <w:vertAlign w:val="superscript"/>
              </w:rPr>
              <w:t>(l)(m)</w:t>
            </w:r>
          </w:p>
        </w:tc>
        <w:tc>
          <w:tcPr>
            <w:tcW w:w="884" w:type="pct"/>
            <w:tcBorders>
              <w:top w:val="nil"/>
              <w:left w:val="nil"/>
              <w:bottom w:val="nil"/>
              <w:right w:val="nil"/>
            </w:tcBorders>
            <w:shd w:val="clear" w:color="auto" w:fill="auto"/>
            <w:noWrap/>
            <w:vAlign w:val="bottom"/>
            <w:hideMark/>
          </w:tcPr>
          <w:p w14:paraId="610DE3DA" w14:textId="77777777" w:rsidR="00115843" w:rsidRPr="006A71C3" w:rsidRDefault="00115843" w:rsidP="00FB0D02">
            <w:pPr>
              <w:spacing w:after="0" w:line="240" w:lineRule="auto"/>
              <w:jc w:val="right"/>
              <w:rPr>
                <w:rFonts w:ascii="Arial" w:hAnsi="Arial" w:cs="Arial"/>
                <w:sz w:val="16"/>
                <w:szCs w:val="16"/>
              </w:rPr>
            </w:pPr>
          </w:p>
        </w:tc>
        <w:tc>
          <w:tcPr>
            <w:tcW w:w="783" w:type="pct"/>
            <w:tcBorders>
              <w:top w:val="nil"/>
              <w:left w:val="nil"/>
              <w:bottom w:val="nil"/>
              <w:right w:val="nil"/>
            </w:tcBorders>
            <w:shd w:val="clear" w:color="auto" w:fill="E6E6E6"/>
            <w:noWrap/>
            <w:vAlign w:val="bottom"/>
            <w:hideMark/>
          </w:tcPr>
          <w:p w14:paraId="6CEB0B2B" w14:textId="77777777" w:rsidR="00115843" w:rsidRPr="00BB0568" w:rsidRDefault="00115843" w:rsidP="00FB0D02">
            <w:pPr>
              <w:spacing w:after="0" w:line="240" w:lineRule="auto"/>
              <w:jc w:val="right"/>
              <w:rPr>
                <w:rFonts w:ascii="Arial" w:hAnsi="Arial" w:cs="Arial"/>
                <w:sz w:val="16"/>
                <w:szCs w:val="16"/>
              </w:rPr>
            </w:pPr>
          </w:p>
        </w:tc>
      </w:tr>
      <w:tr w:rsidR="00061A23" w:rsidRPr="00BB0568" w14:paraId="7BCCB06F" w14:textId="77777777" w:rsidTr="00436AC0">
        <w:trPr>
          <w:trHeight w:hRule="exact" w:val="204"/>
        </w:trPr>
        <w:tc>
          <w:tcPr>
            <w:tcW w:w="3333" w:type="pct"/>
            <w:tcBorders>
              <w:top w:val="nil"/>
              <w:left w:val="nil"/>
              <w:bottom w:val="nil"/>
              <w:right w:val="nil"/>
            </w:tcBorders>
            <w:shd w:val="clear" w:color="auto" w:fill="auto"/>
            <w:noWrap/>
            <w:vAlign w:val="bottom"/>
            <w:hideMark/>
          </w:tcPr>
          <w:p w14:paraId="11ADA2DB" w14:textId="77777777" w:rsidR="00061A23" w:rsidRPr="00BB0568" w:rsidRDefault="00061A23" w:rsidP="00061A23">
            <w:pPr>
              <w:spacing w:after="0" w:line="240" w:lineRule="auto"/>
              <w:ind w:left="113"/>
              <w:rPr>
                <w:rFonts w:ascii="Arial" w:hAnsi="Arial" w:cs="Arial"/>
                <w:sz w:val="16"/>
                <w:szCs w:val="16"/>
              </w:rPr>
            </w:pPr>
            <w:r w:rsidRPr="00BB0568">
              <w:rPr>
                <w:rFonts w:ascii="Arial" w:hAnsi="Arial" w:cs="Arial"/>
                <w:sz w:val="16"/>
                <w:szCs w:val="16"/>
              </w:rPr>
              <w:t>Opening balance</w:t>
            </w:r>
          </w:p>
        </w:tc>
        <w:tc>
          <w:tcPr>
            <w:tcW w:w="884" w:type="pct"/>
            <w:tcBorders>
              <w:top w:val="nil"/>
              <w:left w:val="nil"/>
              <w:bottom w:val="nil"/>
              <w:right w:val="nil"/>
            </w:tcBorders>
            <w:shd w:val="clear" w:color="auto" w:fill="auto"/>
            <w:noWrap/>
            <w:vAlign w:val="bottom"/>
            <w:hideMark/>
          </w:tcPr>
          <w:p w14:paraId="4D4D78BC" w14:textId="7A9ECC93" w:rsidR="00061A23" w:rsidRDefault="00061A23" w:rsidP="00061A23">
            <w:pPr>
              <w:spacing w:after="0" w:line="240" w:lineRule="auto"/>
              <w:jc w:val="right"/>
              <w:rPr>
                <w:rFonts w:ascii="Arial" w:hAnsi="Arial" w:cs="Arial"/>
                <w:sz w:val="16"/>
                <w:szCs w:val="16"/>
              </w:rPr>
            </w:pPr>
            <w:r>
              <w:rPr>
                <w:rFonts w:ascii="Arial" w:hAnsi="Arial" w:cs="Arial"/>
                <w:sz w:val="16"/>
                <w:szCs w:val="16"/>
              </w:rPr>
              <w:t>41,785</w:t>
            </w:r>
          </w:p>
        </w:tc>
        <w:tc>
          <w:tcPr>
            <w:tcW w:w="783" w:type="pct"/>
            <w:tcBorders>
              <w:top w:val="nil"/>
              <w:left w:val="nil"/>
              <w:bottom w:val="nil"/>
              <w:right w:val="nil"/>
            </w:tcBorders>
            <w:shd w:val="clear" w:color="auto" w:fill="E6E6E6"/>
            <w:noWrap/>
            <w:vAlign w:val="bottom"/>
            <w:hideMark/>
          </w:tcPr>
          <w:p w14:paraId="301DA195" w14:textId="391B179E" w:rsidR="00061A23" w:rsidRDefault="00061A23" w:rsidP="00061A23">
            <w:pPr>
              <w:spacing w:after="0" w:line="240" w:lineRule="auto"/>
              <w:jc w:val="right"/>
              <w:rPr>
                <w:rFonts w:ascii="Arial" w:hAnsi="Arial" w:cs="Arial"/>
                <w:sz w:val="16"/>
                <w:szCs w:val="16"/>
              </w:rPr>
            </w:pPr>
            <w:r>
              <w:rPr>
                <w:rFonts w:ascii="Arial" w:hAnsi="Arial" w:cs="Arial"/>
                <w:sz w:val="16"/>
                <w:szCs w:val="16"/>
              </w:rPr>
              <w:t>49,520</w:t>
            </w:r>
          </w:p>
        </w:tc>
      </w:tr>
      <w:tr w:rsidR="00061A23" w:rsidRPr="00BB0568" w14:paraId="785C5EF0" w14:textId="77777777" w:rsidTr="00436AC0">
        <w:trPr>
          <w:trHeight w:hRule="exact" w:val="204"/>
        </w:trPr>
        <w:tc>
          <w:tcPr>
            <w:tcW w:w="3333" w:type="pct"/>
            <w:tcBorders>
              <w:top w:val="nil"/>
              <w:left w:val="nil"/>
              <w:bottom w:val="nil"/>
              <w:right w:val="nil"/>
            </w:tcBorders>
            <w:shd w:val="clear" w:color="auto" w:fill="auto"/>
            <w:noWrap/>
            <w:vAlign w:val="bottom"/>
            <w:hideMark/>
          </w:tcPr>
          <w:p w14:paraId="76999452" w14:textId="77777777" w:rsidR="00061A23" w:rsidRPr="00BB0568" w:rsidRDefault="00061A23" w:rsidP="00061A23">
            <w:pPr>
              <w:spacing w:after="0" w:line="240" w:lineRule="auto"/>
              <w:ind w:left="113"/>
              <w:rPr>
                <w:rFonts w:ascii="Arial" w:hAnsi="Arial" w:cs="Arial"/>
                <w:sz w:val="16"/>
                <w:szCs w:val="16"/>
              </w:rPr>
            </w:pPr>
            <w:r w:rsidRPr="00BB0568">
              <w:rPr>
                <w:rFonts w:ascii="Arial" w:hAnsi="Arial" w:cs="Arial"/>
                <w:sz w:val="16"/>
                <w:szCs w:val="16"/>
              </w:rPr>
              <w:t xml:space="preserve">Appropriation receipts </w:t>
            </w:r>
            <w:r w:rsidRPr="00BB0568">
              <w:rPr>
                <w:rFonts w:ascii="Arial" w:hAnsi="Arial" w:cs="Arial"/>
                <w:sz w:val="16"/>
                <w:szCs w:val="16"/>
                <w:vertAlign w:val="superscript"/>
              </w:rPr>
              <w:t>(n)</w:t>
            </w:r>
          </w:p>
        </w:tc>
        <w:tc>
          <w:tcPr>
            <w:tcW w:w="884" w:type="pct"/>
            <w:tcBorders>
              <w:top w:val="nil"/>
              <w:left w:val="nil"/>
              <w:bottom w:val="nil"/>
              <w:right w:val="nil"/>
            </w:tcBorders>
            <w:shd w:val="clear" w:color="auto" w:fill="auto"/>
            <w:noWrap/>
            <w:vAlign w:val="bottom"/>
            <w:hideMark/>
          </w:tcPr>
          <w:p w14:paraId="7CDC13AF" w14:textId="5F65D7BF" w:rsidR="00061A23" w:rsidRDefault="00061A23" w:rsidP="00061A23">
            <w:pPr>
              <w:spacing w:after="0" w:line="240" w:lineRule="auto"/>
              <w:jc w:val="right"/>
              <w:rPr>
                <w:rFonts w:ascii="Arial" w:hAnsi="Arial" w:cs="Arial"/>
                <w:sz w:val="16"/>
                <w:szCs w:val="16"/>
              </w:rPr>
            </w:pPr>
            <w:r>
              <w:rPr>
                <w:rFonts w:ascii="Arial" w:hAnsi="Arial" w:cs="Arial"/>
                <w:sz w:val="16"/>
                <w:szCs w:val="16"/>
              </w:rPr>
              <w:t>95,954</w:t>
            </w:r>
          </w:p>
        </w:tc>
        <w:tc>
          <w:tcPr>
            <w:tcW w:w="783" w:type="pct"/>
            <w:tcBorders>
              <w:top w:val="nil"/>
              <w:left w:val="nil"/>
              <w:bottom w:val="nil"/>
              <w:right w:val="nil"/>
            </w:tcBorders>
            <w:shd w:val="clear" w:color="auto" w:fill="E6E6E6"/>
            <w:noWrap/>
            <w:vAlign w:val="bottom"/>
            <w:hideMark/>
          </w:tcPr>
          <w:p w14:paraId="21EC1132" w14:textId="6112A1F0" w:rsidR="00061A23" w:rsidRDefault="00061A23" w:rsidP="00061A23">
            <w:pPr>
              <w:spacing w:after="0" w:line="240" w:lineRule="auto"/>
              <w:jc w:val="right"/>
              <w:rPr>
                <w:rFonts w:ascii="Arial" w:hAnsi="Arial" w:cs="Arial"/>
                <w:sz w:val="16"/>
                <w:szCs w:val="16"/>
              </w:rPr>
            </w:pPr>
            <w:r>
              <w:rPr>
                <w:rFonts w:ascii="Arial" w:hAnsi="Arial" w:cs="Arial"/>
                <w:sz w:val="16"/>
                <w:szCs w:val="16"/>
              </w:rPr>
              <w:t>95,954</w:t>
            </w:r>
          </w:p>
        </w:tc>
      </w:tr>
      <w:tr w:rsidR="00061A23" w:rsidRPr="00BB0568" w14:paraId="0B61BFD9" w14:textId="77777777" w:rsidTr="00436AC0">
        <w:trPr>
          <w:trHeight w:hRule="exact" w:val="204"/>
        </w:trPr>
        <w:tc>
          <w:tcPr>
            <w:tcW w:w="3333" w:type="pct"/>
            <w:tcBorders>
              <w:top w:val="nil"/>
              <w:left w:val="nil"/>
              <w:bottom w:val="nil"/>
              <w:right w:val="nil"/>
            </w:tcBorders>
            <w:shd w:val="clear" w:color="auto" w:fill="auto"/>
            <w:noWrap/>
            <w:vAlign w:val="bottom"/>
            <w:hideMark/>
          </w:tcPr>
          <w:p w14:paraId="0AB30ABC" w14:textId="77777777" w:rsidR="00061A23" w:rsidRPr="00BB0568" w:rsidRDefault="00061A23" w:rsidP="00061A23">
            <w:pPr>
              <w:spacing w:after="0" w:line="240" w:lineRule="auto"/>
              <w:ind w:left="113"/>
              <w:rPr>
                <w:rFonts w:ascii="Arial" w:hAnsi="Arial" w:cs="Arial"/>
                <w:sz w:val="16"/>
                <w:szCs w:val="16"/>
              </w:rPr>
            </w:pPr>
            <w:r w:rsidRPr="00BB0568">
              <w:rPr>
                <w:rFonts w:ascii="Arial" w:hAnsi="Arial" w:cs="Arial"/>
                <w:sz w:val="16"/>
                <w:szCs w:val="16"/>
              </w:rPr>
              <w:t>Non-appropriation receipts</w:t>
            </w:r>
          </w:p>
        </w:tc>
        <w:tc>
          <w:tcPr>
            <w:tcW w:w="884" w:type="pct"/>
            <w:tcBorders>
              <w:top w:val="nil"/>
              <w:left w:val="nil"/>
              <w:bottom w:val="nil"/>
              <w:right w:val="nil"/>
            </w:tcBorders>
            <w:shd w:val="clear" w:color="auto" w:fill="auto"/>
            <w:noWrap/>
            <w:vAlign w:val="bottom"/>
            <w:hideMark/>
          </w:tcPr>
          <w:p w14:paraId="11AF975B" w14:textId="22DB4F14" w:rsidR="00061A23" w:rsidRDefault="00061A23" w:rsidP="00061A23">
            <w:pPr>
              <w:spacing w:after="0" w:line="240" w:lineRule="auto"/>
              <w:jc w:val="right"/>
              <w:rPr>
                <w:rFonts w:ascii="Arial" w:hAnsi="Arial" w:cs="Arial"/>
                <w:sz w:val="16"/>
                <w:szCs w:val="16"/>
              </w:rPr>
            </w:pPr>
            <w:r>
              <w:rPr>
                <w:rFonts w:ascii="Arial" w:hAnsi="Arial" w:cs="Arial"/>
                <w:sz w:val="16"/>
                <w:szCs w:val="16"/>
              </w:rPr>
              <w:t>260,282</w:t>
            </w:r>
          </w:p>
        </w:tc>
        <w:tc>
          <w:tcPr>
            <w:tcW w:w="783" w:type="pct"/>
            <w:tcBorders>
              <w:top w:val="nil"/>
              <w:left w:val="nil"/>
              <w:bottom w:val="nil"/>
              <w:right w:val="nil"/>
            </w:tcBorders>
            <w:shd w:val="clear" w:color="auto" w:fill="E6E6E6"/>
            <w:noWrap/>
            <w:vAlign w:val="bottom"/>
            <w:hideMark/>
          </w:tcPr>
          <w:p w14:paraId="184E355C" w14:textId="52757267" w:rsidR="00061A23" w:rsidRDefault="00061A23" w:rsidP="00061A23">
            <w:pPr>
              <w:spacing w:after="0" w:line="240" w:lineRule="auto"/>
              <w:jc w:val="right"/>
              <w:rPr>
                <w:rFonts w:ascii="Arial" w:hAnsi="Arial" w:cs="Arial"/>
                <w:sz w:val="16"/>
                <w:szCs w:val="16"/>
              </w:rPr>
            </w:pPr>
            <w:r>
              <w:rPr>
                <w:rFonts w:ascii="Arial" w:hAnsi="Arial" w:cs="Arial"/>
                <w:sz w:val="16"/>
                <w:szCs w:val="16"/>
              </w:rPr>
              <w:t>260,728</w:t>
            </w:r>
          </w:p>
        </w:tc>
      </w:tr>
      <w:tr w:rsidR="00061A23" w:rsidRPr="00BB0568" w14:paraId="2A9DC111" w14:textId="77777777" w:rsidTr="00436AC0">
        <w:trPr>
          <w:trHeight w:hRule="exact" w:val="204"/>
        </w:trPr>
        <w:tc>
          <w:tcPr>
            <w:tcW w:w="3333" w:type="pct"/>
            <w:tcBorders>
              <w:top w:val="nil"/>
              <w:left w:val="nil"/>
              <w:bottom w:val="nil"/>
              <w:right w:val="nil"/>
            </w:tcBorders>
            <w:shd w:val="clear" w:color="auto" w:fill="auto"/>
            <w:noWrap/>
            <w:vAlign w:val="bottom"/>
            <w:hideMark/>
          </w:tcPr>
          <w:p w14:paraId="4009AEDD" w14:textId="77777777" w:rsidR="00061A23" w:rsidRPr="00BB0568" w:rsidRDefault="00061A23" w:rsidP="00061A23">
            <w:pPr>
              <w:spacing w:after="0" w:line="240" w:lineRule="auto"/>
              <w:rPr>
                <w:rFonts w:ascii="Arial" w:hAnsi="Arial" w:cs="Arial"/>
                <w:sz w:val="16"/>
                <w:szCs w:val="16"/>
              </w:rPr>
            </w:pPr>
            <w:r w:rsidRPr="00BB0568">
              <w:rPr>
                <w:rFonts w:ascii="Arial" w:hAnsi="Arial" w:cs="Arial"/>
                <w:sz w:val="16"/>
                <w:szCs w:val="16"/>
              </w:rPr>
              <w:t>Total special accounts receipts</w:t>
            </w:r>
          </w:p>
        </w:tc>
        <w:tc>
          <w:tcPr>
            <w:tcW w:w="884" w:type="pct"/>
            <w:tcBorders>
              <w:top w:val="single" w:sz="4" w:space="0" w:color="auto"/>
              <w:left w:val="nil"/>
              <w:bottom w:val="single" w:sz="4" w:space="0" w:color="auto"/>
              <w:right w:val="nil"/>
            </w:tcBorders>
            <w:shd w:val="clear" w:color="auto" w:fill="auto"/>
            <w:noWrap/>
            <w:vAlign w:val="bottom"/>
            <w:hideMark/>
          </w:tcPr>
          <w:p w14:paraId="4E86359E" w14:textId="7EB2C5D6" w:rsidR="00061A23" w:rsidRDefault="00061A23" w:rsidP="00061A23">
            <w:pPr>
              <w:spacing w:after="0" w:line="240" w:lineRule="auto"/>
              <w:jc w:val="right"/>
              <w:rPr>
                <w:rFonts w:ascii="Arial" w:hAnsi="Arial" w:cs="Arial"/>
                <w:sz w:val="16"/>
                <w:szCs w:val="16"/>
              </w:rPr>
            </w:pPr>
            <w:r>
              <w:rPr>
                <w:rFonts w:ascii="Arial" w:hAnsi="Arial" w:cs="Arial"/>
                <w:sz w:val="16"/>
                <w:szCs w:val="16"/>
              </w:rPr>
              <w:t>398,021</w:t>
            </w:r>
          </w:p>
        </w:tc>
        <w:tc>
          <w:tcPr>
            <w:tcW w:w="783" w:type="pct"/>
            <w:tcBorders>
              <w:top w:val="single" w:sz="4" w:space="0" w:color="auto"/>
              <w:left w:val="nil"/>
              <w:bottom w:val="single" w:sz="4" w:space="0" w:color="auto"/>
              <w:right w:val="nil"/>
            </w:tcBorders>
            <w:shd w:val="clear" w:color="auto" w:fill="E6E6E6"/>
            <w:noWrap/>
            <w:vAlign w:val="bottom"/>
            <w:hideMark/>
          </w:tcPr>
          <w:p w14:paraId="0DC3C65E" w14:textId="2B5C9C94" w:rsidR="00061A23" w:rsidRDefault="00061A23" w:rsidP="00061A23">
            <w:pPr>
              <w:spacing w:after="0" w:line="240" w:lineRule="auto"/>
              <w:jc w:val="right"/>
              <w:rPr>
                <w:rFonts w:ascii="Arial" w:hAnsi="Arial" w:cs="Arial"/>
                <w:sz w:val="16"/>
                <w:szCs w:val="16"/>
              </w:rPr>
            </w:pPr>
            <w:r>
              <w:rPr>
                <w:rFonts w:ascii="Arial" w:hAnsi="Arial" w:cs="Arial"/>
                <w:sz w:val="16"/>
                <w:szCs w:val="16"/>
              </w:rPr>
              <w:t>406,202</w:t>
            </w:r>
          </w:p>
        </w:tc>
      </w:tr>
      <w:tr w:rsidR="00061A23" w:rsidRPr="00D605C4" w14:paraId="6722A451" w14:textId="77777777" w:rsidTr="00436AC0">
        <w:trPr>
          <w:trHeight w:val="361"/>
        </w:trPr>
        <w:tc>
          <w:tcPr>
            <w:tcW w:w="3333" w:type="pct"/>
            <w:tcBorders>
              <w:top w:val="nil"/>
              <w:left w:val="nil"/>
              <w:bottom w:val="nil"/>
              <w:right w:val="nil"/>
            </w:tcBorders>
            <w:shd w:val="clear" w:color="auto" w:fill="auto"/>
            <w:vAlign w:val="bottom"/>
            <w:hideMark/>
          </w:tcPr>
          <w:p w14:paraId="01047682" w14:textId="368C1C8A" w:rsidR="00061A23" w:rsidRPr="00D605C4" w:rsidRDefault="00061A23" w:rsidP="00061A23">
            <w:pPr>
              <w:spacing w:after="0" w:line="240" w:lineRule="auto"/>
              <w:ind w:left="113"/>
              <w:rPr>
                <w:rFonts w:ascii="Arial" w:hAnsi="Arial" w:cs="Arial"/>
                <w:iCs/>
                <w:sz w:val="16"/>
                <w:szCs w:val="16"/>
              </w:rPr>
            </w:pPr>
            <w:r w:rsidRPr="00D605C4">
              <w:rPr>
                <w:rFonts w:ascii="Arial" w:hAnsi="Arial" w:cs="Arial"/>
                <w:iCs/>
                <w:sz w:val="16"/>
                <w:szCs w:val="16"/>
              </w:rPr>
              <w:t>less administered appropriations drawn from annual/</w:t>
            </w:r>
            <w:r>
              <w:rPr>
                <w:rFonts w:ascii="Arial" w:hAnsi="Arial" w:cs="Arial"/>
                <w:iCs/>
                <w:sz w:val="16"/>
                <w:szCs w:val="16"/>
              </w:rPr>
              <w:t xml:space="preserve"> </w:t>
            </w:r>
            <w:r w:rsidRPr="00D605C4">
              <w:rPr>
                <w:rFonts w:ascii="Arial" w:hAnsi="Arial" w:cs="Arial"/>
                <w:iCs/>
                <w:sz w:val="16"/>
                <w:szCs w:val="16"/>
              </w:rPr>
              <w:t>special appropriations and credited to special accounts</w:t>
            </w:r>
          </w:p>
        </w:tc>
        <w:tc>
          <w:tcPr>
            <w:tcW w:w="884" w:type="pct"/>
            <w:tcBorders>
              <w:top w:val="nil"/>
              <w:left w:val="nil"/>
              <w:right w:val="nil"/>
            </w:tcBorders>
            <w:shd w:val="clear" w:color="auto" w:fill="auto"/>
            <w:noWrap/>
            <w:vAlign w:val="bottom"/>
            <w:hideMark/>
          </w:tcPr>
          <w:p w14:paraId="2342F7B9" w14:textId="53104BDE" w:rsidR="00061A23" w:rsidRPr="00D605C4" w:rsidRDefault="00061A23" w:rsidP="00061A23">
            <w:pPr>
              <w:spacing w:after="0" w:line="240" w:lineRule="auto"/>
              <w:jc w:val="right"/>
              <w:rPr>
                <w:rFonts w:ascii="Arial" w:hAnsi="Arial" w:cs="Arial"/>
                <w:sz w:val="16"/>
                <w:szCs w:val="16"/>
              </w:rPr>
            </w:pPr>
            <w:r>
              <w:rPr>
                <w:rFonts w:ascii="Arial" w:hAnsi="Arial" w:cs="Arial"/>
                <w:sz w:val="16"/>
                <w:szCs w:val="16"/>
              </w:rPr>
              <w:t>(338,194)</w:t>
            </w:r>
          </w:p>
        </w:tc>
        <w:tc>
          <w:tcPr>
            <w:tcW w:w="783" w:type="pct"/>
            <w:tcBorders>
              <w:top w:val="nil"/>
              <w:left w:val="nil"/>
              <w:right w:val="nil"/>
            </w:tcBorders>
            <w:shd w:val="clear" w:color="auto" w:fill="E6E6E6"/>
            <w:noWrap/>
            <w:vAlign w:val="bottom"/>
            <w:hideMark/>
          </w:tcPr>
          <w:p w14:paraId="5B264B46" w14:textId="0B134CD5" w:rsidR="00061A23" w:rsidRPr="00D605C4" w:rsidRDefault="00061A23" w:rsidP="00061A23">
            <w:pPr>
              <w:spacing w:after="0" w:line="240" w:lineRule="auto"/>
              <w:jc w:val="right"/>
              <w:rPr>
                <w:rFonts w:ascii="Arial" w:hAnsi="Arial" w:cs="Arial"/>
                <w:sz w:val="16"/>
                <w:szCs w:val="16"/>
              </w:rPr>
            </w:pPr>
            <w:r>
              <w:rPr>
                <w:rFonts w:ascii="Arial" w:hAnsi="Arial" w:cs="Arial"/>
                <w:sz w:val="16"/>
                <w:szCs w:val="16"/>
              </w:rPr>
              <w:t>(336,748)</w:t>
            </w:r>
          </w:p>
        </w:tc>
      </w:tr>
      <w:tr w:rsidR="00061A23" w:rsidRPr="00D605C4" w14:paraId="3D9AA5D2" w14:textId="77777777" w:rsidTr="00436AC0">
        <w:trPr>
          <w:trHeight w:val="371"/>
        </w:trPr>
        <w:tc>
          <w:tcPr>
            <w:tcW w:w="3333" w:type="pct"/>
            <w:tcBorders>
              <w:top w:val="nil"/>
              <w:left w:val="nil"/>
              <w:bottom w:val="nil"/>
              <w:right w:val="nil"/>
            </w:tcBorders>
            <w:shd w:val="clear" w:color="auto" w:fill="auto"/>
            <w:vAlign w:val="bottom"/>
            <w:hideMark/>
          </w:tcPr>
          <w:p w14:paraId="37069E87" w14:textId="24665BCF" w:rsidR="00061A23" w:rsidRPr="00D605C4" w:rsidRDefault="00061A23" w:rsidP="00061A23">
            <w:pPr>
              <w:spacing w:after="0" w:line="240" w:lineRule="auto"/>
              <w:ind w:left="113"/>
              <w:rPr>
                <w:rFonts w:ascii="Arial" w:hAnsi="Arial" w:cs="Arial"/>
                <w:iCs/>
                <w:sz w:val="16"/>
                <w:szCs w:val="16"/>
              </w:rPr>
            </w:pPr>
            <w:r w:rsidRPr="00D605C4">
              <w:rPr>
                <w:rFonts w:ascii="Arial" w:hAnsi="Arial" w:cs="Arial"/>
                <w:iCs/>
                <w:sz w:val="16"/>
                <w:szCs w:val="16"/>
              </w:rPr>
              <w:t>less payments to corporate entities from annual/</w:t>
            </w:r>
            <w:r>
              <w:rPr>
                <w:rFonts w:ascii="Arial" w:hAnsi="Arial" w:cs="Arial"/>
                <w:iCs/>
                <w:sz w:val="16"/>
                <w:szCs w:val="16"/>
              </w:rPr>
              <w:t xml:space="preserve"> </w:t>
            </w:r>
            <w:r w:rsidRPr="00D605C4">
              <w:rPr>
                <w:rFonts w:ascii="Arial" w:hAnsi="Arial" w:cs="Arial"/>
                <w:iCs/>
                <w:sz w:val="16"/>
                <w:szCs w:val="16"/>
              </w:rPr>
              <w:t>special appropriations</w:t>
            </w:r>
          </w:p>
        </w:tc>
        <w:tc>
          <w:tcPr>
            <w:tcW w:w="884" w:type="pct"/>
            <w:tcBorders>
              <w:top w:val="nil"/>
              <w:left w:val="nil"/>
              <w:bottom w:val="single" w:sz="4" w:space="0" w:color="auto"/>
              <w:right w:val="nil"/>
            </w:tcBorders>
            <w:shd w:val="clear" w:color="auto" w:fill="auto"/>
            <w:noWrap/>
            <w:vAlign w:val="bottom"/>
            <w:hideMark/>
          </w:tcPr>
          <w:p w14:paraId="13FC787D" w14:textId="3D7EA7B9" w:rsidR="00061A23" w:rsidRPr="00D605C4" w:rsidRDefault="00061A23" w:rsidP="00061A23">
            <w:pPr>
              <w:spacing w:after="0" w:line="240" w:lineRule="auto"/>
              <w:jc w:val="right"/>
              <w:rPr>
                <w:rFonts w:ascii="Arial" w:hAnsi="Arial" w:cs="Arial"/>
                <w:sz w:val="16"/>
                <w:szCs w:val="16"/>
              </w:rPr>
            </w:pPr>
            <w:r>
              <w:rPr>
                <w:rFonts w:ascii="Arial" w:hAnsi="Arial" w:cs="Arial"/>
                <w:sz w:val="16"/>
                <w:szCs w:val="16"/>
              </w:rPr>
              <w:t>(2,412,549)</w:t>
            </w:r>
          </w:p>
        </w:tc>
        <w:tc>
          <w:tcPr>
            <w:tcW w:w="783" w:type="pct"/>
            <w:tcBorders>
              <w:top w:val="nil"/>
              <w:left w:val="nil"/>
              <w:bottom w:val="single" w:sz="4" w:space="0" w:color="auto"/>
              <w:right w:val="nil"/>
            </w:tcBorders>
            <w:shd w:val="clear" w:color="auto" w:fill="E6E6E6"/>
            <w:noWrap/>
            <w:vAlign w:val="bottom"/>
            <w:hideMark/>
          </w:tcPr>
          <w:p w14:paraId="57A705E9" w14:textId="635F8CC0" w:rsidR="00061A23" w:rsidRPr="00D605C4" w:rsidRDefault="00061A23" w:rsidP="00061A23">
            <w:pPr>
              <w:spacing w:after="0" w:line="240" w:lineRule="auto"/>
              <w:jc w:val="right"/>
              <w:rPr>
                <w:rFonts w:ascii="Arial" w:hAnsi="Arial" w:cs="Arial"/>
                <w:sz w:val="16"/>
                <w:szCs w:val="16"/>
              </w:rPr>
            </w:pPr>
            <w:r>
              <w:rPr>
                <w:rFonts w:ascii="Arial" w:hAnsi="Arial" w:cs="Arial"/>
                <w:sz w:val="16"/>
                <w:szCs w:val="16"/>
              </w:rPr>
              <w:t>(2,439,700)</w:t>
            </w:r>
          </w:p>
        </w:tc>
      </w:tr>
      <w:tr w:rsidR="00061A23" w:rsidRPr="00BB0568" w14:paraId="5027833E" w14:textId="77777777" w:rsidTr="00436AC0">
        <w:trPr>
          <w:trHeight w:hRule="exact" w:val="204"/>
        </w:trPr>
        <w:tc>
          <w:tcPr>
            <w:tcW w:w="3333" w:type="pct"/>
            <w:tcBorders>
              <w:top w:val="nil"/>
              <w:left w:val="nil"/>
              <w:bottom w:val="nil"/>
              <w:right w:val="nil"/>
            </w:tcBorders>
            <w:shd w:val="clear" w:color="auto" w:fill="auto"/>
            <w:noWrap/>
            <w:vAlign w:val="bottom"/>
            <w:hideMark/>
          </w:tcPr>
          <w:p w14:paraId="70D82B86" w14:textId="77777777" w:rsidR="00061A23" w:rsidRPr="00BB0568" w:rsidRDefault="00061A23" w:rsidP="00061A23">
            <w:pPr>
              <w:spacing w:after="0" w:line="240" w:lineRule="auto"/>
              <w:rPr>
                <w:rFonts w:ascii="Arial" w:hAnsi="Arial" w:cs="Arial"/>
                <w:b/>
                <w:bCs/>
                <w:sz w:val="16"/>
                <w:szCs w:val="16"/>
              </w:rPr>
            </w:pPr>
            <w:r w:rsidRPr="00BB0568">
              <w:rPr>
                <w:rFonts w:ascii="Arial" w:hAnsi="Arial" w:cs="Arial"/>
                <w:b/>
                <w:bCs/>
                <w:sz w:val="16"/>
                <w:szCs w:val="16"/>
              </w:rPr>
              <w:t>Total administered resourcing</w:t>
            </w:r>
          </w:p>
        </w:tc>
        <w:tc>
          <w:tcPr>
            <w:tcW w:w="884" w:type="pct"/>
            <w:tcBorders>
              <w:top w:val="single" w:sz="4" w:space="0" w:color="auto"/>
              <w:left w:val="nil"/>
              <w:bottom w:val="single" w:sz="4" w:space="0" w:color="auto"/>
              <w:right w:val="nil"/>
            </w:tcBorders>
            <w:shd w:val="clear" w:color="auto" w:fill="auto"/>
            <w:noWrap/>
            <w:vAlign w:val="bottom"/>
            <w:hideMark/>
          </w:tcPr>
          <w:p w14:paraId="300AA366" w14:textId="1AEF9ABB" w:rsidR="00061A23" w:rsidRDefault="00061A23" w:rsidP="00061A23">
            <w:pPr>
              <w:spacing w:after="0" w:line="240" w:lineRule="auto"/>
              <w:jc w:val="right"/>
              <w:rPr>
                <w:rFonts w:ascii="Arial" w:hAnsi="Arial" w:cs="Arial"/>
                <w:b/>
                <w:bCs/>
                <w:sz w:val="16"/>
                <w:szCs w:val="16"/>
              </w:rPr>
            </w:pPr>
            <w:r>
              <w:rPr>
                <w:rFonts w:ascii="Arial" w:hAnsi="Arial" w:cs="Arial"/>
                <w:b/>
                <w:bCs/>
                <w:sz w:val="16"/>
                <w:szCs w:val="16"/>
              </w:rPr>
              <w:t>15,293,176</w:t>
            </w:r>
          </w:p>
        </w:tc>
        <w:tc>
          <w:tcPr>
            <w:tcW w:w="783" w:type="pct"/>
            <w:tcBorders>
              <w:top w:val="single" w:sz="4" w:space="0" w:color="auto"/>
              <w:left w:val="nil"/>
              <w:bottom w:val="single" w:sz="4" w:space="0" w:color="auto"/>
              <w:right w:val="nil"/>
            </w:tcBorders>
            <w:shd w:val="clear" w:color="auto" w:fill="E6E6E6"/>
            <w:noWrap/>
            <w:vAlign w:val="bottom"/>
            <w:hideMark/>
          </w:tcPr>
          <w:p w14:paraId="232B534D" w14:textId="750FBDEA" w:rsidR="00061A23" w:rsidRDefault="00061A23" w:rsidP="00061A23">
            <w:pPr>
              <w:spacing w:after="0" w:line="240" w:lineRule="auto"/>
              <w:jc w:val="right"/>
              <w:rPr>
                <w:rFonts w:ascii="Arial" w:hAnsi="Arial" w:cs="Arial"/>
                <w:b/>
                <w:bCs/>
                <w:sz w:val="16"/>
                <w:szCs w:val="16"/>
              </w:rPr>
            </w:pPr>
            <w:r>
              <w:rPr>
                <w:rFonts w:ascii="Arial" w:hAnsi="Arial" w:cs="Arial"/>
                <w:b/>
                <w:bCs/>
                <w:sz w:val="16"/>
                <w:szCs w:val="16"/>
              </w:rPr>
              <w:t>14,292,081</w:t>
            </w:r>
          </w:p>
        </w:tc>
      </w:tr>
      <w:tr w:rsidR="00061A23" w:rsidRPr="00BB0568" w14:paraId="1E015A3F" w14:textId="77777777" w:rsidTr="00436AC0">
        <w:trPr>
          <w:trHeight w:hRule="exact" w:val="204"/>
        </w:trPr>
        <w:tc>
          <w:tcPr>
            <w:tcW w:w="3333" w:type="pct"/>
            <w:tcBorders>
              <w:top w:val="nil"/>
              <w:left w:val="nil"/>
              <w:bottom w:val="single" w:sz="4" w:space="0" w:color="auto"/>
              <w:right w:val="nil"/>
            </w:tcBorders>
            <w:shd w:val="clear" w:color="auto" w:fill="auto"/>
            <w:noWrap/>
            <w:vAlign w:val="bottom"/>
            <w:hideMark/>
          </w:tcPr>
          <w:p w14:paraId="16E2CC4D" w14:textId="77777777" w:rsidR="00061A23" w:rsidRPr="00BB0568" w:rsidRDefault="00061A23" w:rsidP="00061A23">
            <w:pPr>
              <w:spacing w:after="0" w:line="240" w:lineRule="auto"/>
              <w:rPr>
                <w:rFonts w:ascii="Arial" w:hAnsi="Arial" w:cs="Arial"/>
                <w:b/>
                <w:bCs/>
                <w:sz w:val="16"/>
                <w:szCs w:val="16"/>
              </w:rPr>
            </w:pPr>
            <w:r w:rsidRPr="00BB0568">
              <w:rPr>
                <w:rFonts w:ascii="Arial" w:hAnsi="Arial" w:cs="Arial"/>
                <w:b/>
                <w:bCs/>
                <w:sz w:val="16"/>
                <w:szCs w:val="16"/>
              </w:rPr>
              <w:t xml:space="preserve">Total resourcing for </w:t>
            </w:r>
            <w:r>
              <w:rPr>
                <w:rFonts w:ascii="Arial" w:hAnsi="Arial" w:cs="Arial"/>
                <w:b/>
                <w:bCs/>
                <w:sz w:val="16"/>
                <w:szCs w:val="16"/>
              </w:rPr>
              <w:t>the Department</w:t>
            </w:r>
          </w:p>
        </w:tc>
        <w:tc>
          <w:tcPr>
            <w:tcW w:w="884" w:type="pct"/>
            <w:tcBorders>
              <w:top w:val="nil"/>
              <w:left w:val="nil"/>
              <w:bottom w:val="single" w:sz="4" w:space="0" w:color="auto"/>
              <w:right w:val="nil"/>
            </w:tcBorders>
            <w:shd w:val="clear" w:color="auto" w:fill="auto"/>
            <w:noWrap/>
            <w:vAlign w:val="bottom"/>
            <w:hideMark/>
          </w:tcPr>
          <w:p w14:paraId="15C4533B" w14:textId="77F5ACDF" w:rsidR="00061A23" w:rsidRDefault="00061A23" w:rsidP="00061A23">
            <w:pPr>
              <w:spacing w:after="0" w:line="240" w:lineRule="auto"/>
              <w:jc w:val="right"/>
              <w:rPr>
                <w:rFonts w:ascii="Arial" w:hAnsi="Arial" w:cs="Arial"/>
                <w:b/>
                <w:bCs/>
                <w:sz w:val="16"/>
                <w:szCs w:val="16"/>
              </w:rPr>
            </w:pPr>
            <w:r>
              <w:rPr>
                <w:rFonts w:ascii="Arial" w:hAnsi="Arial" w:cs="Arial"/>
                <w:b/>
                <w:bCs/>
                <w:sz w:val="16"/>
                <w:szCs w:val="16"/>
              </w:rPr>
              <w:t>15,947,851</w:t>
            </w:r>
          </w:p>
        </w:tc>
        <w:tc>
          <w:tcPr>
            <w:tcW w:w="783" w:type="pct"/>
            <w:tcBorders>
              <w:top w:val="nil"/>
              <w:left w:val="nil"/>
              <w:bottom w:val="single" w:sz="4" w:space="0" w:color="auto"/>
              <w:right w:val="nil"/>
            </w:tcBorders>
            <w:shd w:val="clear" w:color="auto" w:fill="E6E6E6"/>
            <w:noWrap/>
            <w:vAlign w:val="bottom"/>
            <w:hideMark/>
          </w:tcPr>
          <w:p w14:paraId="27B9CD2F" w14:textId="26F5D263" w:rsidR="00061A23" w:rsidRDefault="00061A23" w:rsidP="00061A23">
            <w:pPr>
              <w:spacing w:after="0" w:line="240" w:lineRule="auto"/>
              <w:jc w:val="right"/>
              <w:rPr>
                <w:rFonts w:ascii="Arial" w:hAnsi="Arial" w:cs="Arial"/>
                <w:b/>
                <w:bCs/>
                <w:sz w:val="16"/>
                <w:szCs w:val="16"/>
              </w:rPr>
            </w:pPr>
            <w:r>
              <w:rPr>
                <w:rFonts w:ascii="Arial" w:hAnsi="Arial" w:cs="Arial"/>
                <w:b/>
                <w:bCs/>
                <w:sz w:val="16"/>
                <w:szCs w:val="16"/>
              </w:rPr>
              <w:t>14,838,778</w:t>
            </w:r>
          </w:p>
        </w:tc>
      </w:tr>
    </w:tbl>
    <w:p w14:paraId="34EFD205" w14:textId="77777777" w:rsidR="00115843" w:rsidRPr="00E1004B" w:rsidRDefault="00115843" w:rsidP="00115843">
      <w:pPr>
        <w:pStyle w:val="TableGraphic"/>
        <w:rPr>
          <w:rFonts w:ascii="Arial" w:hAnsi="Arial" w:cs="Arial"/>
          <w:sz w:val="16"/>
          <w:szCs w:val="12"/>
        </w:rPr>
      </w:pPr>
    </w:p>
    <w:tbl>
      <w:tblPr>
        <w:tblW w:w="5000" w:type="pct"/>
        <w:tblLook w:val="04A0" w:firstRow="1" w:lastRow="0" w:firstColumn="1" w:lastColumn="0" w:noHBand="0" w:noVBand="1"/>
      </w:tblPr>
      <w:tblGrid>
        <w:gridCol w:w="5140"/>
        <w:gridCol w:w="1363"/>
        <w:gridCol w:w="1207"/>
      </w:tblGrid>
      <w:tr w:rsidR="00115843" w:rsidRPr="00BB0568" w14:paraId="0913D019" w14:textId="77777777" w:rsidTr="00436AC0">
        <w:trPr>
          <w:trHeight w:hRule="exact" w:val="204"/>
        </w:trPr>
        <w:tc>
          <w:tcPr>
            <w:tcW w:w="3333" w:type="pct"/>
            <w:tcBorders>
              <w:top w:val="single" w:sz="4" w:space="0" w:color="auto"/>
              <w:left w:val="nil"/>
              <w:bottom w:val="nil"/>
              <w:right w:val="nil"/>
            </w:tcBorders>
            <w:shd w:val="clear" w:color="auto" w:fill="auto"/>
            <w:noWrap/>
            <w:vAlign w:val="bottom"/>
            <w:hideMark/>
          </w:tcPr>
          <w:p w14:paraId="6F58C6F5" w14:textId="77777777" w:rsidR="00115843" w:rsidRPr="00BB0568" w:rsidRDefault="00115843" w:rsidP="00FB0D02">
            <w:pPr>
              <w:spacing w:after="0" w:line="240" w:lineRule="auto"/>
              <w:rPr>
                <w:rFonts w:ascii="Times New Roman" w:hAnsi="Times New Roman"/>
                <w:szCs w:val="24"/>
              </w:rPr>
            </w:pPr>
          </w:p>
        </w:tc>
        <w:tc>
          <w:tcPr>
            <w:tcW w:w="884" w:type="pct"/>
            <w:tcBorders>
              <w:top w:val="single" w:sz="4" w:space="0" w:color="auto"/>
              <w:left w:val="nil"/>
              <w:bottom w:val="single" w:sz="4" w:space="0" w:color="auto"/>
              <w:right w:val="nil"/>
            </w:tcBorders>
            <w:shd w:val="clear" w:color="auto" w:fill="auto"/>
            <w:vAlign w:val="bottom"/>
            <w:hideMark/>
          </w:tcPr>
          <w:p w14:paraId="3BD5873C" w14:textId="77777777" w:rsidR="00115843" w:rsidRPr="00552136" w:rsidRDefault="00115843" w:rsidP="00FB0D02">
            <w:pPr>
              <w:spacing w:after="0" w:line="240" w:lineRule="auto"/>
              <w:jc w:val="right"/>
              <w:rPr>
                <w:rFonts w:ascii="Arial" w:hAnsi="Arial" w:cs="Arial"/>
                <w:iCs/>
                <w:sz w:val="16"/>
                <w:szCs w:val="16"/>
              </w:rPr>
            </w:pPr>
            <w:r w:rsidRPr="00552136">
              <w:rPr>
                <w:rFonts w:ascii="Arial" w:hAnsi="Arial" w:cs="Arial"/>
                <w:iCs/>
                <w:sz w:val="16"/>
                <w:szCs w:val="16"/>
              </w:rPr>
              <w:t>2021-22</w:t>
            </w:r>
          </w:p>
        </w:tc>
        <w:tc>
          <w:tcPr>
            <w:tcW w:w="783" w:type="pct"/>
            <w:tcBorders>
              <w:top w:val="single" w:sz="4" w:space="0" w:color="auto"/>
              <w:left w:val="nil"/>
              <w:bottom w:val="single" w:sz="4" w:space="0" w:color="auto"/>
              <w:right w:val="nil"/>
            </w:tcBorders>
            <w:shd w:val="clear" w:color="auto" w:fill="E6E6E6"/>
            <w:vAlign w:val="bottom"/>
            <w:hideMark/>
          </w:tcPr>
          <w:p w14:paraId="09B1E7BC" w14:textId="77777777" w:rsidR="00115843" w:rsidRPr="00BB0568" w:rsidRDefault="00115843" w:rsidP="00FB0D02">
            <w:pPr>
              <w:spacing w:after="0" w:line="240" w:lineRule="auto"/>
              <w:jc w:val="right"/>
              <w:rPr>
                <w:rFonts w:ascii="Arial" w:hAnsi="Arial" w:cs="Arial"/>
                <w:sz w:val="16"/>
                <w:szCs w:val="16"/>
              </w:rPr>
            </w:pPr>
            <w:r w:rsidRPr="00BB0568">
              <w:rPr>
                <w:rFonts w:ascii="Arial" w:hAnsi="Arial" w:cs="Arial"/>
                <w:sz w:val="16"/>
                <w:szCs w:val="16"/>
              </w:rPr>
              <w:t>2022-23</w:t>
            </w:r>
          </w:p>
        </w:tc>
      </w:tr>
      <w:tr w:rsidR="00115843" w:rsidRPr="00BB0568" w14:paraId="226E3F8C" w14:textId="77777777" w:rsidTr="00436AC0">
        <w:trPr>
          <w:trHeight w:hRule="exact" w:val="204"/>
        </w:trPr>
        <w:tc>
          <w:tcPr>
            <w:tcW w:w="3333" w:type="pct"/>
            <w:tcBorders>
              <w:top w:val="nil"/>
              <w:left w:val="nil"/>
              <w:bottom w:val="single" w:sz="4" w:space="0" w:color="auto"/>
              <w:right w:val="nil"/>
            </w:tcBorders>
            <w:shd w:val="clear" w:color="auto" w:fill="auto"/>
            <w:noWrap/>
            <w:vAlign w:val="bottom"/>
            <w:hideMark/>
          </w:tcPr>
          <w:p w14:paraId="5822F66B" w14:textId="77777777" w:rsidR="00115843" w:rsidRPr="00BB0568" w:rsidRDefault="00115843" w:rsidP="00FB0D02">
            <w:pPr>
              <w:spacing w:after="0" w:line="240" w:lineRule="auto"/>
              <w:rPr>
                <w:rFonts w:ascii="Arial" w:hAnsi="Arial" w:cs="Arial"/>
                <w:b/>
                <w:bCs/>
                <w:sz w:val="16"/>
                <w:szCs w:val="16"/>
              </w:rPr>
            </w:pPr>
            <w:r w:rsidRPr="00BB0568">
              <w:rPr>
                <w:rFonts w:ascii="Arial" w:hAnsi="Arial" w:cs="Arial"/>
                <w:b/>
                <w:bCs/>
                <w:sz w:val="16"/>
                <w:szCs w:val="16"/>
              </w:rPr>
              <w:t>Average staffing level (number)</w:t>
            </w:r>
          </w:p>
        </w:tc>
        <w:tc>
          <w:tcPr>
            <w:tcW w:w="884" w:type="pct"/>
            <w:tcBorders>
              <w:top w:val="nil"/>
              <w:left w:val="nil"/>
              <w:bottom w:val="single" w:sz="4" w:space="0" w:color="auto"/>
              <w:right w:val="nil"/>
            </w:tcBorders>
            <w:shd w:val="clear" w:color="auto" w:fill="auto"/>
            <w:noWrap/>
            <w:vAlign w:val="bottom"/>
            <w:hideMark/>
          </w:tcPr>
          <w:p w14:paraId="50544E92" w14:textId="77777777" w:rsidR="00115843" w:rsidRPr="00552136" w:rsidRDefault="00115843" w:rsidP="00FB0D02">
            <w:pPr>
              <w:spacing w:after="0" w:line="240" w:lineRule="auto"/>
              <w:jc w:val="right"/>
              <w:rPr>
                <w:rFonts w:ascii="Arial" w:hAnsi="Arial" w:cs="Arial"/>
                <w:iCs/>
                <w:sz w:val="16"/>
                <w:szCs w:val="16"/>
              </w:rPr>
            </w:pPr>
            <w:r w:rsidRPr="00552136">
              <w:rPr>
                <w:rFonts w:ascii="Arial" w:hAnsi="Arial" w:cs="Arial"/>
                <w:iCs/>
                <w:sz w:val="16"/>
                <w:szCs w:val="16"/>
              </w:rPr>
              <w:t>1,716</w:t>
            </w:r>
          </w:p>
        </w:tc>
        <w:tc>
          <w:tcPr>
            <w:tcW w:w="783" w:type="pct"/>
            <w:tcBorders>
              <w:top w:val="nil"/>
              <w:left w:val="nil"/>
              <w:bottom w:val="single" w:sz="4" w:space="0" w:color="auto"/>
              <w:right w:val="nil"/>
            </w:tcBorders>
            <w:shd w:val="clear" w:color="auto" w:fill="E6E6E6"/>
            <w:noWrap/>
            <w:vAlign w:val="bottom"/>
            <w:hideMark/>
          </w:tcPr>
          <w:p w14:paraId="4D571FDD" w14:textId="77777777" w:rsidR="00115843" w:rsidRPr="00BB0568" w:rsidRDefault="00115843" w:rsidP="00FB0D02">
            <w:pPr>
              <w:spacing w:after="0" w:line="240" w:lineRule="auto"/>
              <w:jc w:val="right"/>
              <w:rPr>
                <w:rFonts w:ascii="Arial" w:hAnsi="Arial" w:cs="Arial"/>
                <w:sz w:val="16"/>
                <w:szCs w:val="16"/>
              </w:rPr>
            </w:pPr>
            <w:r w:rsidRPr="00BB0568">
              <w:rPr>
                <w:rFonts w:ascii="Arial" w:hAnsi="Arial" w:cs="Arial"/>
                <w:sz w:val="16"/>
                <w:szCs w:val="16"/>
              </w:rPr>
              <w:t>1,7</w:t>
            </w:r>
            <w:r>
              <w:rPr>
                <w:rFonts w:ascii="Arial" w:hAnsi="Arial" w:cs="Arial"/>
                <w:sz w:val="16"/>
                <w:szCs w:val="16"/>
              </w:rPr>
              <w:t>7</w:t>
            </w:r>
            <w:r w:rsidRPr="00BB0568">
              <w:rPr>
                <w:rFonts w:ascii="Arial" w:hAnsi="Arial" w:cs="Arial"/>
                <w:sz w:val="16"/>
                <w:szCs w:val="16"/>
              </w:rPr>
              <w:t>2</w:t>
            </w:r>
          </w:p>
        </w:tc>
      </w:tr>
    </w:tbl>
    <w:p w14:paraId="7A88A4AA" w14:textId="77777777" w:rsidR="00115843" w:rsidRDefault="00115843" w:rsidP="00115843">
      <w:pPr>
        <w:spacing w:after="0" w:line="240" w:lineRule="auto"/>
        <w:rPr>
          <w:rFonts w:ascii="Arial" w:hAnsi="Arial"/>
          <w:b/>
        </w:rPr>
      </w:pPr>
      <w:r>
        <w:br w:type="page"/>
      </w:r>
    </w:p>
    <w:p w14:paraId="6722008C" w14:textId="77777777" w:rsidR="00115843" w:rsidRDefault="00115843" w:rsidP="00115843">
      <w:pPr>
        <w:pStyle w:val="TableHeading"/>
        <w:spacing w:after="0"/>
        <w:rPr>
          <w:sz w:val="16"/>
        </w:rPr>
      </w:pPr>
      <w:r w:rsidRPr="00D44150">
        <w:lastRenderedPageBreak/>
        <w:t xml:space="preserve">Table 1.1: </w:t>
      </w:r>
      <w:r>
        <w:t>Department of Infrastructure, Transport, Regional Development, Communications and the Arts</w:t>
      </w:r>
      <w:r w:rsidRPr="00D44150">
        <w:t xml:space="preserve"> resource statement</w:t>
      </w:r>
      <w:r>
        <w:t xml:space="preserve"> — Budget estimates for 2022</w:t>
      </w:r>
      <w:r>
        <w:noBreakHyphen/>
        <w:t xml:space="preserve">23 </w:t>
      </w:r>
      <w:r w:rsidRPr="00D44150">
        <w:t xml:space="preserve">as at </w:t>
      </w:r>
      <w:r>
        <w:t xml:space="preserve">October </w:t>
      </w:r>
      <w:r w:rsidRPr="00D44150">
        <w:t xml:space="preserve">Budget </w:t>
      </w:r>
      <w:r>
        <w:t>2022 (continued)</w:t>
      </w:r>
    </w:p>
    <w:p w14:paraId="1E7BDF31" w14:textId="77777777" w:rsidR="00115843" w:rsidRPr="008A4505" w:rsidRDefault="00115843" w:rsidP="00115843">
      <w:pPr>
        <w:pStyle w:val="TableHeading"/>
        <w:spacing w:after="0"/>
      </w:pPr>
      <w:r w:rsidRPr="008A4505">
        <w:t>Third party payments from and on behalf of other entities</w:t>
      </w:r>
    </w:p>
    <w:tbl>
      <w:tblPr>
        <w:tblW w:w="5000" w:type="pct"/>
        <w:tblLook w:val="04A0" w:firstRow="1" w:lastRow="0" w:firstColumn="1" w:lastColumn="0" w:noHBand="0" w:noVBand="1"/>
      </w:tblPr>
      <w:tblGrid>
        <w:gridCol w:w="5158"/>
        <w:gridCol w:w="1354"/>
        <w:gridCol w:w="1198"/>
      </w:tblGrid>
      <w:tr w:rsidR="00115843" w:rsidRPr="00DC39E8" w14:paraId="2DD6C17F" w14:textId="77777777" w:rsidTr="00436AC0">
        <w:trPr>
          <w:trHeight w:val="204"/>
        </w:trPr>
        <w:tc>
          <w:tcPr>
            <w:tcW w:w="3345" w:type="pct"/>
            <w:tcBorders>
              <w:top w:val="single" w:sz="4" w:space="0" w:color="auto"/>
              <w:left w:val="nil"/>
              <w:bottom w:val="nil"/>
              <w:right w:val="nil"/>
            </w:tcBorders>
            <w:shd w:val="clear" w:color="auto" w:fill="auto"/>
            <w:noWrap/>
            <w:vAlign w:val="bottom"/>
            <w:hideMark/>
          </w:tcPr>
          <w:p w14:paraId="112E1699" w14:textId="77777777" w:rsidR="00115843" w:rsidRPr="00DC39E8" w:rsidRDefault="00115843" w:rsidP="00FB0D02">
            <w:pPr>
              <w:spacing w:after="0" w:line="240" w:lineRule="auto"/>
              <w:rPr>
                <w:rFonts w:ascii="Times New Roman" w:hAnsi="Times New Roman"/>
                <w:szCs w:val="24"/>
              </w:rPr>
            </w:pPr>
          </w:p>
        </w:tc>
        <w:tc>
          <w:tcPr>
            <w:tcW w:w="878" w:type="pct"/>
            <w:tcBorders>
              <w:top w:val="single" w:sz="4" w:space="0" w:color="auto"/>
              <w:left w:val="nil"/>
              <w:bottom w:val="single" w:sz="4" w:space="0" w:color="auto"/>
              <w:right w:val="nil"/>
            </w:tcBorders>
            <w:shd w:val="clear" w:color="auto" w:fill="auto"/>
            <w:vAlign w:val="bottom"/>
            <w:hideMark/>
          </w:tcPr>
          <w:p w14:paraId="30259D1C" w14:textId="77777777" w:rsidR="00115843" w:rsidRPr="00E95145" w:rsidRDefault="00115843" w:rsidP="00FB0D02">
            <w:pPr>
              <w:spacing w:after="0" w:line="240" w:lineRule="auto"/>
              <w:jc w:val="right"/>
              <w:rPr>
                <w:rFonts w:ascii="Arial" w:hAnsi="Arial" w:cs="Arial"/>
                <w:iCs/>
                <w:sz w:val="16"/>
                <w:szCs w:val="16"/>
              </w:rPr>
            </w:pPr>
            <w:r w:rsidRPr="00E95145">
              <w:rPr>
                <w:rFonts w:ascii="Arial" w:hAnsi="Arial" w:cs="Arial"/>
                <w:iCs/>
                <w:sz w:val="16"/>
                <w:szCs w:val="16"/>
              </w:rPr>
              <w:t>2021-22 Estimated actual</w:t>
            </w:r>
            <w:r w:rsidRPr="00E95145">
              <w:rPr>
                <w:rFonts w:ascii="Arial" w:hAnsi="Arial" w:cs="Arial"/>
                <w:iCs/>
                <w:sz w:val="16"/>
                <w:szCs w:val="16"/>
              </w:rPr>
              <w:br/>
              <w:t>$'000</w:t>
            </w:r>
          </w:p>
        </w:tc>
        <w:tc>
          <w:tcPr>
            <w:tcW w:w="777" w:type="pct"/>
            <w:tcBorders>
              <w:top w:val="single" w:sz="4" w:space="0" w:color="auto"/>
              <w:left w:val="nil"/>
              <w:bottom w:val="single" w:sz="4" w:space="0" w:color="auto"/>
              <w:right w:val="nil"/>
            </w:tcBorders>
            <w:shd w:val="clear" w:color="auto" w:fill="E6E6E6"/>
            <w:vAlign w:val="bottom"/>
            <w:hideMark/>
          </w:tcPr>
          <w:p w14:paraId="2E09177C" w14:textId="77777777" w:rsidR="00115843" w:rsidRPr="00DC39E8" w:rsidRDefault="00115843" w:rsidP="00FB0D02">
            <w:pPr>
              <w:spacing w:after="0" w:line="240" w:lineRule="auto"/>
              <w:jc w:val="right"/>
              <w:rPr>
                <w:rFonts w:ascii="Arial" w:hAnsi="Arial" w:cs="Arial"/>
                <w:sz w:val="16"/>
                <w:szCs w:val="16"/>
              </w:rPr>
            </w:pPr>
            <w:r w:rsidRPr="00DC39E8">
              <w:rPr>
                <w:rFonts w:ascii="Arial" w:hAnsi="Arial" w:cs="Arial"/>
                <w:sz w:val="16"/>
                <w:szCs w:val="16"/>
              </w:rPr>
              <w:t>2022-23</w:t>
            </w:r>
            <w:r>
              <w:rPr>
                <w:rFonts w:ascii="Arial" w:hAnsi="Arial" w:cs="Arial"/>
                <w:sz w:val="16"/>
                <w:szCs w:val="16"/>
              </w:rPr>
              <w:t xml:space="preserve"> </w:t>
            </w:r>
            <w:r w:rsidRPr="00E95145">
              <w:rPr>
                <w:rFonts w:ascii="Arial" w:hAnsi="Arial" w:cs="Arial"/>
                <w:sz w:val="16"/>
                <w:szCs w:val="16"/>
                <w:vertAlign w:val="superscript"/>
              </w:rPr>
              <w:t>(a)</w:t>
            </w:r>
            <w:r w:rsidRPr="00DC39E8">
              <w:rPr>
                <w:rFonts w:ascii="Arial" w:hAnsi="Arial" w:cs="Arial"/>
                <w:sz w:val="16"/>
                <w:szCs w:val="16"/>
              </w:rPr>
              <w:t xml:space="preserve"> Estimate</w:t>
            </w:r>
            <w:r w:rsidRPr="00DC39E8">
              <w:rPr>
                <w:rFonts w:ascii="Arial" w:hAnsi="Arial" w:cs="Arial"/>
                <w:sz w:val="16"/>
                <w:szCs w:val="16"/>
              </w:rPr>
              <w:br/>
            </w:r>
            <w:r w:rsidRPr="00DC39E8">
              <w:rPr>
                <w:rFonts w:ascii="Arial" w:hAnsi="Arial" w:cs="Arial"/>
                <w:sz w:val="16"/>
                <w:szCs w:val="16"/>
              </w:rPr>
              <w:br/>
              <w:t>$'000</w:t>
            </w:r>
          </w:p>
        </w:tc>
      </w:tr>
      <w:tr w:rsidR="00115843" w:rsidRPr="00DC39E8" w14:paraId="076B3CB3" w14:textId="77777777" w:rsidTr="00436AC0">
        <w:trPr>
          <w:trHeight w:val="204"/>
        </w:trPr>
        <w:tc>
          <w:tcPr>
            <w:tcW w:w="3345" w:type="pct"/>
            <w:tcBorders>
              <w:top w:val="nil"/>
              <w:left w:val="nil"/>
              <w:bottom w:val="nil"/>
              <w:right w:val="nil"/>
            </w:tcBorders>
            <w:shd w:val="clear" w:color="auto" w:fill="auto"/>
            <w:vAlign w:val="bottom"/>
            <w:hideMark/>
          </w:tcPr>
          <w:p w14:paraId="22C9E9A0" w14:textId="77777777" w:rsidR="00115843" w:rsidRPr="00DC39E8" w:rsidRDefault="00115843" w:rsidP="00FB0D02">
            <w:pPr>
              <w:spacing w:after="0" w:line="240" w:lineRule="auto"/>
              <w:rPr>
                <w:rFonts w:ascii="Arial" w:hAnsi="Arial" w:cs="Arial"/>
                <w:sz w:val="16"/>
                <w:szCs w:val="16"/>
              </w:rPr>
            </w:pPr>
            <w:r w:rsidRPr="00DC39E8">
              <w:rPr>
                <w:rFonts w:ascii="Arial" w:hAnsi="Arial" w:cs="Arial"/>
                <w:sz w:val="16"/>
                <w:szCs w:val="16"/>
              </w:rPr>
              <w:t xml:space="preserve">Receipts received from other entities for the provision of services (disclosed above in s74 external revenue section above) </w:t>
            </w:r>
          </w:p>
        </w:tc>
        <w:tc>
          <w:tcPr>
            <w:tcW w:w="878" w:type="pct"/>
            <w:tcBorders>
              <w:top w:val="nil"/>
              <w:left w:val="nil"/>
              <w:bottom w:val="nil"/>
              <w:right w:val="nil"/>
            </w:tcBorders>
            <w:shd w:val="clear" w:color="auto" w:fill="auto"/>
            <w:vAlign w:val="bottom"/>
            <w:hideMark/>
          </w:tcPr>
          <w:p w14:paraId="3714535A" w14:textId="77777777" w:rsidR="00115843" w:rsidRPr="008D6E19" w:rsidRDefault="00115843" w:rsidP="00FB0D02">
            <w:pPr>
              <w:spacing w:before="100" w:beforeAutospacing="1" w:after="0" w:line="240" w:lineRule="auto"/>
              <w:jc w:val="right"/>
              <w:rPr>
                <w:rFonts w:ascii="Arial" w:hAnsi="Arial" w:cs="Arial"/>
                <w:color w:val="000000" w:themeColor="text1"/>
                <w:sz w:val="16"/>
                <w:szCs w:val="16"/>
              </w:rPr>
            </w:pPr>
          </w:p>
        </w:tc>
        <w:tc>
          <w:tcPr>
            <w:tcW w:w="777" w:type="pct"/>
            <w:tcBorders>
              <w:top w:val="nil"/>
              <w:left w:val="nil"/>
              <w:bottom w:val="nil"/>
              <w:right w:val="nil"/>
            </w:tcBorders>
            <w:shd w:val="clear" w:color="auto" w:fill="E6E6E6"/>
            <w:vAlign w:val="bottom"/>
            <w:hideMark/>
          </w:tcPr>
          <w:p w14:paraId="21CE6E53" w14:textId="77777777" w:rsidR="00115843" w:rsidRPr="00DC39E8" w:rsidRDefault="00115843" w:rsidP="00FB0D02">
            <w:pPr>
              <w:spacing w:before="100" w:beforeAutospacing="1" w:after="0" w:line="240" w:lineRule="auto"/>
              <w:jc w:val="right"/>
              <w:rPr>
                <w:rFonts w:ascii="Arial" w:hAnsi="Arial" w:cs="Arial"/>
                <w:color w:val="000000" w:themeColor="text1"/>
                <w:sz w:val="16"/>
                <w:szCs w:val="16"/>
              </w:rPr>
            </w:pPr>
          </w:p>
        </w:tc>
      </w:tr>
      <w:tr w:rsidR="00061A23" w:rsidRPr="00DC39E8" w14:paraId="00BDBAD5" w14:textId="77777777" w:rsidTr="00436AC0">
        <w:trPr>
          <w:trHeight w:val="204"/>
        </w:trPr>
        <w:tc>
          <w:tcPr>
            <w:tcW w:w="3345" w:type="pct"/>
            <w:tcBorders>
              <w:top w:val="nil"/>
              <w:left w:val="nil"/>
              <w:bottom w:val="nil"/>
              <w:right w:val="nil"/>
            </w:tcBorders>
            <w:shd w:val="clear" w:color="auto" w:fill="auto"/>
            <w:noWrap/>
            <w:vAlign w:val="bottom"/>
            <w:hideMark/>
          </w:tcPr>
          <w:p w14:paraId="38044AA3"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Australian Transport Safety Bureau</w:t>
            </w:r>
          </w:p>
        </w:tc>
        <w:tc>
          <w:tcPr>
            <w:tcW w:w="878" w:type="pct"/>
            <w:tcBorders>
              <w:top w:val="nil"/>
              <w:left w:val="nil"/>
              <w:bottom w:val="nil"/>
              <w:right w:val="nil"/>
            </w:tcBorders>
            <w:shd w:val="clear" w:color="auto" w:fill="auto"/>
            <w:noWrap/>
            <w:vAlign w:val="bottom"/>
            <w:hideMark/>
          </w:tcPr>
          <w:p w14:paraId="17B01E1E" w14:textId="4FC988B6"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315</w:t>
            </w:r>
          </w:p>
        </w:tc>
        <w:tc>
          <w:tcPr>
            <w:tcW w:w="777" w:type="pct"/>
            <w:tcBorders>
              <w:top w:val="nil"/>
              <w:left w:val="nil"/>
              <w:bottom w:val="nil"/>
              <w:right w:val="nil"/>
            </w:tcBorders>
            <w:shd w:val="clear" w:color="auto" w:fill="E6E6E6"/>
            <w:noWrap/>
            <w:vAlign w:val="bottom"/>
            <w:hideMark/>
          </w:tcPr>
          <w:p w14:paraId="5A8022A3" w14:textId="018E8D21"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315</w:t>
            </w:r>
          </w:p>
        </w:tc>
      </w:tr>
      <w:tr w:rsidR="00061A23" w:rsidRPr="00DC39E8" w14:paraId="698C1035" w14:textId="77777777" w:rsidTr="00436AC0">
        <w:trPr>
          <w:trHeight w:val="204"/>
        </w:trPr>
        <w:tc>
          <w:tcPr>
            <w:tcW w:w="3345" w:type="pct"/>
            <w:tcBorders>
              <w:top w:val="nil"/>
              <w:left w:val="nil"/>
              <w:bottom w:val="nil"/>
              <w:right w:val="nil"/>
            </w:tcBorders>
            <w:shd w:val="clear" w:color="auto" w:fill="auto"/>
            <w:vAlign w:val="bottom"/>
            <w:hideMark/>
          </w:tcPr>
          <w:p w14:paraId="09B53B46" w14:textId="77777777" w:rsidR="00061A23" w:rsidRPr="00DC39E8" w:rsidRDefault="00061A23" w:rsidP="00061A23">
            <w:pPr>
              <w:spacing w:after="0" w:line="240" w:lineRule="auto"/>
              <w:rPr>
                <w:rFonts w:ascii="Arial" w:hAnsi="Arial" w:cs="Arial"/>
                <w:sz w:val="16"/>
                <w:szCs w:val="16"/>
              </w:rPr>
            </w:pPr>
            <w:r w:rsidRPr="00DC39E8">
              <w:rPr>
                <w:rFonts w:ascii="Arial" w:hAnsi="Arial" w:cs="Arial"/>
                <w:sz w:val="16"/>
                <w:szCs w:val="16"/>
              </w:rPr>
              <w:t xml:space="preserve">Payments made by other entities on behalf of the Department (disclosed above within administered appropriations) </w:t>
            </w:r>
          </w:p>
        </w:tc>
        <w:tc>
          <w:tcPr>
            <w:tcW w:w="878" w:type="pct"/>
            <w:tcBorders>
              <w:top w:val="nil"/>
              <w:left w:val="nil"/>
              <w:bottom w:val="nil"/>
              <w:right w:val="nil"/>
            </w:tcBorders>
            <w:shd w:val="clear" w:color="auto" w:fill="auto"/>
            <w:vAlign w:val="bottom"/>
            <w:hideMark/>
          </w:tcPr>
          <w:p w14:paraId="08AFA142" w14:textId="77777777" w:rsidR="00061A23" w:rsidRPr="006F5FAA" w:rsidRDefault="00061A23" w:rsidP="00061A23">
            <w:pPr>
              <w:spacing w:before="100" w:beforeAutospacing="1" w:after="0" w:line="240" w:lineRule="auto"/>
              <w:jc w:val="right"/>
              <w:rPr>
                <w:rFonts w:ascii="Arial" w:hAnsi="Arial" w:cs="Arial"/>
                <w:sz w:val="16"/>
                <w:szCs w:val="16"/>
              </w:rPr>
            </w:pPr>
          </w:p>
        </w:tc>
        <w:tc>
          <w:tcPr>
            <w:tcW w:w="777" w:type="pct"/>
            <w:tcBorders>
              <w:top w:val="nil"/>
              <w:left w:val="nil"/>
              <w:bottom w:val="nil"/>
              <w:right w:val="nil"/>
            </w:tcBorders>
            <w:shd w:val="clear" w:color="auto" w:fill="E6E6E6"/>
            <w:vAlign w:val="bottom"/>
            <w:hideMark/>
          </w:tcPr>
          <w:p w14:paraId="54CA2220" w14:textId="54C8EAC0" w:rsidR="00061A23" w:rsidRPr="006F5FAA" w:rsidRDefault="00061A23" w:rsidP="00061A23">
            <w:pPr>
              <w:spacing w:before="100" w:beforeAutospacing="1" w:after="0" w:line="240" w:lineRule="auto"/>
              <w:jc w:val="right"/>
            </w:pPr>
          </w:p>
        </w:tc>
      </w:tr>
      <w:tr w:rsidR="00061A23" w:rsidRPr="00DC39E8" w14:paraId="7CDAEEEB" w14:textId="77777777" w:rsidTr="00436AC0">
        <w:trPr>
          <w:trHeight w:val="204"/>
        </w:trPr>
        <w:tc>
          <w:tcPr>
            <w:tcW w:w="3345" w:type="pct"/>
            <w:tcBorders>
              <w:top w:val="nil"/>
              <w:left w:val="nil"/>
              <w:bottom w:val="nil"/>
              <w:right w:val="nil"/>
            </w:tcBorders>
            <w:shd w:val="clear" w:color="auto" w:fill="auto"/>
            <w:noWrap/>
            <w:vAlign w:val="bottom"/>
            <w:hideMark/>
          </w:tcPr>
          <w:p w14:paraId="3D56BD09"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 xml:space="preserve">Services Australia </w:t>
            </w:r>
            <w:r w:rsidRPr="00DC39E8">
              <w:rPr>
                <w:rFonts w:ascii="Arial" w:hAnsi="Arial" w:cs="Arial"/>
                <w:sz w:val="16"/>
                <w:szCs w:val="16"/>
                <w:vertAlign w:val="superscript"/>
              </w:rPr>
              <w:t>(o)</w:t>
            </w:r>
          </w:p>
        </w:tc>
        <w:tc>
          <w:tcPr>
            <w:tcW w:w="878" w:type="pct"/>
            <w:tcBorders>
              <w:top w:val="nil"/>
              <w:left w:val="nil"/>
              <w:bottom w:val="nil"/>
              <w:right w:val="nil"/>
            </w:tcBorders>
            <w:shd w:val="clear" w:color="auto" w:fill="auto"/>
            <w:noWrap/>
            <w:vAlign w:val="bottom"/>
            <w:hideMark/>
          </w:tcPr>
          <w:p w14:paraId="439EDECE" w14:textId="3AE2B7B2"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208,172</w:t>
            </w:r>
          </w:p>
        </w:tc>
        <w:tc>
          <w:tcPr>
            <w:tcW w:w="777" w:type="pct"/>
            <w:tcBorders>
              <w:top w:val="nil"/>
              <w:left w:val="nil"/>
              <w:bottom w:val="nil"/>
              <w:right w:val="nil"/>
            </w:tcBorders>
            <w:shd w:val="clear" w:color="auto" w:fill="E6E6E6"/>
            <w:noWrap/>
            <w:vAlign w:val="bottom"/>
            <w:hideMark/>
          </w:tcPr>
          <w:p w14:paraId="40D66B30" w14:textId="26ADF4D8"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212,522</w:t>
            </w:r>
          </w:p>
        </w:tc>
      </w:tr>
      <w:tr w:rsidR="00061A23" w:rsidRPr="00DC39E8" w14:paraId="52A72C69" w14:textId="77777777" w:rsidTr="00436AC0">
        <w:trPr>
          <w:trHeight w:val="204"/>
        </w:trPr>
        <w:tc>
          <w:tcPr>
            <w:tcW w:w="3345" w:type="pct"/>
            <w:tcBorders>
              <w:top w:val="nil"/>
              <w:left w:val="nil"/>
              <w:bottom w:val="nil"/>
              <w:right w:val="nil"/>
            </w:tcBorders>
            <w:shd w:val="clear" w:color="auto" w:fill="auto"/>
            <w:vAlign w:val="bottom"/>
            <w:hideMark/>
          </w:tcPr>
          <w:p w14:paraId="760CAF72" w14:textId="35289D79" w:rsidR="00061A23" w:rsidRPr="00DC39E8" w:rsidRDefault="00061A23" w:rsidP="00061A23">
            <w:pPr>
              <w:spacing w:after="0" w:line="240" w:lineRule="auto"/>
              <w:rPr>
                <w:rFonts w:ascii="Arial" w:hAnsi="Arial" w:cs="Arial"/>
                <w:sz w:val="16"/>
                <w:szCs w:val="16"/>
              </w:rPr>
            </w:pPr>
            <w:r w:rsidRPr="00DC39E8">
              <w:rPr>
                <w:rFonts w:ascii="Arial" w:hAnsi="Arial" w:cs="Arial"/>
                <w:sz w:val="16"/>
                <w:szCs w:val="16"/>
              </w:rPr>
              <w:t>Payments made to corporate entities within the portfolio</w:t>
            </w:r>
          </w:p>
        </w:tc>
        <w:tc>
          <w:tcPr>
            <w:tcW w:w="878" w:type="pct"/>
            <w:tcBorders>
              <w:top w:val="nil"/>
              <w:left w:val="nil"/>
              <w:bottom w:val="nil"/>
              <w:right w:val="nil"/>
            </w:tcBorders>
            <w:shd w:val="clear" w:color="auto" w:fill="auto"/>
            <w:noWrap/>
            <w:vAlign w:val="bottom"/>
            <w:hideMark/>
          </w:tcPr>
          <w:p w14:paraId="5FB38ED7" w14:textId="77777777" w:rsidR="00061A23" w:rsidRPr="006F5FAA" w:rsidRDefault="00061A23" w:rsidP="00061A23">
            <w:pPr>
              <w:spacing w:before="100" w:beforeAutospacing="1" w:after="0" w:line="240" w:lineRule="auto"/>
              <w:jc w:val="right"/>
              <w:rPr>
                <w:rFonts w:ascii="Arial" w:hAnsi="Arial" w:cs="Arial"/>
                <w:sz w:val="16"/>
                <w:szCs w:val="16"/>
              </w:rPr>
            </w:pPr>
          </w:p>
        </w:tc>
        <w:tc>
          <w:tcPr>
            <w:tcW w:w="777" w:type="pct"/>
            <w:tcBorders>
              <w:top w:val="nil"/>
              <w:left w:val="nil"/>
              <w:bottom w:val="nil"/>
              <w:right w:val="nil"/>
            </w:tcBorders>
            <w:shd w:val="clear" w:color="auto" w:fill="E6E6E6"/>
            <w:noWrap/>
            <w:vAlign w:val="bottom"/>
            <w:hideMark/>
          </w:tcPr>
          <w:p w14:paraId="067BB3A3" w14:textId="7A96B963" w:rsidR="00061A23" w:rsidRPr="006F5FAA" w:rsidRDefault="00061A23" w:rsidP="00061A23">
            <w:pPr>
              <w:spacing w:before="100" w:beforeAutospacing="1" w:after="0" w:line="240" w:lineRule="auto"/>
              <w:jc w:val="right"/>
            </w:pPr>
          </w:p>
        </w:tc>
      </w:tr>
      <w:tr w:rsidR="00061A23" w:rsidRPr="00DC39E8" w14:paraId="63F8ED72" w14:textId="77777777" w:rsidTr="00436AC0">
        <w:trPr>
          <w:trHeight w:val="204"/>
        </w:trPr>
        <w:tc>
          <w:tcPr>
            <w:tcW w:w="3345" w:type="pct"/>
            <w:tcBorders>
              <w:top w:val="nil"/>
              <w:left w:val="nil"/>
              <w:bottom w:val="nil"/>
              <w:right w:val="nil"/>
            </w:tcBorders>
            <w:shd w:val="clear" w:color="auto" w:fill="auto"/>
            <w:noWrap/>
            <w:vAlign w:val="bottom"/>
            <w:hideMark/>
          </w:tcPr>
          <w:p w14:paraId="725F9AD3"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Australia Council</w:t>
            </w:r>
          </w:p>
        </w:tc>
        <w:tc>
          <w:tcPr>
            <w:tcW w:w="878" w:type="pct"/>
            <w:tcBorders>
              <w:top w:val="nil"/>
              <w:left w:val="nil"/>
              <w:bottom w:val="nil"/>
              <w:right w:val="nil"/>
            </w:tcBorders>
            <w:shd w:val="clear" w:color="auto" w:fill="auto"/>
            <w:noWrap/>
            <w:vAlign w:val="bottom"/>
            <w:hideMark/>
          </w:tcPr>
          <w:p w14:paraId="58C372F5" w14:textId="035310A4"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219,794</w:t>
            </w:r>
          </w:p>
        </w:tc>
        <w:tc>
          <w:tcPr>
            <w:tcW w:w="777" w:type="pct"/>
            <w:tcBorders>
              <w:top w:val="nil"/>
              <w:left w:val="nil"/>
              <w:bottom w:val="nil"/>
              <w:right w:val="nil"/>
            </w:tcBorders>
            <w:shd w:val="clear" w:color="auto" w:fill="E6E6E6"/>
            <w:noWrap/>
            <w:vAlign w:val="bottom"/>
            <w:hideMark/>
          </w:tcPr>
          <w:p w14:paraId="5D1E06D4" w14:textId="24B218DB"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220,531</w:t>
            </w:r>
          </w:p>
        </w:tc>
      </w:tr>
      <w:tr w:rsidR="00061A23" w:rsidRPr="00DC39E8" w14:paraId="2D0DA001" w14:textId="77777777" w:rsidTr="00436AC0">
        <w:trPr>
          <w:trHeight w:val="204"/>
        </w:trPr>
        <w:tc>
          <w:tcPr>
            <w:tcW w:w="3345" w:type="pct"/>
            <w:tcBorders>
              <w:top w:val="nil"/>
              <w:left w:val="nil"/>
              <w:bottom w:val="nil"/>
              <w:right w:val="nil"/>
            </w:tcBorders>
            <w:shd w:val="clear" w:color="auto" w:fill="auto"/>
            <w:noWrap/>
            <w:vAlign w:val="bottom"/>
            <w:hideMark/>
          </w:tcPr>
          <w:p w14:paraId="5FBA26F9"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Australian Broadcasting Corporation</w:t>
            </w:r>
          </w:p>
        </w:tc>
        <w:tc>
          <w:tcPr>
            <w:tcW w:w="878" w:type="pct"/>
            <w:tcBorders>
              <w:top w:val="nil"/>
              <w:left w:val="nil"/>
              <w:bottom w:val="nil"/>
              <w:right w:val="nil"/>
            </w:tcBorders>
            <w:shd w:val="clear" w:color="auto" w:fill="auto"/>
            <w:noWrap/>
            <w:vAlign w:val="bottom"/>
            <w:hideMark/>
          </w:tcPr>
          <w:p w14:paraId="03760244" w14:textId="5F7042A8"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1,070,097</w:t>
            </w:r>
          </w:p>
        </w:tc>
        <w:tc>
          <w:tcPr>
            <w:tcW w:w="777" w:type="pct"/>
            <w:tcBorders>
              <w:top w:val="nil"/>
              <w:left w:val="nil"/>
              <w:bottom w:val="nil"/>
              <w:right w:val="nil"/>
            </w:tcBorders>
            <w:shd w:val="clear" w:color="auto" w:fill="E6E6E6"/>
            <w:noWrap/>
            <w:vAlign w:val="bottom"/>
            <w:hideMark/>
          </w:tcPr>
          <w:p w14:paraId="61419C14" w14:textId="70BA013E"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1,107,158</w:t>
            </w:r>
          </w:p>
        </w:tc>
      </w:tr>
      <w:tr w:rsidR="00061A23" w:rsidRPr="00DC39E8" w14:paraId="5D59DC35" w14:textId="77777777" w:rsidTr="00436AC0">
        <w:trPr>
          <w:trHeight w:val="204"/>
        </w:trPr>
        <w:tc>
          <w:tcPr>
            <w:tcW w:w="3345" w:type="pct"/>
            <w:tcBorders>
              <w:top w:val="nil"/>
              <w:left w:val="nil"/>
              <w:bottom w:val="nil"/>
              <w:right w:val="nil"/>
            </w:tcBorders>
            <w:shd w:val="clear" w:color="auto" w:fill="auto"/>
            <w:noWrap/>
            <w:vAlign w:val="bottom"/>
            <w:hideMark/>
          </w:tcPr>
          <w:p w14:paraId="7EC0200D"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Australian Film, Television and Radio School</w:t>
            </w:r>
          </w:p>
        </w:tc>
        <w:tc>
          <w:tcPr>
            <w:tcW w:w="878" w:type="pct"/>
            <w:tcBorders>
              <w:top w:val="nil"/>
              <w:left w:val="nil"/>
              <w:bottom w:val="nil"/>
              <w:right w:val="nil"/>
            </w:tcBorders>
            <w:shd w:val="clear" w:color="auto" w:fill="auto"/>
            <w:noWrap/>
            <w:vAlign w:val="bottom"/>
            <w:hideMark/>
          </w:tcPr>
          <w:p w14:paraId="2B9A7CD3" w14:textId="2ACE9C0A"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22,738</w:t>
            </w:r>
          </w:p>
        </w:tc>
        <w:tc>
          <w:tcPr>
            <w:tcW w:w="777" w:type="pct"/>
            <w:tcBorders>
              <w:top w:val="nil"/>
              <w:left w:val="nil"/>
              <w:bottom w:val="nil"/>
              <w:right w:val="nil"/>
            </w:tcBorders>
            <w:shd w:val="clear" w:color="auto" w:fill="E6E6E6"/>
            <w:noWrap/>
            <w:vAlign w:val="bottom"/>
            <w:hideMark/>
          </w:tcPr>
          <w:p w14:paraId="60B365EB" w14:textId="5344F07E"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22,997</w:t>
            </w:r>
          </w:p>
        </w:tc>
      </w:tr>
      <w:tr w:rsidR="00061A23" w:rsidRPr="00DC39E8" w14:paraId="618383D3" w14:textId="77777777" w:rsidTr="00436AC0">
        <w:trPr>
          <w:trHeight w:val="204"/>
        </w:trPr>
        <w:tc>
          <w:tcPr>
            <w:tcW w:w="3345" w:type="pct"/>
            <w:tcBorders>
              <w:top w:val="nil"/>
              <w:left w:val="nil"/>
              <w:bottom w:val="nil"/>
              <w:right w:val="nil"/>
            </w:tcBorders>
            <w:shd w:val="clear" w:color="auto" w:fill="auto"/>
            <w:noWrap/>
            <w:vAlign w:val="bottom"/>
            <w:hideMark/>
          </w:tcPr>
          <w:p w14:paraId="5B61D669"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Australian Maritime Safety Authority</w:t>
            </w:r>
          </w:p>
        </w:tc>
        <w:tc>
          <w:tcPr>
            <w:tcW w:w="878" w:type="pct"/>
            <w:tcBorders>
              <w:top w:val="nil"/>
              <w:left w:val="nil"/>
              <w:bottom w:val="nil"/>
              <w:right w:val="nil"/>
            </w:tcBorders>
            <w:shd w:val="clear" w:color="auto" w:fill="auto"/>
            <w:noWrap/>
            <w:vAlign w:val="bottom"/>
            <w:hideMark/>
          </w:tcPr>
          <w:p w14:paraId="536B6F55" w14:textId="16CAE8D8"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223,328</w:t>
            </w:r>
          </w:p>
        </w:tc>
        <w:tc>
          <w:tcPr>
            <w:tcW w:w="777" w:type="pct"/>
            <w:tcBorders>
              <w:top w:val="nil"/>
              <w:left w:val="nil"/>
              <w:bottom w:val="nil"/>
              <w:right w:val="nil"/>
            </w:tcBorders>
            <w:shd w:val="clear" w:color="auto" w:fill="E6E6E6"/>
            <w:noWrap/>
            <w:vAlign w:val="bottom"/>
            <w:hideMark/>
          </w:tcPr>
          <w:p w14:paraId="5B9AED03" w14:textId="01535C7F"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240,099</w:t>
            </w:r>
          </w:p>
        </w:tc>
      </w:tr>
      <w:tr w:rsidR="00061A23" w:rsidRPr="00DC39E8" w14:paraId="740CF44E" w14:textId="77777777" w:rsidTr="00436AC0">
        <w:trPr>
          <w:trHeight w:val="204"/>
        </w:trPr>
        <w:tc>
          <w:tcPr>
            <w:tcW w:w="3345" w:type="pct"/>
            <w:tcBorders>
              <w:top w:val="nil"/>
              <w:left w:val="nil"/>
              <w:bottom w:val="nil"/>
              <w:right w:val="nil"/>
            </w:tcBorders>
            <w:shd w:val="clear" w:color="auto" w:fill="auto"/>
            <w:noWrap/>
            <w:vAlign w:val="bottom"/>
            <w:hideMark/>
          </w:tcPr>
          <w:p w14:paraId="0D651989"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Australian National Maritime Museum</w:t>
            </w:r>
          </w:p>
        </w:tc>
        <w:tc>
          <w:tcPr>
            <w:tcW w:w="878" w:type="pct"/>
            <w:tcBorders>
              <w:top w:val="nil"/>
              <w:left w:val="nil"/>
              <w:bottom w:val="nil"/>
              <w:right w:val="nil"/>
            </w:tcBorders>
            <w:shd w:val="clear" w:color="auto" w:fill="auto"/>
            <w:noWrap/>
            <w:vAlign w:val="bottom"/>
            <w:hideMark/>
          </w:tcPr>
          <w:p w14:paraId="7A91551D" w14:textId="76102630"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25,820</w:t>
            </w:r>
          </w:p>
        </w:tc>
        <w:tc>
          <w:tcPr>
            <w:tcW w:w="777" w:type="pct"/>
            <w:tcBorders>
              <w:top w:val="nil"/>
              <w:left w:val="nil"/>
              <w:bottom w:val="nil"/>
              <w:right w:val="nil"/>
            </w:tcBorders>
            <w:shd w:val="clear" w:color="auto" w:fill="E6E6E6"/>
            <w:noWrap/>
            <w:vAlign w:val="bottom"/>
            <w:hideMark/>
          </w:tcPr>
          <w:p w14:paraId="347B2A27" w14:textId="6495E62A"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25,734</w:t>
            </w:r>
          </w:p>
        </w:tc>
      </w:tr>
      <w:tr w:rsidR="00061A23" w:rsidRPr="00DC39E8" w14:paraId="3D648397" w14:textId="77777777" w:rsidTr="00436AC0">
        <w:trPr>
          <w:trHeight w:val="204"/>
        </w:trPr>
        <w:tc>
          <w:tcPr>
            <w:tcW w:w="3345" w:type="pct"/>
            <w:tcBorders>
              <w:top w:val="nil"/>
              <w:left w:val="nil"/>
              <w:bottom w:val="nil"/>
              <w:right w:val="nil"/>
            </w:tcBorders>
            <w:shd w:val="clear" w:color="auto" w:fill="auto"/>
            <w:noWrap/>
            <w:vAlign w:val="bottom"/>
            <w:hideMark/>
          </w:tcPr>
          <w:p w14:paraId="300541E2"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Civil Aviation Safety Authority</w:t>
            </w:r>
          </w:p>
        </w:tc>
        <w:tc>
          <w:tcPr>
            <w:tcW w:w="878" w:type="pct"/>
            <w:tcBorders>
              <w:top w:val="nil"/>
              <w:left w:val="nil"/>
              <w:bottom w:val="nil"/>
              <w:right w:val="nil"/>
            </w:tcBorders>
            <w:shd w:val="clear" w:color="auto" w:fill="auto"/>
            <w:noWrap/>
            <w:vAlign w:val="bottom"/>
            <w:hideMark/>
          </w:tcPr>
          <w:p w14:paraId="54BD4428" w14:textId="65ABBFD5"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206,727</w:t>
            </w:r>
          </w:p>
        </w:tc>
        <w:tc>
          <w:tcPr>
            <w:tcW w:w="777" w:type="pct"/>
            <w:tcBorders>
              <w:top w:val="nil"/>
              <w:left w:val="nil"/>
              <w:bottom w:val="nil"/>
              <w:right w:val="nil"/>
            </w:tcBorders>
            <w:shd w:val="clear" w:color="auto" w:fill="E6E6E6"/>
            <w:noWrap/>
            <w:vAlign w:val="bottom"/>
            <w:hideMark/>
          </w:tcPr>
          <w:p w14:paraId="7BEC9030" w14:textId="08EB41C6"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181,556</w:t>
            </w:r>
          </w:p>
        </w:tc>
      </w:tr>
      <w:tr w:rsidR="00061A23" w:rsidRPr="00DC39E8" w14:paraId="45AD5163" w14:textId="77777777" w:rsidTr="00436AC0">
        <w:trPr>
          <w:trHeight w:val="204"/>
        </w:trPr>
        <w:tc>
          <w:tcPr>
            <w:tcW w:w="3345" w:type="pct"/>
            <w:tcBorders>
              <w:top w:val="nil"/>
              <w:left w:val="nil"/>
              <w:bottom w:val="nil"/>
              <w:right w:val="nil"/>
            </w:tcBorders>
            <w:shd w:val="clear" w:color="auto" w:fill="auto"/>
            <w:noWrap/>
            <w:vAlign w:val="bottom"/>
            <w:hideMark/>
          </w:tcPr>
          <w:p w14:paraId="5418FEF6"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Infrastructure Australia</w:t>
            </w:r>
          </w:p>
        </w:tc>
        <w:tc>
          <w:tcPr>
            <w:tcW w:w="878" w:type="pct"/>
            <w:tcBorders>
              <w:top w:val="nil"/>
              <w:left w:val="nil"/>
              <w:bottom w:val="nil"/>
              <w:right w:val="nil"/>
            </w:tcBorders>
            <w:shd w:val="clear" w:color="auto" w:fill="auto"/>
            <w:noWrap/>
            <w:vAlign w:val="bottom"/>
            <w:hideMark/>
          </w:tcPr>
          <w:p w14:paraId="5DFA0BAA" w14:textId="4446F1EA"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12,853</w:t>
            </w:r>
          </w:p>
        </w:tc>
        <w:tc>
          <w:tcPr>
            <w:tcW w:w="777" w:type="pct"/>
            <w:tcBorders>
              <w:top w:val="nil"/>
              <w:left w:val="nil"/>
              <w:bottom w:val="nil"/>
              <w:right w:val="nil"/>
            </w:tcBorders>
            <w:shd w:val="clear" w:color="auto" w:fill="E6E6E6"/>
            <w:noWrap/>
            <w:vAlign w:val="bottom"/>
            <w:hideMark/>
          </w:tcPr>
          <w:p w14:paraId="5C9E72F7" w14:textId="70BB858E"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12,733</w:t>
            </w:r>
          </w:p>
        </w:tc>
      </w:tr>
      <w:tr w:rsidR="00061A23" w:rsidRPr="00DC39E8" w14:paraId="0A25B03C" w14:textId="77777777" w:rsidTr="00436AC0">
        <w:trPr>
          <w:trHeight w:val="204"/>
        </w:trPr>
        <w:tc>
          <w:tcPr>
            <w:tcW w:w="3345" w:type="pct"/>
            <w:tcBorders>
              <w:top w:val="nil"/>
              <w:left w:val="nil"/>
              <w:bottom w:val="nil"/>
              <w:right w:val="nil"/>
            </w:tcBorders>
            <w:shd w:val="clear" w:color="auto" w:fill="auto"/>
            <w:noWrap/>
            <w:vAlign w:val="bottom"/>
            <w:hideMark/>
          </w:tcPr>
          <w:p w14:paraId="25180CC5"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 xml:space="preserve">National Film and Sound Archive of Australia </w:t>
            </w:r>
          </w:p>
        </w:tc>
        <w:tc>
          <w:tcPr>
            <w:tcW w:w="878" w:type="pct"/>
            <w:tcBorders>
              <w:top w:val="nil"/>
              <w:left w:val="nil"/>
              <w:bottom w:val="nil"/>
              <w:right w:val="nil"/>
            </w:tcBorders>
            <w:shd w:val="clear" w:color="auto" w:fill="auto"/>
            <w:noWrap/>
            <w:vAlign w:val="bottom"/>
            <w:hideMark/>
          </w:tcPr>
          <w:p w14:paraId="26AEB82F" w14:textId="64FF99D6"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32,353</w:t>
            </w:r>
          </w:p>
        </w:tc>
        <w:tc>
          <w:tcPr>
            <w:tcW w:w="777" w:type="pct"/>
            <w:tcBorders>
              <w:top w:val="nil"/>
              <w:left w:val="nil"/>
              <w:bottom w:val="nil"/>
              <w:right w:val="nil"/>
            </w:tcBorders>
            <w:shd w:val="clear" w:color="auto" w:fill="E6E6E6"/>
            <w:noWrap/>
            <w:vAlign w:val="bottom"/>
            <w:hideMark/>
          </w:tcPr>
          <w:p w14:paraId="17DCBC04" w14:textId="3CBD8D52"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38,107</w:t>
            </w:r>
          </w:p>
        </w:tc>
      </w:tr>
      <w:tr w:rsidR="00061A23" w:rsidRPr="00DC39E8" w14:paraId="7BB38EC2" w14:textId="77777777" w:rsidTr="00436AC0">
        <w:trPr>
          <w:trHeight w:val="204"/>
        </w:trPr>
        <w:tc>
          <w:tcPr>
            <w:tcW w:w="3345" w:type="pct"/>
            <w:tcBorders>
              <w:top w:val="nil"/>
              <w:left w:val="nil"/>
              <w:bottom w:val="nil"/>
              <w:right w:val="nil"/>
            </w:tcBorders>
            <w:shd w:val="clear" w:color="auto" w:fill="auto"/>
            <w:noWrap/>
            <w:vAlign w:val="bottom"/>
            <w:hideMark/>
          </w:tcPr>
          <w:p w14:paraId="62E6ABE9"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National Gallery of Australia</w:t>
            </w:r>
          </w:p>
        </w:tc>
        <w:tc>
          <w:tcPr>
            <w:tcW w:w="878" w:type="pct"/>
            <w:tcBorders>
              <w:top w:val="nil"/>
              <w:left w:val="nil"/>
              <w:bottom w:val="nil"/>
              <w:right w:val="nil"/>
            </w:tcBorders>
            <w:shd w:val="clear" w:color="auto" w:fill="auto"/>
            <w:noWrap/>
            <w:vAlign w:val="bottom"/>
            <w:hideMark/>
          </w:tcPr>
          <w:p w14:paraId="465DF9BD" w14:textId="4EE34FD1"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107,407</w:t>
            </w:r>
          </w:p>
        </w:tc>
        <w:tc>
          <w:tcPr>
            <w:tcW w:w="777" w:type="pct"/>
            <w:tcBorders>
              <w:top w:val="nil"/>
              <w:left w:val="nil"/>
              <w:bottom w:val="nil"/>
              <w:right w:val="nil"/>
            </w:tcBorders>
            <w:shd w:val="clear" w:color="auto" w:fill="E6E6E6"/>
            <w:noWrap/>
            <w:vAlign w:val="bottom"/>
            <w:hideMark/>
          </w:tcPr>
          <w:p w14:paraId="1E429750" w14:textId="0179D447"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65,088</w:t>
            </w:r>
          </w:p>
        </w:tc>
      </w:tr>
      <w:tr w:rsidR="00061A23" w:rsidRPr="00DC39E8" w14:paraId="0C98571F" w14:textId="77777777" w:rsidTr="00436AC0">
        <w:trPr>
          <w:trHeight w:val="204"/>
        </w:trPr>
        <w:tc>
          <w:tcPr>
            <w:tcW w:w="3345" w:type="pct"/>
            <w:tcBorders>
              <w:top w:val="nil"/>
              <w:left w:val="nil"/>
              <w:bottom w:val="nil"/>
              <w:right w:val="nil"/>
            </w:tcBorders>
            <w:shd w:val="clear" w:color="auto" w:fill="auto"/>
            <w:noWrap/>
            <w:vAlign w:val="bottom"/>
            <w:hideMark/>
          </w:tcPr>
          <w:p w14:paraId="3278993F"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National Library of Australia</w:t>
            </w:r>
          </w:p>
        </w:tc>
        <w:tc>
          <w:tcPr>
            <w:tcW w:w="878" w:type="pct"/>
            <w:tcBorders>
              <w:top w:val="nil"/>
              <w:left w:val="nil"/>
              <w:bottom w:val="nil"/>
              <w:right w:val="nil"/>
            </w:tcBorders>
            <w:shd w:val="clear" w:color="auto" w:fill="auto"/>
            <w:noWrap/>
            <w:vAlign w:val="bottom"/>
            <w:hideMark/>
          </w:tcPr>
          <w:p w14:paraId="579BC799" w14:textId="39D168FB"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67,059</w:t>
            </w:r>
          </w:p>
        </w:tc>
        <w:tc>
          <w:tcPr>
            <w:tcW w:w="777" w:type="pct"/>
            <w:tcBorders>
              <w:top w:val="nil"/>
              <w:left w:val="nil"/>
              <w:bottom w:val="nil"/>
              <w:right w:val="nil"/>
            </w:tcBorders>
            <w:shd w:val="clear" w:color="auto" w:fill="E6E6E6"/>
            <w:noWrap/>
            <w:vAlign w:val="bottom"/>
            <w:hideMark/>
          </w:tcPr>
          <w:p w14:paraId="0E451DE3" w14:textId="31B54013"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70,639</w:t>
            </w:r>
          </w:p>
        </w:tc>
      </w:tr>
      <w:tr w:rsidR="00061A23" w:rsidRPr="00DC39E8" w14:paraId="035B4FAE" w14:textId="77777777" w:rsidTr="00436AC0">
        <w:trPr>
          <w:trHeight w:val="204"/>
        </w:trPr>
        <w:tc>
          <w:tcPr>
            <w:tcW w:w="3345" w:type="pct"/>
            <w:tcBorders>
              <w:top w:val="nil"/>
              <w:left w:val="nil"/>
              <w:bottom w:val="nil"/>
              <w:right w:val="nil"/>
            </w:tcBorders>
            <w:shd w:val="clear" w:color="auto" w:fill="auto"/>
            <w:noWrap/>
            <w:vAlign w:val="bottom"/>
            <w:hideMark/>
          </w:tcPr>
          <w:p w14:paraId="4B5308F1"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National Museum of Australia</w:t>
            </w:r>
          </w:p>
        </w:tc>
        <w:tc>
          <w:tcPr>
            <w:tcW w:w="878" w:type="pct"/>
            <w:tcBorders>
              <w:top w:val="nil"/>
              <w:left w:val="nil"/>
              <w:bottom w:val="nil"/>
              <w:right w:val="nil"/>
            </w:tcBorders>
            <w:shd w:val="clear" w:color="auto" w:fill="auto"/>
            <w:noWrap/>
            <w:vAlign w:val="bottom"/>
            <w:hideMark/>
          </w:tcPr>
          <w:p w14:paraId="4B8AE6BB" w14:textId="1167E482"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43,307</w:t>
            </w:r>
          </w:p>
        </w:tc>
        <w:tc>
          <w:tcPr>
            <w:tcW w:w="777" w:type="pct"/>
            <w:tcBorders>
              <w:top w:val="nil"/>
              <w:left w:val="nil"/>
              <w:bottom w:val="nil"/>
              <w:right w:val="nil"/>
            </w:tcBorders>
            <w:shd w:val="clear" w:color="auto" w:fill="E6E6E6"/>
            <w:noWrap/>
            <w:vAlign w:val="bottom"/>
            <w:hideMark/>
          </w:tcPr>
          <w:p w14:paraId="2AC28454" w14:textId="59B60D44"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52,860</w:t>
            </w:r>
          </w:p>
        </w:tc>
      </w:tr>
      <w:tr w:rsidR="00061A23" w:rsidRPr="00DC39E8" w14:paraId="3EC9A826" w14:textId="77777777" w:rsidTr="00436AC0">
        <w:trPr>
          <w:trHeight w:val="204"/>
        </w:trPr>
        <w:tc>
          <w:tcPr>
            <w:tcW w:w="3345" w:type="pct"/>
            <w:tcBorders>
              <w:top w:val="nil"/>
              <w:left w:val="nil"/>
              <w:bottom w:val="nil"/>
              <w:right w:val="nil"/>
            </w:tcBorders>
            <w:shd w:val="clear" w:color="auto" w:fill="auto"/>
            <w:noWrap/>
            <w:vAlign w:val="bottom"/>
            <w:hideMark/>
          </w:tcPr>
          <w:p w14:paraId="610C6C6C"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National Portrait Gallery of Australia</w:t>
            </w:r>
          </w:p>
        </w:tc>
        <w:tc>
          <w:tcPr>
            <w:tcW w:w="878" w:type="pct"/>
            <w:tcBorders>
              <w:top w:val="nil"/>
              <w:left w:val="nil"/>
              <w:bottom w:val="nil"/>
              <w:right w:val="nil"/>
            </w:tcBorders>
            <w:shd w:val="clear" w:color="auto" w:fill="auto"/>
            <w:noWrap/>
            <w:vAlign w:val="bottom"/>
            <w:hideMark/>
          </w:tcPr>
          <w:p w14:paraId="34A85D80" w14:textId="3827D2D4"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12,668</w:t>
            </w:r>
          </w:p>
        </w:tc>
        <w:tc>
          <w:tcPr>
            <w:tcW w:w="777" w:type="pct"/>
            <w:tcBorders>
              <w:top w:val="nil"/>
              <w:left w:val="nil"/>
              <w:bottom w:val="nil"/>
              <w:right w:val="nil"/>
            </w:tcBorders>
            <w:shd w:val="clear" w:color="auto" w:fill="E6E6E6"/>
            <w:noWrap/>
            <w:vAlign w:val="bottom"/>
            <w:hideMark/>
          </w:tcPr>
          <w:p w14:paraId="3A17D16A" w14:textId="6ACFE2C8"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12,809</w:t>
            </w:r>
          </w:p>
        </w:tc>
      </w:tr>
      <w:tr w:rsidR="00061A23" w:rsidRPr="00DC39E8" w14:paraId="4BACE974" w14:textId="77777777" w:rsidTr="00436AC0">
        <w:trPr>
          <w:trHeight w:val="204"/>
        </w:trPr>
        <w:tc>
          <w:tcPr>
            <w:tcW w:w="3345" w:type="pct"/>
            <w:tcBorders>
              <w:top w:val="nil"/>
              <w:left w:val="nil"/>
              <w:bottom w:val="nil"/>
              <w:right w:val="nil"/>
            </w:tcBorders>
            <w:shd w:val="clear" w:color="auto" w:fill="auto"/>
            <w:noWrap/>
            <w:vAlign w:val="bottom"/>
            <w:hideMark/>
          </w:tcPr>
          <w:p w14:paraId="59448F12"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National Transport Commission</w:t>
            </w:r>
          </w:p>
        </w:tc>
        <w:tc>
          <w:tcPr>
            <w:tcW w:w="878" w:type="pct"/>
            <w:tcBorders>
              <w:top w:val="nil"/>
              <w:left w:val="nil"/>
              <w:bottom w:val="nil"/>
              <w:right w:val="nil"/>
            </w:tcBorders>
            <w:shd w:val="clear" w:color="auto" w:fill="auto"/>
            <w:noWrap/>
            <w:vAlign w:val="bottom"/>
            <w:hideMark/>
          </w:tcPr>
          <w:p w14:paraId="36319A81" w14:textId="443C15B5"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4,684</w:t>
            </w:r>
          </w:p>
        </w:tc>
        <w:tc>
          <w:tcPr>
            <w:tcW w:w="777" w:type="pct"/>
            <w:tcBorders>
              <w:top w:val="nil"/>
              <w:left w:val="nil"/>
              <w:bottom w:val="nil"/>
              <w:right w:val="nil"/>
            </w:tcBorders>
            <w:shd w:val="clear" w:color="auto" w:fill="E6E6E6"/>
            <w:noWrap/>
            <w:vAlign w:val="bottom"/>
            <w:hideMark/>
          </w:tcPr>
          <w:p w14:paraId="28010F19" w14:textId="50198EC1"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4,427</w:t>
            </w:r>
          </w:p>
        </w:tc>
      </w:tr>
      <w:tr w:rsidR="00061A23" w:rsidRPr="00DC39E8" w14:paraId="32E400A2" w14:textId="77777777" w:rsidTr="00436AC0">
        <w:trPr>
          <w:trHeight w:val="204"/>
        </w:trPr>
        <w:tc>
          <w:tcPr>
            <w:tcW w:w="3345" w:type="pct"/>
            <w:tcBorders>
              <w:top w:val="nil"/>
              <w:left w:val="nil"/>
              <w:bottom w:val="nil"/>
              <w:right w:val="nil"/>
            </w:tcBorders>
            <w:shd w:val="clear" w:color="auto" w:fill="auto"/>
            <w:noWrap/>
            <w:vAlign w:val="bottom"/>
            <w:hideMark/>
          </w:tcPr>
          <w:p w14:paraId="4384E9E5" w14:textId="458F659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Northern Australia Infrastructure Facility</w:t>
            </w:r>
          </w:p>
        </w:tc>
        <w:tc>
          <w:tcPr>
            <w:tcW w:w="878" w:type="pct"/>
            <w:tcBorders>
              <w:top w:val="nil"/>
              <w:left w:val="nil"/>
              <w:bottom w:val="nil"/>
              <w:right w:val="nil"/>
            </w:tcBorders>
            <w:shd w:val="clear" w:color="auto" w:fill="auto"/>
            <w:noWrap/>
            <w:vAlign w:val="bottom"/>
            <w:hideMark/>
          </w:tcPr>
          <w:p w14:paraId="5D0DDF77" w14:textId="7F865F52"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14,227</w:t>
            </w:r>
          </w:p>
        </w:tc>
        <w:tc>
          <w:tcPr>
            <w:tcW w:w="777" w:type="pct"/>
            <w:tcBorders>
              <w:top w:val="nil"/>
              <w:left w:val="nil"/>
              <w:bottom w:val="nil"/>
              <w:right w:val="nil"/>
            </w:tcBorders>
            <w:shd w:val="clear" w:color="auto" w:fill="E6E6E6"/>
            <w:noWrap/>
            <w:vAlign w:val="bottom"/>
            <w:hideMark/>
          </w:tcPr>
          <w:p w14:paraId="7842B9EF" w14:textId="6103CB7E"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20,939</w:t>
            </w:r>
          </w:p>
        </w:tc>
      </w:tr>
      <w:tr w:rsidR="00061A23" w:rsidRPr="00DC39E8" w14:paraId="7D5F88C9" w14:textId="77777777" w:rsidTr="00436AC0">
        <w:trPr>
          <w:trHeight w:val="204"/>
        </w:trPr>
        <w:tc>
          <w:tcPr>
            <w:tcW w:w="3345" w:type="pct"/>
            <w:tcBorders>
              <w:top w:val="nil"/>
              <w:left w:val="nil"/>
              <w:bottom w:val="nil"/>
              <w:right w:val="nil"/>
            </w:tcBorders>
            <w:shd w:val="clear" w:color="auto" w:fill="auto"/>
            <w:noWrap/>
            <w:vAlign w:val="bottom"/>
            <w:hideMark/>
          </w:tcPr>
          <w:p w14:paraId="6FF91599" w14:textId="62DF1D3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 xml:space="preserve">Old Parliament House </w:t>
            </w:r>
            <w:r w:rsidRPr="00DC39E8">
              <w:rPr>
                <w:rFonts w:ascii="Arial" w:hAnsi="Arial" w:cs="Arial"/>
                <w:sz w:val="16"/>
                <w:szCs w:val="16"/>
                <w:vertAlign w:val="superscript"/>
              </w:rPr>
              <w:t>(</w:t>
            </w:r>
            <w:r>
              <w:rPr>
                <w:rFonts w:ascii="Arial" w:hAnsi="Arial" w:cs="Arial"/>
                <w:sz w:val="16"/>
                <w:szCs w:val="16"/>
                <w:vertAlign w:val="superscript"/>
              </w:rPr>
              <w:t>p</w:t>
            </w:r>
            <w:r w:rsidRPr="00DC39E8">
              <w:rPr>
                <w:rFonts w:ascii="Arial" w:hAnsi="Arial" w:cs="Arial"/>
                <w:sz w:val="16"/>
                <w:szCs w:val="16"/>
                <w:vertAlign w:val="superscript"/>
              </w:rPr>
              <w:t>)</w:t>
            </w:r>
          </w:p>
        </w:tc>
        <w:tc>
          <w:tcPr>
            <w:tcW w:w="878" w:type="pct"/>
            <w:tcBorders>
              <w:top w:val="nil"/>
              <w:left w:val="nil"/>
              <w:bottom w:val="nil"/>
              <w:right w:val="nil"/>
            </w:tcBorders>
            <w:shd w:val="clear" w:color="auto" w:fill="auto"/>
            <w:noWrap/>
            <w:vAlign w:val="bottom"/>
            <w:hideMark/>
          </w:tcPr>
          <w:p w14:paraId="41BE8B1D" w14:textId="69A2809B"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w:t>
            </w:r>
          </w:p>
        </w:tc>
        <w:tc>
          <w:tcPr>
            <w:tcW w:w="777" w:type="pct"/>
            <w:tcBorders>
              <w:top w:val="nil"/>
              <w:left w:val="nil"/>
              <w:bottom w:val="nil"/>
              <w:right w:val="nil"/>
            </w:tcBorders>
            <w:shd w:val="clear" w:color="auto" w:fill="E6E6E6"/>
            <w:noWrap/>
            <w:vAlign w:val="bottom"/>
            <w:hideMark/>
          </w:tcPr>
          <w:p w14:paraId="45EBAD2E" w14:textId="1A2CA05D"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19,384</w:t>
            </w:r>
          </w:p>
        </w:tc>
      </w:tr>
      <w:tr w:rsidR="00061A23" w:rsidRPr="00DC39E8" w14:paraId="35F97203" w14:textId="77777777" w:rsidTr="00436AC0">
        <w:trPr>
          <w:trHeight w:val="204"/>
        </w:trPr>
        <w:tc>
          <w:tcPr>
            <w:tcW w:w="3345" w:type="pct"/>
            <w:tcBorders>
              <w:top w:val="nil"/>
              <w:left w:val="nil"/>
              <w:bottom w:val="nil"/>
              <w:right w:val="nil"/>
            </w:tcBorders>
            <w:shd w:val="clear" w:color="auto" w:fill="auto"/>
            <w:noWrap/>
            <w:vAlign w:val="bottom"/>
            <w:hideMark/>
          </w:tcPr>
          <w:p w14:paraId="550F875F"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Screen Australia</w:t>
            </w:r>
          </w:p>
        </w:tc>
        <w:tc>
          <w:tcPr>
            <w:tcW w:w="878" w:type="pct"/>
            <w:tcBorders>
              <w:top w:val="nil"/>
              <w:left w:val="nil"/>
              <w:bottom w:val="nil"/>
              <w:right w:val="nil"/>
            </w:tcBorders>
            <w:shd w:val="clear" w:color="auto" w:fill="auto"/>
            <w:noWrap/>
            <w:vAlign w:val="bottom"/>
            <w:hideMark/>
          </w:tcPr>
          <w:p w14:paraId="4FC92732" w14:textId="3D10D266"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39,466</w:t>
            </w:r>
          </w:p>
        </w:tc>
        <w:tc>
          <w:tcPr>
            <w:tcW w:w="777" w:type="pct"/>
            <w:tcBorders>
              <w:top w:val="nil"/>
              <w:left w:val="nil"/>
              <w:bottom w:val="nil"/>
              <w:right w:val="nil"/>
            </w:tcBorders>
            <w:shd w:val="clear" w:color="auto" w:fill="E6E6E6"/>
            <w:noWrap/>
            <w:vAlign w:val="bottom"/>
            <w:hideMark/>
          </w:tcPr>
          <w:p w14:paraId="72F18147" w14:textId="496458E3"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27,834</w:t>
            </w:r>
          </w:p>
        </w:tc>
      </w:tr>
      <w:tr w:rsidR="00061A23" w:rsidRPr="00DC39E8" w14:paraId="70F1465B" w14:textId="77777777" w:rsidTr="00436AC0">
        <w:trPr>
          <w:trHeight w:val="204"/>
        </w:trPr>
        <w:tc>
          <w:tcPr>
            <w:tcW w:w="3345" w:type="pct"/>
            <w:tcBorders>
              <w:top w:val="nil"/>
              <w:left w:val="nil"/>
              <w:bottom w:val="nil"/>
              <w:right w:val="nil"/>
            </w:tcBorders>
            <w:shd w:val="clear" w:color="auto" w:fill="auto"/>
            <w:noWrap/>
            <w:vAlign w:val="bottom"/>
            <w:hideMark/>
          </w:tcPr>
          <w:p w14:paraId="3D97A240" w14:textId="77777777" w:rsidR="00061A23" w:rsidRPr="00DC39E8" w:rsidRDefault="00061A23" w:rsidP="00061A23">
            <w:pPr>
              <w:spacing w:after="0" w:line="240" w:lineRule="auto"/>
              <w:ind w:left="113"/>
              <w:rPr>
                <w:rFonts w:ascii="Arial" w:hAnsi="Arial" w:cs="Arial"/>
                <w:sz w:val="16"/>
                <w:szCs w:val="16"/>
              </w:rPr>
            </w:pPr>
            <w:r w:rsidRPr="00DC39E8">
              <w:rPr>
                <w:rFonts w:ascii="Arial" w:hAnsi="Arial" w:cs="Arial"/>
                <w:sz w:val="16"/>
                <w:szCs w:val="16"/>
              </w:rPr>
              <w:t>Special Broadcasting Service Corporation</w:t>
            </w:r>
          </w:p>
        </w:tc>
        <w:tc>
          <w:tcPr>
            <w:tcW w:w="878" w:type="pct"/>
            <w:tcBorders>
              <w:top w:val="nil"/>
              <w:left w:val="nil"/>
              <w:bottom w:val="nil"/>
              <w:right w:val="nil"/>
            </w:tcBorders>
            <w:shd w:val="clear" w:color="auto" w:fill="auto"/>
            <w:noWrap/>
            <w:vAlign w:val="bottom"/>
            <w:hideMark/>
          </w:tcPr>
          <w:p w14:paraId="7D383DD3" w14:textId="29B2E165" w:rsidR="00061A23" w:rsidRPr="006F5FAA" w:rsidRDefault="00061A23" w:rsidP="00061A23">
            <w:pPr>
              <w:spacing w:before="100" w:beforeAutospacing="1" w:after="0" w:line="240" w:lineRule="auto"/>
              <w:jc w:val="right"/>
              <w:rPr>
                <w:rFonts w:ascii="Arial" w:hAnsi="Arial" w:cs="Arial"/>
                <w:iCs/>
                <w:sz w:val="16"/>
                <w:szCs w:val="16"/>
              </w:rPr>
            </w:pPr>
            <w:r>
              <w:rPr>
                <w:rFonts w:ascii="Arial" w:hAnsi="Arial" w:cs="Arial"/>
                <w:sz w:val="16"/>
                <w:szCs w:val="16"/>
              </w:rPr>
              <w:t>310,021</w:t>
            </w:r>
          </w:p>
        </w:tc>
        <w:tc>
          <w:tcPr>
            <w:tcW w:w="777" w:type="pct"/>
            <w:tcBorders>
              <w:top w:val="nil"/>
              <w:left w:val="nil"/>
              <w:bottom w:val="nil"/>
              <w:right w:val="nil"/>
            </w:tcBorders>
            <w:shd w:val="clear" w:color="auto" w:fill="E6E6E6"/>
            <w:noWrap/>
            <w:vAlign w:val="bottom"/>
            <w:hideMark/>
          </w:tcPr>
          <w:p w14:paraId="71A8B9EA" w14:textId="4E7DACDE" w:rsidR="00061A23" w:rsidRPr="006F5FAA" w:rsidRDefault="00061A23" w:rsidP="00061A23">
            <w:pPr>
              <w:spacing w:before="100" w:beforeAutospacing="1" w:after="0" w:line="240" w:lineRule="auto"/>
              <w:jc w:val="right"/>
              <w:rPr>
                <w:rFonts w:ascii="Arial" w:hAnsi="Arial" w:cs="Arial"/>
                <w:sz w:val="16"/>
                <w:szCs w:val="16"/>
              </w:rPr>
            </w:pPr>
            <w:r>
              <w:rPr>
                <w:rFonts w:ascii="Arial" w:hAnsi="Arial" w:cs="Arial"/>
                <w:sz w:val="16"/>
                <w:szCs w:val="16"/>
              </w:rPr>
              <w:t>316,805</w:t>
            </w:r>
          </w:p>
        </w:tc>
      </w:tr>
      <w:tr w:rsidR="00061A23" w:rsidRPr="00DC39E8" w14:paraId="5925A38F" w14:textId="77777777" w:rsidTr="00436AC0">
        <w:trPr>
          <w:trHeight w:val="204"/>
        </w:trPr>
        <w:tc>
          <w:tcPr>
            <w:tcW w:w="3345" w:type="pct"/>
            <w:tcBorders>
              <w:top w:val="nil"/>
              <w:left w:val="nil"/>
              <w:bottom w:val="single" w:sz="4" w:space="0" w:color="auto"/>
              <w:right w:val="nil"/>
            </w:tcBorders>
            <w:shd w:val="clear" w:color="auto" w:fill="auto"/>
            <w:noWrap/>
            <w:vAlign w:val="bottom"/>
            <w:hideMark/>
          </w:tcPr>
          <w:p w14:paraId="7325171A" w14:textId="77777777" w:rsidR="00061A23" w:rsidRPr="00DC39E8" w:rsidRDefault="00061A23" w:rsidP="00061A23">
            <w:pPr>
              <w:spacing w:after="0" w:line="240" w:lineRule="auto"/>
              <w:rPr>
                <w:rFonts w:ascii="Arial" w:hAnsi="Arial" w:cs="Arial"/>
                <w:b/>
                <w:bCs/>
                <w:sz w:val="16"/>
                <w:szCs w:val="16"/>
              </w:rPr>
            </w:pPr>
            <w:r w:rsidRPr="00DC39E8">
              <w:rPr>
                <w:rFonts w:ascii="Arial" w:hAnsi="Arial" w:cs="Arial"/>
                <w:b/>
                <w:bCs/>
                <w:sz w:val="16"/>
                <w:szCs w:val="16"/>
              </w:rPr>
              <w:t>Total payments to corporate entities</w:t>
            </w:r>
          </w:p>
        </w:tc>
        <w:tc>
          <w:tcPr>
            <w:tcW w:w="878" w:type="pct"/>
            <w:tcBorders>
              <w:top w:val="single" w:sz="4" w:space="0" w:color="auto"/>
              <w:left w:val="nil"/>
              <w:bottom w:val="single" w:sz="4" w:space="0" w:color="auto"/>
              <w:right w:val="nil"/>
            </w:tcBorders>
            <w:shd w:val="clear" w:color="auto" w:fill="auto"/>
            <w:noWrap/>
            <w:vAlign w:val="bottom"/>
            <w:hideMark/>
          </w:tcPr>
          <w:p w14:paraId="70F43EFF" w14:textId="465D9DEF" w:rsidR="00061A23" w:rsidRPr="006F5FAA" w:rsidRDefault="00061A23" w:rsidP="00061A23">
            <w:pPr>
              <w:spacing w:before="100" w:beforeAutospacing="1" w:after="0" w:line="240" w:lineRule="auto"/>
              <w:jc w:val="right"/>
              <w:rPr>
                <w:rFonts w:ascii="Arial" w:hAnsi="Arial" w:cs="Arial"/>
                <w:b/>
                <w:bCs/>
                <w:iCs/>
                <w:sz w:val="16"/>
                <w:szCs w:val="16"/>
              </w:rPr>
            </w:pPr>
            <w:r>
              <w:rPr>
                <w:rFonts w:ascii="Arial" w:hAnsi="Arial" w:cs="Arial"/>
                <w:b/>
                <w:bCs/>
                <w:sz w:val="16"/>
                <w:szCs w:val="16"/>
              </w:rPr>
              <w:t>2,412,549</w:t>
            </w:r>
          </w:p>
        </w:tc>
        <w:tc>
          <w:tcPr>
            <w:tcW w:w="777" w:type="pct"/>
            <w:tcBorders>
              <w:top w:val="single" w:sz="4" w:space="0" w:color="auto"/>
              <w:left w:val="nil"/>
              <w:bottom w:val="single" w:sz="4" w:space="0" w:color="auto"/>
              <w:right w:val="nil"/>
            </w:tcBorders>
            <w:shd w:val="clear" w:color="auto" w:fill="E6E6E6"/>
            <w:noWrap/>
            <w:vAlign w:val="bottom"/>
            <w:hideMark/>
          </w:tcPr>
          <w:p w14:paraId="6521B4E5" w14:textId="1080B923" w:rsidR="00061A23" w:rsidRPr="006F5FAA" w:rsidRDefault="00061A23" w:rsidP="00061A23">
            <w:pPr>
              <w:spacing w:before="100" w:beforeAutospacing="1" w:after="0" w:line="240" w:lineRule="auto"/>
              <w:jc w:val="right"/>
              <w:rPr>
                <w:rFonts w:ascii="Arial" w:hAnsi="Arial" w:cs="Arial"/>
                <w:b/>
                <w:bCs/>
                <w:sz w:val="16"/>
                <w:szCs w:val="16"/>
              </w:rPr>
            </w:pPr>
            <w:r>
              <w:rPr>
                <w:rFonts w:ascii="Arial" w:hAnsi="Arial" w:cs="Arial"/>
                <w:b/>
                <w:bCs/>
                <w:sz w:val="16"/>
                <w:szCs w:val="16"/>
              </w:rPr>
              <w:t>2,439,700</w:t>
            </w:r>
          </w:p>
        </w:tc>
      </w:tr>
    </w:tbl>
    <w:p w14:paraId="2A0D6D04" w14:textId="77777777" w:rsidR="00061A23" w:rsidRDefault="00061A23" w:rsidP="00061A23">
      <w:pPr>
        <w:pStyle w:val="ChartandTableFootnote"/>
        <w:spacing w:before="60"/>
        <w:jc w:val="left"/>
      </w:pPr>
      <w:r>
        <w:t>Prepared on a resourcing (</w:t>
      </w:r>
      <w:r>
        <w:rPr>
          <w:lang w:val="en-AU"/>
        </w:rPr>
        <w:t>that is,</w:t>
      </w:r>
      <w:r>
        <w:t xml:space="preserve"> appropriations available) basis.</w:t>
      </w:r>
    </w:p>
    <w:p w14:paraId="601C0EA7" w14:textId="77777777" w:rsidR="00061A23" w:rsidRPr="009500C5" w:rsidRDefault="00061A23" w:rsidP="00061A23">
      <w:pPr>
        <w:pStyle w:val="ChartandTableFootnote"/>
        <w:jc w:val="left"/>
      </w:pPr>
      <w:r w:rsidRPr="009500C5">
        <w:t>All figures shown above are GST exclusive - these may not match figures in the cash flow statement.</w:t>
      </w:r>
    </w:p>
    <w:p w14:paraId="2F6AF6D8" w14:textId="38AB2A9A" w:rsidR="00061A23" w:rsidRPr="004637F9" w:rsidRDefault="00061A23" w:rsidP="00061A23">
      <w:pPr>
        <w:pStyle w:val="ChartandTableFootnoteAlpha"/>
      </w:pPr>
      <w:r w:rsidRPr="004637F9">
        <w:t>Annual appropriation amounts appearing for 2022-23 reflect Appropriation Bills (No.1) and (No. 2) 2022</w:t>
      </w:r>
      <w:r>
        <w:noBreakHyphen/>
      </w:r>
      <w:r w:rsidRPr="004637F9">
        <w:t>23.</w:t>
      </w:r>
    </w:p>
    <w:p w14:paraId="358C9A48" w14:textId="77777777" w:rsidR="00061A23" w:rsidRPr="00752413" w:rsidRDefault="00061A23" w:rsidP="00061A23">
      <w:pPr>
        <w:pStyle w:val="ChartandTableFootnoteAlpha"/>
        <w:jc w:val="left"/>
      </w:pPr>
      <w:r w:rsidRPr="00752413">
        <w:t xml:space="preserve">Appropriation </w:t>
      </w:r>
      <w:r>
        <w:t>Bill</w:t>
      </w:r>
      <w:r w:rsidRPr="00752413">
        <w:t xml:space="preserve"> (No. 1)</w:t>
      </w:r>
      <w:r>
        <w:t xml:space="preserve"> 2022-23</w:t>
      </w:r>
      <w:r w:rsidRPr="00752413">
        <w:t xml:space="preserve">, Supply </w:t>
      </w:r>
      <w:r>
        <w:t>Bill</w:t>
      </w:r>
      <w:r w:rsidRPr="00752413">
        <w:t xml:space="preserve"> (No. </w:t>
      </w:r>
      <w:r>
        <w:t>3</w:t>
      </w:r>
      <w:r w:rsidRPr="00752413">
        <w:t>)</w:t>
      </w:r>
      <w:r>
        <w:t xml:space="preserve"> 2022-23</w:t>
      </w:r>
      <w:r w:rsidRPr="00752413">
        <w:t xml:space="preserve"> and </w:t>
      </w:r>
      <w:r w:rsidRPr="00752413">
        <w:rPr>
          <w:i/>
        </w:rPr>
        <w:t>Supply Act (No. 1) 2022-23</w:t>
      </w:r>
      <w:r w:rsidRPr="00752413">
        <w:t>.</w:t>
      </w:r>
    </w:p>
    <w:p w14:paraId="6E077F84" w14:textId="77777777" w:rsidR="00061A23" w:rsidRPr="004637F9" w:rsidRDefault="00061A23" w:rsidP="00061A23">
      <w:pPr>
        <w:pStyle w:val="ChartandTableFootnoteAlpha"/>
        <w:jc w:val="left"/>
      </w:pPr>
      <w:r w:rsidRPr="004637F9">
        <w:t xml:space="preserve">Excludes amounts subject to administrative quarantine by the Department of Finance or withheld under section 51 of the </w:t>
      </w:r>
      <w:r w:rsidRPr="004637F9">
        <w:rPr>
          <w:i/>
          <w:iCs/>
        </w:rPr>
        <w:t>Public Governance, Performance and Accountability Act 2013</w:t>
      </w:r>
      <w:r w:rsidRPr="004637F9">
        <w:t xml:space="preserve"> (PGPA Act).</w:t>
      </w:r>
    </w:p>
    <w:p w14:paraId="30B3D01C" w14:textId="77777777" w:rsidR="00061A23" w:rsidRPr="004637F9" w:rsidRDefault="00061A23" w:rsidP="00061A23">
      <w:pPr>
        <w:pStyle w:val="ChartandTableFootnoteAlpha"/>
        <w:jc w:val="left"/>
      </w:pPr>
      <w:r w:rsidRPr="004637F9">
        <w:t xml:space="preserve">Excludes Departmental </w:t>
      </w:r>
      <w:r>
        <w:t>C</w:t>
      </w:r>
      <w:r w:rsidRPr="004637F9">
        <w:t xml:space="preserve">apital </w:t>
      </w:r>
      <w:r>
        <w:t>B</w:t>
      </w:r>
      <w:r w:rsidRPr="004637F9">
        <w:t>udget (DCB).</w:t>
      </w:r>
    </w:p>
    <w:p w14:paraId="7D437E09" w14:textId="77777777" w:rsidR="00061A23" w:rsidRPr="004637F9" w:rsidRDefault="00061A23" w:rsidP="00061A23">
      <w:pPr>
        <w:pStyle w:val="ChartandTableFootnoteAlpha"/>
        <w:jc w:val="left"/>
      </w:pPr>
      <w:r w:rsidRPr="004637F9">
        <w:t>Estimated External Revenue receipts under section 74 of the PGPA Act.</w:t>
      </w:r>
    </w:p>
    <w:p w14:paraId="2147247F" w14:textId="77777777" w:rsidR="00061A23" w:rsidRPr="004637F9" w:rsidRDefault="00061A23" w:rsidP="00061A23">
      <w:pPr>
        <w:pStyle w:val="ChartandTableFootnoteAlpha"/>
        <w:jc w:val="left"/>
      </w:pPr>
      <w:r w:rsidRPr="004637F9">
        <w:t>Departmental capital budgets are not separately identified in Appropriation Bill (No. 1) and form part of ordinary annual services items. Please refer to Table 3.5 for further details. For accounting purposes, this amount has been designated as a 'contribution by owner'.</w:t>
      </w:r>
    </w:p>
    <w:p w14:paraId="414FCE1D" w14:textId="77777777" w:rsidR="00061A23" w:rsidRPr="004637F9" w:rsidRDefault="00061A23" w:rsidP="00061A23">
      <w:pPr>
        <w:pStyle w:val="ChartandTableFootnoteAlpha"/>
        <w:jc w:val="left"/>
      </w:pPr>
      <w:r w:rsidRPr="004637F9">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2DA30E4C" w14:textId="77777777" w:rsidR="00061A23" w:rsidRPr="004637F9" w:rsidRDefault="00061A23" w:rsidP="00061A23">
      <w:pPr>
        <w:pStyle w:val="ChartandTableFootnoteAlpha"/>
        <w:jc w:val="left"/>
      </w:pPr>
      <w:r w:rsidRPr="004637F9">
        <w:t>'Corporate entities' are Corporate Commonwealth Entities and Commonwealth Companies as defined under the PGPA Act.</w:t>
      </w:r>
    </w:p>
    <w:p w14:paraId="63683254" w14:textId="77777777" w:rsidR="00061A23" w:rsidRPr="00752413" w:rsidRDefault="00061A23" w:rsidP="00061A23">
      <w:pPr>
        <w:pStyle w:val="ChartandTableFootnoteAlpha"/>
        <w:jc w:val="left"/>
      </w:pPr>
      <w:r w:rsidRPr="00752413">
        <w:t xml:space="preserve">Appropriation </w:t>
      </w:r>
      <w:r>
        <w:t>Bill</w:t>
      </w:r>
      <w:r w:rsidRPr="00752413">
        <w:t xml:space="preserve"> (No. </w:t>
      </w:r>
      <w:r>
        <w:t>2</w:t>
      </w:r>
      <w:r w:rsidRPr="00752413">
        <w:t>)</w:t>
      </w:r>
      <w:r>
        <w:t xml:space="preserve"> 2022-23</w:t>
      </w:r>
      <w:r w:rsidRPr="00752413">
        <w:t xml:space="preserve">, Supply </w:t>
      </w:r>
      <w:r>
        <w:t>Bill</w:t>
      </w:r>
      <w:r w:rsidRPr="00752413">
        <w:t xml:space="preserve"> (No. </w:t>
      </w:r>
      <w:r>
        <w:t>4</w:t>
      </w:r>
      <w:r w:rsidRPr="00752413">
        <w:t>)</w:t>
      </w:r>
      <w:r>
        <w:t xml:space="preserve"> 2022-23</w:t>
      </w:r>
      <w:r w:rsidRPr="00752413">
        <w:t xml:space="preserve"> and </w:t>
      </w:r>
      <w:r w:rsidRPr="00752413">
        <w:rPr>
          <w:i/>
        </w:rPr>
        <w:t xml:space="preserve">Supply Act (No. </w:t>
      </w:r>
      <w:r>
        <w:rPr>
          <w:i/>
        </w:rPr>
        <w:t>2</w:t>
      </w:r>
      <w:r w:rsidRPr="00752413">
        <w:rPr>
          <w:i/>
        </w:rPr>
        <w:t>) 2022-23</w:t>
      </w:r>
      <w:r w:rsidRPr="00752413">
        <w:t>.</w:t>
      </w:r>
    </w:p>
    <w:p w14:paraId="2F5FAD9D" w14:textId="202B3CB0" w:rsidR="00061A23" w:rsidRPr="009500C5" w:rsidRDefault="00061A23" w:rsidP="00061A23">
      <w:pPr>
        <w:pStyle w:val="ChartandTableFootnoteAlpha"/>
        <w:jc w:val="left"/>
        <w:rPr>
          <w:u w:val="single"/>
        </w:rPr>
      </w:pPr>
      <w:r w:rsidRPr="004637F9">
        <w:t>Relates to appropriations sought for payment to the states, ACT, NT and local governments</w:t>
      </w:r>
      <w:r w:rsidRPr="009500C5">
        <w:t xml:space="preserve"> in Appropriation Bill </w:t>
      </w:r>
      <w:r>
        <w:t>(</w:t>
      </w:r>
      <w:r w:rsidRPr="009500C5">
        <w:t>No.</w:t>
      </w:r>
      <w:r>
        <w:t> </w:t>
      </w:r>
      <w:r w:rsidRPr="009500C5">
        <w:t>2</w:t>
      </w:r>
      <w:r>
        <w:t>)</w:t>
      </w:r>
      <w:r w:rsidRPr="009500C5">
        <w:t xml:space="preserve"> 202</w:t>
      </w:r>
      <w:r>
        <w:t>2</w:t>
      </w:r>
      <w:r w:rsidRPr="009500C5">
        <w:t>-2</w:t>
      </w:r>
      <w:r>
        <w:t>3</w:t>
      </w:r>
      <w:r w:rsidRPr="009500C5">
        <w:t>. Outcome 1 – Program 1.1: Infrastructure Investment includes the Roads to Recovery program under the Roads to Recovery Funding Conditions 2014. Information on the terms and conditions can be found in the determination, Roads to Recovery funding Conditions 2014 at</w:t>
      </w:r>
      <w:r>
        <w:t>:</w:t>
      </w:r>
      <w:r w:rsidRPr="009500C5">
        <w:t xml:space="preserve"> </w:t>
      </w:r>
      <w:hyperlink r:id="rId22" w:history="1">
        <w:r w:rsidRPr="00ED46E0">
          <w:rPr>
            <w:rStyle w:val="Hyperlink"/>
            <w:u w:val="single"/>
          </w:rPr>
          <w:t>https://investment.infrastructure.gov.au/files/roads_to_recovery_funding_conditions/R2R_Funding</w:t>
        </w:r>
      </w:hyperlink>
      <w:r w:rsidRPr="00ED46E0">
        <w:rPr>
          <w:u w:val="single"/>
        </w:rPr>
        <w:t xml:space="preserve"> Conditions_November_2019.pdf</w:t>
      </w:r>
      <w:r w:rsidRPr="009500C5">
        <w:rPr>
          <w:u w:val="single"/>
        </w:rPr>
        <w:t>.</w:t>
      </w:r>
      <w:r w:rsidRPr="009500C5">
        <w:t xml:space="preserve"> For state splits please refer to </w:t>
      </w:r>
      <w:r w:rsidRPr="009500C5">
        <w:rPr>
          <w:i/>
          <w:iCs/>
        </w:rPr>
        <w:t>Budget Paper 3 2022-23</w:t>
      </w:r>
      <w:r w:rsidRPr="009500C5">
        <w:t xml:space="preserve"> at </w:t>
      </w:r>
      <w:r w:rsidRPr="00D92F89">
        <w:rPr>
          <w:u w:val="single"/>
        </w:rPr>
        <w:t>https://budget.gov.au/index.htm</w:t>
      </w:r>
      <w:r w:rsidRPr="009500C5">
        <w:t xml:space="preserve">. </w:t>
      </w:r>
      <w:r>
        <w:t xml:space="preserve"> </w:t>
      </w:r>
    </w:p>
    <w:p w14:paraId="0494257F" w14:textId="77777777" w:rsidR="00061A23" w:rsidRPr="009500C5" w:rsidRDefault="00061A23" w:rsidP="00061A23">
      <w:pPr>
        <w:pStyle w:val="ChartandTableFootnoteAlpha"/>
        <w:jc w:val="left"/>
        <w:rPr>
          <w:u w:val="single"/>
        </w:rPr>
      </w:pPr>
      <w:r w:rsidRPr="009500C5">
        <w:t xml:space="preserve">Relates to appropriations sought for payment to the states, ACT, NT and local governments in Appropriation Bill </w:t>
      </w:r>
      <w:r>
        <w:t>(</w:t>
      </w:r>
      <w:r w:rsidRPr="009500C5">
        <w:t>No.</w:t>
      </w:r>
      <w:r>
        <w:t> </w:t>
      </w:r>
      <w:r w:rsidRPr="009500C5">
        <w:t>2</w:t>
      </w:r>
      <w:r>
        <w:t>)</w:t>
      </w:r>
      <w:r w:rsidRPr="009500C5">
        <w:t xml:space="preserve"> 202</w:t>
      </w:r>
      <w:r>
        <w:t>2-23</w:t>
      </w:r>
      <w:r w:rsidRPr="009500C5">
        <w:t xml:space="preserve">. Outcome 3 – Program 3.1: Regional Development includes the </w:t>
      </w:r>
      <w:r w:rsidRPr="009500C5">
        <w:lastRenderedPageBreak/>
        <w:t xml:space="preserve">Drought Communities Programme and Program 3.2: Local Government includes Local Roads and Community Infrastructure. For state splits please refer </w:t>
      </w:r>
      <w:r w:rsidRPr="009500C5">
        <w:rPr>
          <w:i/>
          <w:iCs/>
        </w:rPr>
        <w:t>Budget Paper 3 2022-23</w:t>
      </w:r>
      <w:r w:rsidRPr="009500C5">
        <w:t xml:space="preserve"> at</w:t>
      </w:r>
      <w:r>
        <w:t>:</w:t>
      </w:r>
      <w:r w:rsidRPr="009500C5">
        <w:t xml:space="preserve"> </w:t>
      </w:r>
      <w:r w:rsidRPr="00D92F89">
        <w:rPr>
          <w:u w:val="single"/>
        </w:rPr>
        <w:t>https://budget.gov.au/index.htm</w:t>
      </w:r>
      <w:r w:rsidRPr="009500C5">
        <w:t xml:space="preserve">. </w:t>
      </w:r>
    </w:p>
    <w:p w14:paraId="426F3B39" w14:textId="77777777" w:rsidR="00061A23" w:rsidRPr="009500C5" w:rsidRDefault="00061A23" w:rsidP="00061A23">
      <w:pPr>
        <w:pStyle w:val="ChartandTableFootnoteAlpha"/>
        <w:jc w:val="left"/>
      </w:pPr>
      <w:r w:rsidRPr="009500C5">
        <w:t xml:space="preserve">For further information on special appropriations and special accounts, please refer to </w:t>
      </w:r>
      <w:r w:rsidRPr="009500C5">
        <w:rPr>
          <w:i/>
          <w:iCs/>
        </w:rPr>
        <w:t>Budget Paper No.</w:t>
      </w:r>
      <w:r>
        <w:rPr>
          <w:i/>
          <w:iCs/>
        </w:rPr>
        <w:t> </w:t>
      </w:r>
      <w:r w:rsidRPr="009500C5">
        <w:rPr>
          <w:i/>
          <w:iCs/>
        </w:rPr>
        <w:t xml:space="preserve">4 – Agency </w:t>
      </w:r>
      <w:r w:rsidRPr="009500C5">
        <w:t>Resourcing. Please also see Section 2 for further information on outcome and program expenses broken down by various funding sources, for example annual appropriations, special appropriations and special accounts.</w:t>
      </w:r>
    </w:p>
    <w:p w14:paraId="403FDB7D" w14:textId="77777777" w:rsidR="00061A23" w:rsidRPr="009500C5" w:rsidRDefault="00061A23" w:rsidP="00061A23">
      <w:pPr>
        <w:pStyle w:val="ChartandTableFootnoteAlpha"/>
        <w:jc w:val="left"/>
      </w:pPr>
      <w:r w:rsidRPr="009500C5">
        <w:t>Excludes trust moneys held in Services for Other Entities and Trust Moneys (SOETM) and other special accounts.</w:t>
      </w:r>
    </w:p>
    <w:p w14:paraId="6CD425D2" w14:textId="77777777" w:rsidR="00061A23" w:rsidRPr="009500C5" w:rsidRDefault="00061A23" w:rsidP="00061A23">
      <w:pPr>
        <w:pStyle w:val="ChartandTableFootnoteAlpha"/>
        <w:jc w:val="left"/>
      </w:pPr>
      <w:r w:rsidRPr="009500C5">
        <w:t>Amounts credited to the special accounts from annual and special appropriations.</w:t>
      </w:r>
    </w:p>
    <w:p w14:paraId="21BBDA35" w14:textId="77777777" w:rsidR="00061A23" w:rsidRDefault="00061A23" w:rsidP="00061A23">
      <w:pPr>
        <w:pStyle w:val="ChartandTableFootnoteAlpha"/>
        <w:jc w:val="left"/>
      </w:pPr>
      <w:r w:rsidRPr="009500C5">
        <w:t>Payments relate to the Tasmanian Freight Equalisation Scheme and the Bass Strait Passenger Vehicle Equalisation Scheme administered items.</w:t>
      </w:r>
    </w:p>
    <w:p w14:paraId="3EAEF2E7" w14:textId="77777777" w:rsidR="00061A23" w:rsidRDefault="00061A23" w:rsidP="00061A23">
      <w:pPr>
        <w:pStyle w:val="ChartandTableFootnoteAlpha"/>
        <w:jc w:val="left"/>
      </w:pPr>
      <w:r w:rsidRPr="009500C5">
        <w:t>This reflects</w:t>
      </w:r>
      <w:r>
        <w:t xml:space="preserve"> the transfer of responsibility for the Old Parliament House from the Prime Minister and Cabinet Portfolio to the Infrastructure, Transport, Regional Development, Communications and the Arts Portfolio resulting from the Administrative Arrangement Orders of 23 June 2022.</w:t>
      </w:r>
    </w:p>
    <w:p w14:paraId="5FA45705" w14:textId="77777777" w:rsidR="00115843" w:rsidRPr="005A7C0B" w:rsidRDefault="00115843" w:rsidP="00115843">
      <w:pPr>
        <w:pStyle w:val="Heading3-ITRDCA"/>
      </w:pPr>
      <w:r>
        <w:br w:type="page"/>
      </w:r>
      <w:bookmarkStart w:id="11" w:name="_Toc117242345"/>
      <w:r w:rsidRPr="005A7C0B">
        <w:lastRenderedPageBreak/>
        <w:t>1.3</w:t>
      </w:r>
      <w:r w:rsidRPr="005A7C0B">
        <w:tab/>
        <w:t>Budget measures</w:t>
      </w:r>
      <w:bookmarkEnd w:id="11"/>
    </w:p>
    <w:p w14:paraId="3EAB37A7" w14:textId="77777777" w:rsidR="00115843" w:rsidRPr="00E1004B" w:rsidRDefault="00115843" w:rsidP="00115843">
      <w:r w:rsidRPr="00E1004B">
        <w:t>Budget measures in Part 1 relating to the Department are detailed in the October Budget Paper No. 2 and are summarised below.</w:t>
      </w:r>
    </w:p>
    <w:p w14:paraId="4982DD88" w14:textId="6BCB5DD6" w:rsidR="00115843" w:rsidRPr="009A40DD" w:rsidRDefault="00115843" w:rsidP="00115843">
      <w:pPr>
        <w:pStyle w:val="TableHeading"/>
      </w:pPr>
      <w:r w:rsidRPr="009A40DD">
        <w:t xml:space="preserve">Table 1.2: </w:t>
      </w:r>
      <w:r>
        <w:t>Department of Infrastructure, Transport, Regional Development, Communications and the Arts</w:t>
      </w:r>
      <w:r w:rsidRPr="009A40DD">
        <w:t xml:space="preserve"> </w:t>
      </w:r>
      <w:r>
        <w:t xml:space="preserve">October </w:t>
      </w:r>
      <w:r w:rsidRPr="009A40DD">
        <w:t xml:space="preserve">Budget </w:t>
      </w:r>
      <w:r>
        <w:t xml:space="preserve">2022-23 </w:t>
      </w:r>
      <w:r w:rsidRPr="009A40DD">
        <w:t>measures</w:t>
      </w:r>
    </w:p>
    <w:p w14:paraId="3C797868" w14:textId="3361F10E" w:rsidR="00115843" w:rsidRDefault="00115843" w:rsidP="00115843">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March Budget 2022-23</w:t>
      </w:r>
    </w:p>
    <w:tbl>
      <w:tblPr>
        <w:tblW w:w="5056" w:type="pct"/>
        <w:tblLayout w:type="fixed"/>
        <w:tblLook w:val="04A0" w:firstRow="1" w:lastRow="0" w:firstColumn="1" w:lastColumn="0" w:noHBand="0" w:noVBand="1"/>
      </w:tblPr>
      <w:tblGrid>
        <w:gridCol w:w="2263"/>
        <w:gridCol w:w="909"/>
        <w:gridCol w:w="926"/>
        <w:gridCol w:w="1003"/>
        <w:gridCol w:w="920"/>
        <w:gridCol w:w="850"/>
        <w:gridCol w:w="925"/>
      </w:tblGrid>
      <w:tr w:rsidR="004A16F1" w:rsidRPr="004A16F1" w14:paraId="33536B08" w14:textId="77777777" w:rsidTr="00436AC0">
        <w:trPr>
          <w:trHeight w:val="204"/>
        </w:trPr>
        <w:tc>
          <w:tcPr>
            <w:tcW w:w="1451" w:type="pct"/>
            <w:tcBorders>
              <w:top w:val="single" w:sz="4" w:space="0" w:color="auto"/>
              <w:left w:val="nil"/>
              <w:bottom w:val="nil"/>
              <w:right w:val="nil"/>
            </w:tcBorders>
            <w:shd w:val="clear" w:color="auto" w:fill="auto"/>
            <w:noWrap/>
            <w:vAlign w:val="bottom"/>
            <w:hideMark/>
          </w:tcPr>
          <w:p w14:paraId="1B00184E" w14:textId="77777777" w:rsidR="004A16F1" w:rsidRPr="004A16F1" w:rsidRDefault="004A16F1" w:rsidP="004A16F1">
            <w:pPr>
              <w:spacing w:after="0" w:line="240" w:lineRule="auto"/>
              <w:jc w:val="center"/>
              <w:rPr>
                <w:rFonts w:ascii="Arial" w:hAnsi="Arial" w:cs="Arial"/>
                <w:sz w:val="18"/>
                <w:szCs w:val="18"/>
              </w:rPr>
            </w:pPr>
            <w:r w:rsidRPr="004A16F1">
              <w:rPr>
                <w:rFonts w:ascii="Arial" w:hAnsi="Arial" w:cs="Arial"/>
                <w:sz w:val="18"/>
                <w:szCs w:val="18"/>
              </w:rPr>
              <w:t> </w:t>
            </w:r>
          </w:p>
        </w:tc>
        <w:tc>
          <w:tcPr>
            <w:tcW w:w="583" w:type="pct"/>
            <w:tcBorders>
              <w:top w:val="single" w:sz="4" w:space="0" w:color="auto"/>
              <w:left w:val="nil"/>
              <w:bottom w:val="single" w:sz="4" w:space="0" w:color="auto"/>
              <w:right w:val="nil"/>
            </w:tcBorders>
            <w:shd w:val="clear" w:color="auto" w:fill="auto"/>
            <w:vAlign w:val="bottom"/>
            <w:hideMark/>
          </w:tcPr>
          <w:p w14:paraId="6DB138F5"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Program</w:t>
            </w:r>
          </w:p>
        </w:tc>
        <w:tc>
          <w:tcPr>
            <w:tcW w:w="594" w:type="pct"/>
            <w:tcBorders>
              <w:top w:val="single" w:sz="4" w:space="0" w:color="auto"/>
              <w:left w:val="nil"/>
              <w:bottom w:val="single" w:sz="4" w:space="0" w:color="auto"/>
              <w:right w:val="nil"/>
            </w:tcBorders>
            <w:shd w:val="clear" w:color="auto" w:fill="E6E6E6"/>
            <w:vAlign w:val="bottom"/>
            <w:hideMark/>
          </w:tcPr>
          <w:p w14:paraId="42E307C0" w14:textId="77777777" w:rsidR="004A16F1" w:rsidRPr="004A16F1" w:rsidRDefault="004A16F1" w:rsidP="004A16F1">
            <w:pPr>
              <w:spacing w:after="0" w:line="240" w:lineRule="auto"/>
              <w:jc w:val="right"/>
              <w:rPr>
                <w:rFonts w:ascii="Arial" w:hAnsi="Arial" w:cs="Arial"/>
                <w:sz w:val="16"/>
                <w:szCs w:val="16"/>
              </w:rPr>
            </w:pPr>
            <w:r w:rsidRPr="004A16F1">
              <w:rPr>
                <w:rFonts w:ascii="Arial" w:hAnsi="Arial" w:cs="Arial"/>
                <w:sz w:val="16"/>
                <w:szCs w:val="16"/>
              </w:rPr>
              <w:t>2021-22</w:t>
            </w:r>
            <w:r w:rsidRPr="004A16F1">
              <w:rPr>
                <w:rFonts w:ascii="Arial" w:hAnsi="Arial" w:cs="Arial"/>
                <w:sz w:val="16"/>
                <w:szCs w:val="16"/>
              </w:rPr>
              <w:br/>
              <w:t>$'000</w:t>
            </w:r>
          </w:p>
        </w:tc>
        <w:tc>
          <w:tcPr>
            <w:tcW w:w="643" w:type="pct"/>
            <w:tcBorders>
              <w:top w:val="single" w:sz="4" w:space="0" w:color="auto"/>
              <w:left w:val="nil"/>
              <w:bottom w:val="single" w:sz="4" w:space="0" w:color="auto"/>
              <w:right w:val="nil"/>
            </w:tcBorders>
            <w:shd w:val="clear" w:color="auto" w:fill="auto"/>
            <w:vAlign w:val="bottom"/>
            <w:hideMark/>
          </w:tcPr>
          <w:p w14:paraId="1AAD32D5" w14:textId="77777777" w:rsidR="004A16F1" w:rsidRPr="004A16F1" w:rsidRDefault="004A16F1" w:rsidP="004A16F1">
            <w:pPr>
              <w:spacing w:after="0" w:line="240" w:lineRule="auto"/>
              <w:jc w:val="right"/>
              <w:rPr>
                <w:rFonts w:ascii="Arial" w:hAnsi="Arial" w:cs="Arial"/>
                <w:sz w:val="16"/>
                <w:szCs w:val="16"/>
              </w:rPr>
            </w:pPr>
            <w:r w:rsidRPr="004A16F1">
              <w:rPr>
                <w:rFonts w:ascii="Arial" w:hAnsi="Arial" w:cs="Arial"/>
                <w:sz w:val="16"/>
                <w:szCs w:val="16"/>
              </w:rPr>
              <w:t>2022-23</w:t>
            </w:r>
            <w:r w:rsidRPr="004A16F1">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E6E6E6"/>
            <w:vAlign w:val="bottom"/>
            <w:hideMark/>
          </w:tcPr>
          <w:p w14:paraId="0183E64E" w14:textId="77777777" w:rsidR="004A16F1" w:rsidRPr="004A16F1" w:rsidRDefault="004A16F1" w:rsidP="004A16F1">
            <w:pPr>
              <w:spacing w:after="0" w:line="240" w:lineRule="auto"/>
              <w:jc w:val="right"/>
              <w:rPr>
                <w:rFonts w:ascii="Arial" w:hAnsi="Arial" w:cs="Arial"/>
                <w:sz w:val="16"/>
                <w:szCs w:val="16"/>
              </w:rPr>
            </w:pPr>
            <w:r w:rsidRPr="004A16F1">
              <w:rPr>
                <w:rFonts w:ascii="Arial" w:hAnsi="Arial" w:cs="Arial"/>
                <w:sz w:val="16"/>
                <w:szCs w:val="16"/>
              </w:rPr>
              <w:t>2023-24</w:t>
            </w:r>
            <w:r w:rsidRPr="004A16F1">
              <w:rPr>
                <w:rFonts w:ascii="Arial" w:hAnsi="Arial" w:cs="Arial"/>
                <w:sz w:val="16"/>
                <w:szCs w:val="16"/>
              </w:rPr>
              <w:br/>
              <w:t>$'000</w:t>
            </w:r>
          </w:p>
        </w:tc>
        <w:tc>
          <w:tcPr>
            <w:tcW w:w="545" w:type="pct"/>
            <w:tcBorders>
              <w:top w:val="single" w:sz="4" w:space="0" w:color="auto"/>
              <w:left w:val="nil"/>
              <w:bottom w:val="single" w:sz="4" w:space="0" w:color="auto"/>
              <w:right w:val="nil"/>
            </w:tcBorders>
            <w:shd w:val="clear" w:color="auto" w:fill="auto"/>
            <w:vAlign w:val="bottom"/>
            <w:hideMark/>
          </w:tcPr>
          <w:p w14:paraId="3C26F868" w14:textId="77777777" w:rsidR="004A16F1" w:rsidRPr="004A16F1" w:rsidRDefault="004A16F1" w:rsidP="004A16F1">
            <w:pPr>
              <w:spacing w:after="0" w:line="240" w:lineRule="auto"/>
              <w:jc w:val="right"/>
              <w:rPr>
                <w:rFonts w:ascii="Arial" w:hAnsi="Arial" w:cs="Arial"/>
                <w:sz w:val="16"/>
                <w:szCs w:val="16"/>
              </w:rPr>
            </w:pPr>
            <w:r w:rsidRPr="004A16F1">
              <w:rPr>
                <w:rFonts w:ascii="Arial" w:hAnsi="Arial" w:cs="Arial"/>
                <w:sz w:val="16"/>
                <w:szCs w:val="16"/>
              </w:rPr>
              <w:t>2024-25</w:t>
            </w:r>
            <w:r w:rsidRPr="004A16F1">
              <w:rPr>
                <w:rFonts w:ascii="Arial" w:hAnsi="Arial" w:cs="Arial"/>
                <w:sz w:val="16"/>
                <w:szCs w:val="16"/>
              </w:rPr>
              <w:br/>
              <w:t>$'000</w:t>
            </w:r>
          </w:p>
        </w:tc>
        <w:tc>
          <w:tcPr>
            <w:tcW w:w="593" w:type="pct"/>
            <w:tcBorders>
              <w:top w:val="single" w:sz="4" w:space="0" w:color="auto"/>
              <w:left w:val="nil"/>
              <w:bottom w:val="single" w:sz="4" w:space="0" w:color="auto"/>
              <w:right w:val="nil"/>
            </w:tcBorders>
            <w:shd w:val="clear" w:color="auto" w:fill="E6E6E6"/>
            <w:vAlign w:val="bottom"/>
            <w:hideMark/>
          </w:tcPr>
          <w:p w14:paraId="3E147EDB" w14:textId="77777777" w:rsidR="004A16F1" w:rsidRPr="004A16F1" w:rsidRDefault="004A16F1" w:rsidP="004A16F1">
            <w:pPr>
              <w:spacing w:after="0" w:line="240" w:lineRule="auto"/>
              <w:jc w:val="right"/>
              <w:rPr>
                <w:rFonts w:ascii="Arial" w:hAnsi="Arial" w:cs="Arial"/>
                <w:sz w:val="16"/>
                <w:szCs w:val="16"/>
              </w:rPr>
            </w:pPr>
            <w:r w:rsidRPr="004A16F1">
              <w:rPr>
                <w:rFonts w:ascii="Arial" w:hAnsi="Arial" w:cs="Arial"/>
                <w:sz w:val="16"/>
                <w:szCs w:val="16"/>
              </w:rPr>
              <w:t>2025-26</w:t>
            </w:r>
            <w:r w:rsidRPr="004A16F1">
              <w:rPr>
                <w:rFonts w:ascii="Arial" w:hAnsi="Arial" w:cs="Arial"/>
                <w:sz w:val="16"/>
                <w:szCs w:val="16"/>
              </w:rPr>
              <w:br/>
              <w:t>$'000</w:t>
            </w:r>
          </w:p>
        </w:tc>
      </w:tr>
      <w:tr w:rsidR="004A16F1" w:rsidRPr="004A16F1" w14:paraId="4CD0D8C2" w14:textId="77777777" w:rsidTr="00436AC0">
        <w:trPr>
          <w:trHeight w:val="204"/>
        </w:trPr>
        <w:tc>
          <w:tcPr>
            <w:tcW w:w="1451" w:type="pct"/>
            <w:tcBorders>
              <w:top w:val="nil"/>
              <w:left w:val="nil"/>
              <w:bottom w:val="nil"/>
              <w:right w:val="nil"/>
            </w:tcBorders>
            <w:shd w:val="clear" w:color="auto" w:fill="auto"/>
            <w:noWrap/>
            <w:vAlign w:val="bottom"/>
            <w:hideMark/>
          </w:tcPr>
          <w:p w14:paraId="223DD2B9" w14:textId="77777777" w:rsidR="004A16F1" w:rsidRPr="004A16F1" w:rsidRDefault="004A16F1" w:rsidP="004A16F1">
            <w:pPr>
              <w:spacing w:after="0" w:line="240" w:lineRule="auto"/>
              <w:rPr>
                <w:rFonts w:ascii="Arial" w:hAnsi="Arial" w:cs="Arial"/>
                <w:b/>
                <w:bCs/>
                <w:sz w:val="16"/>
                <w:szCs w:val="16"/>
              </w:rPr>
            </w:pPr>
            <w:r w:rsidRPr="004A16F1">
              <w:rPr>
                <w:rFonts w:ascii="Arial" w:hAnsi="Arial" w:cs="Arial"/>
                <w:b/>
                <w:bCs/>
                <w:sz w:val="16"/>
                <w:szCs w:val="16"/>
              </w:rPr>
              <w:t xml:space="preserve">Payment measures </w:t>
            </w:r>
          </w:p>
        </w:tc>
        <w:tc>
          <w:tcPr>
            <w:tcW w:w="583" w:type="pct"/>
            <w:tcBorders>
              <w:top w:val="nil"/>
              <w:left w:val="nil"/>
              <w:bottom w:val="nil"/>
              <w:right w:val="nil"/>
            </w:tcBorders>
            <w:shd w:val="clear" w:color="auto" w:fill="auto"/>
            <w:noWrap/>
            <w:vAlign w:val="bottom"/>
            <w:hideMark/>
          </w:tcPr>
          <w:p w14:paraId="38C9BB41"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2E21815C" w14:textId="24539AB1" w:rsidR="004A16F1" w:rsidRPr="004A16F1" w:rsidRDefault="004A16F1" w:rsidP="00C904B7">
            <w:pPr>
              <w:spacing w:after="0" w:line="240" w:lineRule="auto"/>
              <w:jc w:val="right"/>
              <w:rPr>
                <w:rFonts w:ascii="Arial" w:hAnsi="Arial" w:cs="Arial"/>
                <w:sz w:val="16"/>
                <w:szCs w:val="16"/>
              </w:rPr>
            </w:pPr>
          </w:p>
        </w:tc>
        <w:tc>
          <w:tcPr>
            <w:tcW w:w="643" w:type="pct"/>
            <w:tcBorders>
              <w:top w:val="nil"/>
              <w:left w:val="nil"/>
              <w:bottom w:val="nil"/>
              <w:right w:val="nil"/>
            </w:tcBorders>
            <w:shd w:val="clear" w:color="auto" w:fill="auto"/>
            <w:noWrap/>
            <w:vAlign w:val="bottom"/>
            <w:hideMark/>
          </w:tcPr>
          <w:p w14:paraId="566C6A9B" w14:textId="77777777" w:rsidR="004A16F1" w:rsidRPr="004A16F1" w:rsidRDefault="004A16F1" w:rsidP="00C904B7">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E6E6E6"/>
            <w:noWrap/>
            <w:vAlign w:val="bottom"/>
            <w:hideMark/>
          </w:tcPr>
          <w:p w14:paraId="1842A164" w14:textId="36624EEB" w:rsidR="004A16F1" w:rsidRPr="004A16F1" w:rsidRDefault="004A16F1" w:rsidP="00C904B7">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4F362E14" w14:textId="77777777" w:rsidR="004A16F1" w:rsidRPr="004A16F1" w:rsidRDefault="004A16F1" w:rsidP="00C904B7">
            <w:pPr>
              <w:spacing w:after="0" w:line="240" w:lineRule="auto"/>
              <w:jc w:val="right"/>
              <w:rPr>
                <w:rFonts w:ascii="Arial" w:hAnsi="Arial" w:cs="Arial"/>
                <w:sz w:val="16"/>
                <w:szCs w:val="16"/>
              </w:rPr>
            </w:pPr>
          </w:p>
        </w:tc>
        <w:tc>
          <w:tcPr>
            <w:tcW w:w="593" w:type="pct"/>
            <w:tcBorders>
              <w:top w:val="nil"/>
              <w:left w:val="nil"/>
              <w:bottom w:val="nil"/>
              <w:right w:val="nil"/>
            </w:tcBorders>
            <w:shd w:val="clear" w:color="auto" w:fill="E6E6E6"/>
            <w:noWrap/>
            <w:vAlign w:val="bottom"/>
            <w:hideMark/>
          </w:tcPr>
          <w:p w14:paraId="6C928A4F" w14:textId="747A664F" w:rsidR="004A16F1" w:rsidRPr="004A16F1" w:rsidRDefault="004A16F1" w:rsidP="00C904B7">
            <w:pPr>
              <w:spacing w:after="0" w:line="240" w:lineRule="auto"/>
              <w:jc w:val="right"/>
              <w:rPr>
                <w:rFonts w:ascii="Arial" w:hAnsi="Arial" w:cs="Arial"/>
                <w:sz w:val="16"/>
                <w:szCs w:val="16"/>
              </w:rPr>
            </w:pPr>
          </w:p>
        </w:tc>
      </w:tr>
      <w:tr w:rsidR="004A16F1" w:rsidRPr="004A16F1" w14:paraId="461DD590" w14:textId="77777777" w:rsidTr="00436AC0">
        <w:trPr>
          <w:trHeight w:val="204"/>
        </w:trPr>
        <w:tc>
          <w:tcPr>
            <w:tcW w:w="1451" w:type="pct"/>
            <w:tcBorders>
              <w:top w:val="nil"/>
              <w:left w:val="nil"/>
              <w:bottom w:val="nil"/>
              <w:right w:val="nil"/>
            </w:tcBorders>
            <w:shd w:val="clear" w:color="auto" w:fill="auto"/>
            <w:vAlign w:val="bottom"/>
            <w:hideMark/>
          </w:tcPr>
          <w:p w14:paraId="03185F39" w14:textId="26419C1F"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Better Connectivity</w:t>
            </w:r>
            <w:r w:rsidR="000242AB">
              <w:rPr>
                <w:rFonts w:ascii="Arial" w:hAnsi="Arial" w:cs="Arial"/>
                <w:sz w:val="16"/>
                <w:szCs w:val="16"/>
              </w:rPr>
              <w:t xml:space="preserve"> Plan</w:t>
            </w:r>
            <w:r w:rsidRPr="004A16F1">
              <w:rPr>
                <w:rFonts w:ascii="Arial" w:hAnsi="Arial" w:cs="Arial"/>
                <w:sz w:val="16"/>
                <w:szCs w:val="16"/>
              </w:rPr>
              <w:t xml:space="preserve"> for Regional </w:t>
            </w:r>
            <w:r w:rsidR="00583F7A" w:rsidRPr="004A16F1">
              <w:rPr>
                <w:rFonts w:ascii="Arial" w:hAnsi="Arial" w:cs="Arial"/>
                <w:sz w:val="16"/>
                <w:szCs w:val="16"/>
              </w:rPr>
              <w:t xml:space="preserve">and Rural </w:t>
            </w:r>
            <w:r w:rsidRPr="004A16F1">
              <w:rPr>
                <w:rFonts w:ascii="Arial" w:hAnsi="Arial" w:cs="Arial"/>
                <w:sz w:val="16"/>
                <w:szCs w:val="16"/>
              </w:rPr>
              <w:t>Australia</w:t>
            </w:r>
          </w:p>
        </w:tc>
        <w:tc>
          <w:tcPr>
            <w:tcW w:w="583" w:type="pct"/>
            <w:tcBorders>
              <w:top w:val="nil"/>
              <w:left w:val="nil"/>
              <w:bottom w:val="nil"/>
              <w:right w:val="nil"/>
            </w:tcBorders>
            <w:shd w:val="clear" w:color="auto" w:fill="auto"/>
            <w:noWrap/>
            <w:vAlign w:val="bottom"/>
            <w:hideMark/>
          </w:tcPr>
          <w:p w14:paraId="5909D1E4"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5.1, 5.2</w:t>
            </w:r>
          </w:p>
        </w:tc>
        <w:tc>
          <w:tcPr>
            <w:tcW w:w="594" w:type="pct"/>
            <w:tcBorders>
              <w:top w:val="nil"/>
              <w:left w:val="nil"/>
              <w:bottom w:val="nil"/>
              <w:right w:val="nil"/>
            </w:tcBorders>
            <w:shd w:val="clear" w:color="auto" w:fill="E6E6E6"/>
            <w:noWrap/>
            <w:vAlign w:val="bottom"/>
            <w:hideMark/>
          </w:tcPr>
          <w:p w14:paraId="68C5FCE8" w14:textId="16B3D5D8" w:rsidR="004A16F1" w:rsidRPr="004A16F1" w:rsidRDefault="004A16F1" w:rsidP="00C904B7">
            <w:pPr>
              <w:spacing w:after="0" w:line="240" w:lineRule="auto"/>
              <w:jc w:val="right"/>
              <w:rPr>
                <w:rFonts w:ascii="Arial" w:hAnsi="Arial" w:cs="Arial"/>
                <w:sz w:val="16"/>
                <w:szCs w:val="16"/>
              </w:rPr>
            </w:pPr>
          </w:p>
        </w:tc>
        <w:tc>
          <w:tcPr>
            <w:tcW w:w="643" w:type="pct"/>
            <w:tcBorders>
              <w:top w:val="nil"/>
              <w:left w:val="nil"/>
              <w:bottom w:val="nil"/>
              <w:right w:val="nil"/>
            </w:tcBorders>
            <w:shd w:val="clear" w:color="auto" w:fill="auto"/>
            <w:noWrap/>
            <w:vAlign w:val="bottom"/>
            <w:hideMark/>
          </w:tcPr>
          <w:p w14:paraId="0E844266" w14:textId="77777777" w:rsidR="004A16F1" w:rsidRPr="004A16F1" w:rsidRDefault="004A16F1" w:rsidP="00C904B7">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E6E6E6"/>
            <w:noWrap/>
            <w:vAlign w:val="bottom"/>
            <w:hideMark/>
          </w:tcPr>
          <w:p w14:paraId="02F40F09" w14:textId="0C1F7DBD" w:rsidR="004A16F1" w:rsidRPr="004A16F1" w:rsidRDefault="004A16F1" w:rsidP="00C904B7">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67F186C9" w14:textId="77777777" w:rsidR="004A16F1" w:rsidRPr="004A16F1" w:rsidRDefault="004A16F1" w:rsidP="00C904B7">
            <w:pPr>
              <w:spacing w:after="0" w:line="240" w:lineRule="auto"/>
              <w:jc w:val="right"/>
              <w:rPr>
                <w:rFonts w:ascii="Arial" w:hAnsi="Arial" w:cs="Arial"/>
                <w:sz w:val="16"/>
                <w:szCs w:val="16"/>
              </w:rPr>
            </w:pPr>
          </w:p>
        </w:tc>
        <w:tc>
          <w:tcPr>
            <w:tcW w:w="593" w:type="pct"/>
            <w:tcBorders>
              <w:top w:val="nil"/>
              <w:left w:val="nil"/>
              <w:bottom w:val="nil"/>
              <w:right w:val="nil"/>
            </w:tcBorders>
            <w:shd w:val="clear" w:color="auto" w:fill="E6E6E6"/>
            <w:noWrap/>
            <w:vAlign w:val="bottom"/>
            <w:hideMark/>
          </w:tcPr>
          <w:p w14:paraId="37CCC7E8" w14:textId="2F276CF7" w:rsidR="004A16F1" w:rsidRPr="004A16F1" w:rsidRDefault="004A16F1" w:rsidP="00C904B7">
            <w:pPr>
              <w:spacing w:after="0" w:line="240" w:lineRule="auto"/>
              <w:jc w:val="right"/>
              <w:rPr>
                <w:rFonts w:ascii="Arial" w:hAnsi="Arial" w:cs="Arial"/>
                <w:sz w:val="16"/>
                <w:szCs w:val="16"/>
              </w:rPr>
            </w:pPr>
          </w:p>
        </w:tc>
      </w:tr>
      <w:tr w:rsidR="003B0EDB" w:rsidRPr="004A16F1" w14:paraId="33C9A53D" w14:textId="77777777" w:rsidTr="00436AC0">
        <w:trPr>
          <w:trHeight w:val="204"/>
        </w:trPr>
        <w:tc>
          <w:tcPr>
            <w:tcW w:w="1451" w:type="pct"/>
            <w:tcBorders>
              <w:top w:val="nil"/>
              <w:left w:val="nil"/>
              <w:bottom w:val="nil"/>
              <w:right w:val="nil"/>
            </w:tcBorders>
            <w:shd w:val="clear" w:color="auto" w:fill="auto"/>
            <w:noWrap/>
            <w:vAlign w:val="bottom"/>
            <w:hideMark/>
          </w:tcPr>
          <w:p w14:paraId="28BE3CCF" w14:textId="77777777" w:rsidR="003B0EDB" w:rsidRPr="004A16F1" w:rsidRDefault="003B0EDB" w:rsidP="00B14412">
            <w:pPr>
              <w:spacing w:after="0" w:line="240" w:lineRule="auto"/>
              <w:ind w:firstLineChars="100" w:firstLine="160"/>
              <w:rPr>
                <w:rFonts w:ascii="Arial" w:hAnsi="Arial" w:cs="Arial"/>
                <w:sz w:val="16"/>
                <w:szCs w:val="16"/>
              </w:rPr>
            </w:pPr>
            <w:r w:rsidRPr="004A16F1">
              <w:rPr>
                <w:rFonts w:ascii="Arial" w:hAnsi="Arial" w:cs="Arial"/>
                <w:sz w:val="16"/>
                <w:szCs w:val="16"/>
              </w:rPr>
              <w:t>Administered payments</w:t>
            </w:r>
          </w:p>
        </w:tc>
        <w:tc>
          <w:tcPr>
            <w:tcW w:w="583" w:type="pct"/>
            <w:tcBorders>
              <w:top w:val="nil"/>
              <w:left w:val="nil"/>
              <w:bottom w:val="nil"/>
              <w:right w:val="nil"/>
            </w:tcBorders>
            <w:shd w:val="clear" w:color="auto" w:fill="auto"/>
            <w:noWrap/>
            <w:vAlign w:val="bottom"/>
            <w:hideMark/>
          </w:tcPr>
          <w:p w14:paraId="252F905E" w14:textId="77777777" w:rsidR="003B0EDB" w:rsidRPr="004A16F1" w:rsidRDefault="003B0EDB" w:rsidP="00B14412">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2CC21E59"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2E12F8A7"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(143,763)</w:t>
            </w:r>
          </w:p>
        </w:tc>
        <w:tc>
          <w:tcPr>
            <w:tcW w:w="590" w:type="pct"/>
            <w:tcBorders>
              <w:top w:val="nil"/>
              <w:left w:val="nil"/>
              <w:bottom w:val="nil"/>
              <w:right w:val="nil"/>
            </w:tcBorders>
            <w:shd w:val="clear" w:color="auto" w:fill="E6E6E6"/>
            <w:noWrap/>
            <w:vAlign w:val="bottom"/>
            <w:hideMark/>
          </w:tcPr>
          <w:p w14:paraId="28D9DA9D"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35,223</w:t>
            </w:r>
          </w:p>
        </w:tc>
        <w:tc>
          <w:tcPr>
            <w:tcW w:w="545" w:type="pct"/>
            <w:tcBorders>
              <w:top w:val="nil"/>
              <w:left w:val="nil"/>
              <w:bottom w:val="nil"/>
              <w:right w:val="nil"/>
            </w:tcBorders>
            <w:shd w:val="clear" w:color="auto" w:fill="auto"/>
            <w:noWrap/>
            <w:vAlign w:val="bottom"/>
            <w:hideMark/>
          </w:tcPr>
          <w:p w14:paraId="48A47880"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52,738</w:t>
            </w:r>
          </w:p>
        </w:tc>
        <w:tc>
          <w:tcPr>
            <w:tcW w:w="593" w:type="pct"/>
            <w:tcBorders>
              <w:top w:val="nil"/>
              <w:left w:val="nil"/>
              <w:bottom w:val="nil"/>
              <w:right w:val="nil"/>
            </w:tcBorders>
            <w:shd w:val="clear" w:color="auto" w:fill="E6E6E6"/>
            <w:noWrap/>
            <w:vAlign w:val="bottom"/>
            <w:hideMark/>
          </w:tcPr>
          <w:p w14:paraId="68AF9A91"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(41,275)</w:t>
            </w:r>
          </w:p>
        </w:tc>
      </w:tr>
      <w:tr w:rsidR="004A16F1" w:rsidRPr="004A16F1" w14:paraId="71683AB9" w14:textId="77777777" w:rsidTr="00436AC0">
        <w:trPr>
          <w:trHeight w:val="204"/>
        </w:trPr>
        <w:tc>
          <w:tcPr>
            <w:tcW w:w="1451" w:type="pct"/>
            <w:tcBorders>
              <w:top w:val="nil"/>
              <w:left w:val="nil"/>
              <w:bottom w:val="nil"/>
              <w:right w:val="nil"/>
            </w:tcBorders>
            <w:shd w:val="clear" w:color="auto" w:fill="auto"/>
            <w:noWrap/>
            <w:vAlign w:val="bottom"/>
            <w:hideMark/>
          </w:tcPr>
          <w:p w14:paraId="0196DDB1"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Departmental payments</w:t>
            </w:r>
          </w:p>
        </w:tc>
        <w:tc>
          <w:tcPr>
            <w:tcW w:w="583" w:type="pct"/>
            <w:tcBorders>
              <w:top w:val="nil"/>
              <w:left w:val="nil"/>
              <w:bottom w:val="nil"/>
              <w:right w:val="nil"/>
            </w:tcBorders>
            <w:shd w:val="clear" w:color="auto" w:fill="auto"/>
            <w:noWrap/>
            <w:vAlign w:val="bottom"/>
            <w:hideMark/>
          </w:tcPr>
          <w:p w14:paraId="13C383C1"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4EA23C49" w14:textId="168C0724"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40EF9233"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(1,981)</w:t>
            </w:r>
          </w:p>
        </w:tc>
        <w:tc>
          <w:tcPr>
            <w:tcW w:w="590" w:type="pct"/>
            <w:tcBorders>
              <w:top w:val="nil"/>
              <w:left w:val="nil"/>
              <w:bottom w:val="nil"/>
              <w:right w:val="nil"/>
            </w:tcBorders>
            <w:shd w:val="clear" w:color="auto" w:fill="E6E6E6"/>
            <w:noWrap/>
            <w:vAlign w:val="bottom"/>
            <w:hideMark/>
          </w:tcPr>
          <w:p w14:paraId="41C8903C"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(943)</w:t>
            </w:r>
          </w:p>
        </w:tc>
        <w:tc>
          <w:tcPr>
            <w:tcW w:w="545" w:type="pct"/>
            <w:tcBorders>
              <w:top w:val="nil"/>
              <w:left w:val="nil"/>
              <w:bottom w:val="nil"/>
              <w:right w:val="nil"/>
            </w:tcBorders>
            <w:shd w:val="clear" w:color="auto" w:fill="auto"/>
            <w:noWrap/>
            <w:vAlign w:val="bottom"/>
            <w:hideMark/>
          </w:tcPr>
          <w:p w14:paraId="4652223E"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(75)</w:t>
            </w:r>
          </w:p>
        </w:tc>
        <w:tc>
          <w:tcPr>
            <w:tcW w:w="593" w:type="pct"/>
            <w:tcBorders>
              <w:top w:val="nil"/>
              <w:left w:val="nil"/>
              <w:bottom w:val="nil"/>
              <w:right w:val="nil"/>
            </w:tcBorders>
            <w:shd w:val="clear" w:color="auto" w:fill="E6E6E6"/>
            <w:noWrap/>
            <w:vAlign w:val="bottom"/>
            <w:hideMark/>
          </w:tcPr>
          <w:p w14:paraId="57F87332"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(1,209)</w:t>
            </w:r>
          </w:p>
        </w:tc>
      </w:tr>
      <w:tr w:rsidR="004A16F1" w:rsidRPr="004A16F1" w14:paraId="5CE2A092" w14:textId="77777777" w:rsidTr="00436AC0">
        <w:trPr>
          <w:trHeight w:val="204"/>
        </w:trPr>
        <w:tc>
          <w:tcPr>
            <w:tcW w:w="1451" w:type="pct"/>
            <w:tcBorders>
              <w:top w:val="nil"/>
              <w:left w:val="nil"/>
              <w:bottom w:val="nil"/>
              <w:right w:val="nil"/>
            </w:tcBorders>
            <w:shd w:val="clear" w:color="auto" w:fill="auto"/>
            <w:noWrap/>
            <w:vAlign w:val="bottom"/>
            <w:hideMark/>
          </w:tcPr>
          <w:p w14:paraId="02D69825"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7D977963"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3718C2C7" w14:textId="33AFF845"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4BF527C8"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(145,744)</w:t>
            </w:r>
          </w:p>
        </w:tc>
        <w:tc>
          <w:tcPr>
            <w:tcW w:w="590" w:type="pct"/>
            <w:tcBorders>
              <w:top w:val="nil"/>
              <w:left w:val="nil"/>
              <w:bottom w:val="nil"/>
              <w:right w:val="nil"/>
            </w:tcBorders>
            <w:shd w:val="clear" w:color="auto" w:fill="E6E6E6"/>
            <w:noWrap/>
            <w:vAlign w:val="bottom"/>
            <w:hideMark/>
          </w:tcPr>
          <w:p w14:paraId="1703F52E" w14:textId="00D44E01"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34,280</w:t>
            </w:r>
          </w:p>
        </w:tc>
        <w:tc>
          <w:tcPr>
            <w:tcW w:w="545" w:type="pct"/>
            <w:tcBorders>
              <w:top w:val="nil"/>
              <w:left w:val="nil"/>
              <w:bottom w:val="nil"/>
              <w:right w:val="nil"/>
            </w:tcBorders>
            <w:shd w:val="clear" w:color="auto" w:fill="auto"/>
            <w:noWrap/>
            <w:vAlign w:val="bottom"/>
            <w:hideMark/>
          </w:tcPr>
          <w:p w14:paraId="0DE1B12B" w14:textId="6BC13528"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52,663</w:t>
            </w:r>
          </w:p>
        </w:tc>
        <w:tc>
          <w:tcPr>
            <w:tcW w:w="593" w:type="pct"/>
            <w:tcBorders>
              <w:top w:val="nil"/>
              <w:left w:val="nil"/>
              <w:bottom w:val="nil"/>
              <w:right w:val="nil"/>
            </w:tcBorders>
            <w:shd w:val="clear" w:color="auto" w:fill="E6E6E6"/>
            <w:noWrap/>
            <w:vAlign w:val="bottom"/>
            <w:hideMark/>
          </w:tcPr>
          <w:p w14:paraId="26566EBA"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(42,484)</w:t>
            </w:r>
          </w:p>
        </w:tc>
      </w:tr>
      <w:tr w:rsidR="004A16F1" w:rsidRPr="004A16F1" w14:paraId="431BACB1" w14:textId="77777777" w:rsidTr="00436AC0">
        <w:trPr>
          <w:trHeight w:val="204"/>
        </w:trPr>
        <w:tc>
          <w:tcPr>
            <w:tcW w:w="1451" w:type="pct"/>
            <w:tcBorders>
              <w:top w:val="nil"/>
              <w:left w:val="nil"/>
              <w:bottom w:val="nil"/>
              <w:right w:val="nil"/>
            </w:tcBorders>
            <w:shd w:val="clear" w:color="auto" w:fill="auto"/>
            <w:vAlign w:val="bottom"/>
            <w:hideMark/>
          </w:tcPr>
          <w:p w14:paraId="7D36FA6B" w14:textId="4E53B7AF"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Better Funded National Broadcasters</w:t>
            </w:r>
            <w:r w:rsidR="008452B1">
              <w:rPr>
                <w:rFonts w:ascii="Arial" w:hAnsi="Arial" w:cs="Arial"/>
                <w:sz w:val="16"/>
                <w:szCs w:val="16"/>
              </w:rPr>
              <w:t xml:space="preserve"> </w:t>
            </w:r>
            <w:r w:rsidR="008452B1" w:rsidRPr="008452B1">
              <w:rPr>
                <w:rFonts w:ascii="Arial" w:hAnsi="Arial" w:cs="Arial"/>
                <w:sz w:val="16"/>
                <w:szCs w:val="16"/>
                <w:vertAlign w:val="superscript"/>
              </w:rPr>
              <w:t>(a)</w:t>
            </w:r>
          </w:p>
        </w:tc>
        <w:tc>
          <w:tcPr>
            <w:tcW w:w="583" w:type="pct"/>
            <w:tcBorders>
              <w:top w:val="nil"/>
              <w:left w:val="nil"/>
              <w:bottom w:val="nil"/>
              <w:right w:val="nil"/>
            </w:tcBorders>
            <w:shd w:val="clear" w:color="auto" w:fill="auto"/>
            <w:noWrap/>
            <w:vAlign w:val="bottom"/>
            <w:hideMark/>
          </w:tcPr>
          <w:p w14:paraId="4131E4F7"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5.2</w:t>
            </w:r>
          </w:p>
        </w:tc>
        <w:tc>
          <w:tcPr>
            <w:tcW w:w="594" w:type="pct"/>
            <w:tcBorders>
              <w:top w:val="nil"/>
              <w:left w:val="nil"/>
              <w:bottom w:val="nil"/>
              <w:right w:val="nil"/>
            </w:tcBorders>
            <w:shd w:val="clear" w:color="auto" w:fill="E6E6E6"/>
            <w:noWrap/>
            <w:vAlign w:val="bottom"/>
            <w:hideMark/>
          </w:tcPr>
          <w:p w14:paraId="3229A894" w14:textId="6E213398" w:rsidR="004A16F1" w:rsidRPr="004A16F1" w:rsidRDefault="004A16F1" w:rsidP="00C904B7">
            <w:pPr>
              <w:spacing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03350F3C" w14:textId="77777777" w:rsidR="004A16F1" w:rsidRPr="004A16F1" w:rsidRDefault="004A16F1" w:rsidP="00C904B7">
            <w:pPr>
              <w:spacing w:after="0" w:line="240" w:lineRule="auto"/>
              <w:jc w:val="right"/>
              <w:rPr>
                <w:rFonts w:ascii="Arial" w:hAnsi="Arial" w:cs="Arial"/>
                <w:b/>
                <w:bCs/>
                <w:sz w:val="16"/>
                <w:szCs w:val="16"/>
              </w:rPr>
            </w:pPr>
          </w:p>
        </w:tc>
        <w:tc>
          <w:tcPr>
            <w:tcW w:w="590" w:type="pct"/>
            <w:tcBorders>
              <w:top w:val="nil"/>
              <w:left w:val="nil"/>
              <w:bottom w:val="nil"/>
              <w:right w:val="nil"/>
            </w:tcBorders>
            <w:shd w:val="clear" w:color="auto" w:fill="E6E6E6"/>
            <w:noWrap/>
            <w:vAlign w:val="bottom"/>
            <w:hideMark/>
          </w:tcPr>
          <w:p w14:paraId="25961FA1" w14:textId="0AC54189" w:rsidR="004A16F1" w:rsidRPr="004A16F1" w:rsidRDefault="004A16F1" w:rsidP="00C904B7">
            <w:pPr>
              <w:spacing w:after="0" w:line="240" w:lineRule="auto"/>
              <w:jc w:val="right"/>
              <w:rPr>
                <w:rFonts w:ascii="Arial" w:hAnsi="Arial" w:cs="Arial"/>
                <w:b/>
                <w:bCs/>
                <w:sz w:val="16"/>
                <w:szCs w:val="16"/>
              </w:rPr>
            </w:pPr>
          </w:p>
        </w:tc>
        <w:tc>
          <w:tcPr>
            <w:tcW w:w="545" w:type="pct"/>
            <w:tcBorders>
              <w:top w:val="nil"/>
              <w:left w:val="nil"/>
              <w:bottom w:val="nil"/>
              <w:right w:val="nil"/>
            </w:tcBorders>
            <w:shd w:val="clear" w:color="auto" w:fill="auto"/>
            <w:noWrap/>
            <w:vAlign w:val="bottom"/>
            <w:hideMark/>
          </w:tcPr>
          <w:p w14:paraId="0B482B20" w14:textId="77777777" w:rsidR="004A16F1" w:rsidRPr="004A16F1" w:rsidRDefault="004A16F1" w:rsidP="00C904B7">
            <w:pPr>
              <w:spacing w:after="0" w:line="240" w:lineRule="auto"/>
              <w:jc w:val="right"/>
              <w:rPr>
                <w:rFonts w:ascii="Arial" w:hAnsi="Arial" w:cs="Arial"/>
                <w:b/>
                <w:bCs/>
                <w:sz w:val="16"/>
                <w:szCs w:val="16"/>
              </w:rPr>
            </w:pPr>
          </w:p>
        </w:tc>
        <w:tc>
          <w:tcPr>
            <w:tcW w:w="593" w:type="pct"/>
            <w:tcBorders>
              <w:top w:val="nil"/>
              <w:left w:val="nil"/>
              <w:bottom w:val="nil"/>
              <w:right w:val="nil"/>
            </w:tcBorders>
            <w:shd w:val="clear" w:color="auto" w:fill="E6E6E6"/>
            <w:noWrap/>
            <w:vAlign w:val="bottom"/>
            <w:hideMark/>
          </w:tcPr>
          <w:p w14:paraId="6AAB279D" w14:textId="4C6FED3A" w:rsidR="004A16F1" w:rsidRPr="004A16F1" w:rsidRDefault="004A16F1" w:rsidP="00C904B7">
            <w:pPr>
              <w:spacing w:after="0" w:line="240" w:lineRule="auto"/>
              <w:jc w:val="right"/>
              <w:rPr>
                <w:rFonts w:ascii="Arial" w:hAnsi="Arial" w:cs="Arial"/>
                <w:b/>
                <w:bCs/>
                <w:sz w:val="16"/>
                <w:szCs w:val="16"/>
              </w:rPr>
            </w:pPr>
          </w:p>
        </w:tc>
      </w:tr>
      <w:tr w:rsidR="004A16F1" w:rsidRPr="004A16F1" w14:paraId="5033E7BF" w14:textId="77777777" w:rsidTr="00436AC0">
        <w:trPr>
          <w:trHeight w:val="204"/>
        </w:trPr>
        <w:tc>
          <w:tcPr>
            <w:tcW w:w="1451" w:type="pct"/>
            <w:tcBorders>
              <w:top w:val="nil"/>
              <w:left w:val="nil"/>
              <w:bottom w:val="nil"/>
              <w:right w:val="nil"/>
            </w:tcBorders>
            <w:shd w:val="clear" w:color="auto" w:fill="auto"/>
            <w:noWrap/>
            <w:vAlign w:val="bottom"/>
            <w:hideMark/>
          </w:tcPr>
          <w:p w14:paraId="17BCE968"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Departmental payments</w:t>
            </w:r>
          </w:p>
        </w:tc>
        <w:tc>
          <w:tcPr>
            <w:tcW w:w="583" w:type="pct"/>
            <w:tcBorders>
              <w:top w:val="nil"/>
              <w:left w:val="nil"/>
              <w:bottom w:val="nil"/>
              <w:right w:val="nil"/>
            </w:tcBorders>
            <w:shd w:val="clear" w:color="auto" w:fill="auto"/>
            <w:noWrap/>
            <w:vAlign w:val="bottom"/>
            <w:hideMark/>
          </w:tcPr>
          <w:p w14:paraId="4552EBDC"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192F2FCA" w14:textId="7CEC9658"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42491C31" w14:textId="1B50AABA"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90" w:type="pct"/>
            <w:tcBorders>
              <w:top w:val="nil"/>
              <w:left w:val="nil"/>
              <w:bottom w:val="nil"/>
              <w:right w:val="nil"/>
            </w:tcBorders>
            <w:shd w:val="clear" w:color="auto" w:fill="E6E6E6"/>
            <w:noWrap/>
            <w:vAlign w:val="bottom"/>
            <w:hideMark/>
          </w:tcPr>
          <w:p w14:paraId="09CB6C68" w14:textId="00B265AF"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5C0A74C5" w14:textId="56F3A252"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93" w:type="pct"/>
            <w:tcBorders>
              <w:top w:val="nil"/>
              <w:left w:val="nil"/>
              <w:bottom w:val="nil"/>
              <w:right w:val="nil"/>
            </w:tcBorders>
            <w:shd w:val="clear" w:color="auto" w:fill="E6E6E6"/>
            <w:noWrap/>
            <w:vAlign w:val="bottom"/>
            <w:hideMark/>
          </w:tcPr>
          <w:p w14:paraId="182EA31A" w14:textId="5BA70306"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r>
      <w:tr w:rsidR="004A16F1" w:rsidRPr="004A16F1" w14:paraId="7EE75E75" w14:textId="77777777" w:rsidTr="00436AC0">
        <w:trPr>
          <w:trHeight w:val="204"/>
        </w:trPr>
        <w:tc>
          <w:tcPr>
            <w:tcW w:w="1451" w:type="pct"/>
            <w:tcBorders>
              <w:top w:val="nil"/>
              <w:left w:val="nil"/>
              <w:bottom w:val="nil"/>
              <w:right w:val="nil"/>
            </w:tcBorders>
            <w:shd w:val="clear" w:color="auto" w:fill="auto"/>
            <w:noWrap/>
            <w:vAlign w:val="bottom"/>
            <w:hideMark/>
          </w:tcPr>
          <w:p w14:paraId="724E7947"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478F9267"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69F04BC3" w14:textId="312BDD50"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42976995" w14:textId="7AD6219F"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590" w:type="pct"/>
            <w:tcBorders>
              <w:top w:val="nil"/>
              <w:left w:val="nil"/>
              <w:bottom w:val="nil"/>
              <w:right w:val="nil"/>
            </w:tcBorders>
            <w:shd w:val="clear" w:color="auto" w:fill="E6E6E6"/>
            <w:noWrap/>
            <w:vAlign w:val="bottom"/>
            <w:hideMark/>
          </w:tcPr>
          <w:p w14:paraId="45BA48A1" w14:textId="03D4CF9F"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545" w:type="pct"/>
            <w:tcBorders>
              <w:top w:val="nil"/>
              <w:left w:val="nil"/>
              <w:bottom w:val="nil"/>
              <w:right w:val="nil"/>
            </w:tcBorders>
            <w:shd w:val="clear" w:color="auto" w:fill="auto"/>
            <w:noWrap/>
            <w:vAlign w:val="bottom"/>
            <w:hideMark/>
          </w:tcPr>
          <w:p w14:paraId="1681179E" w14:textId="162DA7CF"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593" w:type="pct"/>
            <w:tcBorders>
              <w:top w:val="nil"/>
              <w:left w:val="nil"/>
              <w:bottom w:val="nil"/>
              <w:right w:val="nil"/>
            </w:tcBorders>
            <w:shd w:val="clear" w:color="auto" w:fill="E6E6E6"/>
            <w:noWrap/>
            <w:vAlign w:val="bottom"/>
            <w:hideMark/>
          </w:tcPr>
          <w:p w14:paraId="7173B4AE" w14:textId="708B67A5"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r>
      <w:tr w:rsidR="004A16F1" w:rsidRPr="004A16F1" w14:paraId="44957D6A" w14:textId="77777777" w:rsidTr="00436AC0">
        <w:trPr>
          <w:trHeight w:val="204"/>
        </w:trPr>
        <w:tc>
          <w:tcPr>
            <w:tcW w:w="1451" w:type="pct"/>
            <w:tcBorders>
              <w:top w:val="nil"/>
              <w:left w:val="nil"/>
              <w:bottom w:val="nil"/>
              <w:right w:val="nil"/>
            </w:tcBorders>
            <w:shd w:val="clear" w:color="auto" w:fill="auto"/>
            <w:vAlign w:val="bottom"/>
            <w:hideMark/>
          </w:tcPr>
          <w:p w14:paraId="0D1FBA66" w14:textId="77777777"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Brisbane 2032 Olympic and Paralympic Games – departmental resourcing</w:t>
            </w:r>
          </w:p>
        </w:tc>
        <w:tc>
          <w:tcPr>
            <w:tcW w:w="583" w:type="pct"/>
            <w:tcBorders>
              <w:top w:val="nil"/>
              <w:left w:val="nil"/>
              <w:bottom w:val="nil"/>
              <w:right w:val="nil"/>
            </w:tcBorders>
            <w:shd w:val="clear" w:color="auto" w:fill="auto"/>
            <w:noWrap/>
            <w:vAlign w:val="bottom"/>
            <w:hideMark/>
          </w:tcPr>
          <w:p w14:paraId="153E9354"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3.5</w:t>
            </w:r>
          </w:p>
        </w:tc>
        <w:tc>
          <w:tcPr>
            <w:tcW w:w="594" w:type="pct"/>
            <w:tcBorders>
              <w:top w:val="nil"/>
              <w:left w:val="nil"/>
              <w:bottom w:val="nil"/>
              <w:right w:val="nil"/>
            </w:tcBorders>
            <w:shd w:val="clear" w:color="auto" w:fill="E6E6E6"/>
            <w:noWrap/>
            <w:vAlign w:val="bottom"/>
            <w:hideMark/>
          </w:tcPr>
          <w:p w14:paraId="1CA6C0CE" w14:textId="2F140EAB" w:rsidR="004A16F1" w:rsidRPr="004A16F1" w:rsidRDefault="004A16F1" w:rsidP="00C904B7">
            <w:pPr>
              <w:spacing w:after="0" w:line="240" w:lineRule="auto"/>
              <w:jc w:val="right"/>
              <w:rPr>
                <w:rFonts w:ascii="Arial" w:hAnsi="Arial" w:cs="Arial"/>
                <w:sz w:val="16"/>
                <w:szCs w:val="16"/>
              </w:rPr>
            </w:pPr>
          </w:p>
        </w:tc>
        <w:tc>
          <w:tcPr>
            <w:tcW w:w="643" w:type="pct"/>
            <w:tcBorders>
              <w:top w:val="nil"/>
              <w:left w:val="nil"/>
              <w:bottom w:val="nil"/>
              <w:right w:val="nil"/>
            </w:tcBorders>
            <w:shd w:val="clear" w:color="auto" w:fill="auto"/>
            <w:noWrap/>
            <w:vAlign w:val="bottom"/>
            <w:hideMark/>
          </w:tcPr>
          <w:p w14:paraId="443F56A8" w14:textId="77777777" w:rsidR="004A16F1" w:rsidRPr="004A16F1" w:rsidRDefault="004A16F1" w:rsidP="00C904B7">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E6E6E6"/>
            <w:noWrap/>
            <w:vAlign w:val="bottom"/>
            <w:hideMark/>
          </w:tcPr>
          <w:p w14:paraId="4CEC513C" w14:textId="2F8374FD" w:rsidR="004A16F1" w:rsidRPr="004A16F1" w:rsidRDefault="004A16F1" w:rsidP="00C904B7">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20F53B59" w14:textId="77777777" w:rsidR="004A16F1" w:rsidRPr="004A16F1" w:rsidRDefault="004A16F1" w:rsidP="00C904B7">
            <w:pPr>
              <w:spacing w:after="0" w:line="240" w:lineRule="auto"/>
              <w:jc w:val="right"/>
              <w:rPr>
                <w:rFonts w:ascii="Arial" w:hAnsi="Arial" w:cs="Arial"/>
                <w:sz w:val="16"/>
                <w:szCs w:val="16"/>
              </w:rPr>
            </w:pPr>
          </w:p>
        </w:tc>
        <w:tc>
          <w:tcPr>
            <w:tcW w:w="593" w:type="pct"/>
            <w:tcBorders>
              <w:top w:val="nil"/>
              <w:left w:val="nil"/>
              <w:bottom w:val="nil"/>
              <w:right w:val="nil"/>
            </w:tcBorders>
            <w:shd w:val="clear" w:color="auto" w:fill="E6E6E6"/>
            <w:noWrap/>
            <w:vAlign w:val="bottom"/>
            <w:hideMark/>
          </w:tcPr>
          <w:p w14:paraId="7AF282EB" w14:textId="612BD098" w:rsidR="004A16F1" w:rsidRPr="004A16F1" w:rsidRDefault="004A16F1" w:rsidP="00C904B7">
            <w:pPr>
              <w:spacing w:after="0" w:line="240" w:lineRule="auto"/>
              <w:jc w:val="right"/>
              <w:rPr>
                <w:rFonts w:ascii="Arial" w:hAnsi="Arial" w:cs="Arial"/>
                <w:sz w:val="16"/>
                <w:szCs w:val="16"/>
              </w:rPr>
            </w:pPr>
          </w:p>
        </w:tc>
      </w:tr>
      <w:tr w:rsidR="004A16F1" w:rsidRPr="004A16F1" w14:paraId="455BBADB" w14:textId="77777777" w:rsidTr="00436AC0">
        <w:trPr>
          <w:trHeight w:val="204"/>
        </w:trPr>
        <w:tc>
          <w:tcPr>
            <w:tcW w:w="1451" w:type="pct"/>
            <w:tcBorders>
              <w:top w:val="nil"/>
              <w:left w:val="nil"/>
              <w:bottom w:val="nil"/>
              <w:right w:val="nil"/>
            </w:tcBorders>
            <w:shd w:val="clear" w:color="auto" w:fill="auto"/>
            <w:noWrap/>
            <w:vAlign w:val="bottom"/>
            <w:hideMark/>
          </w:tcPr>
          <w:p w14:paraId="35F911B7"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Departmental payments</w:t>
            </w:r>
          </w:p>
        </w:tc>
        <w:tc>
          <w:tcPr>
            <w:tcW w:w="583" w:type="pct"/>
            <w:tcBorders>
              <w:top w:val="nil"/>
              <w:left w:val="nil"/>
              <w:bottom w:val="nil"/>
              <w:right w:val="nil"/>
            </w:tcBorders>
            <w:shd w:val="clear" w:color="auto" w:fill="auto"/>
            <w:noWrap/>
            <w:vAlign w:val="bottom"/>
            <w:hideMark/>
          </w:tcPr>
          <w:p w14:paraId="2F297AE3"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655C3566" w14:textId="68EE4A62"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1D796937" w14:textId="18A87269"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803</w:t>
            </w:r>
          </w:p>
        </w:tc>
        <w:tc>
          <w:tcPr>
            <w:tcW w:w="590" w:type="pct"/>
            <w:tcBorders>
              <w:top w:val="nil"/>
              <w:left w:val="nil"/>
              <w:bottom w:val="nil"/>
              <w:right w:val="nil"/>
            </w:tcBorders>
            <w:shd w:val="clear" w:color="auto" w:fill="E6E6E6"/>
            <w:noWrap/>
            <w:vAlign w:val="bottom"/>
            <w:hideMark/>
          </w:tcPr>
          <w:p w14:paraId="55C630AE" w14:textId="1139F3B3"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1,823</w:t>
            </w:r>
          </w:p>
        </w:tc>
        <w:tc>
          <w:tcPr>
            <w:tcW w:w="545" w:type="pct"/>
            <w:tcBorders>
              <w:top w:val="nil"/>
              <w:left w:val="nil"/>
              <w:bottom w:val="nil"/>
              <w:right w:val="nil"/>
            </w:tcBorders>
            <w:shd w:val="clear" w:color="auto" w:fill="auto"/>
            <w:noWrap/>
            <w:vAlign w:val="bottom"/>
            <w:hideMark/>
          </w:tcPr>
          <w:p w14:paraId="2F466AEA" w14:textId="7746CD6D"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1,584</w:t>
            </w:r>
          </w:p>
        </w:tc>
        <w:tc>
          <w:tcPr>
            <w:tcW w:w="593" w:type="pct"/>
            <w:tcBorders>
              <w:top w:val="nil"/>
              <w:left w:val="nil"/>
              <w:bottom w:val="nil"/>
              <w:right w:val="nil"/>
            </w:tcBorders>
            <w:shd w:val="clear" w:color="auto" w:fill="E6E6E6"/>
            <w:noWrap/>
            <w:vAlign w:val="bottom"/>
            <w:hideMark/>
          </w:tcPr>
          <w:p w14:paraId="3B805578" w14:textId="7243BFA9"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1,598</w:t>
            </w:r>
          </w:p>
        </w:tc>
      </w:tr>
      <w:tr w:rsidR="004A16F1" w:rsidRPr="004A16F1" w14:paraId="69A61E4D" w14:textId="77777777" w:rsidTr="00436AC0">
        <w:trPr>
          <w:trHeight w:val="204"/>
        </w:trPr>
        <w:tc>
          <w:tcPr>
            <w:tcW w:w="1451" w:type="pct"/>
            <w:tcBorders>
              <w:top w:val="nil"/>
              <w:left w:val="nil"/>
              <w:bottom w:val="nil"/>
              <w:right w:val="nil"/>
            </w:tcBorders>
            <w:shd w:val="clear" w:color="auto" w:fill="auto"/>
            <w:noWrap/>
            <w:vAlign w:val="bottom"/>
            <w:hideMark/>
          </w:tcPr>
          <w:p w14:paraId="6B1C2A5D"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32922494"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2B91FFBC" w14:textId="2C1CBA58"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1B0C8B18" w14:textId="652596DC"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803</w:t>
            </w:r>
          </w:p>
        </w:tc>
        <w:tc>
          <w:tcPr>
            <w:tcW w:w="590" w:type="pct"/>
            <w:tcBorders>
              <w:top w:val="nil"/>
              <w:left w:val="nil"/>
              <w:bottom w:val="nil"/>
              <w:right w:val="nil"/>
            </w:tcBorders>
            <w:shd w:val="clear" w:color="auto" w:fill="E6E6E6"/>
            <w:noWrap/>
            <w:vAlign w:val="bottom"/>
            <w:hideMark/>
          </w:tcPr>
          <w:p w14:paraId="4B40C93F" w14:textId="6E196E6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1,823</w:t>
            </w:r>
          </w:p>
        </w:tc>
        <w:tc>
          <w:tcPr>
            <w:tcW w:w="545" w:type="pct"/>
            <w:tcBorders>
              <w:top w:val="nil"/>
              <w:left w:val="nil"/>
              <w:bottom w:val="nil"/>
              <w:right w:val="nil"/>
            </w:tcBorders>
            <w:shd w:val="clear" w:color="auto" w:fill="auto"/>
            <w:noWrap/>
            <w:vAlign w:val="bottom"/>
            <w:hideMark/>
          </w:tcPr>
          <w:p w14:paraId="0F755234" w14:textId="60AD689E"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1,584</w:t>
            </w:r>
          </w:p>
        </w:tc>
        <w:tc>
          <w:tcPr>
            <w:tcW w:w="593" w:type="pct"/>
            <w:tcBorders>
              <w:top w:val="nil"/>
              <w:left w:val="nil"/>
              <w:bottom w:val="nil"/>
              <w:right w:val="nil"/>
            </w:tcBorders>
            <w:shd w:val="clear" w:color="auto" w:fill="E6E6E6"/>
            <w:noWrap/>
            <w:vAlign w:val="bottom"/>
            <w:hideMark/>
          </w:tcPr>
          <w:p w14:paraId="22DF3FFA" w14:textId="77935155"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1,598</w:t>
            </w:r>
          </w:p>
        </w:tc>
      </w:tr>
      <w:tr w:rsidR="004A16F1" w:rsidRPr="004A16F1" w14:paraId="6AA4EC7F" w14:textId="77777777" w:rsidTr="00436AC0">
        <w:trPr>
          <w:trHeight w:val="204"/>
        </w:trPr>
        <w:tc>
          <w:tcPr>
            <w:tcW w:w="1451" w:type="pct"/>
            <w:tcBorders>
              <w:top w:val="nil"/>
              <w:left w:val="nil"/>
              <w:bottom w:val="nil"/>
              <w:right w:val="nil"/>
            </w:tcBorders>
            <w:shd w:val="clear" w:color="auto" w:fill="auto"/>
            <w:vAlign w:val="bottom"/>
            <w:hideMark/>
          </w:tcPr>
          <w:p w14:paraId="24E570ED" w14:textId="360DE44F"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 xml:space="preserve">Building a Better Future </w:t>
            </w:r>
            <w:r w:rsidR="003B0EDB">
              <w:rPr>
                <w:rFonts w:ascii="Arial" w:hAnsi="Arial" w:cs="Arial"/>
                <w:sz w:val="16"/>
                <w:szCs w:val="16"/>
              </w:rPr>
              <w:t>t</w:t>
            </w:r>
            <w:r w:rsidRPr="004A16F1">
              <w:rPr>
                <w:rFonts w:ascii="Arial" w:hAnsi="Arial" w:cs="Arial"/>
                <w:sz w:val="16"/>
                <w:szCs w:val="16"/>
              </w:rPr>
              <w:t xml:space="preserve">hrough </w:t>
            </w:r>
            <w:r w:rsidR="003B0EDB">
              <w:rPr>
                <w:rFonts w:ascii="Arial" w:hAnsi="Arial" w:cs="Arial"/>
                <w:sz w:val="16"/>
                <w:szCs w:val="16"/>
              </w:rPr>
              <w:t>c</w:t>
            </w:r>
            <w:r w:rsidRPr="004A16F1">
              <w:rPr>
                <w:rFonts w:ascii="Arial" w:hAnsi="Arial" w:cs="Arial"/>
                <w:sz w:val="16"/>
                <w:szCs w:val="16"/>
              </w:rPr>
              <w:t>onsidered Infrastructure</w:t>
            </w:r>
            <w:r w:rsidR="003B0EDB">
              <w:rPr>
                <w:rFonts w:ascii="Arial" w:hAnsi="Arial" w:cs="Arial"/>
                <w:sz w:val="16"/>
                <w:szCs w:val="16"/>
              </w:rPr>
              <w:t xml:space="preserve"> Investment</w:t>
            </w:r>
          </w:p>
        </w:tc>
        <w:tc>
          <w:tcPr>
            <w:tcW w:w="583" w:type="pct"/>
            <w:tcBorders>
              <w:top w:val="nil"/>
              <w:left w:val="nil"/>
              <w:bottom w:val="nil"/>
              <w:right w:val="nil"/>
            </w:tcBorders>
            <w:shd w:val="clear" w:color="auto" w:fill="auto"/>
            <w:noWrap/>
            <w:vAlign w:val="bottom"/>
            <w:hideMark/>
          </w:tcPr>
          <w:p w14:paraId="1129FEBB"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1.1,1.2, 3.1</w:t>
            </w:r>
          </w:p>
        </w:tc>
        <w:tc>
          <w:tcPr>
            <w:tcW w:w="594" w:type="pct"/>
            <w:tcBorders>
              <w:top w:val="nil"/>
              <w:left w:val="nil"/>
              <w:bottom w:val="nil"/>
              <w:right w:val="nil"/>
            </w:tcBorders>
            <w:shd w:val="clear" w:color="auto" w:fill="E6E6E6"/>
            <w:noWrap/>
            <w:vAlign w:val="bottom"/>
            <w:hideMark/>
          </w:tcPr>
          <w:p w14:paraId="131DFC1E" w14:textId="69A42535" w:rsidR="004A16F1" w:rsidRPr="004A16F1" w:rsidRDefault="004A16F1" w:rsidP="00C904B7">
            <w:pPr>
              <w:spacing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005DB683" w14:textId="77777777" w:rsidR="004A16F1" w:rsidRPr="004A16F1" w:rsidRDefault="004A16F1" w:rsidP="00C904B7">
            <w:pPr>
              <w:spacing w:after="0" w:line="240" w:lineRule="auto"/>
              <w:jc w:val="right"/>
              <w:rPr>
                <w:rFonts w:ascii="Arial" w:hAnsi="Arial" w:cs="Arial"/>
                <w:b/>
                <w:bCs/>
                <w:sz w:val="16"/>
                <w:szCs w:val="16"/>
              </w:rPr>
            </w:pPr>
          </w:p>
        </w:tc>
        <w:tc>
          <w:tcPr>
            <w:tcW w:w="590" w:type="pct"/>
            <w:tcBorders>
              <w:top w:val="nil"/>
              <w:left w:val="nil"/>
              <w:bottom w:val="nil"/>
              <w:right w:val="nil"/>
            </w:tcBorders>
            <w:shd w:val="clear" w:color="auto" w:fill="E6E6E6"/>
            <w:noWrap/>
            <w:vAlign w:val="bottom"/>
            <w:hideMark/>
          </w:tcPr>
          <w:p w14:paraId="262F6821" w14:textId="593461DB" w:rsidR="004A16F1" w:rsidRPr="004A16F1" w:rsidRDefault="004A16F1" w:rsidP="00C904B7">
            <w:pPr>
              <w:spacing w:after="0" w:line="240" w:lineRule="auto"/>
              <w:jc w:val="right"/>
              <w:rPr>
                <w:rFonts w:ascii="Arial" w:hAnsi="Arial" w:cs="Arial"/>
                <w:b/>
                <w:bCs/>
                <w:sz w:val="16"/>
                <w:szCs w:val="16"/>
              </w:rPr>
            </w:pPr>
          </w:p>
        </w:tc>
        <w:tc>
          <w:tcPr>
            <w:tcW w:w="545" w:type="pct"/>
            <w:tcBorders>
              <w:top w:val="nil"/>
              <w:left w:val="nil"/>
              <w:bottom w:val="nil"/>
              <w:right w:val="nil"/>
            </w:tcBorders>
            <w:shd w:val="clear" w:color="auto" w:fill="auto"/>
            <w:noWrap/>
            <w:vAlign w:val="bottom"/>
            <w:hideMark/>
          </w:tcPr>
          <w:p w14:paraId="03BA77BC" w14:textId="77777777" w:rsidR="004A16F1" w:rsidRPr="004A16F1" w:rsidRDefault="004A16F1" w:rsidP="00C904B7">
            <w:pPr>
              <w:spacing w:after="0" w:line="240" w:lineRule="auto"/>
              <w:jc w:val="right"/>
              <w:rPr>
                <w:rFonts w:ascii="Arial" w:hAnsi="Arial" w:cs="Arial"/>
                <w:b/>
                <w:bCs/>
                <w:sz w:val="16"/>
                <w:szCs w:val="16"/>
              </w:rPr>
            </w:pPr>
          </w:p>
        </w:tc>
        <w:tc>
          <w:tcPr>
            <w:tcW w:w="593" w:type="pct"/>
            <w:tcBorders>
              <w:top w:val="nil"/>
              <w:left w:val="nil"/>
              <w:bottom w:val="nil"/>
              <w:right w:val="nil"/>
            </w:tcBorders>
            <w:shd w:val="clear" w:color="auto" w:fill="E6E6E6"/>
            <w:noWrap/>
            <w:vAlign w:val="bottom"/>
            <w:hideMark/>
          </w:tcPr>
          <w:p w14:paraId="23901C93" w14:textId="499AF536" w:rsidR="004A16F1" w:rsidRPr="004A16F1" w:rsidRDefault="004A16F1" w:rsidP="00C904B7">
            <w:pPr>
              <w:spacing w:after="0" w:line="240" w:lineRule="auto"/>
              <w:jc w:val="right"/>
              <w:rPr>
                <w:rFonts w:ascii="Arial" w:hAnsi="Arial" w:cs="Arial"/>
                <w:b/>
                <w:bCs/>
                <w:sz w:val="16"/>
                <w:szCs w:val="16"/>
              </w:rPr>
            </w:pPr>
          </w:p>
        </w:tc>
      </w:tr>
      <w:tr w:rsidR="003B0EDB" w:rsidRPr="004A16F1" w14:paraId="592A1350" w14:textId="77777777" w:rsidTr="00436AC0">
        <w:trPr>
          <w:trHeight w:val="204"/>
        </w:trPr>
        <w:tc>
          <w:tcPr>
            <w:tcW w:w="1451" w:type="pct"/>
            <w:tcBorders>
              <w:top w:val="nil"/>
              <w:left w:val="nil"/>
              <w:bottom w:val="nil"/>
              <w:right w:val="nil"/>
            </w:tcBorders>
            <w:shd w:val="clear" w:color="auto" w:fill="auto"/>
            <w:noWrap/>
            <w:vAlign w:val="bottom"/>
            <w:hideMark/>
          </w:tcPr>
          <w:p w14:paraId="0542F6A1" w14:textId="77777777" w:rsidR="003B0EDB" w:rsidRPr="004A16F1" w:rsidRDefault="003B0EDB" w:rsidP="00B14412">
            <w:pPr>
              <w:spacing w:after="0" w:line="240" w:lineRule="auto"/>
              <w:ind w:firstLineChars="100" w:firstLine="160"/>
              <w:rPr>
                <w:rFonts w:ascii="Arial" w:hAnsi="Arial" w:cs="Arial"/>
                <w:sz w:val="16"/>
                <w:szCs w:val="16"/>
              </w:rPr>
            </w:pPr>
            <w:r w:rsidRPr="004A16F1">
              <w:rPr>
                <w:rFonts w:ascii="Arial" w:hAnsi="Arial" w:cs="Arial"/>
                <w:sz w:val="16"/>
                <w:szCs w:val="16"/>
              </w:rPr>
              <w:t>Administered payments</w:t>
            </w:r>
          </w:p>
        </w:tc>
        <w:tc>
          <w:tcPr>
            <w:tcW w:w="583" w:type="pct"/>
            <w:tcBorders>
              <w:top w:val="nil"/>
              <w:left w:val="nil"/>
              <w:bottom w:val="nil"/>
              <w:right w:val="nil"/>
            </w:tcBorders>
            <w:shd w:val="clear" w:color="auto" w:fill="auto"/>
            <w:noWrap/>
            <w:vAlign w:val="bottom"/>
            <w:hideMark/>
          </w:tcPr>
          <w:p w14:paraId="74FC2659" w14:textId="77777777" w:rsidR="003B0EDB" w:rsidRPr="004A16F1" w:rsidRDefault="003B0EDB" w:rsidP="00B14412">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08582D72"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39D42231"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15,859</w:t>
            </w:r>
          </w:p>
        </w:tc>
        <w:tc>
          <w:tcPr>
            <w:tcW w:w="590" w:type="pct"/>
            <w:tcBorders>
              <w:top w:val="nil"/>
              <w:left w:val="nil"/>
              <w:bottom w:val="nil"/>
              <w:right w:val="nil"/>
            </w:tcBorders>
            <w:shd w:val="clear" w:color="auto" w:fill="E6E6E6"/>
            <w:noWrap/>
            <w:vAlign w:val="bottom"/>
            <w:hideMark/>
          </w:tcPr>
          <w:p w14:paraId="1A3078FC"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80,810</w:t>
            </w:r>
          </w:p>
        </w:tc>
        <w:tc>
          <w:tcPr>
            <w:tcW w:w="545" w:type="pct"/>
            <w:tcBorders>
              <w:top w:val="nil"/>
              <w:left w:val="nil"/>
              <w:bottom w:val="nil"/>
              <w:right w:val="nil"/>
            </w:tcBorders>
            <w:shd w:val="clear" w:color="auto" w:fill="auto"/>
            <w:noWrap/>
            <w:vAlign w:val="bottom"/>
            <w:hideMark/>
          </w:tcPr>
          <w:p w14:paraId="509E2474"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29,059</w:t>
            </w:r>
          </w:p>
        </w:tc>
        <w:tc>
          <w:tcPr>
            <w:tcW w:w="593" w:type="pct"/>
            <w:tcBorders>
              <w:top w:val="nil"/>
              <w:left w:val="nil"/>
              <w:bottom w:val="nil"/>
              <w:right w:val="nil"/>
            </w:tcBorders>
            <w:shd w:val="clear" w:color="auto" w:fill="E6E6E6"/>
            <w:noWrap/>
            <w:vAlign w:val="bottom"/>
            <w:hideMark/>
          </w:tcPr>
          <w:p w14:paraId="5DE945DD" w14:textId="77777777" w:rsidR="003B0EDB" w:rsidRPr="004A16F1" w:rsidRDefault="003B0EDB" w:rsidP="00B14412">
            <w:pPr>
              <w:spacing w:after="0" w:line="240" w:lineRule="auto"/>
              <w:jc w:val="right"/>
              <w:rPr>
                <w:rFonts w:ascii="Arial" w:hAnsi="Arial" w:cs="Arial"/>
                <w:sz w:val="16"/>
                <w:szCs w:val="16"/>
              </w:rPr>
            </w:pPr>
            <w:r w:rsidRPr="004A16F1">
              <w:rPr>
                <w:rFonts w:ascii="Arial" w:hAnsi="Arial" w:cs="Arial"/>
                <w:sz w:val="16"/>
                <w:szCs w:val="16"/>
              </w:rPr>
              <w:t>254,095</w:t>
            </w:r>
          </w:p>
        </w:tc>
      </w:tr>
      <w:tr w:rsidR="004A16F1" w:rsidRPr="004A16F1" w14:paraId="48FE22C4" w14:textId="77777777" w:rsidTr="00436AC0">
        <w:trPr>
          <w:trHeight w:val="204"/>
        </w:trPr>
        <w:tc>
          <w:tcPr>
            <w:tcW w:w="1451" w:type="pct"/>
            <w:tcBorders>
              <w:top w:val="nil"/>
              <w:left w:val="nil"/>
              <w:bottom w:val="nil"/>
              <w:right w:val="nil"/>
            </w:tcBorders>
            <w:shd w:val="clear" w:color="auto" w:fill="auto"/>
            <w:noWrap/>
            <w:vAlign w:val="bottom"/>
            <w:hideMark/>
          </w:tcPr>
          <w:p w14:paraId="5411ADB6"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Departmental payments</w:t>
            </w:r>
          </w:p>
        </w:tc>
        <w:tc>
          <w:tcPr>
            <w:tcW w:w="583" w:type="pct"/>
            <w:tcBorders>
              <w:top w:val="nil"/>
              <w:left w:val="nil"/>
              <w:bottom w:val="nil"/>
              <w:right w:val="nil"/>
            </w:tcBorders>
            <w:shd w:val="clear" w:color="auto" w:fill="auto"/>
            <w:noWrap/>
            <w:vAlign w:val="bottom"/>
            <w:hideMark/>
          </w:tcPr>
          <w:p w14:paraId="4541F655"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0E940535" w14:textId="58BDEC9C"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5F986C10" w14:textId="092B0E44"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101</w:t>
            </w:r>
          </w:p>
        </w:tc>
        <w:tc>
          <w:tcPr>
            <w:tcW w:w="590" w:type="pct"/>
            <w:tcBorders>
              <w:top w:val="nil"/>
              <w:left w:val="nil"/>
              <w:bottom w:val="nil"/>
              <w:right w:val="nil"/>
            </w:tcBorders>
            <w:shd w:val="clear" w:color="auto" w:fill="E6E6E6"/>
            <w:noWrap/>
            <w:vAlign w:val="bottom"/>
            <w:hideMark/>
          </w:tcPr>
          <w:p w14:paraId="75768949" w14:textId="53CF0844"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5F7DAFCD" w14:textId="487CF012"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93" w:type="pct"/>
            <w:tcBorders>
              <w:top w:val="nil"/>
              <w:left w:val="nil"/>
              <w:bottom w:val="nil"/>
              <w:right w:val="nil"/>
            </w:tcBorders>
            <w:shd w:val="clear" w:color="auto" w:fill="E6E6E6"/>
            <w:noWrap/>
            <w:vAlign w:val="bottom"/>
            <w:hideMark/>
          </w:tcPr>
          <w:p w14:paraId="73CE3618" w14:textId="7C12B46F"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r>
      <w:tr w:rsidR="004A16F1" w:rsidRPr="004A16F1" w14:paraId="12335BBB" w14:textId="77777777" w:rsidTr="00436AC0">
        <w:trPr>
          <w:trHeight w:val="204"/>
        </w:trPr>
        <w:tc>
          <w:tcPr>
            <w:tcW w:w="1451" w:type="pct"/>
            <w:tcBorders>
              <w:top w:val="nil"/>
              <w:left w:val="nil"/>
              <w:bottom w:val="nil"/>
              <w:right w:val="nil"/>
            </w:tcBorders>
            <w:shd w:val="clear" w:color="auto" w:fill="auto"/>
            <w:noWrap/>
            <w:vAlign w:val="bottom"/>
            <w:hideMark/>
          </w:tcPr>
          <w:p w14:paraId="1D34320E"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7671162E"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6B6CDBCB"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4A38E8F7" w14:textId="39CFFD8D"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15,960</w:t>
            </w:r>
          </w:p>
        </w:tc>
        <w:tc>
          <w:tcPr>
            <w:tcW w:w="590" w:type="pct"/>
            <w:tcBorders>
              <w:top w:val="nil"/>
              <w:left w:val="nil"/>
              <w:bottom w:val="nil"/>
              <w:right w:val="nil"/>
            </w:tcBorders>
            <w:shd w:val="clear" w:color="auto" w:fill="E6E6E6"/>
            <w:noWrap/>
            <w:vAlign w:val="bottom"/>
            <w:hideMark/>
          </w:tcPr>
          <w:p w14:paraId="044E2D11" w14:textId="7B3ECDE1"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80,810</w:t>
            </w:r>
          </w:p>
        </w:tc>
        <w:tc>
          <w:tcPr>
            <w:tcW w:w="545" w:type="pct"/>
            <w:tcBorders>
              <w:top w:val="nil"/>
              <w:left w:val="nil"/>
              <w:bottom w:val="nil"/>
              <w:right w:val="nil"/>
            </w:tcBorders>
            <w:shd w:val="clear" w:color="auto" w:fill="auto"/>
            <w:noWrap/>
            <w:vAlign w:val="bottom"/>
            <w:hideMark/>
          </w:tcPr>
          <w:p w14:paraId="462396C7" w14:textId="336D31C4"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29,059</w:t>
            </w:r>
          </w:p>
        </w:tc>
        <w:tc>
          <w:tcPr>
            <w:tcW w:w="593" w:type="pct"/>
            <w:tcBorders>
              <w:top w:val="nil"/>
              <w:left w:val="nil"/>
              <w:bottom w:val="nil"/>
              <w:right w:val="nil"/>
            </w:tcBorders>
            <w:shd w:val="clear" w:color="auto" w:fill="E6E6E6"/>
            <w:noWrap/>
            <w:vAlign w:val="bottom"/>
            <w:hideMark/>
          </w:tcPr>
          <w:p w14:paraId="5E5C3392" w14:textId="7F1AFDF2"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254,095</w:t>
            </w:r>
          </w:p>
        </w:tc>
      </w:tr>
      <w:tr w:rsidR="004A16F1" w:rsidRPr="004A16F1" w14:paraId="1B47BB42" w14:textId="77777777" w:rsidTr="00436AC0">
        <w:trPr>
          <w:trHeight w:val="204"/>
        </w:trPr>
        <w:tc>
          <w:tcPr>
            <w:tcW w:w="1451" w:type="pct"/>
            <w:tcBorders>
              <w:top w:val="nil"/>
              <w:left w:val="nil"/>
              <w:bottom w:val="nil"/>
              <w:right w:val="nil"/>
            </w:tcBorders>
            <w:shd w:val="clear" w:color="auto" w:fill="auto"/>
            <w:vAlign w:val="bottom"/>
            <w:hideMark/>
          </w:tcPr>
          <w:p w14:paraId="5752D9CB" w14:textId="77777777"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Government Spending Audit – Agriculture, Fisheries and Forestry – efficiencies</w:t>
            </w:r>
          </w:p>
        </w:tc>
        <w:tc>
          <w:tcPr>
            <w:tcW w:w="583" w:type="pct"/>
            <w:tcBorders>
              <w:top w:val="nil"/>
              <w:left w:val="nil"/>
              <w:bottom w:val="nil"/>
              <w:right w:val="nil"/>
            </w:tcBorders>
            <w:shd w:val="clear" w:color="auto" w:fill="auto"/>
            <w:noWrap/>
            <w:vAlign w:val="bottom"/>
            <w:hideMark/>
          </w:tcPr>
          <w:p w14:paraId="207A17D1"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3.1</w:t>
            </w:r>
          </w:p>
        </w:tc>
        <w:tc>
          <w:tcPr>
            <w:tcW w:w="594" w:type="pct"/>
            <w:tcBorders>
              <w:top w:val="nil"/>
              <w:left w:val="nil"/>
              <w:bottom w:val="nil"/>
              <w:right w:val="nil"/>
            </w:tcBorders>
            <w:shd w:val="clear" w:color="auto" w:fill="E6E6E6"/>
            <w:noWrap/>
            <w:vAlign w:val="bottom"/>
            <w:hideMark/>
          </w:tcPr>
          <w:p w14:paraId="06F062F4" w14:textId="498D33A3" w:rsidR="004A16F1" w:rsidRPr="004A16F1" w:rsidRDefault="004A16F1" w:rsidP="00C904B7">
            <w:pPr>
              <w:spacing w:after="0" w:line="240" w:lineRule="auto"/>
              <w:jc w:val="right"/>
              <w:rPr>
                <w:rFonts w:ascii="Arial" w:hAnsi="Arial" w:cs="Arial"/>
                <w:sz w:val="16"/>
                <w:szCs w:val="16"/>
              </w:rPr>
            </w:pPr>
          </w:p>
        </w:tc>
        <w:tc>
          <w:tcPr>
            <w:tcW w:w="643" w:type="pct"/>
            <w:tcBorders>
              <w:top w:val="nil"/>
              <w:left w:val="nil"/>
              <w:bottom w:val="nil"/>
              <w:right w:val="nil"/>
            </w:tcBorders>
            <w:shd w:val="clear" w:color="auto" w:fill="auto"/>
            <w:noWrap/>
            <w:vAlign w:val="bottom"/>
            <w:hideMark/>
          </w:tcPr>
          <w:p w14:paraId="4F10DCB1" w14:textId="77777777" w:rsidR="004A16F1" w:rsidRPr="004A16F1" w:rsidRDefault="004A16F1" w:rsidP="00C904B7">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E6E6E6"/>
            <w:noWrap/>
            <w:vAlign w:val="bottom"/>
            <w:hideMark/>
          </w:tcPr>
          <w:p w14:paraId="54EF5907" w14:textId="4902BE78" w:rsidR="004A16F1" w:rsidRPr="004A16F1" w:rsidRDefault="004A16F1" w:rsidP="00C904B7">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7D373C81" w14:textId="77777777" w:rsidR="004A16F1" w:rsidRPr="004A16F1" w:rsidRDefault="004A16F1" w:rsidP="00C904B7">
            <w:pPr>
              <w:spacing w:after="0" w:line="240" w:lineRule="auto"/>
              <w:jc w:val="right"/>
              <w:rPr>
                <w:rFonts w:ascii="Arial" w:hAnsi="Arial" w:cs="Arial"/>
                <w:sz w:val="16"/>
                <w:szCs w:val="16"/>
              </w:rPr>
            </w:pPr>
          </w:p>
        </w:tc>
        <w:tc>
          <w:tcPr>
            <w:tcW w:w="593" w:type="pct"/>
            <w:tcBorders>
              <w:top w:val="nil"/>
              <w:left w:val="nil"/>
              <w:bottom w:val="nil"/>
              <w:right w:val="nil"/>
            </w:tcBorders>
            <w:shd w:val="clear" w:color="auto" w:fill="E6E6E6"/>
            <w:noWrap/>
            <w:vAlign w:val="bottom"/>
            <w:hideMark/>
          </w:tcPr>
          <w:p w14:paraId="4B190E55" w14:textId="0951DBA9" w:rsidR="004A16F1" w:rsidRPr="004A16F1" w:rsidRDefault="004A16F1" w:rsidP="00C904B7">
            <w:pPr>
              <w:spacing w:after="0" w:line="240" w:lineRule="auto"/>
              <w:jc w:val="right"/>
              <w:rPr>
                <w:rFonts w:ascii="Arial" w:hAnsi="Arial" w:cs="Arial"/>
                <w:sz w:val="16"/>
                <w:szCs w:val="16"/>
              </w:rPr>
            </w:pPr>
          </w:p>
        </w:tc>
      </w:tr>
      <w:tr w:rsidR="004A16F1" w:rsidRPr="004A16F1" w14:paraId="5A37C8EC" w14:textId="77777777" w:rsidTr="00436AC0">
        <w:trPr>
          <w:trHeight w:val="204"/>
        </w:trPr>
        <w:tc>
          <w:tcPr>
            <w:tcW w:w="1451" w:type="pct"/>
            <w:tcBorders>
              <w:top w:val="nil"/>
              <w:left w:val="nil"/>
              <w:bottom w:val="nil"/>
              <w:right w:val="nil"/>
            </w:tcBorders>
            <w:shd w:val="clear" w:color="auto" w:fill="auto"/>
            <w:noWrap/>
            <w:vAlign w:val="bottom"/>
            <w:hideMark/>
          </w:tcPr>
          <w:p w14:paraId="29E7876E"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Administered payments</w:t>
            </w:r>
          </w:p>
        </w:tc>
        <w:tc>
          <w:tcPr>
            <w:tcW w:w="583" w:type="pct"/>
            <w:tcBorders>
              <w:top w:val="nil"/>
              <w:left w:val="nil"/>
              <w:bottom w:val="nil"/>
              <w:right w:val="nil"/>
            </w:tcBorders>
            <w:shd w:val="clear" w:color="auto" w:fill="auto"/>
            <w:noWrap/>
            <w:vAlign w:val="bottom"/>
            <w:hideMark/>
          </w:tcPr>
          <w:p w14:paraId="32434022"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59002288" w14:textId="2464A29C"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75398E80"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(11,800)</w:t>
            </w:r>
          </w:p>
        </w:tc>
        <w:tc>
          <w:tcPr>
            <w:tcW w:w="590" w:type="pct"/>
            <w:tcBorders>
              <w:top w:val="nil"/>
              <w:left w:val="nil"/>
              <w:bottom w:val="nil"/>
              <w:right w:val="nil"/>
            </w:tcBorders>
            <w:shd w:val="clear" w:color="auto" w:fill="E6E6E6"/>
            <w:noWrap/>
            <w:vAlign w:val="bottom"/>
            <w:hideMark/>
          </w:tcPr>
          <w:p w14:paraId="3C1CAF33"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(11,404)</w:t>
            </w:r>
          </w:p>
        </w:tc>
        <w:tc>
          <w:tcPr>
            <w:tcW w:w="545" w:type="pct"/>
            <w:tcBorders>
              <w:top w:val="nil"/>
              <w:left w:val="nil"/>
              <w:bottom w:val="nil"/>
              <w:right w:val="nil"/>
            </w:tcBorders>
            <w:shd w:val="clear" w:color="auto" w:fill="auto"/>
            <w:noWrap/>
            <w:vAlign w:val="bottom"/>
            <w:hideMark/>
          </w:tcPr>
          <w:p w14:paraId="337A042E"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(3,405)</w:t>
            </w:r>
          </w:p>
        </w:tc>
        <w:tc>
          <w:tcPr>
            <w:tcW w:w="593" w:type="pct"/>
            <w:tcBorders>
              <w:top w:val="nil"/>
              <w:left w:val="nil"/>
              <w:bottom w:val="nil"/>
              <w:right w:val="nil"/>
            </w:tcBorders>
            <w:shd w:val="clear" w:color="auto" w:fill="E6E6E6"/>
            <w:noWrap/>
            <w:vAlign w:val="bottom"/>
            <w:hideMark/>
          </w:tcPr>
          <w:p w14:paraId="6AFF2B94"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(3,408)</w:t>
            </w:r>
          </w:p>
        </w:tc>
      </w:tr>
      <w:tr w:rsidR="004A16F1" w:rsidRPr="004A16F1" w14:paraId="385BC0A4" w14:textId="77777777" w:rsidTr="00436AC0">
        <w:trPr>
          <w:trHeight w:val="204"/>
        </w:trPr>
        <w:tc>
          <w:tcPr>
            <w:tcW w:w="1451" w:type="pct"/>
            <w:tcBorders>
              <w:top w:val="nil"/>
              <w:left w:val="nil"/>
              <w:bottom w:val="nil"/>
              <w:right w:val="nil"/>
            </w:tcBorders>
            <w:shd w:val="clear" w:color="auto" w:fill="auto"/>
            <w:noWrap/>
            <w:vAlign w:val="bottom"/>
            <w:hideMark/>
          </w:tcPr>
          <w:p w14:paraId="2923DED3"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60281D5E"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7DFB7B62" w14:textId="43BF07B3"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33B94F72"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(11,800)</w:t>
            </w:r>
          </w:p>
        </w:tc>
        <w:tc>
          <w:tcPr>
            <w:tcW w:w="590" w:type="pct"/>
            <w:tcBorders>
              <w:top w:val="nil"/>
              <w:left w:val="nil"/>
              <w:bottom w:val="nil"/>
              <w:right w:val="nil"/>
            </w:tcBorders>
            <w:shd w:val="clear" w:color="auto" w:fill="E6E6E6"/>
            <w:noWrap/>
            <w:vAlign w:val="bottom"/>
            <w:hideMark/>
          </w:tcPr>
          <w:p w14:paraId="6729912B"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(11,404)</w:t>
            </w:r>
          </w:p>
        </w:tc>
        <w:tc>
          <w:tcPr>
            <w:tcW w:w="545" w:type="pct"/>
            <w:tcBorders>
              <w:top w:val="nil"/>
              <w:left w:val="nil"/>
              <w:bottom w:val="nil"/>
              <w:right w:val="nil"/>
            </w:tcBorders>
            <w:shd w:val="clear" w:color="auto" w:fill="auto"/>
            <w:noWrap/>
            <w:vAlign w:val="bottom"/>
            <w:hideMark/>
          </w:tcPr>
          <w:p w14:paraId="40B306C6"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(3,405)</w:t>
            </w:r>
          </w:p>
        </w:tc>
        <w:tc>
          <w:tcPr>
            <w:tcW w:w="593" w:type="pct"/>
            <w:tcBorders>
              <w:top w:val="nil"/>
              <w:left w:val="nil"/>
              <w:bottom w:val="nil"/>
              <w:right w:val="nil"/>
            </w:tcBorders>
            <w:shd w:val="clear" w:color="auto" w:fill="E6E6E6"/>
            <w:noWrap/>
            <w:vAlign w:val="bottom"/>
            <w:hideMark/>
          </w:tcPr>
          <w:p w14:paraId="2F179FD7"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(3,408)</w:t>
            </w:r>
          </w:p>
        </w:tc>
      </w:tr>
      <w:tr w:rsidR="004A16F1" w:rsidRPr="004A16F1" w14:paraId="67429D7B" w14:textId="77777777" w:rsidTr="00436AC0">
        <w:trPr>
          <w:trHeight w:val="204"/>
        </w:trPr>
        <w:tc>
          <w:tcPr>
            <w:tcW w:w="1451" w:type="pct"/>
            <w:tcBorders>
              <w:top w:val="nil"/>
              <w:left w:val="nil"/>
              <w:bottom w:val="nil"/>
              <w:right w:val="nil"/>
            </w:tcBorders>
            <w:shd w:val="clear" w:color="auto" w:fill="auto"/>
            <w:vAlign w:val="bottom"/>
            <w:hideMark/>
          </w:tcPr>
          <w:p w14:paraId="32FA1CA2" w14:textId="77777777"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Government Spending Audit – Climate Change, Energy, the Environment and Water – efficiencies</w:t>
            </w:r>
          </w:p>
        </w:tc>
        <w:tc>
          <w:tcPr>
            <w:tcW w:w="583" w:type="pct"/>
            <w:tcBorders>
              <w:top w:val="nil"/>
              <w:left w:val="nil"/>
              <w:bottom w:val="nil"/>
              <w:right w:val="nil"/>
            </w:tcBorders>
            <w:shd w:val="clear" w:color="auto" w:fill="auto"/>
            <w:noWrap/>
            <w:vAlign w:val="bottom"/>
            <w:hideMark/>
          </w:tcPr>
          <w:p w14:paraId="40295083"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3.1</w:t>
            </w:r>
          </w:p>
        </w:tc>
        <w:tc>
          <w:tcPr>
            <w:tcW w:w="594" w:type="pct"/>
            <w:tcBorders>
              <w:top w:val="nil"/>
              <w:left w:val="nil"/>
              <w:bottom w:val="nil"/>
              <w:right w:val="nil"/>
            </w:tcBorders>
            <w:shd w:val="clear" w:color="auto" w:fill="E6E6E6"/>
            <w:noWrap/>
            <w:vAlign w:val="bottom"/>
            <w:hideMark/>
          </w:tcPr>
          <w:p w14:paraId="0C028D61" w14:textId="12972D61" w:rsidR="004A16F1" w:rsidRPr="004A16F1" w:rsidRDefault="004A16F1" w:rsidP="00C904B7">
            <w:pPr>
              <w:spacing w:after="0" w:line="240" w:lineRule="auto"/>
              <w:jc w:val="right"/>
              <w:rPr>
                <w:rFonts w:ascii="Arial" w:hAnsi="Arial" w:cs="Arial"/>
                <w:sz w:val="16"/>
                <w:szCs w:val="16"/>
              </w:rPr>
            </w:pPr>
          </w:p>
        </w:tc>
        <w:tc>
          <w:tcPr>
            <w:tcW w:w="643" w:type="pct"/>
            <w:tcBorders>
              <w:top w:val="nil"/>
              <w:left w:val="nil"/>
              <w:bottom w:val="nil"/>
              <w:right w:val="nil"/>
            </w:tcBorders>
            <w:shd w:val="clear" w:color="auto" w:fill="auto"/>
            <w:noWrap/>
            <w:vAlign w:val="bottom"/>
            <w:hideMark/>
          </w:tcPr>
          <w:p w14:paraId="58F68945" w14:textId="77777777" w:rsidR="004A16F1" w:rsidRPr="004A16F1" w:rsidRDefault="004A16F1" w:rsidP="00C904B7">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E6E6E6"/>
            <w:noWrap/>
            <w:vAlign w:val="bottom"/>
            <w:hideMark/>
          </w:tcPr>
          <w:p w14:paraId="04FCFD67" w14:textId="4CB4A36D" w:rsidR="004A16F1" w:rsidRPr="004A16F1" w:rsidRDefault="004A16F1" w:rsidP="00C904B7">
            <w:pPr>
              <w:spacing w:after="0" w:line="240" w:lineRule="auto"/>
              <w:jc w:val="right"/>
              <w:rPr>
                <w:rFonts w:ascii="Arial" w:hAnsi="Arial" w:cs="Arial"/>
                <w:sz w:val="16"/>
                <w:szCs w:val="16"/>
              </w:rPr>
            </w:pPr>
          </w:p>
        </w:tc>
        <w:tc>
          <w:tcPr>
            <w:tcW w:w="545" w:type="pct"/>
            <w:tcBorders>
              <w:top w:val="nil"/>
              <w:left w:val="nil"/>
              <w:bottom w:val="nil"/>
              <w:right w:val="nil"/>
            </w:tcBorders>
            <w:shd w:val="clear" w:color="auto" w:fill="auto"/>
            <w:noWrap/>
            <w:vAlign w:val="bottom"/>
            <w:hideMark/>
          </w:tcPr>
          <w:p w14:paraId="78920A04" w14:textId="77777777" w:rsidR="004A16F1" w:rsidRPr="004A16F1" w:rsidRDefault="004A16F1" w:rsidP="00C904B7">
            <w:pPr>
              <w:spacing w:after="0" w:line="240" w:lineRule="auto"/>
              <w:jc w:val="right"/>
              <w:rPr>
                <w:rFonts w:ascii="Arial" w:hAnsi="Arial" w:cs="Arial"/>
                <w:sz w:val="16"/>
                <w:szCs w:val="16"/>
              </w:rPr>
            </w:pPr>
          </w:p>
        </w:tc>
        <w:tc>
          <w:tcPr>
            <w:tcW w:w="593" w:type="pct"/>
            <w:tcBorders>
              <w:top w:val="nil"/>
              <w:left w:val="nil"/>
              <w:bottom w:val="nil"/>
              <w:right w:val="nil"/>
            </w:tcBorders>
            <w:shd w:val="clear" w:color="auto" w:fill="E6E6E6"/>
            <w:noWrap/>
            <w:vAlign w:val="bottom"/>
            <w:hideMark/>
          </w:tcPr>
          <w:p w14:paraId="15974519" w14:textId="48EE677C" w:rsidR="004A16F1" w:rsidRPr="004A16F1" w:rsidRDefault="004A16F1" w:rsidP="00C904B7">
            <w:pPr>
              <w:spacing w:after="0" w:line="240" w:lineRule="auto"/>
              <w:jc w:val="right"/>
              <w:rPr>
                <w:rFonts w:ascii="Arial" w:hAnsi="Arial" w:cs="Arial"/>
                <w:sz w:val="16"/>
                <w:szCs w:val="16"/>
              </w:rPr>
            </w:pPr>
          </w:p>
        </w:tc>
      </w:tr>
      <w:tr w:rsidR="004A16F1" w:rsidRPr="004A16F1" w14:paraId="3FB8DC66" w14:textId="77777777" w:rsidTr="00436AC0">
        <w:trPr>
          <w:trHeight w:val="204"/>
        </w:trPr>
        <w:tc>
          <w:tcPr>
            <w:tcW w:w="1451" w:type="pct"/>
            <w:tcBorders>
              <w:top w:val="nil"/>
              <w:left w:val="nil"/>
              <w:bottom w:val="nil"/>
              <w:right w:val="nil"/>
            </w:tcBorders>
            <w:shd w:val="clear" w:color="auto" w:fill="auto"/>
            <w:noWrap/>
            <w:vAlign w:val="bottom"/>
            <w:hideMark/>
          </w:tcPr>
          <w:p w14:paraId="01A069E1"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Administered payments</w:t>
            </w:r>
          </w:p>
        </w:tc>
        <w:tc>
          <w:tcPr>
            <w:tcW w:w="583" w:type="pct"/>
            <w:tcBorders>
              <w:top w:val="nil"/>
              <w:left w:val="nil"/>
              <w:bottom w:val="nil"/>
              <w:right w:val="nil"/>
            </w:tcBorders>
            <w:shd w:val="clear" w:color="auto" w:fill="auto"/>
            <w:noWrap/>
            <w:vAlign w:val="bottom"/>
            <w:hideMark/>
          </w:tcPr>
          <w:p w14:paraId="020A8953"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6942EB8D" w14:textId="7D04E68C"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4753609E"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(6,096)</w:t>
            </w:r>
          </w:p>
        </w:tc>
        <w:tc>
          <w:tcPr>
            <w:tcW w:w="590" w:type="pct"/>
            <w:tcBorders>
              <w:top w:val="nil"/>
              <w:left w:val="nil"/>
              <w:bottom w:val="nil"/>
              <w:right w:val="nil"/>
            </w:tcBorders>
            <w:shd w:val="clear" w:color="auto" w:fill="E6E6E6"/>
            <w:noWrap/>
            <w:vAlign w:val="bottom"/>
            <w:hideMark/>
          </w:tcPr>
          <w:p w14:paraId="64AE5733"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(7,096)</w:t>
            </w:r>
          </w:p>
        </w:tc>
        <w:tc>
          <w:tcPr>
            <w:tcW w:w="545" w:type="pct"/>
            <w:tcBorders>
              <w:top w:val="nil"/>
              <w:left w:val="nil"/>
              <w:bottom w:val="nil"/>
              <w:right w:val="nil"/>
            </w:tcBorders>
            <w:shd w:val="clear" w:color="auto" w:fill="auto"/>
            <w:noWrap/>
            <w:vAlign w:val="bottom"/>
            <w:hideMark/>
          </w:tcPr>
          <w:p w14:paraId="0F543C83"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(9,000)</w:t>
            </w:r>
          </w:p>
        </w:tc>
        <w:tc>
          <w:tcPr>
            <w:tcW w:w="593" w:type="pct"/>
            <w:tcBorders>
              <w:top w:val="nil"/>
              <w:left w:val="nil"/>
              <w:bottom w:val="nil"/>
              <w:right w:val="nil"/>
            </w:tcBorders>
            <w:shd w:val="clear" w:color="auto" w:fill="E6E6E6"/>
            <w:noWrap/>
            <w:vAlign w:val="bottom"/>
            <w:hideMark/>
          </w:tcPr>
          <w:p w14:paraId="2DA2202B" w14:textId="77777777"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(8,061)</w:t>
            </w:r>
          </w:p>
        </w:tc>
      </w:tr>
      <w:tr w:rsidR="004A16F1" w:rsidRPr="004A16F1" w14:paraId="0D17FC46" w14:textId="77777777" w:rsidTr="00436AC0">
        <w:trPr>
          <w:trHeight w:val="204"/>
        </w:trPr>
        <w:tc>
          <w:tcPr>
            <w:tcW w:w="1451" w:type="pct"/>
            <w:tcBorders>
              <w:top w:val="nil"/>
              <w:left w:val="nil"/>
              <w:bottom w:val="nil"/>
              <w:right w:val="nil"/>
            </w:tcBorders>
            <w:shd w:val="clear" w:color="auto" w:fill="auto"/>
            <w:noWrap/>
            <w:vAlign w:val="bottom"/>
            <w:hideMark/>
          </w:tcPr>
          <w:p w14:paraId="31EC1989"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499C6680"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10150C27" w14:textId="400D7548"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127FEADE"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(6,096)</w:t>
            </w:r>
          </w:p>
        </w:tc>
        <w:tc>
          <w:tcPr>
            <w:tcW w:w="590" w:type="pct"/>
            <w:tcBorders>
              <w:top w:val="nil"/>
              <w:left w:val="nil"/>
              <w:bottom w:val="nil"/>
              <w:right w:val="nil"/>
            </w:tcBorders>
            <w:shd w:val="clear" w:color="auto" w:fill="E6E6E6"/>
            <w:noWrap/>
            <w:vAlign w:val="bottom"/>
            <w:hideMark/>
          </w:tcPr>
          <w:p w14:paraId="5062110D"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(7,096)</w:t>
            </w:r>
          </w:p>
        </w:tc>
        <w:tc>
          <w:tcPr>
            <w:tcW w:w="545" w:type="pct"/>
            <w:tcBorders>
              <w:top w:val="nil"/>
              <w:left w:val="nil"/>
              <w:bottom w:val="nil"/>
              <w:right w:val="nil"/>
            </w:tcBorders>
            <w:shd w:val="clear" w:color="auto" w:fill="auto"/>
            <w:noWrap/>
            <w:vAlign w:val="bottom"/>
            <w:hideMark/>
          </w:tcPr>
          <w:p w14:paraId="5D3507B9"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(9,000)</w:t>
            </w:r>
          </w:p>
        </w:tc>
        <w:tc>
          <w:tcPr>
            <w:tcW w:w="593" w:type="pct"/>
            <w:tcBorders>
              <w:top w:val="nil"/>
              <w:left w:val="nil"/>
              <w:bottom w:val="nil"/>
              <w:right w:val="nil"/>
            </w:tcBorders>
            <w:shd w:val="clear" w:color="auto" w:fill="E6E6E6"/>
            <w:noWrap/>
            <w:vAlign w:val="bottom"/>
            <w:hideMark/>
          </w:tcPr>
          <w:p w14:paraId="5676228A"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(8,061)</w:t>
            </w:r>
          </w:p>
        </w:tc>
      </w:tr>
      <w:tr w:rsidR="004A16F1" w:rsidRPr="004A16F1" w14:paraId="6EAA0D22" w14:textId="77777777" w:rsidTr="00436AC0">
        <w:trPr>
          <w:trHeight w:val="204"/>
        </w:trPr>
        <w:tc>
          <w:tcPr>
            <w:tcW w:w="1451" w:type="pct"/>
            <w:tcBorders>
              <w:top w:val="nil"/>
              <w:left w:val="nil"/>
              <w:bottom w:val="nil"/>
              <w:right w:val="nil"/>
            </w:tcBorders>
            <w:shd w:val="clear" w:color="auto" w:fill="auto"/>
            <w:noWrap/>
            <w:vAlign w:val="bottom"/>
            <w:hideMark/>
          </w:tcPr>
          <w:p w14:paraId="6C35D1BC" w14:textId="77777777"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Heavy Vehicle Road User Charge – increase</w:t>
            </w:r>
          </w:p>
        </w:tc>
        <w:tc>
          <w:tcPr>
            <w:tcW w:w="583" w:type="pct"/>
            <w:tcBorders>
              <w:top w:val="nil"/>
              <w:left w:val="nil"/>
              <w:bottom w:val="nil"/>
              <w:right w:val="nil"/>
            </w:tcBorders>
            <w:shd w:val="clear" w:color="auto" w:fill="auto"/>
            <w:noWrap/>
            <w:vAlign w:val="bottom"/>
            <w:hideMark/>
          </w:tcPr>
          <w:p w14:paraId="67BBFE00"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2.4</w:t>
            </w:r>
          </w:p>
        </w:tc>
        <w:tc>
          <w:tcPr>
            <w:tcW w:w="594" w:type="pct"/>
            <w:tcBorders>
              <w:top w:val="nil"/>
              <w:left w:val="nil"/>
              <w:bottom w:val="nil"/>
              <w:right w:val="nil"/>
            </w:tcBorders>
            <w:shd w:val="clear" w:color="auto" w:fill="E6E6E6"/>
            <w:noWrap/>
            <w:vAlign w:val="bottom"/>
            <w:hideMark/>
          </w:tcPr>
          <w:p w14:paraId="320C24A3" w14:textId="5F591EB3" w:rsidR="004A16F1" w:rsidRPr="004A16F1" w:rsidRDefault="004A16F1" w:rsidP="00C904B7">
            <w:pPr>
              <w:spacing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16E64481" w14:textId="77777777" w:rsidR="004A16F1" w:rsidRPr="004A16F1" w:rsidRDefault="004A16F1" w:rsidP="00C904B7">
            <w:pPr>
              <w:spacing w:after="0" w:line="240" w:lineRule="auto"/>
              <w:jc w:val="right"/>
              <w:rPr>
                <w:rFonts w:ascii="Arial" w:hAnsi="Arial" w:cs="Arial"/>
                <w:b/>
                <w:bCs/>
                <w:sz w:val="16"/>
                <w:szCs w:val="16"/>
              </w:rPr>
            </w:pPr>
          </w:p>
        </w:tc>
        <w:tc>
          <w:tcPr>
            <w:tcW w:w="590" w:type="pct"/>
            <w:tcBorders>
              <w:top w:val="nil"/>
              <w:left w:val="nil"/>
              <w:bottom w:val="nil"/>
              <w:right w:val="nil"/>
            </w:tcBorders>
            <w:shd w:val="clear" w:color="auto" w:fill="E6E6E6"/>
            <w:noWrap/>
            <w:vAlign w:val="bottom"/>
            <w:hideMark/>
          </w:tcPr>
          <w:p w14:paraId="1ADEC0B0" w14:textId="78FBA72B" w:rsidR="004A16F1" w:rsidRPr="004A16F1" w:rsidRDefault="004A16F1" w:rsidP="00C904B7">
            <w:pPr>
              <w:spacing w:after="0" w:line="240" w:lineRule="auto"/>
              <w:jc w:val="right"/>
              <w:rPr>
                <w:rFonts w:ascii="Arial" w:hAnsi="Arial" w:cs="Arial"/>
                <w:b/>
                <w:bCs/>
                <w:sz w:val="16"/>
                <w:szCs w:val="16"/>
              </w:rPr>
            </w:pPr>
          </w:p>
        </w:tc>
        <w:tc>
          <w:tcPr>
            <w:tcW w:w="545" w:type="pct"/>
            <w:tcBorders>
              <w:top w:val="nil"/>
              <w:left w:val="nil"/>
              <w:bottom w:val="nil"/>
              <w:right w:val="nil"/>
            </w:tcBorders>
            <w:shd w:val="clear" w:color="auto" w:fill="auto"/>
            <w:noWrap/>
            <w:vAlign w:val="bottom"/>
            <w:hideMark/>
          </w:tcPr>
          <w:p w14:paraId="6E92DFC6" w14:textId="77777777" w:rsidR="004A16F1" w:rsidRPr="004A16F1" w:rsidRDefault="004A16F1" w:rsidP="00C904B7">
            <w:pPr>
              <w:spacing w:after="0" w:line="240" w:lineRule="auto"/>
              <w:jc w:val="right"/>
              <w:rPr>
                <w:rFonts w:ascii="Arial" w:hAnsi="Arial" w:cs="Arial"/>
                <w:b/>
                <w:bCs/>
                <w:sz w:val="16"/>
                <w:szCs w:val="16"/>
              </w:rPr>
            </w:pPr>
          </w:p>
        </w:tc>
        <w:tc>
          <w:tcPr>
            <w:tcW w:w="593" w:type="pct"/>
            <w:tcBorders>
              <w:top w:val="nil"/>
              <w:left w:val="nil"/>
              <w:bottom w:val="nil"/>
              <w:right w:val="nil"/>
            </w:tcBorders>
            <w:shd w:val="clear" w:color="auto" w:fill="E6E6E6"/>
            <w:noWrap/>
            <w:vAlign w:val="bottom"/>
            <w:hideMark/>
          </w:tcPr>
          <w:p w14:paraId="139FA5D8" w14:textId="69491D45" w:rsidR="004A16F1" w:rsidRPr="004A16F1" w:rsidRDefault="004A16F1" w:rsidP="00C904B7">
            <w:pPr>
              <w:spacing w:after="0" w:line="240" w:lineRule="auto"/>
              <w:jc w:val="right"/>
              <w:rPr>
                <w:rFonts w:ascii="Arial" w:hAnsi="Arial" w:cs="Arial"/>
                <w:b/>
                <w:bCs/>
                <w:sz w:val="16"/>
                <w:szCs w:val="16"/>
              </w:rPr>
            </w:pPr>
          </w:p>
        </w:tc>
      </w:tr>
      <w:tr w:rsidR="004A16F1" w:rsidRPr="004A16F1" w14:paraId="35186396" w14:textId="77777777" w:rsidTr="00436AC0">
        <w:trPr>
          <w:trHeight w:val="204"/>
        </w:trPr>
        <w:tc>
          <w:tcPr>
            <w:tcW w:w="1451" w:type="pct"/>
            <w:tcBorders>
              <w:top w:val="nil"/>
              <w:left w:val="nil"/>
              <w:bottom w:val="nil"/>
              <w:right w:val="nil"/>
            </w:tcBorders>
            <w:shd w:val="clear" w:color="auto" w:fill="auto"/>
            <w:noWrap/>
            <w:vAlign w:val="bottom"/>
            <w:hideMark/>
          </w:tcPr>
          <w:p w14:paraId="0CC6BE00"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Departmental payments</w:t>
            </w:r>
          </w:p>
        </w:tc>
        <w:tc>
          <w:tcPr>
            <w:tcW w:w="583" w:type="pct"/>
            <w:tcBorders>
              <w:top w:val="nil"/>
              <w:left w:val="nil"/>
              <w:bottom w:val="nil"/>
              <w:right w:val="nil"/>
            </w:tcBorders>
            <w:shd w:val="clear" w:color="auto" w:fill="auto"/>
            <w:noWrap/>
            <w:vAlign w:val="bottom"/>
            <w:hideMark/>
          </w:tcPr>
          <w:p w14:paraId="3F73C829"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57D2B5A5" w14:textId="34F4DBA0"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498F523C" w14:textId="309A50C2"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90" w:type="pct"/>
            <w:tcBorders>
              <w:top w:val="nil"/>
              <w:left w:val="nil"/>
              <w:bottom w:val="nil"/>
              <w:right w:val="nil"/>
            </w:tcBorders>
            <w:shd w:val="clear" w:color="auto" w:fill="E6E6E6"/>
            <w:noWrap/>
            <w:vAlign w:val="bottom"/>
            <w:hideMark/>
          </w:tcPr>
          <w:p w14:paraId="1A5292BA" w14:textId="2B18EED5"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6CD3B59F" w14:textId="768F1860"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593" w:type="pct"/>
            <w:tcBorders>
              <w:top w:val="nil"/>
              <w:left w:val="nil"/>
              <w:bottom w:val="nil"/>
              <w:right w:val="nil"/>
            </w:tcBorders>
            <w:shd w:val="clear" w:color="auto" w:fill="E6E6E6"/>
            <w:noWrap/>
            <w:vAlign w:val="bottom"/>
            <w:hideMark/>
          </w:tcPr>
          <w:p w14:paraId="10EB7C9E" w14:textId="6AA70126"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r>
      <w:tr w:rsidR="004A16F1" w:rsidRPr="004A16F1" w14:paraId="1B24EE5F" w14:textId="77777777" w:rsidTr="00436AC0">
        <w:trPr>
          <w:trHeight w:val="204"/>
        </w:trPr>
        <w:tc>
          <w:tcPr>
            <w:tcW w:w="1451" w:type="pct"/>
            <w:tcBorders>
              <w:top w:val="nil"/>
              <w:left w:val="nil"/>
              <w:bottom w:val="nil"/>
              <w:right w:val="nil"/>
            </w:tcBorders>
            <w:shd w:val="clear" w:color="auto" w:fill="auto"/>
            <w:noWrap/>
            <w:vAlign w:val="bottom"/>
            <w:hideMark/>
          </w:tcPr>
          <w:p w14:paraId="03B12F16"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3F681E4F"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185F82D6" w14:textId="23E40CC3"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232AFFD2" w14:textId="7ECA5546"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590" w:type="pct"/>
            <w:tcBorders>
              <w:top w:val="nil"/>
              <w:left w:val="nil"/>
              <w:bottom w:val="nil"/>
              <w:right w:val="nil"/>
            </w:tcBorders>
            <w:shd w:val="clear" w:color="auto" w:fill="E6E6E6"/>
            <w:noWrap/>
            <w:vAlign w:val="bottom"/>
            <w:hideMark/>
          </w:tcPr>
          <w:p w14:paraId="43A4D7FB" w14:textId="333666BA"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545" w:type="pct"/>
            <w:tcBorders>
              <w:top w:val="nil"/>
              <w:left w:val="nil"/>
              <w:bottom w:val="nil"/>
              <w:right w:val="nil"/>
            </w:tcBorders>
            <w:shd w:val="clear" w:color="auto" w:fill="auto"/>
            <w:noWrap/>
            <w:vAlign w:val="bottom"/>
            <w:hideMark/>
          </w:tcPr>
          <w:p w14:paraId="25FE96F8" w14:textId="490FB0A2"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593" w:type="pct"/>
            <w:tcBorders>
              <w:top w:val="nil"/>
              <w:left w:val="nil"/>
              <w:bottom w:val="nil"/>
              <w:right w:val="nil"/>
            </w:tcBorders>
            <w:shd w:val="clear" w:color="auto" w:fill="E6E6E6"/>
            <w:noWrap/>
            <w:vAlign w:val="bottom"/>
            <w:hideMark/>
          </w:tcPr>
          <w:p w14:paraId="32F27951" w14:textId="79F80021"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r>
      <w:tr w:rsidR="004A16F1" w:rsidRPr="004A16F1" w14:paraId="77DC169B" w14:textId="77777777" w:rsidTr="00436AC0">
        <w:trPr>
          <w:trHeight w:val="204"/>
        </w:trPr>
        <w:tc>
          <w:tcPr>
            <w:tcW w:w="1451" w:type="pct"/>
            <w:tcBorders>
              <w:top w:val="nil"/>
              <w:left w:val="nil"/>
              <w:bottom w:val="nil"/>
              <w:right w:val="nil"/>
            </w:tcBorders>
            <w:shd w:val="clear" w:color="auto" w:fill="auto"/>
            <w:noWrap/>
            <w:vAlign w:val="bottom"/>
            <w:hideMark/>
          </w:tcPr>
          <w:p w14:paraId="72D97319" w14:textId="77777777" w:rsidR="004A16F1" w:rsidRPr="004A16F1" w:rsidRDefault="004A16F1" w:rsidP="004A16F1">
            <w:pPr>
              <w:spacing w:after="0" w:line="240" w:lineRule="auto"/>
              <w:rPr>
                <w:rFonts w:ascii="Arial" w:hAnsi="Arial" w:cs="Arial"/>
                <w:sz w:val="16"/>
                <w:szCs w:val="16"/>
              </w:rPr>
            </w:pPr>
            <w:r w:rsidRPr="004A16F1">
              <w:rPr>
                <w:rFonts w:ascii="Arial" w:hAnsi="Arial" w:cs="Arial"/>
                <w:sz w:val="16"/>
                <w:szCs w:val="16"/>
              </w:rPr>
              <w:t>Improving the NBN</w:t>
            </w:r>
          </w:p>
        </w:tc>
        <w:tc>
          <w:tcPr>
            <w:tcW w:w="583" w:type="pct"/>
            <w:tcBorders>
              <w:top w:val="nil"/>
              <w:left w:val="nil"/>
              <w:bottom w:val="nil"/>
              <w:right w:val="nil"/>
            </w:tcBorders>
            <w:shd w:val="clear" w:color="auto" w:fill="auto"/>
            <w:noWrap/>
            <w:vAlign w:val="bottom"/>
            <w:hideMark/>
          </w:tcPr>
          <w:p w14:paraId="1B2175F4" w14:textId="77777777" w:rsidR="004A16F1" w:rsidRPr="004A16F1" w:rsidRDefault="004A16F1" w:rsidP="004A16F1">
            <w:pPr>
              <w:spacing w:after="0" w:line="240" w:lineRule="auto"/>
              <w:jc w:val="center"/>
              <w:rPr>
                <w:rFonts w:ascii="Arial" w:hAnsi="Arial" w:cs="Arial"/>
                <w:sz w:val="16"/>
                <w:szCs w:val="16"/>
              </w:rPr>
            </w:pPr>
            <w:r w:rsidRPr="004A16F1">
              <w:rPr>
                <w:rFonts w:ascii="Arial" w:hAnsi="Arial" w:cs="Arial"/>
                <w:sz w:val="16"/>
                <w:szCs w:val="16"/>
              </w:rPr>
              <w:t>5.1, 5.2</w:t>
            </w:r>
          </w:p>
        </w:tc>
        <w:tc>
          <w:tcPr>
            <w:tcW w:w="594" w:type="pct"/>
            <w:tcBorders>
              <w:top w:val="nil"/>
              <w:left w:val="nil"/>
              <w:bottom w:val="nil"/>
              <w:right w:val="nil"/>
            </w:tcBorders>
            <w:shd w:val="clear" w:color="auto" w:fill="E6E6E6"/>
            <w:noWrap/>
            <w:vAlign w:val="bottom"/>
            <w:hideMark/>
          </w:tcPr>
          <w:p w14:paraId="6DB6CC75" w14:textId="3A29E48E" w:rsidR="004A16F1" w:rsidRPr="004A16F1" w:rsidRDefault="004A16F1" w:rsidP="00C904B7">
            <w:pPr>
              <w:spacing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18CE94E6" w14:textId="77777777" w:rsidR="004A16F1" w:rsidRPr="004A16F1" w:rsidRDefault="004A16F1" w:rsidP="00C904B7">
            <w:pPr>
              <w:spacing w:after="0" w:line="240" w:lineRule="auto"/>
              <w:jc w:val="right"/>
              <w:rPr>
                <w:rFonts w:ascii="Arial" w:hAnsi="Arial" w:cs="Arial"/>
                <w:b/>
                <w:bCs/>
                <w:sz w:val="16"/>
                <w:szCs w:val="16"/>
              </w:rPr>
            </w:pPr>
          </w:p>
        </w:tc>
        <w:tc>
          <w:tcPr>
            <w:tcW w:w="590" w:type="pct"/>
            <w:tcBorders>
              <w:top w:val="nil"/>
              <w:left w:val="nil"/>
              <w:bottom w:val="nil"/>
              <w:right w:val="nil"/>
            </w:tcBorders>
            <w:shd w:val="clear" w:color="auto" w:fill="E6E6E6"/>
            <w:noWrap/>
            <w:vAlign w:val="bottom"/>
            <w:hideMark/>
          </w:tcPr>
          <w:p w14:paraId="483300B7" w14:textId="7431EB15" w:rsidR="004A16F1" w:rsidRPr="004A16F1" w:rsidRDefault="004A16F1" w:rsidP="00C904B7">
            <w:pPr>
              <w:spacing w:after="0" w:line="240" w:lineRule="auto"/>
              <w:jc w:val="right"/>
              <w:rPr>
                <w:rFonts w:ascii="Arial" w:hAnsi="Arial" w:cs="Arial"/>
                <w:b/>
                <w:bCs/>
                <w:sz w:val="16"/>
                <w:szCs w:val="16"/>
              </w:rPr>
            </w:pPr>
          </w:p>
        </w:tc>
        <w:tc>
          <w:tcPr>
            <w:tcW w:w="545" w:type="pct"/>
            <w:tcBorders>
              <w:top w:val="nil"/>
              <w:left w:val="nil"/>
              <w:bottom w:val="nil"/>
              <w:right w:val="nil"/>
            </w:tcBorders>
            <w:shd w:val="clear" w:color="auto" w:fill="auto"/>
            <w:noWrap/>
            <w:vAlign w:val="bottom"/>
            <w:hideMark/>
          </w:tcPr>
          <w:p w14:paraId="67AF390E" w14:textId="77777777" w:rsidR="004A16F1" w:rsidRPr="004A16F1" w:rsidRDefault="004A16F1" w:rsidP="00C904B7">
            <w:pPr>
              <w:spacing w:after="0" w:line="240" w:lineRule="auto"/>
              <w:jc w:val="right"/>
              <w:rPr>
                <w:rFonts w:ascii="Arial" w:hAnsi="Arial" w:cs="Arial"/>
                <w:b/>
                <w:bCs/>
                <w:sz w:val="16"/>
                <w:szCs w:val="16"/>
              </w:rPr>
            </w:pPr>
          </w:p>
        </w:tc>
        <w:tc>
          <w:tcPr>
            <w:tcW w:w="593" w:type="pct"/>
            <w:tcBorders>
              <w:top w:val="nil"/>
              <w:left w:val="nil"/>
              <w:bottom w:val="nil"/>
              <w:right w:val="nil"/>
            </w:tcBorders>
            <w:shd w:val="clear" w:color="auto" w:fill="E6E6E6"/>
            <w:noWrap/>
            <w:vAlign w:val="bottom"/>
            <w:hideMark/>
          </w:tcPr>
          <w:p w14:paraId="482CC05A" w14:textId="3A147A1E" w:rsidR="004A16F1" w:rsidRPr="004A16F1" w:rsidRDefault="004A16F1" w:rsidP="00C904B7">
            <w:pPr>
              <w:spacing w:after="0" w:line="240" w:lineRule="auto"/>
              <w:jc w:val="right"/>
              <w:rPr>
                <w:rFonts w:ascii="Arial" w:hAnsi="Arial" w:cs="Arial"/>
                <w:b/>
                <w:bCs/>
                <w:sz w:val="16"/>
                <w:szCs w:val="16"/>
              </w:rPr>
            </w:pPr>
          </w:p>
        </w:tc>
      </w:tr>
      <w:tr w:rsidR="00C25D74" w:rsidRPr="004A16F1" w14:paraId="7960340B" w14:textId="77777777" w:rsidTr="00436AC0">
        <w:trPr>
          <w:trHeight w:val="204"/>
        </w:trPr>
        <w:tc>
          <w:tcPr>
            <w:tcW w:w="1451" w:type="pct"/>
            <w:tcBorders>
              <w:top w:val="nil"/>
              <w:left w:val="nil"/>
              <w:bottom w:val="nil"/>
              <w:right w:val="nil"/>
            </w:tcBorders>
            <w:shd w:val="clear" w:color="auto" w:fill="auto"/>
            <w:noWrap/>
            <w:vAlign w:val="bottom"/>
            <w:hideMark/>
          </w:tcPr>
          <w:p w14:paraId="0340B480" w14:textId="77777777" w:rsidR="00C25D74" w:rsidRPr="004A16F1" w:rsidRDefault="00C25D74" w:rsidP="00B14412">
            <w:pPr>
              <w:spacing w:after="0" w:line="240" w:lineRule="auto"/>
              <w:ind w:firstLineChars="100" w:firstLine="160"/>
              <w:rPr>
                <w:rFonts w:ascii="Arial" w:hAnsi="Arial" w:cs="Arial"/>
                <w:sz w:val="16"/>
                <w:szCs w:val="16"/>
              </w:rPr>
            </w:pPr>
            <w:r w:rsidRPr="004A16F1">
              <w:rPr>
                <w:rFonts w:ascii="Arial" w:hAnsi="Arial" w:cs="Arial"/>
                <w:sz w:val="16"/>
                <w:szCs w:val="16"/>
              </w:rPr>
              <w:t>Administered payments</w:t>
            </w:r>
          </w:p>
        </w:tc>
        <w:tc>
          <w:tcPr>
            <w:tcW w:w="583" w:type="pct"/>
            <w:tcBorders>
              <w:top w:val="nil"/>
              <w:left w:val="nil"/>
              <w:bottom w:val="nil"/>
              <w:right w:val="nil"/>
            </w:tcBorders>
            <w:shd w:val="clear" w:color="auto" w:fill="auto"/>
            <w:noWrap/>
            <w:vAlign w:val="bottom"/>
            <w:hideMark/>
          </w:tcPr>
          <w:p w14:paraId="645957BB" w14:textId="77777777" w:rsidR="00C25D74" w:rsidRPr="004A16F1" w:rsidRDefault="00C25D74" w:rsidP="00B14412">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52879AD8" w14:textId="77777777" w:rsidR="00C25D74" w:rsidRPr="004A16F1" w:rsidRDefault="00C25D74" w:rsidP="00B14412">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374C2F41" w14:textId="77777777" w:rsidR="00C25D74" w:rsidRPr="004A16F1" w:rsidRDefault="00C25D74" w:rsidP="00B14412">
            <w:pPr>
              <w:spacing w:after="0" w:line="240" w:lineRule="auto"/>
              <w:jc w:val="right"/>
              <w:rPr>
                <w:rFonts w:ascii="Arial" w:hAnsi="Arial" w:cs="Arial"/>
                <w:sz w:val="16"/>
                <w:szCs w:val="16"/>
              </w:rPr>
            </w:pPr>
            <w:r w:rsidRPr="004A16F1">
              <w:rPr>
                <w:rFonts w:ascii="Arial" w:hAnsi="Arial" w:cs="Arial"/>
                <w:sz w:val="16"/>
                <w:szCs w:val="16"/>
              </w:rPr>
              <w:t>4,500</w:t>
            </w:r>
          </w:p>
        </w:tc>
        <w:tc>
          <w:tcPr>
            <w:tcW w:w="590" w:type="pct"/>
            <w:tcBorders>
              <w:top w:val="nil"/>
              <w:left w:val="nil"/>
              <w:bottom w:val="nil"/>
              <w:right w:val="nil"/>
            </w:tcBorders>
            <w:shd w:val="clear" w:color="auto" w:fill="E6E6E6"/>
            <w:noWrap/>
            <w:vAlign w:val="bottom"/>
            <w:hideMark/>
          </w:tcPr>
          <w:p w14:paraId="00BDA1D7" w14:textId="77777777" w:rsidR="00C25D74" w:rsidRPr="004A16F1" w:rsidRDefault="00C25D74" w:rsidP="00B14412">
            <w:pPr>
              <w:spacing w:after="0" w:line="240" w:lineRule="auto"/>
              <w:jc w:val="right"/>
              <w:rPr>
                <w:rFonts w:ascii="Arial" w:hAnsi="Arial" w:cs="Arial"/>
                <w:sz w:val="16"/>
                <w:szCs w:val="16"/>
              </w:rPr>
            </w:pPr>
            <w:r w:rsidRPr="004A16F1">
              <w:rPr>
                <w:rFonts w:ascii="Arial" w:hAnsi="Arial" w:cs="Arial"/>
                <w:sz w:val="16"/>
                <w:szCs w:val="16"/>
              </w:rPr>
              <w:t>-</w:t>
            </w:r>
          </w:p>
        </w:tc>
        <w:tc>
          <w:tcPr>
            <w:tcW w:w="545" w:type="pct"/>
            <w:tcBorders>
              <w:top w:val="nil"/>
              <w:left w:val="nil"/>
              <w:bottom w:val="nil"/>
              <w:right w:val="nil"/>
            </w:tcBorders>
            <w:shd w:val="clear" w:color="auto" w:fill="auto"/>
            <w:noWrap/>
            <w:vAlign w:val="bottom"/>
            <w:hideMark/>
          </w:tcPr>
          <w:p w14:paraId="05F664B0" w14:textId="77777777" w:rsidR="00C25D74" w:rsidRPr="004A16F1" w:rsidRDefault="00C25D74" w:rsidP="00B14412">
            <w:pPr>
              <w:spacing w:after="0" w:line="240" w:lineRule="auto"/>
              <w:jc w:val="right"/>
              <w:rPr>
                <w:rFonts w:ascii="Arial" w:hAnsi="Arial" w:cs="Arial"/>
                <w:sz w:val="16"/>
                <w:szCs w:val="16"/>
              </w:rPr>
            </w:pPr>
            <w:r w:rsidRPr="004A16F1">
              <w:rPr>
                <w:rFonts w:ascii="Arial" w:hAnsi="Arial" w:cs="Arial"/>
                <w:sz w:val="16"/>
                <w:szCs w:val="16"/>
              </w:rPr>
              <w:t>-</w:t>
            </w:r>
          </w:p>
        </w:tc>
        <w:tc>
          <w:tcPr>
            <w:tcW w:w="593" w:type="pct"/>
            <w:tcBorders>
              <w:top w:val="nil"/>
              <w:left w:val="nil"/>
              <w:bottom w:val="nil"/>
              <w:right w:val="nil"/>
            </w:tcBorders>
            <w:shd w:val="clear" w:color="auto" w:fill="E6E6E6"/>
            <w:noWrap/>
            <w:vAlign w:val="bottom"/>
            <w:hideMark/>
          </w:tcPr>
          <w:p w14:paraId="58817487" w14:textId="77777777" w:rsidR="00C25D74" w:rsidRPr="004A16F1" w:rsidRDefault="00C25D74" w:rsidP="00B14412">
            <w:pPr>
              <w:spacing w:after="0" w:line="240" w:lineRule="auto"/>
              <w:jc w:val="right"/>
              <w:rPr>
                <w:rFonts w:ascii="Arial" w:hAnsi="Arial" w:cs="Arial"/>
                <w:sz w:val="16"/>
                <w:szCs w:val="16"/>
              </w:rPr>
            </w:pPr>
            <w:r w:rsidRPr="004A16F1">
              <w:rPr>
                <w:rFonts w:ascii="Arial" w:hAnsi="Arial" w:cs="Arial"/>
                <w:sz w:val="16"/>
                <w:szCs w:val="16"/>
              </w:rPr>
              <w:t>-</w:t>
            </w:r>
          </w:p>
        </w:tc>
      </w:tr>
      <w:tr w:rsidR="004A16F1" w:rsidRPr="004A16F1" w14:paraId="028B2E8A" w14:textId="77777777" w:rsidTr="00436AC0">
        <w:trPr>
          <w:trHeight w:val="204"/>
        </w:trPr>
        <w:tc>
          <w:tcPr>
            <w:tcW w:w="1451" w:type="pct"/>
            <w:tcBorders>
              <w:top w:val="nil"/>
              <w:left w:val="nil"/>
              <w:bottom w:val="nil"/>
              <w:right w:val="nil"/>
            </w:tcBorders>
            <w:shd w:val="clear" w:color="auto" w:fill="auto"/>
            <w:noWrap/>
            <w:vAlign w:val="bottom"/>
            <w:hideMark/>
          </w:tcPr>
          <w:p w14:paraId="515C3750" w14:textId="77777777" w:rsidR="004A16F1" w:rsidRPr="004A16F1" w:rsidRDefault="004A16F1" w:rsidP="004A16F1">
            <w:pPr>
              <w:spacing w:after="0" w:line="240" w:lineRule="auto"/>
              <w:ind w:firstLineChars="100" w:firstLine="160"/>
              <w:rPr>
                <w:rFonts w:ascii="Arial" w:hAnsi="Arial" w:cs="Arial"/>
                <w:sz w:val="16"/>
                <w:szCs w:val="16"/>
              </w:rPr>
            </w:pPr>
            <w:r w:rsidRPr="004A16F1">
              <w:rPr>
                <w:rFonts w:ascii="Arial" w:hAnsi="Arial" w:cs="Arial"/>
                <w:sz w:val="16"/>
                <w:szCs w:val="16"/>
              </w:rPr>
              <w:t>Departmental payments</w:t>
            </w:r>
          </w:p>
        </w:tc>
        <w:tc>
          <w:tcPr>
            <w:tcW w:w="583" w:type="pct"/>
            <w:tcBorders>
              <w:top w:val="nil"/>
              <w:left w:val="nil"/>
              <w:bottom w:val="nil"/>
              <w:right w:val="nil"/>
            </w:tcBorders>
            <w:shd w:val="clear" w:color="auto" w:fill="auto"/>
            <w:noWrap/>
            <w:vAlign w:val="bottom"/>
            <w:hideMark/>
          </w:tcPr>
          <w:p w14:paraId="59C2CD68" w14:textId="77777777" w:rsidR="004A16F1" w:rsidRPr="004A16F1" w:rsidRDefault="004A16F1" w:rsidP="004A16F1">
            <w:pPr>
              <w:spacing w:after="0" w:line="240" w:lineRule="auto"/>
              <w:ind w:firstLineChars="100" w:firstLine="160"/>
              <w:jc w:val="center"/>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214EE45A" w14:textId="3E9DA38B"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c>
          <w:tcPr>
            <w:tcW w:w="643" w:type="pct"/>
            <w:tcBorders>
              <w:top w:val="nil"/>
              <w:left w:val="nil"/>
              <w:bottom w:val="nil"/>
              <w:right w:val="nil"/>
            </w:tcBorders>
            <w:shd w:val="clear" w:color="auto" w:fill="auto"/>
            <w:noWrap/>
            <w:vAlign w:val="bottom"/>
            <w:hideMark/>
          </w:tcPr>
          <w:p w14:paraId="6A9B14CE" w14:textId="4097F2BF"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152</w:t>
            </w:r>
          </w:p>
        </w:tc>
        <w:tc>
          <w:tcPr>
            <w:tcW w:w="590" w:type="pct"/>
            <w:tcBorders>
              <w:top w:val="nil"/>
              <w:left w:val="nil"/>
              <w:bottom w:val="nil"/>
              <w:right w:val="nil"/>
            </w:tcBorders>
            <w:shd w:val="clear" w:color="auto" w:fill="E6E6E6"/>
            <w:noWrap/>
            <w:vAlign w:val="bottom"/>
            <w:hideMark/>
          </w:tcPr>
          <w:p w14:paraId="5A7A00F2" w14:textId="20486EC4"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18</w:t>
            </w:r>
          </w:p>
        </w:tc>
        <w:tc>
          <w:tcPr>
            <w:tcW w:w="545" w:type="pct"/>
            <w:tcBorders>
              <w:top w:val="nil"/>
              <w:left w:val="nil"/>
              <w:bottom w:val="nil"/>
              <w:right w:val="nil"/>
            </w:tcBorders>
            <w:shd w:val="clear" w:color="auto" w:fill="auto"/>
            <w:noWrap/>
            <w:vAlign w:val="bottom"/>
            <w:hideMark/>
          </w:tcPr>
          <w:p w14:paraId="15832327" w14:textId="15CE25D4"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18</w:t>
            </w:r>
          </w:p>
        </w:tc>
        <w:tc>
          <w:tcPr>
            <w:tcW w:w="593" w:type="pct"/>
            <w:tcBorders>
              <w:top w:val="nil"/>
              <w:left w:val="nil"/>
              <w:bottom w:val="nil"/>
              <w:right w:val="nil"/>
            </w:tcBorders>
            <w:shd w:val="clear" w:color="auto" w:fill="E6E6E6"/>
            <w:noWrap/>
            <w:vAlign w:val="bottom"/>
            <w:hideMark/>
          </w:tcPr>
          <w:p w14:paraId="62E83D79" w14:textId="208DFA94" w:rsidR="004A16F1" w:rsidRPr="004A16F1" w:rsidRDefault="004A16F1" w:rsidP="00C904B7">
            <w:pPr>
              <w:spacing w:after="0" w:line="240" w:lineRule="auto"/>
              <w:jc w:val="right"/>
              <w:rPr>
                <w:rFonts w:ascii="Arial" w:hAnsi="Arial" w:cs="Arial"/>
                <w:sz w:val="16"/>
                <w:szCs w:val="16"/>
              </w:rPr>
            </w:pPr>
            <w:r w:rsidRPr="004A16F1">
              <w:rPr>
                <w:rFonts w:ascii="Arial" w:hAnsi="Arial" w:cs="Arial"/>
                <w:sz w:val="16"/>
                <w:szCs w:val="16"/>
              </w:rPr>
              <w:t>-</w:t>
            </w:r>
          </w:p>
        </w:tc>
      </w:tr>
      <w:tr w:rsidR="004A16F1" w:rsidRPr="004A16F1" w14:paraId="1925B17E" w14:textId="77777777" w:rsidTr="00436AC0">
        <w:trPr>
          <w:trHeight w:val="204"/>
        </w:trPr>
        <w:tc>
          <w:tcPr>
            <w:tcW w:w="1451" w:type="pct"/>
            <w:tcBorders>
              <w:top w:val="nil"/>
              <w:left w:val="nil"/>
              <w:bottom w:val="nil"/>
              <w:right w:val="nil"/>
            </w:tcBorders>
            <w:shd w:val="clear" w:color="auto" w:fill="auto"/>
            <w:noWrap/>
            <w:vAlign w:val="bottom"/>
            <w:hideMark/>
          </w:tcPr>
          <w:p w14:paraId="3B92F46A"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0FB758DB"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07D894F1" w14:textId="2CFEE3FD"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1AD68AB0" w14:textId="497D1A9B"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4,652</w:t>
            </w:r>
          </w:p>
        </w:tc>
        <w:tc>
          <w:tcPr>
            <w:tcW w:w="590" w:type="pct"/>
            <w:tcBorders>
              <w:top w:val="nil"/>
              <w:left w:val="nil"/>
              <w:bottom w:val="nil"/>
              <w:right w:val="nil"/>
            </w:tcBorders>
            <w:shd w:val="clear" w:color="auto" w:fill="E6E6E6"/>
            <w:noWrap/>
            <w:vAlign w:val="bottom"/>
            <w:hideMark/>
          </w:tcPr>
          <w:p w14:paraId="33935110" w14:textId="5F7280E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18</w:t>
            </w:r>
          </w:p>
        </w:tc>
        <w:tc>
          <w:tcPr>
            <w:tcW w:w="545" w:type="pct"/>
            <w:tcBorders>
              <w:top w:val="nil"/>
              <w:left w:val="nil"/>
              <w:bottom w:val="nil"/>
              <w:right w:val="nil"/>
            </w:tcBorders>
            <w:shd w:val="clear" w:color="auto" w:fill="auto"/>
            <w:noWrap/>
            <w:vAlign w:val="bottom"/>
            <w:hideMark/>
          </w:tcPr>
          <w:p w14:paraId="3599A576" w14:textId="46C7FA8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18</w:t>
            </w:r>
          </w:p>
        </w:tc>
        <w:tc>
          <w:tcPr>
            <w:tcW w:w="593" w:type="pct"/>
            <w:tcBorders>
              <w:top w:val="nil"/>
              <w:left w:val="nil"/>
              <w:bottom w:val="nil"/>
              <w:right w:val="nil"/>
            </w:tcBorders>
            <w:shd w:val="clear" w:color="auto" w:fill="E6E6E6"/>
            <w:noWrap/>
            <w:vAlign w:val="bottom"/>
            <w:hideMark/>
          </w:tcPr>
          <w:p w14:paraId="626D60C1" w14:textId="00E2FA5E"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r>
      <w:tr w:rsidR="004A16F1" w:rsidRPr="00E2297F" w14:paraId="3617406F" w14:textId="77777777" w:rsidTr="00436AC0">
        <w:trPr>
          <w:trHeight w:val="204"/>
        </w:trPr>
        <w:tc>
          <w:tcPr>
            <w:tcW w:w="1451" w:type="pct"/>
            <w:tcBorders>
              <w:top w:val="nil"/>
              <w:left w:val="nil"/>
              <w:bottom w:val="nil"/>
              <w:right w:val="nil"/>
            </w:tcBorders>
            <w:shd w:val="clear" w:color="auto" w:fill="auto"/>
            <w:noWrap/>
            <w:vAlign w:val="bottom"/>
            <w:hideMark/>
          </w:tcPr>
          <w:p w14:paraId="09AF9F68" w14:textId="3B990388"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National Water Grid – delivering commitments</w:t>
            </w:r>
          </w:p>
        </w:tc>
        <w:tc>
          <w:tcPr>
            <w:tcW w:w="583" w:type="pct"/>
            <w:tcBorders>
              <w:top w:val="nil"/>
              <w:left w:val="nil"/>
              <w:bottom w:val="nil"/>
              <w:right w:val="nil"/>
            </w:tcBorders>
            <w:shd w:val="clear" w:color="auto" w:fill="auto"/>
            <w:noWrap/>
            <w:vAlign w:val="bottom"/>
            <w:hideMark/>
          </w:tcPr>
          <w:p w14:paraId="3182FF85" w14:textId="77777777" w:rsidR="004A16F1" w:rsidRPr="00E2297F" w:rsidRDefault="004A16F1" w:rsidP="004A16F1">
            <w:pPr>
              <w:spacing w:after="0" w:line="240" w:lineRule="auto"/>
              <w:jc w:val="center"/>
              <w:rPr>
                <w:rFonts w:ascii="Arial" w:hAnsi="Arial" w:cs="Arial"/>
                <w:bCs/>
                <w:sz w:val="16"/>
                <w:szCs w:val="16"/>
              </w:rPr>
            </w:pPr>
            <w:r w:rsidRPr="00E2297F">
              <w:rPr>
                <w:rFonts w:ascii="Arial" w:hAnsi="Arial" w:cs="Arial"/>
                <w:bCs/>
                <w:sz w:val="16"/>
                <w:szCs w:val="16"/>
              </w:rPr>
              <w:t>3.1</w:t>
            </w:r>
          </w:p>
        </w:tc>
        <w:tc>
          <w:tcPr>
            <w:tcW w:w="594" w:type="pct"/>
            <w:tcBorders>
              <w:top w:val="nil"/>
              <w:left w:val="nil"/>
              <w:bottom w:val="nil"/>
              <w:right w:val="nil"/>
            </w:tcBorders>
            <w:shd w:val="clear" w:color="auto" w:fill="E6E6E6"/>
            <w:noWrap/>
            <w:vAlign w:val="bottom"/>
            <w:hideMark/>
          </w:tcPr>
          <w:p w14:paraId="099167A3" w14:textId="1EAB9C27" w:rsidR="004A16F1" w:rsidRPr="00E2297F" w:rsidRDefault="004A16F1" w:rsidP="00C904B7">
            <w:pPr>
              <w:spacing w:after="0" w:line="240" w:lineRule="auto"/>
              <w:jc w:val="right"/>
              <w:rPr>
                <w:rFonts w:ascii="Arial" w:hAnsi="Arial" w:cs="Arial"/>
                <w:bCs/>
                <w:sz w:val="16"/>
                <w:szCs w:val="16"/>
              </w:rPr>
            </w:pPr>
          </w:p>
        </w:tc>
        <w:tc>
          <w:tcPr>
            <w:tcW w:w="643" w:type="pct"/>
            <w:tcBorders>
              <w:top w:val="nil"/>
              <w:left w:val="nil"/>
              <w:bottom w:val="nil"/>
              <w:right w:val="nil"/>
            </w:tcBorders>
            <w:shd w:val="clear" w:color="auto" w:fill="auto"/>
            <w:noWrap/>
            <w:vAlign w:val="bottom"/>
            <w:hideMark/>
          </w:tcPr>
          <w:p w14:paraId="2A419548" w14:textId="77777777" w:rsidR="004A16F1" w:rsidRPr="00E2297F" w:rsidRDefault="004A16F1" w:rsidP="00C904B7">
            <w:pPr>
              <w:spacing w:after="0" w:line="240" w:lineRule="auto"/>
              <w:jc w:val="right"/>
              <w:rPr>
                <w:rFonts w:ascii="Arial" w:hAnsi="Arial" w:cs="Arial"/>
                <w:bCs/>
                <w:sz w:val="16"/>
                <w:szCs w:val="16"/>
              </w:rPr>
            </w:pPr>
          </w:p>
        </w:tc>
        <w:tc>
          <w:tcPr>
            <w:tcW w:w="590" w:type="pct"/>
            <w:tcBorders>
              <w:top w:val="nil"/>
              <w:left w:val="nil"/>
              <w:bottom w:val="nil"/>
              <w:right w:val="nil"/>
            </w:tcBorders>
            <w:shd w:val="clear" w:color="auto" w:fill="E6E6E6"/>
            <w:noWrap/>
            <w:vAlign w:val="bottom"/>
            <w:hideMark/>
          </w:tcPr>
          <w:p w14:paraId="3108C66C" w14:textId="389239E5" w:rsidR="004A16F1" w:rsidRPr="00E2297F" w:rsidRDefault="004A16F1" w:rsidP="00C904B7">
            <w:pPr>
              <w:spacing w:after="0" w:line="240" w:lineRule="auto"/>
              <w:jc w:val="right"/>
              <w:rPr>
                <w:rFonts w:ascii="Arial" w:hAnsi="Arial" w:cs="Arial"/>
                <w:bCs/>
                <w:sz w:val="16"/>
                <w:szCs w:val="16"/>
              </w:rPr>
            </w:pPr>
          </w:p>
        </w:tc>
        <w:tc>
          <w:tcPr>
            <w:tcW w:w="545" w:type="pct"/>
            <w:tcBorders>
              <w:top w:val="nil"/>
              <w:left w:val="nil"/>
              <w:bottom w:val="nil"/>
              <w:right w:val="nil"/>
            </w:tcBorders>
            <w:shd w:val="clear" w:color="auto" w:fill="auto"/>
            <w:noWrap/>
            <w:vAlign w:val="bottom"/>
            <w:hideMark/>
          </w:tcPr>
          <w:p w14:paraId="38B0D9DA" w14:textId="77777777" w:rsidR="004A16F1" w:rsidRPr="00E2297F" w:rsidRDefault="004A16F1" w:rsidP="00C904B7">
            <w:pPr>
              <w:spacing w:after="0" w:line="240" w:lineRule="auto"/>
              <w:jc w:val="right"/>
              <w:rPr>
                <w:rFonts w:ascii="Arial" w:hAnsi="Arial" w:cs="Arial"/>
                <w:bCs/>
                <w:sz w:val="16"/>
                <w:szCs w:val="16"/>
              </w:rPr>
            </w:pPr>
          </w:p>
        </w:tc>
        <w:tc>
          <w:tcPr>
            <w:tcW w:w="593" w:type="pct"/>
            <w:tcBorders>
              <w:top w:val="nil"/>
              <w:left w:val="nil"/>
              <w:bottom w:val="nil"/>
              <w:right w:val="nil"/>
            </w:tcBorders>
            <w:shd w:val="clear" w:color="auto" w:fill="E6E6E6"/>
            <w:noWrap/>
            <w:vAlign w:val="bottom"/>
            <w:hideMark/>
          </w:tcPr>
          <w:p w14:paraId="73A25802" w14:textId="5CC3CE3C" w:rsidR="004A16F1" w:rsidRPr="00E2297F" w:rsidRDefault="004A16F1" w:rsidP="00C904B7">
            <w:pPr>
              <w:spacing w:after="0" w:line="240" w:lineRule="auto"/>
              <w:jc w:val="right"/>
              <w:rPr>
                <w:rFonts w:ascii="Arial" w:hAnsi="Arial" w:cs="Arial"/>
                <w:bCs/>
                <w:sz w:val="16"/>
                <w:szCs w:val="16"/>
              </w:rPr>
            </w:pPr>
          </w:p>
        </w:tc>
      </w:tr>
      <w:tr w:rsidR="004A16F1" w:rsidRPr="00E2297F" w14:paraId="7505A653" w14:textId="77777777" w:rsidTr="00436AC0">
        <w:trPr>
          <w:trHeight w:val="204"/>
        </w:trPr>
        <w:tc>
          <w:tcPr>
            <w:tcW w:w="1451" w:type="pct"/>
            <w:tcBorders>
              <w:top w:val="nil"/>
              <w:left w:val="nil"/>
              <w:bottom w:val="nil"/>
              <w:right w:val="nil"/>
            </w:tcBorders>
            <w:shd w:val="clear" w:color="auto" w:fill="auto"/>
            <w:noWrap/>
            <w:vAlign w:val="bottom"/>
            <w:hideMark/>
          </w:tcPr>
          <w:p w14:paraId="350FB7F8" w14:textId="77777777" w:rsidR="004A16F1" w:rsidRPr="00F7784A" w:rsidRDefault="004A16F1" w:rsidP="00E2297F">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583" w:type="pct"/>
            <w:tcBorders>
              <w:top w:val="nil"/>
              <w:left w:val="nil"/>
              <w:bottom w:val="nil"/>
              <w:right w:val="nil"/>
            </w:tcBorders>
            <w:shd w:val="clear" w:color="auto" w:fill="auto"/>
            <w:noWrap/>
            <w:vAlign w:val="bottom"/>
            <w:hideMark/>
          </w:tcPr>
          <w:p w14:paraId="3711702C" w14:textId="77777777" w:rsidR="004A16F1" w:rsidRPr="00E2297F" w:rsidRDefault="004A16F1" w:rsidP="004A16F1">
            <w:pPr>
              <w:spacing w:after="0" w:line="240" w:lineRule="auto"/>
              <w:jc w:val="center"/>
              <w:rPr>
                <w:rFonts w:ascii="Arial" w:hAnsi="Arial" w:cs="Arial"/>
                <w:bCs/>
                <w:sz w:val="16"/>
                <w:szCs w:val="16"/>
              </w:rPr>
            </w:pPr>
          </w:p>
        </w:tc>
        <w:tc>
          <w:tcPr>
            <w:tcW w:w="594" w:type="pct"/>
            <w:tcBorders>
              <w:top w:val="nil"/>
              <w:left w:val="nil"/>
              <w:bottom w:val="nil"/>
              <w:right w:val="nil"/>
            </w:tcBorders>
            <w:shd w:val="clear" w:color="auto" w:fill="E6E6E6"/>
            <w:noWrap/>
            <w:vAlign w:val="bottom"/>
            <w:hideMark/>
          </w:tcPr>
          <w:p w14:paraId="330921F9" w14:textId="5ECBB341"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w:t>
            </w:r>
          </w:p>
        </w:tc>
        <w:tc>
          <w:tcPr>
            <w:tcW w:w="643" w:type="pct"/>
            <w:tcBorders>
              <w:top w:val="nil"/>
              <w:left w:val="nil"/>
              <w:bottom w:val="nil"/>
              <w:right w:val="nil"/>
            </w:tcBorders>
            <w:shd w:val="clear" w:color="auto" w:fill="auto"/>
            <w:noWrap/>
            <w:vAlign w:val="bottom"/>
            <w:hideMark/>
          </w:tcPr>
          <w:p w14:paraId="00692D12"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(5,000)</w:t>
            </w:r>
          </w:p>
        </w:tc>
        <w:tc>
          <w:tcPr>
            <w:tcW w:w="590" w:type="pct"/>
            <w:tcBorders>
              <w:top w:val="nil"/>
              <w:left w:val="nil"/>
              <w:bottom w:val="nil"/>
              <w:right w:val="nil"/>
            </w:tcBorders>
            <w:shd w:val="clear" w:color="auto" w:fill="E6E6E6"/>
            <w:noWrap/>
            <w:vAlign w:val="bottom"/>
            <w:hideMark/>
          </w:tcPr>
          <w:p w14:paraId="5DF2B652"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(20,500)</w:t>
            </w:r>
          </w:p>
        </w:tc>
        <w:tc>
          <w:tcPr>
            <w:tcW w:w="545" w:type="pct"/>
            <w:tcBorders>
              <w:top w:val="nil"/>
              <w:left w:val="nil"/>
              <w:bottom w:val="nil"/>
              <w:right w:val="nil"/>
            </w:tcBorders>
            <w:shd w:val="clear" w:color="auto" w:fill="auto"/>
            <w:noWrap/>
            <w:vAlign w:val="bottom"/>
            <w:hideMark/>
          </w:tcPr>
          <w:p w14:paraId="43495D21"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(6,500)</w:t>
            </w:r>
          </w:p>
        </w:tc>
        <w:tc>
          <w:tcPr>
            <w:tcW w:w="593" w:type="pct"/>
            <w:tcBorders>
              <w:top w:val="nil"/>
              <w:left w:val="nil"/>
              <w:bottom w:val="nil"/>
              <w:right w:val="nil"/>
            </w:tcBorders>
            <w:shd w:val="clear" w:color="auto" w:fill="E6E6E6"/>
            <w:noWrap/>
            <w:vAlign w:val="bottom"/>
            <w:hideMark/>
          </w:tcPr>
          <w:p w14:paraId="70868E15" w14:textId="47A8AE30"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w:t>
            </w:r>
          </w:p>
        </w:tc>
      </w:tr>
      <w:tr w:rsidR="004A16F1" w:rsidRPr="004A16F1" w14:paraId="68840077" w14:textId="77777777" w:rsidTr="00436AC0">
        <w:trPr>
          <w:trHeight w:val="204"/>
        </w:trPr>
        <w:tc>
          <w:tcPr>
            <w:tcW w:w="1451" w:type="pct"/>
            <w:tcBorders>
              <w:top w:val="nil"/>
              <w:left w:val="nil"/>
              <w:bottom w:val="nil"/>
              <w:right w:val="nil"/>
            </w:tcBorders>
            <w:shd w:val="clear" w:color="auto" w:fill="auto"/>
            <w:noWrap/>
            <w:vAlign w:val="bottom"/>
            <w:hideMark/>
          </w:tcPr>
          <w:p w14:paraId="74CAB12A" w14:textId="77777777" w:rsidR="004A16F1" w:rsidRPr="004A16F1" w:rsidRDefault="004A16F1" w:rsidP="00583F7A">
            <w:pPr>
              <w:spacing w:after="6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nil"/>
              <w:right w:val="nil"/>
            </w:tcBorders>
            <w:shd w:val="clear" w:color="auto" w:fill="auto"/>
            <w:noWrap/>
            <w:vAlign w:val="bottom"/>
            <w:hideMark/>
          </w:tcPr>
          <w:p w14:paraId="1EFB9192"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340C4483" w14:textId="4BF4F0FA" w:rsidR="004A16F1" w:rsidRPr="004A16F1" w:rsidRDefault="00D7504F" w:rsidP="00C904B7">
            <w:pPr>
              <w:spacing w:after="0" w:line="240" w:lineRule="auto"/>
              <w:jc w:val="right"/>
              <w:rPr>
                <w:rFonts w:ascii="Arial" w:hAnsi="Arial" w:cs="Arial"/>
                <w:b/>
                <w:bCs/>
                <w:sz w:val="16"/>
                <w:szCs w:val="16"/>
              </w:rPr>
            </w:pPr>
            <w:r>
              <w:rPr>
                <w:rFonts w:ascii="Arial" w:hAnsi="Arial" w:cs="Arial"/>
                <w:b/>
                <w:bCs/>
                <w:sz w:val="16"/>
                <w:szCs w:val="16"/>
              </w:rPr>
              <w:t>-</w:t>
            </w:r>
          </w:p>
        </w:tc>
        <w:tc>
          <w:tcPr>
            <w:tcW w:w="643" w:type="pct"/>
            <w:tcBorders>
              <w:top w:val="nil"/>
              <w:left w:val="nil"/>
              <w:bottom w:val="nil"/>
              <w:right w:val="nil"/>
            </w:tcBorders>
            <w:shd w:val="clear" w:color="auto" w:fill="auto"/>
            <w:noWrap/>
            <w:vAlign w:val="bottom"/>
            <w:hideMark/>
          </w:tcPr>
          <w:p w14:paraId="55AD3173"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(5,000)</w:t>
            </w:r>
          </w:p>
        </w:tc>
        <w:tc>
          <w:tcPr>
            <w:tcW w:w="590" w:type="pct"/>
            <w:tcBorders>
              <w:top w:val="nil"/>
              <w:left w:val="nil"/>
              <w:bottom w:val="nil"/>
              <w:right w:val="nil"/>
            </w:tcBorders>
            <w:shd w:val="clear" w:color="auto" w:fill="E6E6E6"/>
            <w:noWrap/>
            <w:vAlign w:val="bottom"/>
            <w:hideMark/>
          </w:tcPr>
          <w:p w14:paraId="704EFD23"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(20,500)</w:t>
            </w:r>
          </w:p>
        </w:tc>
        <w:tc>
          <w:tcPr>
            <w:tcW w:w="545" w:type="pct"/>
            <w:tcBorders>
              <w:top w:val="nil"/>
              <w:left w:val="nil"/>
              <w:bottom w:val="nil"/>
              <w:right w:val="nil"/>
            </w:tcBorders>
            <w:shd w:val="clear" w:color="auto" w:fill="auto"/>
            <w:noWrap/>
            <w:vAlign w:val="bottom"/>
            <w:hideMark/>
          </w:tcPr>
          <w:p w14:paraId="21522B4B"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(6,500)</w:t>
            </w:r>
          </w:p>
        </w:tc>
        <w:tc>
          <w:tcPr>
            <w:tcW w:w="593" w:type="pct"/>
            <w:tcBorders>
              <w:top w:val="nil"/>
              <w:left w:val="nil"/>
              <w:bottom w:val="nil"/>
              <w:right w:val="nil"/>
            </w:tcBorders>
            <w:shd w:val="clear" w:color="auto" w:fill="E6E6E6"/>
            <w:noWrap/>
            <w:vAlign w:val="bottom"/>
            <w:hideMark/>
          </w:tcPr>
          <w:p w14:paraId="68538E39" w14:textId="088376FF"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r>
      <w:tr w:rsidR="004A16F1" w:rsidRPr="004A16F1" w14:paraId="17C86081" w14:textId="77777777" w:rsidTr="00436AC0">
        <w:trPr>
          <w:trHeight w:val="204"/>
        </w:trPr>
        <w:tc>
          <w:tcPr>
            <w:tcW w:w="1451" w:type="pct"/>
            <w:tcBorders>
              <w:top w:val="nil"/>
              <w:left w:val="nil"/>
              <w:bottom w:val="nil"/>
              <w:right w:val="nil"/>
            </w:tcBorders>
            <w:shd w:val="clear" w:color="auto" w:fill="auto"/>
            <w:noWrap/>
            <w:vAlign w:val="bottom"/>
            <w:hideMark/>
          </w:tcPr>
          <w:p w14:paraId="2B12B451" w14:textId="4574B0F9"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 xml:space="preserve">Pacific Security and Engagement Initiatives </w:t>
            </w:r>
            <w:r w:rsidRPr="00F7784A">
              <w:rPr>
                <w:rFonts w:ascii="Arial" w:hAnsi="Arial" w:cs="Arial"/>
                <w:bCs/>
                <w:sz w:val="16"/>
                <w:szCs w:val="16"/>
                <w:vertAlign w:val="superscript"/>
              </w:rPr>
              <w:t>(</w:t>
            </w:r>
            <w:r w:rsidR="008452B1">
              <w:rPr>
                <w:rFonts w:ascii="Arial" w:hAnsi="Arial" w:cs="Arial"/>
                <w:bCs/>
                <w:sz w:val="16"/>
                <w:szCs w:val="16"/>
                <w:vertAlign w:val="superscript"/>
              </w:rPr>
              <w:t>b</w:t>
            </w:r>
            <w:r w:rsidRPr="00F7784A">
              <w:rPr>
                <w:rFonts w:ascii="Arial" w:hAnsi="Arial" w:cs="Arial"/>
                <w:bCs/>
                <w:sz w:val="16"/>
                <w:szCs w:val="16"/>
                <w:vertAlign w:val="superscript"/>
              </w:rPr>
              <w:t>)</w:t>
            </w:r>
          </w:p>
        </w:tc>
        <w:tc>
          <w:tcPr>
            <w:tcW w:w="583" w:type="pct"/>
            <w:tcBorders>
              <w:top w:val="nil"/>
              <w:left w:val="nil"/>
              <w:bottom w:val="nil"/>
              <w:right w:val="nil"/>
            </w:tcBorders>
            <w:shd w:val="clear" w:color="auto" w:fill="auto"/>
            <w:noWrap/>
            <w:vAlign w:val="bottom"/>
            <w:hideMark/>
          </w:tcPr>
          <w:p w14:paraId="079C4E29" w14:textId="77777777" w:rsidR="004A16F1" w:rsidRPr="00E2297F" w:rsidRDefault="004A16F1" w:rsidP="004A16F1">
            <w:pPr>
              <w:spacing w:after="0" w:line="240" w:lineRule="auto"/>
              <w:jc w:val="center"/>
              <w:rPr>
                <w:rFonts w:ascii="Arial" w:hAnsi="Arial" w:cs="Arial"/>
                <w:bCs/>
                <w:sz w:val="16"/>
                <w:szCs w:val="16"/>
              </w:rPr>
            </w:pPr>
            <w:r w:rsidRPr="00E2297F">
              <w:rPr>
                <w:rFonts w:ascii="Arial" w:hAnsi="Arial" w:cs="Arial"/>
                <w:bCs/>
                <w:sz w:val="16"/>
                <w:szCs w:val="16"/>
              </w:rPr>
              <w:t>5.2</w:t>
            </w:r>
          </w:p>
        </w:tc>
        <w:tc>
          <w:tcPr>
            <w:tcW w:w="594" w:type="pct"/>
            <w:tcBorders>
              <w:top w:val="nil"/>
              <w:left w:val="nil"/>
              <w:bottom w:val="nil"/>
              <w:right w:val="nil"/>
            </w:tcBorders>
            <w:shd w:val="clear" w:color="auto" w:fill="E6E6E6"/>
            <w:noWrap/>
            <w:vAlign w:val="bottom"/>
            <w:hideMark/>
          </w:tcPr>
          <w:p w14:paraId="126F405B" w14:textId="3678BE73" w:rsidR="004A16F1" w:rsidRPr="00E2297F" w:rsidRDefault="004A16F1" w:rsidP="00C904B7">
            <w:pPr>
              <w:spacing w:after="0" w:line="240" w:lineRule="auto"/>
              <w:jc w:val="right"/>
              <w:rPr>
                <w:rFonts w:ascii="Arial" w:hAnsi="Arial" w:cs="Arial"/>
                <w:bCs/>
                <w:sz w:val="16"/>
                <w:szCs w:val="16"/>
              </w:rPr>
            </w:pPr>
          </w:p>
        </w:tc>
        <w:tc>
          <w:tcPr>
            <w:tcW w:w="643" w:type="pct"/>
            <w:tcBorders>
              <w:top w:val="nil"/>
              <w:left w:val="nil"/>
              <w:bottom w:val="nil"/>
              <w:right w:val="nil"/>
            </w:tcBorders>
            <w:shd w:val="clear" w:color="auto" w:fill="auto"/>
            <w:noWrap/>
            <w:vAlign w:val="bottom"/>
            <w:hideMark/>
          </w:tcPr>
          <w:p w14:paraId="5104A525" w14:textId="77777777" w:rsidR="004A16F1" w:rsidRPr="00E2297F" w:rsidRDefault="004A16F1" w:rsidP="00C904B7">
            <w:pPr>
              <w:spacing w:after="0" w:line="240" w:lineRule="auto"/>
              <w:jc w:val="right"/>
              <w:rPr>
                <w:rFonts w:ascii="Arial" w:hAnsi="Arial" w:cs="Arial"/>
                <w:bCs/>
                <w:sz w:val="16"/>
                <w:szCs w:val="16"/>
              </w:rPr>
            </w:pPr>
          </w:p>
        </w:tc>
        <w:tc>
          <w:tcPr>
            <w:tcW w:w="590" w:type="pct"/>
            <w:tcBorders>
              <w:top w:val="nil"/>
              <w:left w:val="nil"/>
              <w:bottom w:val="nil"/>
              <w:right w:val="nil"/>
            </w:tcBorders>
            <w:shd w:val="clear" w:color="auto" w:fill="E6E6E6"/>
            <w:noWrap/>
            <w:vAlign w:val="bottom"/>
            <w:hideMark/>
          </w:tcPr>
          <w:p w14:paraId="3A405E39" w14:textId="512F02E4" w:rsidR="004A16F1" w:rsidRPr="00E2297F" w:rsidRDefault="004A16F1" w:rsidP="00C904B7">
            <w:pPr>
              <w:spacing w:after="0" w:line="240" w:lineRule="auto"/>
              <w:jc w:val="right"/>
              <w:rPr>
                <w:rFonts w:ascii="Arial" w:hAnsi="Arial" w:cs="Arial"/>
                <w:bCs/>
                <w:sz w:val="16"/>
                <w:szCs w:val="16"/>
              </w:rPr>
            </w:pPr>
          </w:p>
        </w:tc>
        <w:tc>
          <w:tcPr>
            <w:tcW w:w="545" w:type="pct"/>
            <w:tcBorders>
              <w:top w:val="nil"/>
              <w:left w:val="nil"/>
              <w:bottom w:val="nil"/>
              <w:right w:val="nil"/>
            </w:tcBorders>
            <w:shd w:val="clear" w:color="auto" w:fill="auto"/>
            <w:noWrap/>
            <w:vAlign w:val="bottom"/>
            <w:hideMark/>
          </w:tcPr>
          <w:p w14:paraId="526B8C1E" w14:textId="77777777" w:rsidR="004A16F1" w:rsidRPr="00E2297F" w:rsidRDefault="004A16F1" w:rsidP="00C904B7">
            <w:pPr>
              <w:spacing w:after="0" w:line="240" w:lineRule="auto"/>
              <w:jc w:val="right"/>
              <w:rPr>
                <w:rFonts w:ascii="Arial" w:hAnsi="Arial" w:cs="Arial"/>
                <w:bCs/>
                <w:sz w:val="16"/>
                <w:szCs w:val="16"/>
              </w:rPr>
            </w:pPr>
          </w:p>
        </w:tc>
        <w:tc>
          <w:tcPr>
            <w:tcW w:w="593" w:type="pct"/>
            <w:tcBorders>
              <w:top w:val="nil"/>
              <w:left w:val="nil"/>
              <w:bottom w:val="nil"/>
              <w:right w:val="nil"/>
            </w:tcBorders>
            <w:shd w:val="clear" w:color="auto" w:fill="E6E6E6"/>
            <w:noWrap/>
            <w:vAlign w:val="bottom"/>
            <w:hideMark/>
          </w:tcPr>
          <w:p w14:paraId="02EB4BD2" w14:textId="138EB8C0" w:rsidR="004A16F1" w:rsidRPr="00E2297F" w:rsidRDefault="004A16F1" w:rsidP="00C904B7">
            <w:pPr>
              <w:spacing w:after="0" w:line="240" w:lineRule="auto"/>
              <w:jc w:val="right"/>
              <w:rPr>
                <w:rFonts w:ascii="Arial" w:hAnsi="Arial" w:cs="Arial"/>
                <w:bCs/>
                <w:sz w:val="16"/>
                <w:szCs w:val="16"/>
              </w:rPr>
            </w:pPr>
          </w:p>
        </w:tc>
      </w:tr>
      <w:tr w:rsidR="004A16F1" w:rsidRPr="004A16F1" w14:paraId="130EACDE" w14:textId="77777777" w:rsidTr="00436AC0">
        <w:trPr>
          <w:trHeight w:val="204"/>
        </w:trPr>
        <w:tc>
          <w:tcPr>
            <w:tcW w:w="1451" w:type="pct"/>
            <w:tcBorders>
              <w:top w:val="nil"/>
              <w:left w:val="nil"/>
              <w:right w:val="nil"/>
            </w:tcBorders>
            <w:shd w:val="clear" w:color="auto" w:fill="auto"/>
            <w:noWrap/>
            <w:vAlign w:val="bottom"/>
            <w:hideMark/>
          </w:tcPr>
          <w:p w14:paraId="7D2AE497" w14:textId="77777777" w:rsidR="004A16F1" w:rsidRPr="00F7784A" w:rsidRDefault="004A16F1" w:rsidP="00E2297F">
            <w:pPr>
              <w:spacing w:after="0" w:line="240" w:lineRule="auto"/>
              <w:ind w:left="113"/>
              <w:rPr>
                <w:rFonts w:ascii="Arial" w:hAnsi="Arial" w:cs="Arial"/>
                <w:bCs/>
                <w:sz w:val="16"/>
                <w:szCs w:val="16"/>
              </w:rPr>
            </w:pPr>
            <w:r w:rsidRPr="00F7784A">
              <w:rPr>
                <w:rFonts w:ascii="Arial" w:hAnsi="Arial" w:cs="Arial"/>
                <w:bCs/>
                <w:sz w:val="16"/>
                <w:szCs w:val="16"/>
              </w:rPr>
              <w:t>Departmental payments</w:t>
            </w:r>
          </w:p>
        </w:tc>
        <w:tc>
          <w:tcPr>
            <w:tcW w:w="583" w:type="pct"/>
            <w:tcBorders>
              <w:top w:val="nil"/>
              <w:left w:val="nil"/>
              <w:right w:val="nil"/>
            </w:tcBorders>
            <w:shd w:val="clear" w:color="auto" w:fill="auto"/>
            <w:noWrap/>
            <w:vAlign w:val="bottom"/>
            <w:hideMark/>
          </w:tcPr>
          <w:p w14:paraId="719080BE" w14:textId="77777777" w:rsidR="004A16F1" w:rsidRPr="00E2297F" w:rsidRDefault="004A16F1" w:rsidP="004A16F1">
            <w:pPr>
              <w:spacing w:after="0" w:line="240" w:lineRule="auto"/>
              <w:jc w:val="center"/>
              <w:rPr>
                <w:rFonts w:ascii="Arial" w:hAnsi="Arial" w:cs="Arial"/>
                <w:bCs/>
                <w:sz w:val="16"/>
                <w:szCs w:val="16"/>
              </w:rPr>
            </w:pPr>
          </w:p>
        </w:tc>
        <w:tc>
          <w:tcPr>
            <w:tcW w:w="594" w:type="pct"/>
            <w:tcBorders>
              <w:top w:val="nil"/>
              <w:left w:val="nil"/>
              <w:right w:val="nil"/>
            </w:tcBorders>
            <w:shd w:val="clear" w:color="auto" w:fill="E6E6E6"/>
            <w:noWrap/>
            <w:vAlign w:val="bottom"/>
            <w:hideMark/>
          </w:tcPr>
          <w:p w14:paraId="4FA7FE05" w14:textId="65526202"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w:t>
            </w:r>
          </w:p>
        </w:tc>
        <w:tc>
          <w:tcPr>
            <w:tcW w:w="643" w:type="pct"/>
            <w:tcBorders>
              <w:top w:val="nil"/>
              <w:left w:val="nil"/>
              <w:right w:val="nil"/>
            </w:tcBorders>
            <w:shd w:val="clear" w:color="auto" w:fill="auto"/>
            <w:noWrap/>
            <w:vAlign w:val="bottom"/>
            <w:hideMark/>
          </w:tcPr>
          <w:p w14:paraId="7AC8EF89"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nfp</w:t>
            </w:r>
          </w:p>
        </w:tc>
        <w:tc>
          <w:tcPr>
            <w:tcW w:w="590" w:type="pct"/>
            <w:tcBorders>
              <w:top w:val="nil"/>
              <w:left w:val="nil"/>
              <w:right w:val="nil"/>
            </w:tcBorders>
            <w:shd w:val="clear" w:color="auto" w:fill="E6E6E6"/>
            <w:noWrap/>
            <w:vAlign w:val="bottom"/>
            <w:hideMark/>
          </w:tcPr>
          <w:p w14:paraId="099A664A"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nfp</w:t>
            </w:r>
          </w:p>
        </w:tc>
        <w:tc>
          <w:tcPr>
            <w:tcW w:w="545" w:type="pct"/>
            <w:tcBorders>
              <w:top w:val="nil"/>
              <w:left w:val="nil"/>
              <w:right w:val="nil"/>
            </w:tcBorders>
            <w:shd w:val="clear" w:color="auto" w:fill="auto"/>
            <w:noWrap/>
            <w:vAlign w:val="bottom"/>
            <w:hideMark/>
          </w:tcPr>
          <w:p w14:paraId="0352E0C1"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nfp</w:t>
            </w:r>
          </w:p>
        </w:tc>
        <w:tc>
          <w:tcPr>
            <w:tcW w:w="593" w:type="pct"/>
            <w:tcBorders>
              <w:top w:val="nil"/>
              <w:left w:val="nil"/>
              <w:right w:val="nil"/>
            </w:tcBorders>
            <w:shd w:val="clear" w:color="auto" w:fill="E6E6E6"/>
            <w:noWrap/>
            <w:vAlign w:val="bottom"/>
            <w:hideMark/>
          </w:tcPr>
          <w:p w14:paraId="1D85049D" w14:textId="77777777" w:rsidR="004A16F1" w:rsidRPr="00E2297F" w:rsidRDefault="004A16F1" w:rsidP="00C904B7">
            <w:pPr>
              <w:spacing w:after="0" w:line="240" w:lineRule="auto"/>
              <w:jc w:val="right"/>
              <w:rPr>
                <w:rFonts w:ascii="Arial" w:hAnsi="Arial" w:cs="Arial"/>
                <w:bCs/>
                <w:sz w:val="16"/>
                <w:szCs w:val="16"/>
              </w:rPr>
            </w:pPr>
            <w:r w:rsidRPr="00E2297F">
              <w:rPr>
                <w:rFonts w:ascii="Arial" w:hAnsi="Arial" w:cs="Arial"/>
                <w:bCs/>
                <w:sz w:val="16"/>
                <w:szCs w:val="16"/>
              </w:rPr>
              <w:t>nfp</w:t>
            </w:r>
          </w:p>
        </w:tc>
      </w:tr>
      <w:tr w:rsidR="004A16F1" w:rsidRPr="004A16F1" w14:paraId="48818405" w14:textId="77777777" w:rsidTr="00436AC0">
        <w:trPr>
          <w:trHeight w:val="204"/>
        </w:trPr>
        <w:tc>
          <w:tcPr>
            <w:tcW w:w="1451" w:type="pct"/>
            <w:tcBorders>
              <w:top w:val="nil"/>
              <w:left w:val="nil"/>
              <w:bottom w:val="single" w:sz="4" w:space="0" w:color="auto"/>
              <w:right w:val="nil"/>
            </w:tcBorders>
            <w:shd w:val="clear" w:color="auto" w:fill="auto"/>
            <w:noWrap/>
            <w:vAlign w:val="bottom"/>
            <w:hideMark/>
          </w:tcPr>
          <w:p w14:paraId="350A831C" w14:textId="77777777" w:rsidR="004A16F1" w:rsidRPr="004A16F1" w:rsidRDefault="004A16F1" w:rsidP="004A16F1">
            <w:pPr>
              <w:spacing w:after="0" w:line="240" w:lineRule="auto"/>
              <w:rPr>
                <w:rFonts w:ascii="Arial" w:hAnsi="Arial" w:cs="Arial"/>
                <w:b/>
                <w:bCs/>
                <w:sz w:val="16"/>
                <w:szCs w:val="16"/>
              </w:rPr>
            </w:pPr>
            <w:r w:rsidRPr="004A16F1">
              <w:rPr>
                <w:rFonts w:ascii="Arial" w:hAnsi="Arial" w:cs="Arial"/>
                <w:b/>
                <w:bCs/>
                <w:sz w:val="16"/>
                <w:szCs w:val="16"/>
              </w:rPr>
              <w:t>Total</w:t>
            </w:r>
          </w:p>
        </w:tc>
        <w:tc>
          <w:tcPr>
            <w:tcW w:w="583" w:type="pct"/>
            <w:tcBorders>
              <w:top w:val="nil"/>
              <w:left w:val="nil"/>
              <w:bottom w:val="single" w:sz="4" w:space="0" w:color="auto"/>
              <w:right w:val="nil"/>
            </w:tcBorders>
            <w:shd w:val="clear" w:color="auto" w:fill="auto"/>
            <w:noWrap/>
            <w:vAlign w:val="bottom"/>
            <w:hideMark/>
          </w:tcPr>
          <w:p w14:paraId="6F54A76E" w14:textId="77777777" w:rsidR="004A16F1" w:rsidRPr="004A16F1" w:rsidRDefault="004A16F1" w:rsidP="004A16F1">
            <w:pPr>
              <w:spacing w:after="0" w:line="240" w:lineRule="auto"/>
              <w:jc w:val="center"/>
              <w:rPr>
                <w:rFonts w:ascii="Arial" w:hAnsi="Arial" w:cs="Arial"/>
                <w:b/>
                <w:bCs/>
                <w:sz w:val="16"/>
                <w:szCs w:val="16"/>
              </w:rPr>
            </w:pPr>
          </w:p>
        </w:tc>
        <w:tc>
          <w:tcPr>
            <w:tcW w:w="594" w:type="pct"/>
            <w:tcBorders>
              <w:top w:val="nil"/>
              <w:left w:val="nil"/>
              <w:bottom w:val="single" w:sz="4" w:space="0" w:color="auto"/>
              <w:right w:val="nil"/>
            </w:tcBorders>
            <w:shd w:val="clear" w:color="auto" w:fill="E6E6E6"/>
            <w:noWrap/>
            <w:vAlign w:val="bottom"/>
            <w:hideMark/>
          </w:tcPr>
          <w:p w14:paraId="1DA81422" w14:textId="2486D2C6"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643" w:type="pct"/>
            <w:tcBorders>
              <w:top w:val="nil"/>
              <w:left w:val="nil"/>
              <w:bottom w:val="single" w:sz="4" w:space="0" w:color="auto"/>
              <w:right w:val="nil"/>
            </w:tcBorders>
            <w:shd w:val="clear" w:color="auto" w:fill="auto"/>
            <w:noWrap/>
            <w:vAlign w:val="bottom"/>
            <w:hideMark/>
          </w:tcPr>
          <w:p w14:paraId="541928DA"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nfp</w:t>
            </w:r>
          </w:p>
        </w:tc>
        <w:tc>
          <w:tcPr>
            <w:tcW w:w="590" w:type="pct"/>
            <w:tcBorders>
              <w:top w:val="nil"/>
              <w:left w:val="nil"/>
              <w:bottom w:val="single" w:sz="4" w:space="0" w:color="auto"/>
              <w:right w:val="nil"/>
            </w:tcBorders>
            <w:shd w:val="clear" w:color="auto" w:fill="E6E6E6"/>
            <w:noWrap/>
            <w:vAlign w:val="bottom"/>
            <w:hideMark/>
          </w:tcPr>
          <w:p w14:paraId="64411E7E"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nfp</w:t>
            </w:r>
          </w:p>
        </w:tc>
        <w:tc>
          <w:tcPr>
            <w:tcW w:w="545" w:type="pct"/>
            <w:tcBorders>
              <w:top w:val="nil"/>
              <w:left w:val="nil"/>
              <w:bottom w:val="single" w:sz="4" w:space="0" w:color="auto"/>
              <w:right w:val="nil"/>
            </w:tcBorders>
            <w:shd w:val="clear" w:color="auto" w:fill="auto"/>
            <w:noWrap/>
            <w:vAlign w:val="bottom"/>
            <w:hideMark/>
          </w:tcPr>
          <w:p w14:paraId="313BA5CF"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nfp</w:t>
            </w:r>
          </w:p>
        </w:tc>
        <w:tc>
          <w:tcPr>
            <w:tcW w:w="593" w:type="pct"/>
            <w:tcBorders>
              <w:top w:val="nil"/>
              <w:left w:val="nil"/>
              <w:bottom w:val="single" w:sz="4" w:space="0" w:color="auto"/>
              <w:right w:val="nil"/>
            </w:tcBorders>
            <w:shd w:val="clear" w:color="auto" w:fill="E6E6E6"/>
            <w:noWrap/>
            <w:vAlign w:val="bottom"/>
            <w:hideMark/>
          </w:tcPr>
          <w:p w14:paraId="5854CE77" w14:textId="77777777" w:rsidR="004A16F1" w:rsidRPr="004A16F1" w:rsidRDefault="004A16F1" w:rsidP="00C904B7">
            <w:pPr>
              <w:spacing w:after="0" w:line="240" w:lineRule="auto"/>
              <w:jc w:val="right"/>
              <w:rPr>
                <w:rFonts w:ascii="Arial" w:hAnsi="Arial" w:cs="Arial"/>
                <w:b/>
                <w:bCs/>
                <w:sz w:val="16"/>
                <w:szCs w:val="16"/>
              </w:rPr>
            </w:pPr>
            <w:r w:rsidRPr="004A16F1">
              <w:rPr>
                <w:rFonts w:ascii="Arial" w:hAnsi="Arial" w:cs="Arial"/>
                <w:b/>
                <w:bCs/>
                <w:sz w:val="16"/>
                <w:szCs w:val="16"/>
              </w:rPr>
              <w:t>nfp</w:t>
            </w:r>
          </w:p>
        </w:tc>
      </w:tr>
    </w:tbl>
    <w:p w14:paraId="7C49FD4B" w14:textId="77777777" w:rsidR="004A16F1" w:rsidRPr="009A40DD" w:rsidRDefault="004A16F1" w:rsidP="004A16F1">
      <w:pPr>
        <w:pStyle w:val="TableHeading"/>
      </w:pPr>
      <w:r w:rsidRPr="009A40DD">
        <w:lastRenderedPageBreak/>
        <w:t xml:space="preserve">Table 1.2: </w:t>
      </w:r>
      <w:r>
        <w:t>Department of Infrastructure, Transport, Regional Development, Communications and the Arts</w:t>
      </w:r>
      <w:r w:rsidRPr="009A40DD">
        <w:t xml:space="preserve"> </w:t>
      </w:r>
      <w:r>
        <w:t xml:space="preserve">October </w:t>
      </w:r>
      <w:r w:rsidRPr="009A40DD">
        <w:t xml:space="preserve">Budget </w:t>
      </w:r>
      <w:r>
        <w:t xml:space="preserve">2022-23 </w:t>
      </w:r>
      <w:r w:rsidRPr="009A40DD">
        <w:t>measures</w:t>
      </w:r>
    </w:p>
    <w:p w14:paraId="3D872B35" w14:textId="402FE295" w:rsidR="004A16F1" w:rsidRDefault="004A16F1" w:rsidP="004A16F1">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March Budget 2022-23 (continued)</w:t>
      </w:r>
    </w:p>
    <w:tbl>
      <w:tblPr>
        <w:tblW w:w="7798" w:type="dxa"/>
        <w:tblLook w:val="04A0" w:firstRow="1" w:lastRow="0" w:firstColumn="1" w:lastColumn="0" w:noHBand="0" w:noVBand="1"/>
      </w:tblPr>
      <w:tblGrid>
        <w:gridCol w:w="2127"/>
        <w:gridCol w:w="907"/>
        <w:gridCol w:w="859"/>
        <w:gridCol w:w="1014"/>
        <w:gridCol w:w="1014"/>
        <w:gridCol w:w="1014"/>
        <w:gridCol w:w="863"/>
      </w:tblGrid>
      <w:tr w:rsidR="004A16F1" w:rsidRPr="004A16F1" w14:paraId="6787D258" w14:textId="77777777" w:rsidTr="00436AC0">
        <w:trPr>
          <w:trHeight w:val="204"/>
        </w:trPr>
        <w:tc>
          <w:tcPr>
            <w:tcW w:w="2127" w:type="dxa"/>
            <w:tcBorders>
              <w:top w:val="single" w:sz="4" w:space="0" w:color="auto"/>
              <w:left w:val="nil"/>
              <w:bottom w:val="nil"/>
              <w:right w:val="nil"/>
            </w:tcBorders>
            <w:shd w:val="clear" w:color="auto" w:fill="auto"/>
            <w:noWrap/>
            <w:vAlign w:val="bottom"/>
            <w:hideMark/>
          </w:tcPr>
          <w:p w14:paraId="672B42A1" w14:textId="77777777" w:rsidR="004A16F1" w:rsidRPr="004A16F1" w:rsidRDefault="004A16F1" w:rsidP="004A16F1">
            <w:pPr>
              <w:spacing w:after="0" w:line="240" w:lineRule="auto"/>
            </w:pPr>
            <w:r w:rsidRPr="004A16F1">
              <w:t> </w:t>
            </w:r>
          </w:p>
        </w:tc>
        <w:tc>
          <w:tcPr>
            <w:tcW w:w="907" w:type="dxa"/>
            <w:tcBorders>
              <w:top w:val="single" w:sz="4" w:space="0" w:color="auto"/>
              <w:left w:val="nil"/>
              <w:bottom w:val="single" w:sz="4" w:space="0" w:color="auto"/>
              <w:right w:val="nil"/>
            </w:tcBorders>
            <w:shd w:val="clear" w:color="auto" w:fill="auto"/>
            <w:noWrap/>
            <w:vAlign w:val="bottom"/>
            <w:hideMark/>
          </w:tcPr>
          <w:p w14:paraId="01A804BE" w14:textId="77777777" w:rsidR="004A16F1" w:rsidRPr="004A16F1" w:rsidRDefault="004A16F1" w:rsidP="004A16F1">
            <w:pPr>
              <w:spacing w:after="0" w:line="240" w:lineRule="auto"/>
              <w:jc w:val="center"/>
              <w:rPr>
                <w:rFonts w:ascii="Arial" w:hAnsi="Arial" w:cs="Arial"/>
                <w:b/>
                <w:bCs/>
                <w:sz w:val="16"/>
                <w:szCs w:val="16"/>
              </w:rPr>
            </w:pPr>
            <w:r w:rsidRPr="004A16F1">
              <w:rPr>
                <w:rFonts w:ascii="Arial" w:hAnsi="Arial" w:cs="Arial"/>
                <w:b/>
                <w:bCs/>
                <w:sz w:val="16"/>
                <w:szCs w:val="16"/>
              </w:rPr>
              <w:t>Program</w:t>
            </w:r>
          </w:p>
        </w:tc>
        <w:tc>
          <w:tcPr>
            <w:tcW w:w="859" w:type="dxa"/>
            <w:tcBorders>
              <w:top w:val="single" w:sz="4" w:space="0" w:color="auto"/>
              <w:left w:val="nil"/>
              <w:bottom w:val="single" w:sz="4" w:space="0" w:color="auto"/>
              <w:right w:val="nil"/>
            </w:tcBorders>
            <w:shd w:val="clear" w:color="auto" w:fill="E6E6E6"/>
            <w:noWrap/>
            <w:vAlign w:val="bottom"/>
            <w:hideMark/>
          </w:tcPr>
          <w:p w14:paraId="25CA8FDE" w14:textId="77777777"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2021-22</w:t>
            </w:r>
            <w:r w:rsidRPr="004A16F1">
              <w:rPr>
                <w:rFonts w:ascii="Arial" w:hAnsi="Arial" w:cs="Arial"/>
                <w:b/>
                <w:bCs/>
                <w:sz w:val="16"/>
                <w:szCs w:val="16"/>
              </w:rPr>
              <w:br/>
              <w:t>$'000</w:t>
            </w:r>
          </w:p>
        </w:tc>
        <w:tc>
          <w:tcPr>
            <w:tcW w:w="1014" w:type="dxa"/>
            <w:tcBorders>
              <w:top w:val="single" w:sz="4" w:space="0" w:color="auto"/>
              <w:left w:val="nil"/>
              <w:bottom w:val="single" w:sz="4" w:space="0" w:color="auto"/>
              <w:right w:val="nil"/>
            </w:tcBorders>
            <w:shd w:val="clear" w:color="auto" w:fill="auto"/>
            <w:noWrap/>
            <w:vAlign w:val="bottom"/>
            <w:hideMark/>
          </w:tcPr>
          <w:p w14:paraId="66FDFCE2"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2022-23</w:t>
            </w:r>
            <w:r w:rsidRPr="004A16F1">
              <w:rPr>
                <w:rFonts w:ascii="Arial" w:hAnsi="Arial" w:cs="Arial"/>
                <w:b/>
                <w:bCs/>
                <w:sz w:val="16"/>
                <w:szCs w:val="16"/>
              </w:rPr>
              <w:br/>
              <w:t>$'000</w:t>
            </w:r>
          </w:p>
        </w:tc>
        <w:tc>
          <w:tcPr>
            <w:tcW w:w="1014" w:type="dxa"/>
            <w:tcBorders>
              <w:top w:val="single" w:sz="4" w:space="0" w:color="auto"/>
              <w:left w:val="nil"/>
              <w:bottom w:val="single" w:sz="4" w:space="0" w:color="auto"/>
              <w:right w:val="nil"/>
            </w:tcBorders>
            <w:shd w:val="clear" w:color="auto" w:fill="E6E6E6"/>
            <w:noWrap/>
            <w:vAlign w:val="bottom"/>
            <w:hideMark/>
          </w:tcPr>
          <w:p w14:paraId="38DB4926"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2023-24</w:t>
            </w:r>
            <w:r w:rsidRPr="004A16F1">
              <w:rPr>
                <w:rFonts w:ascii="Arial" w:hAnsi="Arial" w:cs="Arial"/>
                <w:b/>
                <w:bCs/>
                <w:sz w:val="16"/>
                <w:szCs w:val="16"/>
              </w:rPr>
              <w:br/>
              <w:t>$'000</w:t>
            </w:r>
          </w:p>
        </w:tc>
        <w:tc>
          <w:tcPr>
            <w:tcW w:w="1014" w:type="dxa"/>
            <w:tcBorders>
              <w:top w:val="single" w:sz="4" w:space="0" w:color="auto"/>
              <w:left w:val="nil"/>
              <w:bottom w:val="single" w:sz="4" w:space="0" w:color="auto"/>
              <w:right w:val="nil"/>
            </w:tcBorders>
            <w:shd w:val="clear" w:color="auto" w:fill="auto"/>
            <w:noWrap/>
            <w:vAlign w:val="bottom"/>
            <w:hideMark/>
          </w:tcPr>
          <w:p w14:paraId="4F920D45"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2024-25</w:t>
            </w:r>
            <w:r w:rsidRPr="004A16F1">
              <w:rPr>
                <w:rFonts w:ascii="Arial" w:hAnsi="Arial" w:cs="Arial"/>
                <w:b/>
                <w:bCs/>
                <w:sz w:val="16"/>
                <w:szCs w:val="16"/>
              </w:rPr>
              <w:br/>
              <w:t>$'000</w:t>
            </w:r>
          </w:p>
        </w:tc>
        <w:tc>
          <w:tcPr>
            <w:tcW w:w="863" w:type="dxa"/>
            <w:tcBorders>
              <w:top w:val="single" w:sz="4" w:space="0" w:color="auto"/>
              <w:left w:val="nil"/>
              <w:bottom w:val="single" w:sz="4" w:space="0" w:color="auto"/>
              <w:right w:val="nil"/>
            </w:tcBorders>
            <w:shd w:val="clear" w:color="auto" w:fill="E6E6E6"/>
            <w:noWrap/>
            <w:vAlign w:val="bottom"/>
            <w:hideMark/>
          </w:tcPr>
          <w:p w14:paraId="3114016F"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2025-26</w:t>
            </w:r>
            <w:r w:rsidRPr="004A16F1">
              <w:rPr>
                <w:rFonts w:ascii="Arial" w:hAnsi="Arial" w:cs="Arial"/>
                <w:b/>
                <w:bCs/>
                <w:sz w:val="16"/>
                <w:szCs w:val="16"/>
              </w:rPr>
              <w:br/>
              <w:t>$'000</w:t>
            </w:r>
          </w:p>
        </w:tc>
      </w:tr>
      <w:tr w:rsidR="004A16F1" w:rsidRPr="00F7784A" w14:paraId="55C29618" w14:textId="77777777" w:rsidTr="00436AC0">
        <w:trPr>
          <w:trHeight w:val="204"/>
        </w:trPr>
        <w:tc>
          <w:tcPr>
            <w:tcW w:w="2127" w:type="dxa"/>
            <w:tcBorders>
              <w:top w:val="nil"/>
              <w:left w:val="nil"/>
              <w:bottom w:val="nil"/>
              <w:right w:val="nil"/>
            </w:tcBorders>
            <w:shd w:val="clear" w:color="auto" w:fill="auto"/>
            <w:noWrap/>
            <w:vAlign w:val="bottom"/>
            <w:hideMark/>
          </w:tcPr>
          <w:p w14:paraId="2BB29706" w14:textId="6F8F6444"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 xml:space="preserve">Powering Australia – Driving the Nation Fund – establishment </w:t>
            </w:r>
          </w:p>
        </w:tc>
        <w:tc>
          <w:tcPr>
            <w:tcW w:w="907" w:type="dxa"/>
            <w:tcBorders>
              <w:top w:val="single" w:sz="4" w:space="0" w:color="auto"/>
              <w:left w:val="nil"/>
              <w:bottom w:val="nil"/>
              <w:right w:val="nil"/>
            </w:tcBorders>
            <w:shd w:val="clear" w:color="auto" w:fill="auto"/>
            <w:noWrap/>
            <w:vAlign w:val="bottom"/>
            <w:hideMark/>
          </w:tcPr>
          <w:p w14:paraId="7D588789"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2.1, 2.4</w:t>
            </w:r>
          </w:p>
        </w:tc>
        <w:tc>
          <w:tcPr>
            <w:tcW w:w="859" w:type="dxa"/>
            <w:tcBorders>
              <w:top w:val="single" w:sz="4" w:space="0" w:color="auto"/>
              <w:left w:val="nil"/>
              <w:bottom w:val="nil"/>
              <w:right w:val="nil"/>
            </w:tcBorders>
            <w:shd w:val="clear" w:color="auto" w:fill="E6E6E6"/>
            <w:noWrap/>
            <w:vAlign w:val="bottom"/>
            <w:hideMark/>
          </w:tcPr>
          <w:p w14:paraId="4854821D" w14:textId="497FE00E" w:rsidR="004A16F1" w:rsidRPr="00F7784A" w:rsidRDefault="004A16F1" w:rsidP="00E2297F">
            <w:pPr>
              <w:spacing w:after="0" w:line="240" w:lineRule="auto"/>
              <w:jc w:val="right"/>
              <w:rPr>
                <w:rFonts w:ascii="Arial" w:hAnsi="Arial" w:cs="Arial"/>
                <w:bCs/>
                <w:sz w:val="16"/>
                <w:szCs w:val="16"/>
              </w:rPr>
            </w:pPr>
          </w:p>
        </w:tc>
        <w:tc>
          <w:tcPr>
            <w:tcW w:w="1014" w:type="dxa"/>
            <w:tcBorders>
              <w:top w:val="single" w:sz="4" w:space="0" w:color="auto"/>
              <w:left w:val="nil"/>
              <w:bottom w:val="nil"/>
              <w:right w:val="nil"/>
            </w:tcBorders>
            <w:shd w:val="clear" w:color="auto" w:fill="auto"/>
            <w:noWrap/>
            <w:vAlign w:val="bottom"/>
            <w:hideMark/>
          </w:tcPr>
          <w:p w14:paraId="6D106960" w14:textId="77777777" w:rsidR="004A16F1" w:rsidRPr="00F7784A" w:rsidRDefault="004A16F1" w:rsidP="004A16F1">
            <w:pPr>
              <w:spacing w:after="0" w:line="240" w:lineRule="auto"/>
              <w:jc w:val="right"/>
              <w:rPr>
                <w:rFonts w:ascii="Arial" w:hAnsi="Arial" w:cs="Arial"/>
                <w:bCs/>
                <w:sz w:val="16"/>
                <w:szCs w:val="16"/>
              </w:rPr>
            </w:pPr>
          </w:p>
        </w:tc>
        <w:tc>
          <w:tcPr>
            <w:tcW w:w="1014" w:type="dxa"/>
            <w:tcBorders>
              <w:top w:val="single" w:sz="4" w:space="0" w:color="auto"/>
              <w:left w:val="nil"/>
              <w:bottom w:val="nil"/>
              <w:right w:val="nil"/>
            </w:tcBorders>
            <w:shd w:val="clear" w:color="auto" w:fill="E6E6E6"/>
            <w:noWrap/>
            <w:vAlign w:val="bottom"/>
            <w:hideMark/>
          </w:tcPr>
          <w:p w14:paraId="29A775B9" w14:textId="49C3643C" w:rsidR="004A16F1" w:rsidRPr="00F7784A" w:rsidRDefault="004A16F1" w:rsidP="004A16F1">
            <w:pPr>
              <w:spacing w:after="0" w:line="240" w:lineRule="auto"/>
              <w:jc w:val="right"/>
              <w:rPr>
                <w:rFonts w:ascii="Arial" w:hAnsi="Arial" w:cs="Arial"/>
                <w:bCs/>
                <w:sz w:val="16"/>
                <w:szCs w:val="16"/>
              </w:rPr>
            </w:pPr>
          </w:p>
        </w:tc>
        <w:tc>
          <w:tcPr>
            <w:tcW w:w="1014" w:type="dxa"/>
            <w:tcBorders>
              <w:top w:val="single" w:sz="4" w:space="0" w:color="auto"/>
              <w:left w:val="nil"/>
              <w:bottom w:val="nil"/>
              <w:right w:val="nil"/>
            </w:tcBorders>
            <w:shd w:val="clear" w:color="auto" w:fill="auto"/>
            <w:noWrap/>
            <w:vAlign w:val="bottom"/>
            <w:hideMark/>
          </w:tcPr>
          <w:p w14:paraId="185BF8C6" w14:textId="77777777" w:rsidR="004A16F1" w:rsidRPr="00F7784A" w:rsidRDefault="004A16F1" w:rsidP="004A16F1">
            <w:pPr>
              <w:spacing w:after="0" w:line="240" w:lineRule="auto"/>
              <w:jc w:val="right"/>
              <w:rPr>
                <w:rFonts w:ascii="Arial" w:hAnsi="Arial" w:cs="Arial"/>
                <w:bCs/>
                <w:sz w:val="16"/>
                <w:szCs w:val="16"/>
              </w:rPr>
            </w:pPr>
          </w:p>
        </w:tc>
        <w:tc>
          <w:tcPr>
            <w:tcW w:w="863" w:type="dxa"/>
            <w:tcBorders>
              <w:top w:val="single" w:sz="4" w:space="0" w:color="auto"/>
              <w:left w:val="nil"/>
              <w:bottom w:val="nil"/>
              <w:right w:val="nil"/>
            </w:tcBorders>
            <w:shd w:val="clear" w:color="auto" w:fill="E6E6E6"/>
            <w:noWrap/>
            <w:vAlign w:val="bottom"/>
            <w:hideMark/>
          </w:tcPr>
          <w:p w14:paraId="1B63911C" w14:textId="67E921E5" w:rsidR="004A16F1" w:rsidRPr="00F7784A" w:rsidRDefault="004A16F1" w:rsidP="004A16F1">
            <w:pPr>
              <w:spacing w:after="0" w:line="240" w:lineRule="auto"/>
              <w:jc w:val="right"/>
              <w:rPr>
                <w:rFonts w:ascii="Arial" w:hAnsi="Arial" w:cs="Arial"/>
                <w:bCs/>
                <w:sz w:val="16"/>
                <w:szCs w:val="16"/>
              </w:rPr>
            </w:pPr>
          </w:p>
        </w:tc>
      </w:tr>
      <w:tr w:rsidR="00C25D74" w:rsidRPr="00F7784A" w14:paraId="08F00090" w14:textId="77777777" w:rsidTr="00436AC0">
        <w:trPr>
          <w:trHeight w:val="204"/>
        </w:trPr>
        <w:tc>
          <w:tcPr>
            <w:tcW w:w="2127" w:type="dxa"/>
            <w:tcBorders>
              <w:top w:val="nil"/>
              <w:left w:val="nil"/>
              <w:bottom w:val="nil"/>
              <w:right w:val="nil"/>
            </w:tcBorders>
            <w:shd w:val="clear" w:color="auto" w:fill="auto"/>
            <w:noWrap/>
            <w:vAlign w:val="bottom"/>
            <w:hideMark/>
          </w:tcPr>
          <w:p w14:paraId="7D20BAEC" w14:textId="77777777" w:rsidR="00C25D74" w:rsidRPr="00F7784A" w:rsidRDefault="00C25D74" w:rsidP="00B14412">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bottom w:val="nil"/>
              <w:right w:val="nil"/>
            </w:tcBorders>
            <w:shd w:val="clear" w:color="auto" w:fill="auto"/>
            <w:noWrap/>
            <w:vAlign w:val="bottom"/>
            <w:hideMark/>
          </w:tcPr>
          <w:p w14:paraId="6BAFE691" w14:textId="77777777" w:rsidR="00C25D74" w:rsidRPr="00E2297F" w:rsidRDefault="00C25D74" w:rsidP="00B14412">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562D4C2D" w14:textId="77777777" w:rsidR="00C25D74" w:rsidRPr="00F7784A" w:rsidRDefault="00C25D74" w:rsidP="00B14412">
            <w:pPr>
              <w:spacing w:after="0" w:line="240" w:lineRule="auto"/>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22D02BCC" w14:textId="77777777" w:rsidR="00C25D74" w:rsidRPr="00F7784A" w:rsidRDefault="00C25D74" w:rsidP="00B14412">
            <w:pPr>
              <w:spacing w:after="0" w:line="240" w:lineRule="auto"/>
              <w:jc w:val="right"/>
              <w:rPr>
                <w:rFonts w:ascii="Arial" w:hAnsi="Arial" w:cs="Arial"/>
                <w:bCs/>
                <w:sz w:val="16"/>
                <w:szCs w:val="16"/>
              </w:rPr>
            </w:pPr>
            <w:r w:rsidRPr="00F7784A">
              <w:rPr>
                <w:rFonts w:ascii="Arial" w:hAnsi="Arial" w:cs="Arial"/>
                <w:bCs/>
                <w:sz w:val="16"/>
                <w:szCs w:val="16"/>
              </w:rPr>
              <w:t>500</w:t>
            </w:r>
          </w:p>
        </w:tc>
        <w:tc>
          <w:tcPr>
            <w:tcW w:w="1014" w:type="dxa"/>
            <w:tcBorders>
              <w:top w:val="nil"/>
              <w:left w:val="nil"/>
              <w:bottom w:val="nil"/>
              <w:right w:val="nil"/>
            </w:tcBorders>
            <w:shd w:val="clear" w:color="auto" w:fill="E6E6E6"/>
            <w:noWrap/>
            <w:vAlign w:val="bottom"/>
            <w:hideMark/>
          </w:tcPr>
          <w:p w14:paraId="272CF598" w14:textId="77777777" w:rsidR="00C25D74" w:rsidRPr="00F7784A" w:rsidRDefault="00C25D74" w:rsidP="00B14412">
            <w:pPr>
              <w:spacing w:after="0" w:line="240" w:lineRule="auto"/>
              <w:jc w:val="right"/>
              <w:rPr>
                <w:rFonts w:ascii="Arial" w:hAnsi="Arial" w:cs="Arial"/>
                <w:bCs/>
                <w:sz w:val="16"/>
                <w:szCs w:val="16"/>
              </w:rPr>
            </w:pPr>
            <w:r w:rsidRPr="00F7784A">
              <w:rPr>
                <w:rFonts w:ascii="Arial" w:hAnsi="Arial" w:cs="Arial"/>
                <w:bCs/>
                <w:sz w:val="16"/>
                <w:szCs w:val="16"/>
              </w:rPr>
              <w:t>500</w:t>
            </w:r>
          </w:p>
        </w:tc>
        <w:tc>
          <w:tcPr>
            <w:tcW w:w="1014" w:type="dxa"/>
            <w:tcBorders>
              <w:top w:val="nil"/>
              <w:left w:val="nil"/>
              <w:bottom w:val="nil"/>
              <w:right w:val="nil"/>
            </w:tcBorders>
            <w:shd w:val="clear" w:color="auto" w:fill="auto"/>
            <w:noWrap/>
            <w:vAlign w:val="bottom"/>
            <w:hideMark/>
          </w:tcPr>
          <w:p w14:paraId="02D6A2D0" w14:textId="77777777" w:rsidR="00C25D74" w:rsidRPr="00F7784A" w:rsidRDefault="00C25D74" w:rsidP="00B14412">
            <w:pPr>
              <w:spacing w:after="0" w:line="240" w:lineRule="auto"/>
              <w:jc w:val="right"/>
              <w:rPr>
                <w:rFonts w:ascii="Arial" w:hAnsi="Arial" w:cs="Arial"/>
                <w:bCs/>
                <w:sz w:val="16"/>
                <w:szCs w:val="16"/>
              </w:rPr>
            </w:pPr>
            <w:r w:rsidRPr="00F7784A">
              <w:rPr>
                <w:rFonts w:ascii="Arial" w:hAnsi="Arial" w:cs="Arial"/>
                <w:bCs/>
                <w:sz w:val="16"/>
                <w:szCs w:val="16"/>
              </w:rPr>
              <w:t>3,500</w:t>
            </w:r>
          </w:p>
        </w:tc>
        <w:tc>
          <w:tcPr>
            <w:tcW w:w="863" w:type="dxa"/>
            <w:tcBorders>
              <w:top w:val="nil"/>
              <w:left w:val="nil"/>
              <w:bottom w:val="nil"/>
              <w:right w:val="nil"/>
            </w:tcBorders>
            <w:shd w:val="clear" w:color="auto" w:fill="E6E6E6"/>
            <w:noWrap/>
            <w:vAlign w:val="bottom"/>
            <w:hideMark/>
          </w:tcPr>
          <w:p w14:paraId="7F30A9D3" w14:textId="77777777" w:rsidR="00C25D74" w:rsidRPr="00F7784A" w:rsidRDefault="00C25D74" w:rsidP="00B14412">
            <w:pPr>
              <w:spacing w:after="0" w:line="240" w:lineRule="auto"/>
              <w:jc w:val="right"/>
              <w:rPr>
                <w:rFonts w:ascii="Arial" w:hAnsi="Arial" w:cs="Arial"/>
                <w:bCs/>
                <w:sz w:val="16"/>
                <w:szCs w:val="16"/>
              </w:rPr>
            </w:pPr>
            <w:r w:rsidRPr="00F7784A">
              <w:rPr>
                <w:rFonts w:ascii="Arial" w:hAnsi="Arial" w:cs="Arial"/>
                <w:bCs/>
                <w:sz w:val="16"/>
                <w:szCs w:val="16"/>
              </w:rPr>
              <w:t>3,500</w:t>
            </w:r>
          </w:p>
        </w:tc>
      </w:tr>
      <w:tr w:rsidR="004A16F1" w:rsidRPr="00F7784A" w14:paraId="7F8F3964" w14:textId="77777777" w:rsidTr="00436AC0">
        <w:trPr>
          <w:trHeight w:val="204"/>
        </w:trPr>
        <w:tc>
          <w:tcPr>
            <w:tcW w:w="2127" w:type="dxa"/>
            <w:tcBorders>
              <w:top w:val="nil"/>
              <w:left w:val="nil"/>
              <w:bottom w:val="nil"/>
              <w:right w:val="nil"/>
            </w:tcBorders>
            <w:shd w:val="clear" w:color="auto" w:fill="auto"/>
            <w:noWrap/>
            <w:vAlign w:val="bottom"/>
            <w:hideMark/>
          </w:tcPr>
          <w:p w14:paraId="2504F608"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Departmental payments</w:t>
            </w:r>
          </w:p>
        </w:tc>
        <w:tc>
          <w:tcPr>
            <w:tcW w:w="907" w:type="dxa"/>
            <w:tcBorders>
              <w:top w:val="nil"/>
              <w:left w:val="nil"/>
              <w:bottom w:val="nil"/>
              <w:right w:val="nil"/>
            </w:tcBorders>
            <w:shd w:val="clear" w:color="auto" w:fill="auto"/>
            <w:noWrap/>
            <w:vAlign w:val="bottom"/>
            <w:hideMark/>
          </w:tcPr>
          <w:p w14:paraId="4A5F462E"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4414322B" w14:textId="75C62EB2" w:rsidR="004A16F1" w:rsidRPr="00F7784A" w:rsidRDefault="004A16F1" w:rsidP="00E2297F">
            <w:pPr>
              <w:spacing w:after="0" w:line="240" w:lineRule="auto"/>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55D58532" w14:textId="77777777"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(300)</w:t>
            </w:r>
          </w:p>
        </w:tc>
        <w:tc>
          <w:tcPr>
            <w:tcW w:w="1014" w:type="dxa"/>
            <w:tcBorders>
              <w:top w:val="nil"/>
              <w:left w:val="nil"/>
              <w:bottom w:val="nil"/>
              <w:right w:val="nil"/>
            </w:tcBorders>
            <w:shd w:val="clear" w:color="auto" w:fill="E6E6E6"/>
            <w:noWrap/>
            <w:vAlign w:val="bottom"/>
            <w:hideMark/>
          </w:tcPr>
          <w:p w14:paraId="7B63A661" w14:textId="77777777"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(200)</w:t>
            </w:r>
          </w:p>
        </w:tc>
        <w:tc>
          <w:tcPr>
            <w:tcW w:w="1014" w:type="dxa"/>
            <w:tcBorders>
              <w:top w:val="nil"/>
              <w:left w:val="nil"/>
              <w:bottom w:val="nil"/>
              <w:right w:val="nil"/>
            </w:tcBorders>
            <w:shd w:val="clear" w:color="auto" w:fill="auto"/>
            <w:noWrap/>
            <w:vAlign w:val="bottom"/>
            <w:hideMark/>
          </w:tcPr>
          <w:p w14:paraId="38F2C190" w14:textId="4EFA6111"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w:t>
            </w:r>
          </w:p>
        </w:tc>
        <w:tc>
          <w:tcPr>
            <w:tcW w:w="863" w:type="dxa"/>
            <w:tcBorders>
              <w:top w:val="nil"/>
              <w:left w:val="nil"/>
              <w:bottom w:val="nil"/>
              <w:right w:val="nil"/>
            </w:tcBorders>
            <w:shd w:val="clear" w:color="auto" w:fill="E6E6E6"/>
            <w:noWrap/>
            <w:vAlign w:val="bottom"/>
            <w:hideMark/>
          </w:tcPr>
          <w:p w14:paraId="53F8818F" w14:textId="766AB37F"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w:t>
            </w:r>
          </w:p>
        </w:tc>
      </w:tr>
      <w:tr w:rsidR="004A16F1" w:rsidRPr="004A16F1" w14:paraId="18DDE8C9" w14:textId="77777777" w:rsidTr="00436AC0">
        <w:trPr>
          <w:trHeight w:val="204"/>
        </w:trPr>
        <w:tc>
          <w:tcPr>
            <w:tcW w:w="2127" w:type="dxa"/>
            <w:tcBorders>
              <w:top w:val="nil"/>
              <w:left w:val="nil"/>
              <w:bottom w:val="nil"/>
              <w:right w:val="nil"/>
            </w:tcBorders>
            <w:shd w:val="clear" w:color="auto" w:fill="auto"/>
            <w:noWrap/>
            <w:vAlign w:val="bottom"/>
            <w:hideMark/>
          </w:tcPr>
          <w:p w14:paraId="71D66656"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4920E515"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0E012994" w14:textId="1B99CCDB"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5DA4C929" w14:textId="7654BD6E"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200</w:t>
            </w:r>
          </w:p>
        </w:tc>
        <w:tc>
          <w:tcPr>
            <w:tcW w:w="1014" w:type="dxa"/>
            <w:tcBorders>
              <w:top w:val="nil"/>
              <w:left w:val="nil"/>
              <w:bottom w:val="nil"/>
              <w:right w:val="nil"/>
            </w:tcBorders>
            <w:shd w:val="clear" w:color="auto" w:fill="E6E6E6"/>
            <w:noWrap/>
            <w:vAlign w:val="bottom"/>
            <w:hideMark/>
          </w:tcPr>
          <w:p w14:paraId="15C62528" w14:textId="2BF416EE"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300</w:t>
            </w:r>
          </w:p>
        </w:tc>
        <w:tc>
          <w:tcPr>
            <w:tcW w:w="1014" w:type="dxa"/>
            <w:tcBorders>
              <w:top w:val="nil"/>
              <w:left w:val="nil"/>
              <w:bottom w:val="nil"/>
              <w:right w:val="nil"/>
            </w:tcBorders>
            <w:shd w:val="clear" w:color="auto" w:fill="auto"/>
            <w:noWrap/>
            <w:vAlign w:val="bottom"/>
            <w:hideMark/>
          </w:tcPr>
          <w:p w14:paraId="6D8C1B49" w14:textId="4E206693"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3,500</w:t>
            </w:r>
          </w:p>
        </w:tc>
        <w:tc>
          <w:tcPr>
            <w:tcW w:w="863" w:type="dxa"/>
            <w:tcBorders>
              <w:top w:val="nil"/>
              <w:left w:val="nil"/>
              <w:bottom w:val="nil"/>
              <w:right w:val="nil"/>
            </w:tcBorders>
            <w:shd w:val="clear" w:color="auto" w:fill="E6E6E6"/>
            <w:noWrap/>
            <w:vAlign w:val="bottom"/>
            <w:hideMark/>
          </w:tcPr>
          <w:p w14:paraId="32FFC2B8" w14:textId="4C0C057F"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3,500</w:t>
            </w:r>
          </w:p>
        </w:tc>
      </w:tr>
      <w:tr w:rsidR="004A16F1" w:rsidRPr="004A16F1" w14:paraId="66D246FF" w14:textId="77777777" w:rsidTr="00436AC0">
        <w:trPr>
          <w:trHeight w:val="204"/>
        </w:trPr>
        <w:tc>
          <w:tcPr>
            <w:tcW w:w="2127" w:type="dxa"/>
            <w:tcBorders>
              <w:top w:val="nil"/>
              <w:left w:val="nil"/>
              <w:bottom w:val="nil"/>
              <w:right w:val="nil"/>
            </w:tcBorders>
            <w:shd w:val="clear" w:color="auto" w:fill="auto"/>
            <w:noWrap/>
            <w:vAlign w:val="bottom"/>
            <w:hideMark/>
          </w:tcPr>
          <w:p w14:paraId="15BC7F00" w14:textId="77777777"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Responsible Investment to Grow Our Regions</w:t>
            </w:r>
          </w:p>
        </w:tc>
        <w:tc>
          <w:tcPr>
            <w:tcW w:w="907" w:type="dxa"/>
            <w:tcBorders>
              <w:top w:val="nil"/>
              <w:left w:val="nil"/>
              <w:bottom w:val="nil"/>
              <w:right w:val="nil"/>
            </w:tcBorders>
            <w:shd w:val="clear" w:color="auto" w:fill="auto"/>
            <w:noWrap/>
            <w:vAlign w:val="bottom"/>
            <w:hideMark/>
          </w:tcPr>
          <w:p w14:paraId="7B60E0E3"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3.1, 3.5, 5.1, 5.2</w:t>
            </w:r>
          </w:p>
        </w:tc>
        <w:tc>
          <w:tcPr>
            <w:tcW w:w="859" w:type="dxa"/>
            <w:tcBorders>
              <w:top w:val="nil"/>
              <w:left w:val="nil"/>
              <w:bottom w:val="nil"/>
              <w:right w:val="nil"/>
            </w:tcBorders>
            <w:shd w:val="clear" w:color="auto" w:fill="E6E6E6"/>
            <w:noWrap/>
            <w:vAlign w:val="bottom"/>
            <w:hideMark/>
          </w:tcPr>
          <w:p w14:paraId="4EA06604" w14:textId="043BA8CA" w:rsidR="004A16F1" w:rsidRPr="00E2297F"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7A768389" w14:textId="77777777" w:rsidR="004A16F1" w:rsidRPr="00E2297F"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2FA1280A" w14:textId="7FC70414" w:rsidR="004A16F1" w:rsidRPr="00E2297F"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5489D87B" w14:textId="77777777" w:rsidR="004A16F1" w:rsidRPr="00E2297F"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4742C026" w14:textId="10F46409" w:rsidR="004A16F1" w:rsidRPr="00E2297F" w:rsidRDefault="004A16F1" w:rsidP="004A16F1">
            <w:pPr>
              <w:spacing w:after="0" w:line="240" w:lineRule="auto"/>
              <w:jc w:val="right"/>
              <w:rPr>
                <w:rFonts w:ascii="Arial" w:hAnsi="Arial" w:cs="Arial"/>
                <w:bCs/>
                <w:sz w:val="16"/>
                <w:szCs w:val="16"/>
              </w:rPr>
            </w:pPr>
          </w:p>
        </w:tc>
      </w:tr>
      <w:tr w:rsidR="00C25D74" w:rsidRPr="004A16F1" w14:paraId="482E2DD8" w14:textId="77777777" w:rsidTr="00436AC0">
        <w:trPr>
          <w:trHeight w:val="204"/>
        </w:trPr>
        <w:tc>
          <w:tcPr>
            <w:tcW w:w="2127" w:type="dxa"/>
            <w:tcBorders>
              <w:top w:val="nil"/>
              <w:left w:val="nil"/>
              <w:bottom w:val="nil"/>
              <w:right w:val="nil"/>
            </w:tcBorders>
            <w:shd w:val="clear" w:color="auto" w:fill="auto"/>
            <w:noWrap/>
            <w:vAlign w:val="bottom"/>
            <w:hideMark/>
          </w:tcPr>
          <w:p w14:paraId="26A768D7" w14:textId="77777777" w:rsidR="00C25D74" w:rsidRPr="00F7784A" w:rsidRDefault="00C25D74" w:rsidP="00B14412">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bottom w:val="nil"/>
              <w:right w:val="nil"/>
            </w:tcBorders>
            <w:shd w:val="clear" w:color="auto" w:fill="auto"/>
            <w:noWrap/>
            <w:vAlign w:val="bottom"/>
            <w:hideMark/>
          </w:tcPr>
          <w:p w14:paraId="7F6DB96C" w14:textId="77777777" w:rsidR="00C25D74" w:rsidRPr="00E2297F" w:rsidRDefault="00C25D74" w:rsidP="00B14412">
            <w:pPr>
              <w:spacing w:after="0" w:line="240" w:lineRule="auto"/>
              <w:ind w:left="113"/>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2F6F62B7" w14:textId="77777777" w:rsidR="00C25D74" w:rsidRPr="00E2297F" w:rsidRDefault="00C25D74" w:rsidP="00B14412">
            <w:pPr>
              <w:spacing w:after="0" w:line="240" w:lineRule="auto"/>
              <w:ind w:left="113"/>
              <w:jc w:val="right"/>
              <w:rPr>
                <w:rFonts w:ascii="Arial" w:hAnsi="Arial" w:cs="Arial"/>
                <w:bCs/>
                <w:sz w:val="16"/>
                <w:szCs w:val="16"/>
              </w:rPr>
            </w:pPr>
            <w:r w:rsidRPr="00E2297F">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5F2AD155" w14:textId="77777777" w:rsidR="00C25D74" w:rsidRPr="00E2297F" w:rsidRDefault="00C25D74" w:rsidP="00B14412">
            <w:pPr>
              <w:spacing w:after="0" w:line="240" w:lineRule="auto"/>
              <w:ind w:left="113"/>
              <w:jc w:val="right"/>
              <w:rPr>
                <w:rFonts w:ascii="Arial" w:hAnsi="Arial" w:cs="Arial"/>
                <w:bCs/>
                <w:sz w:val="16"/>
                <w:szCs w:val="16"/>
              </w:rPr>
            </w:pPr>
            <w:r w:rsidRPr="00E2297F">
              <w:rPr>
                <w:rFonts w:ascii="Arial" w:hAnsi="Arial" w:cs="Arial"/>
                <w:bCs/>
                <w:sz w:val="16"/>
                <w:szCs w:val="16"/>
              </w:rPr>
              <w:t>(938,007)</w:t>
            </w:r>
          </w:p>
        </w:tc>
        <w:tc>
          <w:tcPr>
            <w:tcW w:w="1014" w:type="dxa"/>
            <w:tcBorders>
              <w:top w:val="nil"/>
              <w:left w:val="nil"/>
              <w:bottom w:val="nil"/>
              <w:right w:val="nil"/>
            </w:tcBorders>
            <w:shd w:val="clear" w:color="auto" w:fill="E6E6E6"/>
            <w:noWrap/>
            <w:vAlign w:val="bottom"/>
            <w:hideMark/>
          </w:tcPr>
          <w:p w14:paraId="08AD9554" w14:textId="77777777" w:rsidR="00C25D74" w:rsidRPr="00E2297F" w:rsidRDefault="00C25D74" w:rsidP="00B14412">
            <w:pPr>
              <w:spacing w:after="0" w:line="240" w:lineRule="auto"/>
              <w:ind w:left="113"/>
              <w:jc w:val="right"/>
              <w:rPr>
                <w:rFonts w:ascii="Arial" w:hAnsi="Arial" w:cs="Arial"/>
                <w:bCs/>
                <w:sz w:val="16"/>
                <w:szCs w:val="16"/>
              </w:rPr>
            </w:pPr>
            <w:r w:rsidRPr="00E2297F">
              <w:rPr>
                <w:rFonts w:ascii="Arial" w:hAnsi="Arial" w:cs="Arial"/>
                <w:bCs/>
                <w:sz w:val="16"/>
                <w:szCs w:val="16"/>
              </w:rPr>
              <w:t>(599,317)</w:t>
            </w:r>
          </w:p>
        </w:tc>
        <w:tc>
          <w:tcPr>
            <w:tcW w:w="1014" w:type="dxa"/>
            <w:tcBorders>
              <w:top w:val="nil"/>
              <w:left w:val="nil"/>
              <w:bottom w:val="nil"/>
              <w:right w:val="nil"/>
            </w:tcBorders>
            <w:shd w:val="clear" w:color="auto" w:fill="auto"/>
            <w:noWrap/>
            <w:vAlign w:val="bottom"/>
            <w:hideMark/>
          </w:tcPr>
          <w:p w14:paraId="06467D21" w14:textId="77777777" w:rsidR="00C25D74" w:rsidRPr="00E2297F" w:rsidRDefault="00C25D74" w:rsidP="00B14412">
            <w:pPr>
              <w:spacing w:after="0" w:line="240" w:lineRule="auto"/>
              <w:ind w:left="113"/>
              <w:jc w:val="right"/>
              <w:rPr>
                <w:rFonts w:ascii="Arial" w:hAnsi="Arial" w:cs="Arial"/>
                <w:bCs/>
                <w:sz w:val="16"/>
                <w:szCs w:val="16"/>
              </w:rPr>
            </w:pPr>
            <w:r w:rsidRPr="00E2297F">
              <w:rPr>
                <w:rFonts w:ascii="Arial" w:hAnsi="Arial" w:cs="Arial"/>
                <w:bCs/>
                <w:sz w:val="16"/>
                <w:szCs w:val="16"/>
              </w:rPr>
              <w:t>(274,783)</w:t>
            </w:r>
          </w:p>
        </w:tc>
        <w:tc>
          <w:tcPr>
            <w:tcW w:w="863" w:type="dxa"/>
            <w:tcBorders>
              <w:top w:val="nil"/>
              <w:left w:val="nil"/>
              <w:bottom w:val="nil"/>
              <w:right w:val="nil"/>
            </w:tcBorders>
            <w:shd w:val="clear" w:color="auto" w:fill="E6E6E6"/>
            <w:noWrap/>
            <w:vAlign w:val="bottom"/>
            <w:hideMark/>
          </w:tcPr>
          <w:p w14:paraId="593B04A6" w14:textId="77777777" w:rsidR="00C25D74" w:rsidRPr="00E2297F" w:rsidRDefault="00C25D74" w:rsidP="00B14412">
            <w:pPr>
              <w:spacing w:after="0" w:line="240" w:lineRule="auto"/>
              <w:ind w:left="113"/>
              <w:jc w:val="right"/>
              <w:rPr>
                <w:rFonts w:ascii="Arial" w:hAnsi="Arial" w:cs="Arial"/>
                <w:bCs/>
                <w:sz w:val="16"/>
                <w:szCs w:val="16"/>
              </w:rPr>
            </w:pPr>
            <w:r w:rsidRPr="00E2297F">
              <w:rPr>
                <w:rFonts w:ascii="Arial" w:hAnsi="Arial" w:cs="Arial"/>
                <w:bCs/>
                <w:sz w:val="16"/>
                <w:szCs w:val="16"/>
              </w:rPr>
              <w:t>93,700</w:t>
            </w:r>
          </w:p>
        </w:tc>
      </w:tr>
      <w:tr w:rsidR="004A16F1" w:rsidRPr="004A16F1" w14:paraId="6C4937EE" w14:textId="77777777" w:rsidTr="00436AC0">
        <w:trPr>
          <w:trHeight w:val="204"/>
        </w:trPr>
        <w:tc>
          <w:tcPr>
            <w:tcW w:w="2127" w:type="dxa"/>
            <w:tcBorders>
              <w:top w:val="nil"/>
              <w:left w:val="nil"/>
              <w:bottom w:val="nil"/>
              <w:right w:val="nil"/>
            </w:tcBorders>
            <w:shd w:val="clear" w:color="auto" w:fill="auto"/>
            <w:noWrap/>
            <w:vAlign w:val="bottom"/>
            <w:hideMark/>
          </w:tcPr>
          <w:p w14:paraId="2BFA92A2"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Departmental payments</w:t>
            </w:r>
          </w:p>
        </w:tc>
        <w:tc>
          <w:tcPr>
            <w:tcW w:w="907" w:type="dxa"/>
            <w:tcBorders>
              <w:top w:val="nil"/>
              <w:left w:val="nil"/>
              <w:bottom w:val="nil"/>
              <w:right w:val="nil"/>
            </w:tcBorders>
            <w:shd w:val="clear" w:color="auto" w:fill="auto"/>
            <w:noWrap/>
            <w:vAlign w:val="bottom"/>
            <w:hideMark/>
          </w:tcPr>
          <w:p w14:paraId="46D81D34" w14:textId="77777777" w:rsidR="004A16F1" w:rsidRPr="00E2297F" w:rsidRDefault="004A16F1" w:rsidP="00E2297F">
            <w:pPr>
              <w:spacing w:after="0" w:line="240" w:lineRule="auto"/>
              <w:ind w:left="113"/>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6BE53140" w14:textId="0AAE6EFC" w:rsidR="004A16F1" w:rsidRPr="00E2297F" w:rsidRDefault="004A16F1" w:rsidP="00E2297F">
            <w:pPr>
              <w:spacing w:after="0" w:line="240" w:lineRule="auto"/>
              <w:ind w:left="113"/>
              <w:jc w:val="right"/>
              <w:rPr>
                <w:rFonts w:ascii="Arial" w:hAnsi="Arial" w:cs="Arial"/>
                <w:bCs/>
                <w:sz w:val="16"/>
                <w:szCs w:val="16"/>
              </w:rPr>
            </w:pPr>
            <w:r w:rsidRPr="00E2297F">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529F4A87" w14:textId="77777777" w:rsidR="004A16F1" w:rsidRPr="00E2297F" w:rsidRDefault="004A16F1" w:rsidP="00F7784A">
            <w:pPr>
              <w:spacing w:after="0" w:line="240" w:lineRule="auto"/>
              <w:ind w:left="113"/>
              <w:jc w:val="right"/>
              <w:rPr>
                <w:rFonts w:ascii="Arial" w:hAnsi="Arial" w:cs="Arial"/>
                <w:bCs/>
                <w:sz w:val="16"/>
                <w:szCs w:val="16"/>
              </w:rPr>
            </w:pPr>
            <w:r w:rsidRPr="00E2297F">
              <w:rPr>
                <w:rFonts w:ascii="Arial" w:hAnsi="Arial" w:cs="Arial"/>
                <w:bCs/>
                <w:sz w:val="16"/>
                <w:szCs w:val="16"/>
              </w:rPr>
              <w:t>(974)</w:t>
            </w:r>
          </w:p>
        </w:tc>
        <w:tc>
          <w:tcPr>
            <w:tcW w:w="1014" w:type="dxa"/>
            <w:tcBorders>
              <w:top w:val="nil"/>
              <w:left w:val="nil"/>
              <w:bottom w:val="nil"/>
              <w:right w:val="nil"/>
            </w:tcBorders>
            <w:shd w:val="clear" w:color="auto" w:fill="E6E6E6"/>
            <w:noWrap/>
            <w:vAlign w:val="bottom"/>
            <w:hideMark/>
          </w:tcPr>
          <w:p w14:paraId="43FAF4A2" w14:textId="60E4787C" w:rsidR="004A16F1" w:rsidRPr="00E2297F" w:rsidRDefault="004A16F1" w:rsidP="00F7784A">
            <w:pPr>
              <w:spacing w:after="0" w:line="240" w:lineRule="auto"/>
              <w:ind w:left="113"/>
              <w:jc w:val="right"/>
              <w:rPr>
                <w:rFonts w:ascii="Arial" w:hAnsi="Arial" w:cs="Arial"/>
                <w:bCs/>
                <w:sz w:val="16"/>
                <w:szCs w:val="16"/>
              </w:rPr>
            </w:pPr>
            <w:r w:rsidRPr="00E2297F">
              <w:rPr>
                <w:rFonts w:ascii="Arial" w:hAnsi="Arial" w:cs="Arial"/>
                <w:bCs/>
                <w:sz w:val="16"/>
                <w:szCs w:val="16"/>
              </w:rPr>
              <w:t>5,478</w:t>
            </w:r>
          </w:p>
        </w:tc>
        <w:tc>
          <w:tcPr>
            <w:tcW w:w="1014" w:type="dxa"/>
            <w:tcBorders>
              <w:top w:val="nil"/>
              <w:left w:val="nil"/>
              <w:bottom w:val="nil"/>
              <w:right w:val="nil"/>
            </w:tcBorders>
            <w:shd w:val="clear" w:color="auto" w:fill="auto"/>
            <w:noWrap/>
            <w:vAlign w:val="bottom"/>
            <w:hideMark/>
          </w:tcPr>
          <w:p w14:paraId="0D87D1A8" w14:textId="37EF1D11" w:rsidR="004A16F1" w:rsidRPr="00E2297F" w:rsidRDefault="004A16F1" w:rsidP="00F7784A">
            <w:pPr>
              <w:spacing w:after="0" w:line="240" w:lineRule="auto"/>
              <w:ind w:left="113"/>
              <w:jc w:val="right"/>
              <w:rPr>
                <w:rFonts w:ascii="Arial" w:hAnsi="Arial" w:cs="Arial"/>
                <w:bCs/>
                <w:sz w:val="16"/>
                <w:szCs w:val="16"/>
              </w:rPr>
            </w:pPr>
            <w:r w:rsidRPr="00E2297F">
              <w:rPr>
                <w:rFonts w:ascii="Arial" w:hAnsi="Arial" w:cs="Arial"/>
                <w:bCs/>
                <w:sz w:val="16"/>
                <w:szCs w:val="16"/>
              </w:rPr>
              <w:t>6,141</w:t>
            </w:r>
          </w:p>
        </w:tc>
        <w:tc>
          <w:tcPr>
            <w:tcW w:w="863" w:type="dxa"/>
            <w:tcBorders>
              <w:top w:val="nil"/>
              <w:left w:val="nil"/>
              <w:bottom w:val="nil"/>
              <w:right w:val="nil"/>
            </w:tcBorders>
            <w:shd w:val="clear" w:color="auto" w:fill="E6E6E6"/>
            <w:noWrap/>
            <w:vAlign w:val="bottom"/>
            <w:hideMark/>
          </w:tcPr>
          <w:p w14:paraId="2E82D59A" w14:textId="6B3ADDDB" w:rsidR="004A16F1" w:rsidRPr="00E2297F" w:rsidRDefault="004A16F1" w:rsidP="00F7784A">
            <w:pPr>
              <w:spacing w:after="0" w:line="240" w:lineRule="auto"/>
              <w:ind w:left="113"/>
              <w:jc w:val="right"/>
              <w:rPr>
                <w:rFonts w:ascii="Arial" w:hAnsi="Arial" w:cs="Arial"/>
                <w:bCs/>
                <w:sz w:val="16"/>
                <w:szCs w:val="16"/>
              </w:rPr>
            </w:pPr>
            <w:r w:rsidRPr="00E2297F">
              <w:rPr>
                <w:rFonts w:ascii="Arial" w:hAnsi="Arial" w:cs="Arial"/>
                <w:bCs/>
                <w:sz w:val="16"/>
                <w:szCs w:val="16"/>
              </w:rPr>
              <w:t>771</w:t>
            </w:r>
          </w:p>
        </w:tc>
      </w:tr>
      <w:tr w:rsidR="004A16F1" w:rsidRPr="004A16F1" w14:paraId="3DE98925" w14:textId="77777777" w:rsidTr="00436AC0">
        <w:trPr>
          <w:trHeight w:val="204"/>
        </w:trPr>
        <w:tc>
          <w:tcPr>
            <w:tcW w:w="2127" w:type="dxa"/>
            <w:tcBorders>
              <w:top w:val="nil"/>
              <w:left w:val="nil"/>
              <w:bottom w:val="nil"/>
              <w:right w:val="nil"/>
            </w:tcBorders>
            <w:shd w:val="clear" w:color="auto" w:fill="auto"/>
            <w:noWrap/>
            <w:vAlign w:val="bottom"/>
            <w:hideMark/>
          </w:tcPr>
          <w:p w14:paraId="614534BE"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37054134"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5FA33C1C" w14:textId="77777777"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1445DE4F"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(938,981)</w:t>
            </w:r>
          </w:p>
        </w:tc>
        <w:tc>
          <w:tcPr>
            <w:tcW w:w="1014" w:type="dxa"/>
            <w:tcBorders>
              <w:top w:val="nil"/>
              <w:left w:val="nil"/>
              <w:bottom w:val="nil"/>
              <w:right w:val="nil"/>
            </w:tcBorders>
            <w:shd w:val="clear" w:color="auto" w:fill="E6E6E6"/>
            <w:noWrap/>
            <w:vAlign w:val="bottom"/>
            <w:hideMark/>
          </w:tcPr>
          <w:p w14:paraId="576E31E6"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(593,839)</w:t>
            </w:r>
          </w:p>
        </w:tc>
        <w:tc>
          <w:tcPr>
            <w:tcW w:w="1014" w:type="dxa"/>
            <w:tcBorders>
              <w:top w:val="nil"/>
              <w:left w:val="nil"/>
              <w:bottom w:val="nil"/>
              <w:right w:val="nil"/>
            </w:tcBorders>
            <w:shd w:val="clear" w:color="auto" w:fill="auto"/>
            <w:noWrap/>
            <w:vAlign w:val="bottom"/>
            <w:hideMark/>
          </w:tcPr>
          <w:p w14:paraId="397D1D0C"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(268,642)</w:t>
            </w:r>
          </w:p>
        </w:tc>
        <w:tc>
          <w:tcPr>
            <w:tcW w:w="863" w:type="dxa"/>
            <w:tcBorders>
              <w:top w:val="nil"/>
              <w:left w:val="nil"/>
              <w:bottom w:val="nil"/>
              <w:right w:val="nil"/>
            </w:tcBorders>
            <w:shd w:val="clear" w:color="auto" w:fill="E6E6E6"/>
            <w:noWrap/>
            <w:vAlign w:val="bottom"/>
            <w:hideMark/>
          </w:tcPr>
          <w:p w14:paraId="0FD01CB2" w14:textId="361A281E"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94,471</w:t>
            </w:r>
          </w:p>
        </w:tc>
      </w:tr>
      <w:tr w:rsidR="004A16F1" w:rsidRPr="00F7784A" w14:paraId="322A5F27" w14:textId="77777777" w:rsidTr="00436AC0">
        <w:trPr>
          <w:trHeight w:val="204"/>
        </w:trPr>
        <w:tc>
          <w:tcPr>
            <w:tcW w:w="2127" w:type="dxa"/>
            <w:tcBorders>
              <w:top w:val="nil"/>
              <w:left w:val="nil"/>
              <w:bottom w:val="nil"/>
              <w:right w:val="nil"/>
            </w:tcBorders>
            <w:shd w:val="clear" w:color="auto" w:fill="auto"/>
            <w:noWrap/>
            <w:vAlign w:val="bottom"/>
            <w:hideMark/>
          </w:tcPr>
          <w:p w14:paraId="433F17EC" w14:textId="77777777"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Safe Kids are eSmart Kids</w:t>
            </w:r>
          </w:p>
        </w:tc>
        <w:tc>
          <w:tcPr>
            <w:tcW w:w="907" w:type="dxa"/>
            <w:tcBorders>
              <w:top w:val="nil"/>
              <w:left w:val="nil"/>
              <w:bottom w:val="nil"/>
              <w:right w:val="nil"/>
            </w:tcBorders>
            <w:shd w:val="clear" w:color="auto" w:fill="auto"/>
            <w:noWrap/>
            <w:vAlign w:val="bottom"/>
            <w:hideMark/>
          </w:tcPr>
          <w:p w14:paraId="66859D83"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5.1</w:t>
            </w:r>
          </w:p>
        </w:tc>
        <w:tc>
          <w:tcPr>
            <w:tcW w:w="859" w:type="dxa"/>
            <w:tcBorders>
              <w:top w:val="nil"/>
              <w:left w:val="nil"/>
              <w:bottom w:val="nil"/>
              <w:right w:val="nil"/>
            </w:tcBorders>
            <w:shd w:val="clear" w:color="auto" w:fill="E6E6E6"/>
            <w:noWrap/>
            <w:vAlign w:val="bottom"/>
            <w:hideMark/>
          </w:tcPr>
          <w:p w14:paraId="2EF89032" w14:textId="2481CF5B" w:rsidR="004A16F1" w:rsidRPr="00F7784A"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10C08D55" w14:textId="77777777"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45FAAE13" w14:textId="22FCA256"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3CF4F195" w14:textId="77777777" w:rsidR="004A16F1" w:rsidRPr="00F7784A"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1BE4C370" w14:textId="50EC93A2" w:rsidR="004A16F1" w:rsidRPr="00F7784A" w:rsidRDefault="004A16F1" w:rsidP="004A16F1">
            <w:pPr>
              <w:spacing w:after="0" w:line="240" w:lineRule="auto"/>
              <w:jc w:val="right"/>
              <w:rPr>
                <w:rFonts w:ascii="Arial" w:hAnsi="Arial" w:cs="Arial"/>
                <w:bCs/>
                <w:sz w:val="16"/>
                <w:szCs w:val="16"/>
              </w:rPr>
            </w:pPr>
          </w:p>
        </w:tc>
      </w:tr>
      <w:tr w:rsidR="004A16F1" w:rsidRPr="00F7784A" w14:paraId="6DCA71B1" w14:textId="77777777" w:rsidTr="00436AC0">
        <w:trPr>
          <w:trHeight w:val="204"/>
        </w:trPr>
        <w:tc>
          <w:tcPr>
            <w:tcW w:w="2127" w:type="dxa"/>
            <w:tcBorders>
              <w:top w:val="nil"/>
              <w:left w:val="nil"/>
              <w:bottom w:val="nil"/>
              <w:right w:val="nil"/>
            </w:tcBorders>
            <w:shd w:val="clear" w:color="auto" w:fill="auto"/>
            <w:noWrap/>
            <w:vAlign w:val="bottom"/>
            <w:hideMark/>
          </w:tcPr>
          <w:p w14:paraId="1E912F3D"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bottom w:val="nil"/>
              <w:right w:val="nil"/>
            </w:tcBorders>
            <w:shd w:val="clear" w:color="auto" w:fill="auto"/>
            <w:noWrap/>
            <w:vAlign w:val="bottom"/>
            <w:hideMark/>
          </w:tcPr>
          <w:p w14:paraId="42CE095B"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7549CBDC" w14:textId="1EE89841" w:rsidR="004A16F1" w:rsidRPr="00F7784A" w:rsidRDefault="004A16F1" w:rsidP="00E2297F">
            <w:pPr>
              <w:spacing w:after="0" w:line="240" w:lineRule="auto"/>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2B1EB507" w14:textId="5C25A664"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E6E6E6"/>
            <w:noWrap/>
            <w:vAlign w:val="bottom"/>
            <w:hideMark/>
          </w:tcPr>
          <w:p w14:paraId="54139BFE" w14:textId="2B6D2DAF"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1,883</w:t>
            </w:r>
          </w:p>
        </w:tc>
        <w:tc>
          <w:tcPr>
            <w:tcW w:w="1014" w:type="dxa"/>
            <w:tcBorders>
              <w:top w:val="nil"/>
              <w:left w:val="nil"/>
              <w:bottom w:val="nil"/>
              <w:right w:val="nil"/>
            </w:tcBorders>
            <w:shd w:val="clear" w:color="auto" w:fill="auto"/>
            <w:noWrap/>
            <w:vAlign w:val="bottom"/>
            <w:hideMark/>
          </w:tcPr>
          <w:p w14:paraId="0F543FEF" w14:textId="167E66DF"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2,078</w:t>
            </w:r>
          </w:p>
        </w:tc>
        <w:tc>
          <w:tcPr>
            <w:tcW w:w="863" w:type="dxa"/>
            <w:tcBorders>
              <w:top w:val="nil"/>
              <w:left w:val="nil"/>
              <w:bottom w:val="nil"/>
              <w:right w:val="nil"/>
            </w:tcBorders>
            <w:shd w:val="clear" w:color="auto" w:fill="E6E6E6"/>
            <w:noWrap/>
            <w:vAlign w:val="bottom"/>
            <w:hideMark/>
          </w:tcPr>
          <w:p w14:paraId="2E257371" w14:textId="0A3D39C1" w:rsidR="004A16F1" w:rsidRPr="00F7784A" w:rsidRDefault="004A16F1" w:rsidP="004A16F1">
            <w:pPr>
              <w:spacing w:after="0" w:line="240" w:lineRule="auto"/>
              <w:jc w:val="right"/>
              <w:rPr>
                <w:rFonts w:ascii="Arial" w:hAnsi="Arial" w:cs="Arial"/>
                <w:bCs/>
                <w:sz w:val="16"/>
                <w:szCs w:val="16"/>
              </w:rPr>
            </w:pPr>
            <w:r w:rsidRPr="00F7784A">
              <w:rPr>
                <w:rFonts w:ascii="Arial" w:hAnsi="Arial" w:cs="Arial"/>
                <w:bCs/>
                <w:sz w:val="16"/>
                <w:szCs w:val="16"/>
              </w:rPr>
              <w:t>2,039</w:t>
            </w:r>
          </w:p>
        </w:tc>
      </w:tr>
      <w:tr w:rsidR="004A16F1" w:rsidRPr="004A16F1" w14:paraId="26F58251" w14:textId="77777777" w:rsidTr="00436AC0">
        <w:trPr>
          <w:trHeight w:val="204"/>
        </w:trPr>
        <w:tc>
          <w:tcPr>
            <w:tcW w:w="2127" w:type="dxa"/>
            <w:tcBorders>
              <w:top w:val="nil"/>
              <w:left w:val="nil"/>
              <w:bottom w:val="nil"/>
              <w:right w:val="nil"/>
            </w:tcBorders>
            <w:shd w:val="clear" w:color="auto" w:fill="auto"/>
            <w:noWrap/>
            <w:vAlign w:val="bottom"/>
            <w:hideMark/>
          </w:tcPr>
          <w:p w14:paraId="0A78839F"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4C5E2907"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5358C935" w14:textId="69DD5230"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102BE407" w14:textId="6AA6FAAA"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E6E6E6"/>
            <w:noWrap/>
            <w:vAlign w:val="bottom"/>
            <w:hideMark/>
          </w:tcPr>
          <w:p w14:paraId="7ED797FD" w14:textId="22EB35EF"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1,883</w:t>
            </w:r>
          </w:p>
        </w:tc>
        <w:tc>
          <w:tcPr>
            <w:tcW w:w="1014" w:type="dxa"/>
            <w:tcBorders>
              <w:top w:val="nil"/>
              <w:left w:val="nil"/>
              <w:bottom w:val="nil"/>
              <w:right w:val="nil"/>
            </w:tcBorders>
            <w:shd w:val="clear" w:color="auto" w:fill="auto"/>
            <w:noWrap/>
            <w:vAlign w:val="bottom"/>
            <w:hideMark/>
          </w:tcPr>
          <w:p w14:paraId="2FEEAEA3" w14:textId="3480D410"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2,078</w:t>
            </w:r>
          </w:p>
        </w:tc>
        <w:tc>
          <w:tcPr>
            <w:tcW w:w="863" w:type="dxa"/>
            <w:tcBorders>
              <w:top w:val="nil"/>
              <w:left w:val="nil"/>
              <w:bottom w:val="nil"/>
              <w:right w:val="nil"/>
            </w:tcBorders>
            <w:shd w:val="clear" w:color="auto" w:fill="E6E6E6"/>
            <w:noWrap/>
            <w:vAlign w:val="bottom"/>
            <w:hideMark/>
          </w:tcPr>
          <w:p w14:paraId="72AE6214" w14:textId="4D54332B"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2,039</w:t>
            </w:r>
          </w:p>
        </w:tc>
      </w:tr>
      <w:tr w:rsidR="004A16F1" w:rsidRPr="00F7784A" w14:paraId="30E714AD" w14:textId="77777777" w:rsidTr="00436AC0">
        <w:trPr>
          <w:trHeight w:val="204"/>
        </w:trPr>
        <w:tc>
          <w:tcPr>
            <w:tcW w:w="2127" w:type="dxa"/>
            <w:tcBorders>
              <w:top w:val="nil"/>
              <w:left w:val="nil"/>
              <w:bottom w:val="nil"/>
              <w:right w:val="nil"/>
            </w:tcBorders>
            <w:shd w:val="clear" w:color="auto" w:fill="auto"/>
            <w:noWrap/>
            <w:vAlign w:val="bottom"/>
            <w:hideMark/>
          </w:tcPr>
          <w:p w14:paraId="33952A61" w14:textId="77777777"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Strategic Fleet Taskforce – establishment</w:t>
            </w:r>
          </w:p>
        </w:tc>
        <w:tc>
          <w:tcPr>
            <w:tcW w:w="907" w:type="dxa"/>
            <w:tcBorders>
              <w:top w:val="nil"/>
              <w:left w:val="nil"/>
              <w:bottom w:val="nil"/>
              <w:right w:val="nil"/>
            </w:tcBorders>
            <w:shd w:val="clear" w:color="auto" w:fill="auto"/>
            <w:noWrap/>
            <w:vAlign w:val="bottom"/>
            <w:hideMark/>
          </w:tcPr>
          <w:p w14:paraId="7C87939E"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2.4</w:t>
            </w:r>
          </w:p>
        </w:tc>
        <w:tc>
          <w:tcPr>
            <w:tcW w:w="859" w:type="dxa"/>
            <w:tcBorders>
              <w:top w:val="nil"/>
              <w:left w:val="nil"/>
              <w:bottom w:val="nil"/>
              <w:right w:val="nil"/>
            </w:tcBorders>
            <w:shd w:val="clear" w:color="auto" w:fill="E6E6E6"/>
            <w:noWrap/>
            <w:vAlign w:val="bottom"/>
            <w:hideMark/>
          </w:tcPr>
          <w:p w14:paraId="78370011" w14:textId="323BCBCB" w:rsidR="004A16F1" w:rsidRPr="00F7784A"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710A8D20" w14:textId="77777777"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3CD4F5B1" w14:textId="3B05F60D"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50E264E3" w14:textId="77777777" w:rsidR="004A16F1" w:rsidRPr="00F7784A"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18452D49" w14:textId="6EBD1940" w:rsidR="004A16F1" w:rsidRPr="00F7784A" w:rsidRDefault="004A16F1" w:rsidP="004A16F1">
            <w:pPr>
              <w:spacing w:after="0" w:line="240" w:lineRule="auto"/>
              <w:jc w:val="right"/>
              <w:rPr>
                <w:rFonts w:ascii="Arial" w:hAnsi="Arial" w:cs="Arial"/>
                <w:bCs/>
                <w:sz w:val="16"/>
                <w:szCs w:val="16"/>
              </w:rPr>
            </w:pPr>
          </w:p>
        </w:tc>
      </w:tr>
      <w:tr w:rsidR="004A16F1" w:rsidRPr="00F7784A" w14:paraId="7D19B0E8" w14:textId="77777777" w:rsidTr="00436AC0">
        <w:trPr>
          <w:trHeight w:val="204"/>
        </w:trPr>
        <w:tc>
          <w:tcPr>
            <w:tcW w:w="2127" w:type="dxa"/>
            <w:tcBorders>
              <w:top w:val="nil"/>
              <w:left w:val="nil"/>
              <w:bottom w:val="nil"/>
              <w:right w:val="nil"/>
            </w:tcBorders>
            <w:shd w:val="clear" w:color="auto" w:fill="auto"/>
            <w:noWrap/>
            <w:vAlign w:val="bottom"/>
            <w:hideMark/>
          </w:tcPr>
          <w:p w14:paraId="2C10EB71"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Departmental payments</w:t>
            </w:r>
          </w:p>
        </w:tc>
        <w:tc>
          <w:tcPr>
            <w:tcW w:w="907" w:type="dxa"/>
            <w:tcBorders>
              <w:top w:val="nil"/>
              <w:left w:val="nil"/>
              <w:bottom w:val="nil"/>
              <w:right w:val="nil"/>
            </w:tcBorders>
            <w:shd w:val="clear" w:color="auto" w:fill="auto"/>
            <w:noWrap/>
            <w:vAlign w:val="bottom"/>
            <w:hideMark/>
          </w:tcPr>
          <w:p w14:paraId="2025298A" w14:textId="77777777" w:rsidR="004A16F1" w:rsidRPr="00E2297F" w:rsidRDefault="004A16F1" w:rsidP="00E2297F">
            <w:pPr>
              <w:spacing w:after="0" w:line="240" w:lineRule="auto"/>
              <w:ind w:left="113"/>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4CB764A8" w14:textId="677EA5DB"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329D4C7C" w14:textId="00ADBB46"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6,291</w:t>
            </w:r>
          </w:p>
        </w:tc>
        <w:tc>
          <w:tcPr>
            <w:tcW w:w="1014" w:type="dxa"/>
            <w:tcBorders>
              <w:top w:val="nil"/>
              <w:left w:val="nil"/>
              <w:bottom w:val="nil"/>
              <w:right w:val="nil"/>
            </w:tcBorders>
            <w:shd w:val="clear" w:color="auto" w:fill="E6E6E6"/>
            <w:noWrap/>
            <w:vAlign w:val="bottom"/>
            <w:hideMark/>
          </w:tcPr>
          <w:p w14:paraId="578C0783" w14:textId="23F61172"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32091DF5" w14:textId="320811EA"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w:t>
            </w:r>
          </w:p>
        </w:tc>
        <w:tc>
          <w:tcPr>
            <w:tcW w:w="863" w:type="dxa"/>
            <w:tcBorders>
              <w:top w:val="nil"/>
              <w:left w:val="nil"/>
              <w:bottom w:val="nil"/>
              <w:right w:val="nil"/>
            </w:tcBorders>
            <w:shd w:val="clear" w:color="auto" w:fill="E6E6E6"/>
            <w:noWrap/>
            <w:vAlign w:val="bottom"/>
            <w:hideMark/>
          </w:tcPr>
          <w:p w14:paraId="22CF1307" w14:textId="7AA418A1"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w:t>
            </w:r>
          </w:p>
        </w:tc>
      </w:tr>
      <w:tr w:rsidR="004A16F1" w:rsidRPr="004A16F1" w14:paraId="71E60431" w14:textId="77777777" w:rsidTr="00436AC0">
        <w:trPr>
          <w:trHeight w:val="204"/>
        </w:trPr>
        <w:tc>
          <w:tcPr>
            <w:tcW w:w="2127" w:type="dxa"/>
            <w:tcBorders>
              <w:top w:val="nil"/>
              <w:left w:val="nil"/>
              <w:bottom w:val="nil"/>
              <w:right w:val="nil"/>
            </w:tcBorders>
            <w:shd w:val="clear" w:color="auto" w:fill="auto"/>
            <w:noWrap/>
            <w:vAlign w:val="bottom"/>
            <w:hideMark/>
          </w:tcPr>
          <w:p w14:paraId="5DA4AB6A"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1150FA85"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6AA78134" w14:textId="0451E026"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37148D45" w14:textId="5410D33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6,291</w:t>
            </w:r>
          </w:p>
        </w:tc>
        <w:tc>
          <w:tcPr>
            <w:tcW w:w="1014" w:type="dxa"/>
            <w:tcBorders>
              <w:top w:val="nil"/>
              <w:left w:val="nil"/>
              <w:bottom w:val="nil"/>
              <w:right w:val="nil"/>
            </w:tcBorders>
            <w:shd w:val="clear" w:color="auto" w:fill="E6E6E6"/>
            <w:noWrap/>
            <w:vAlign w:val="bottom"/>
            <w:hideMark/>
          </w:tcPr>
          <w:p w14:paraId="2A7C60B1" w14:textId="2483D4C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00962ADD" w14:textId="70868A11"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863" w:type="dxa"/>
            <w:tcBorders>
              <w:top w:val="nil"/>
              <w:left w:val="nil"/>
              <w:bottom w:val="nil"/>
              <w:right w:val="nil"/>
            </w:tcBorders>
            <w:shd w:val="clear" w:color="auto" w:fill="E6E6E6"/>
            <w:noWrap/>
            <w:vAlign w:val="bottom"/>
            <w:hideMark/>
          </w:tcPr>
          <w:p w14:paraId="1BF71B7B" w14:textId="746B9BB8"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w:t>
            </w:r>
          </w:p>
        </w:tc>
      </w:tr>
      <w:tr w:rsidR="004A16F1" w:rsidRPr="00F7784A" w14:paraId="0CFF97A3" w14:textId="77777777" w:rsidTr="00436AC0">
        <w:trPr>
          <w:trHeight w:val="204"/>
        </w:trPr>
        <w:tc>
          <w:tcPr>
            <w:tcW w:w="2127" w:type="dxa"/>
            <w:tcBorders>
              <w:top w:val="nil"/>
              <w:left w:val="nil"/>
              <w:bottom w:val="nil"/>
              <w:right w:val="nil"/>
            </w:tcBorders>
            <w:shd w:val="clear" w:color="auto" w:fill="auto"/>
            <w:noWrap/>
            <w:vAlign w:val="bottom"/>
            <w:hideMark/>
          </w:tcPr>
          <w:p w14:paraId="203BAE39" w14:textId="77777777"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Support for Community Sector Organisations</w:t>
            </w:r>
          </w:p>
        </w:tc>
        <w:tc>
          <w:tcPr>
            <w:tcW w:w="907" w:type="dxa"/>
            <w:tcBorders>
              <w:top w:val="nil"/>
              <w:left w:val="nil"/>
              <w:bottom w:val="nil"/>
              <w:right w:val="nil"/>
            </w:tcBorders>
            <w:shd w:val="clear" w:color="auto" w:fill="auto"/>
            <w:noWrap/>
            <w:vAlign w:val="bottom"/>
            <w:hideMark/>
          </w:tcPr>
          <w:p w14:paraId="2C97777B" w14:textId="7CF232CF"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2.</w:t>
            </w:r>
            <w:r w:rsidR="004C782B" w:rsidRPr="00E2297F">
              <w:rPr>
                <w:rFonts w:ascii="Arial" w:hAnsi="Arial" w:cs="Arial"/>
                <w:bCs/>
                <w:sz w:val="16"/>
                <w:szCs w:val="16"/>
              </w:rPr>
              <w:t>1</w:t>
            </w:r>
            <w:r w:rsidRPr="00E2297F">
              <w:rPr>
                <w:rFonts w:ascii="Arial" w:hAnsi="Arial" w:cs="Arial"/>
                <w:bCs/>
                <w:sz w:val="16"/>
                <w:szCs w:val="16"/>
              </w:rPr>
              <w:t>, 3.1, 5.1, 6.1</w:t>
            </w:r>
          </w:p>
        </w:tc>
        <w:tc>
          <w:tcPr>
            <w:tcW w:w="859" w:type="dxa"/>
            <w:tcBorders>
              <w:top w:val="nil"/>
              <w:left w:val="nil"/>
              <w:bottom w:val="nil"/>
              <w:right w:val="nil"/>
            </w:tcBorders>
            <w:shd w:val="clear" w:color="auto" w:fill="E6E6E6"/>
            <w:noWrap/>
            <w:vAlign w:val="bottom"/>
            <w:hideMark/>
          </w:tcPr>
          <w:p w14:paraId="49CF7B0E" w14:textId="5F41D143" w:rsidR="004A16F1" w:rsidRPr="00F7784A"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37B0ABF7" w14:textId="77777777"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0FC20171" w14:textId="7B05D512"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20BE164F" w14:textId="77777777" w:rsidR="004A16F1" w:rsidRPr="00F7784A"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376A8867" w14:textId="29CC1CA9" w:rsidR="004A16F1" w:rsidRPr="00F7784A" w:rsidRDefault="004A16F1" w:rsidP="004A16F1">
            <w:pPr>
              <w:spacing w:after="0" w:line="240" w:lineRule="auto"/>
              <w:jc w:val="right"/>
              <w:rPr>
                <w:rFonts w:ascii="Arial" w:hAnsi="Arial" w:cs="Arial"/>
                <w:bCs/>
                <w:sz w:val="16"/>
                <w:szCs w:val="16"/>
              </w:rPr>
            </w:pPr>
          </w:p>
        </w:tc>
      </w:tr>
      <w:tr w:rsidR="004A16F1" w:rsidRPr="00F7784A" w14:paraId="6A3FF039" w14:textId="77777777" w:rsidTr="00436AC0">
        <w:trPr>
          <w:trHeight w:val="204"/>
        </w:trPr>
        <w:tc>
          <w:tcPr>
            <w:tcW w:w="2127" w:type="dxa"/>
            <w:tcBorders>
              <w:top w:val="nil"/>
              <w:left w:val="nil"/>
              <w:bottom w:val="nil"/>
              <w:right w:val="nil"/>
            </w:tcBorders>
            <w:shd w:val="clear" w:color="auto" w:fill="auto"/>
            <w:noWrap/>
            <w:vAlign w:val="bottom"/>
            <w:hideMark/>
          </w:tcPr>
          <w:p w14:paraId="4468EEE1"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bottom w:val="nil"/>
              <w:right w:val="nil"/>
            </w:tcBorders>
            <w:shd w:val="clear" w:color="auto" w:fill="auto"/>
            <w:noWrap/>
            <w:vAlign w:val="bottom"/>
            <w:hideMark/>
          </w:tcPr>
          <w:p w14:paraId="08A0FD17" w14:textId="77777777" w:rsidR="004A16F1" w:rsidRPr="00E2297F" w:rsidRDefault="004A16F1" w:rsidP="00E2297F">
            <w:pPr>
              <w:spacing w:after="0" w:line="240" w:lineRule="auto"/>
              <w:ind w:left="113"/>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231A1C8C" w14:textId="16744275"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3BC5DB62" w14:textId="05264BCA"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2,163</w:t>
            </w:r>
          </w:p>
        </w:tc>
        <w:tc>
          <w:tcPr>
            <w:tcW w:w="1014" w:type="dxa"/>
            <w:tcBorders>
              <w:top w:val="nil"/>
              <w:left w:val="nil"/>
              <w:bottom w:val="nil"/>
              <w:right w:val="nil"/>
            </w:tcBorders>
            <w:shd w:val="clear" w:color="auto" w:fill="E6E6E6"/>
            <w:noWrap/>
            <w:vAlign w:val="bottom"/>
            <w:hideMark/>
          </w:tcPr>
          <w:p w14:paraId="307E251B" w14:textId="29362A39"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2,163</w:t>
            </w:r>
          </w:p>
        </w:tc>
        <w:tc>
          <w:tcPr>
            <w:tcW w:w="1014" w:type="dxa"/>
            <w:tcBorders>
              <w:top w:val="nil"/>
              <w:left w:val="nil"/>
              <w:bottom w:val="nil"/>
              <w:right w:val="nil"/>
            </w:tcBorders>
            <w:shd w:val="clear" w:color="auto" w:fill="auto"/>
            <w:noWrap/>
            <w:vAlign w:val="bottom"/>
            <w:hideMark/>
          </w:tcPr>
          <w:p w14:paraId="726242DD" w14:textId="1DFE9C22"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2,163</w:t>
            </w:r>
          </w:p>
        </w:tc>
        <w:tc>
          <w:tcPr>
            <w:tcW w:w="863" w:type="dxa"/>
            <w:tcBorders>
              <w:top w:val="nil"/>
              <w:left w:val="nil"/>
              <w:bottom w:val="nil"/>
              <w:right w:val="nil"/>
            </w:tcBorders>
            <w:shd w:val="clear" w:color="auto" w:fill="E6E6E6"/>
            <w:noWrap/>
            <w:vAlign w:val="bottom"/>
            <w:hideMark/>
          </w:tcPr>
          <w:p w14:paraId="3EAC121E" w14:textId="4BB88C82" w:rsidR="004A16F1" w:rsidRPr="00F7784A" w:rsidRDefault="004A16F1" w:rsidP="00F7784A">
            <w:pPr>
              <w:spacing w:after="0" w:line="240" w:lineRule="auto"/>
              <w:ind w:left="113"/>
              <w:jc w:val="right"/>
              <w:rPr>
                <w:rFonts w:ascii="Arial" w:hAnsi="Arial" w:cs="Arial"/>
                <w:bCs/>
                <w:sz w:val="16"/>
                <w:szCs w:val="16"/>
              </w:rPr>
            </w:pPr>
            <w:r w:rsidRPr="00F7784A">
              <w:rPr>
                <w:rFonts w:ascii="Arial" w:hAnsi="Arial" w:cs="Arial"/>
                <w:bCs/>
                <w:sz w:val="16"/>
                <w:szCs w:val="16"/>
              </w:rPr>
              <w:t>2,163</w:t>
            </w:r>
          </w:p>
        </w:tc>
      </w:tr>
      <w:tr w:rsidR="004A16F1" w:rsidRPr="004A16F1" w14:paraId="7F8E68E5" w14:textId="77777777" w:rsidTr="00436AC0">
        <w:trPr>
          <w:trHeight w:val="204"/>
        </w:trPr>
        <w:tc>
          <w:tcPr>
            <w:tcW w:w="2127" w:type="dxa"/>
            <w:tcBorders>
              <w:top w:val="nil"/>
              <w:left w:val="nil"/>
              <w:bottom w:val="nil"/>
              <w:right w:val="nil"/>
            </w:tcBorders>
            <w:shd w:val="clear" w:color="auto" w:fill="auto"/>
            <w:noWrap/>
            <w:vAlign w:val="bottom"/>
            <w:hideMark/>
          </w:tcPr>
          <w:p w14:paraId="31EFA70E"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51E89096"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61FFB5CA" w14:textId="01F32DFF"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29EDE46B" w14:textId="69385026"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2,163</w:t>
            </w:r>
          </w:p>
        </w:tc>
        <w:tc>
          <w:tcPr>
            <w:tcW w:w="1014" w:type="dxa"/>
            <w:tcBorders>
              <w:top w:val="nil"/>
              <w:left w:val="nil"/>
              <w:bottom w:val="nil"/>
              <w:right w:val="nil"/>
            </w:tcBorders>
            <w:shd w:val="clear" w:color="auto" w:fill="E6E6E6"/>
            <w:noWrap/>
            <w:vAlign w:val="bottom"/>
            <w:hideMark/>
          </w:tcPr>
          <w:p w14:paraId="2660B523" w14:textId="3067AAB5"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2,163</w:t>
            </w:r>
          </w:p>
        </w:tc>
        <w:tc>
          <w:tcPr>
            <w:tcW w:w="1014" w:type="dxa"/>
            <w:tcBorders>
              <w:top w:val="nil"/>
              <w:left w:val="nil"/>
              <w:bottom w:val="nil"/>
              <w:right w:val="nil"/>
            </w:tcBorders>
            <w:shd w:val="clear" w:color="auto" w:fill="auto"/>
            <w:noWrap/>
            <w:vAlign w:val="bottom"/>
            <w:hideMark/>
          </w:tcPr>
          <w:p w14:paraId="6711D881" w14:textId="140CB7A0"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2,163</w:t>
            </w:r>
          </w:p>
        </w:tc>
        <w:tc>
          <w:tcPr>
            <w:tcW w:w="863" w:type="dxa"/>
            <w:tcBorders>
              <w:top w:val="nil"/>
              <w:left w:val="nil"/>
              <w:bottom w:val="nil"/>
              <w:right w:val="nil"/>
            </w:tcBorders>
            <w:shd w:val="clear" w:color="auto" w:fill="E6E6E6"/>
            <w:noWrap/>
            <w:vAlign w:val="bottom"/>
            <w:hideMark/>
          </w:tcPr>
          <w:p w14:paraId="32ABB012" w14:textId="46ED2EBF"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2,163</w:t>
            </w:r>
          </w:p>
        </w:tc>
      </w:tr>
      <w:tr w:rsidR="004A16F1" w:rsidRPr="004A16F1" w14:paraId="1421F24E" w14:textId="77777777" w:rsidTr="00436AC0">
        <w:trPr>
          <w:trHeight w:val="204"/>
        </w:trPr>
        <w:tc>
          <w:tcPr>
            <w:tcW w:w="2127" w:type="dxa"/>
            <w:tcBorders>
              <w:top w:val="nil"/>
              <w:left w:val="nil"/>
              <w:bottom w:val="nil"/>
              <w:right w:val="nil"/>
            </w:tcBorders>
            <w:shd w:val="clear" w:color="auto" w:fill="auto"/>
            <w:noWrap/>
            <w:vAlign w:val="bottom"/>
            <w:hideMark/>
          </w:tcPr>
          <w:p w14:paraId="155B088A" w14:textId="77777777"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Support for the Aviation Sector</w:t>
            </w:r>
          </w:p>
        </w:tc>
        <w:tc>
          <w:tcPr>
            <w:tcW w:w="907" w:type="dxa"/>
            <w:tcBorders>
              <w:top w:val="nil"/>
              <w:left w:val="nil"/>
              <w:bottom w:val="nil"/>
              <w:right w:val="nil"/>
            </w:tcBorders>
            <w:shd w:val="clear" w:color="auto" w:fill="auto"/>
            <w:noWrap/>
            <w:vAlign w:val="bottom"/>
            <w:hideMark/>
          </w:tcPr>
          <w:p w14:paraId="6063469C"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2.3, 2.4</w:t>
            </w:r>
          </w:p>
        </w:tc>
        <w:tc>
          <w:tcPr>
            <w:tcW w:w="859" w:type="dxa"/>
            <w:tcBorders>
              <w:top w:val="nil"/>
              <w:left w:val="nil"/>
              <w:bottom w:val="nil"/>
              <w:right w:val="nil"/>
            </w:tcBorders>
            <w:shd w:val="clear" w:color="auto" w:fill="E6E6E6"/>
            <w:noWrap/>
            <w:vAlign w:val="bottom"/>
            <w:hideMark/>
          </w:tcPr>
          <w:p w14:paraId="5B98BC84" w14:textId="14272304" w:rsidR="004A16F1" w:rsidRPr="00E2297F"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0D84F8BC" w14:textId="77777777" w:rsidR="004A16F1" w:rsidRPr="00E2297F"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41470389" w14:textId="3C770AD3" w:rsidR="004A16F1" w:rsidRPr="00E2297F"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5C5F844C" w14:textId="77777777" w:rsidR="004A16F1" w:rsidRPr="00E2297F"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5763362B" w14:textId="3DE7073C" w:rsidR="004A16F1" w:rsidRPr="00E2297F" w:rsidRDefault="004A16F1" w:rsidP="004A16F1">
            <w:pPr>
              <w:spacing w:after="0" w:line="240" w:lineRule="auto"/>
              <w:jc w:val="right"/>
              <w:rPr>
                <w:rFonts w:ascii="Arial" w:hAnsi="Arial" w:cs="Arial"/>
                <w:bCs/>
                <w:sz w:val="16"/>
                <w:szCs w:val="16"/>
              </w:rPr>
            </w:pPr>
          </w:p>
        </w:tc>
      </w:tr>
      <w:tr w:rsidR="00C25D74" w:rsidRPr="004A16F1" w14:paraId="313459CE" w14:textId="77777777" w:rsidTr="00436AC0">
        <w:trPr>
          <w:trHeight w:val="204"/>
        </w:trPr>
        <w:tc>
          <w:tcPr>
            <w:tcW w:w="2127" w:type="dxa"/>
            <w:tcBorders>
              <w:top w:val="nil"/>
              <w:left w:val="nil"/>
              <w:bottom w:val="nil"/>
              <w:right w:val="nil"/>
            </w:tcBorders>
            <w:shd w:val="clear" w:color="auto" w:fill="auto"/>
            <w:noWrap/>
            <w:vAlign w:val="bottom"/>
            <w:hideMark/>
          </w:tcPr>
          <w:p w14:paraId="6D2BD064" w14:textId="77777777" w:rsidR="00C25D74" w:rsidRPr="00F7784A" w:rsidRDefault="00C25D74" w:rsidP="00B14412">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bottom w:val="nil"/>
              <w:right w:val="nil"/>
            </w:tcBorders>
            <w:shd w:val="clear" w:color="auto" w:fill="auto"/>
            <w:noWrap/>
            <w:vAlign w:val="bottom"/>
            <w:hideMark/>
          </w:tcPr>
          <w:p w14:paraId="44E677DA" w14:textId="77777777" w:rsidR="00C25D74" w:rsidRPr="00E2297F" w:rsidRDefault="00C25D74" w:rsidP="00B14412">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5890B2D9" w14:textId="25A00483" w:rsidR="00C25D74" w:rsidRPr="00E2297F" w:rsidRDefault="00D7504F" w:rsidP="00B14412">
            <w:pPr>
              <w:spacing w:after="0" w:line="240" w:lineRule="auto"/>
              <w:jc w:val="right"/>
              <w:rPr>
                <w:rFonts w:ascii="Arial" w:hAnsi="Arial" w:cs="Arial"/>
                <w:bCs/>
                <w:sz w:val="16"/>
                <w:szCs w:val="16"/>
              </w:rPr>
            </w:pPr>
            <w:r>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422A01B4" w14:textId="77777777" w:rsidR="00C25D74" w:rsidRPr="00E2297F" w:rsidRDefault="00C25D74" w:rsidP="00B14412">
            <w:pPr>
              <w:spacing w:after="0" w:line="240" w:lineRule="auto"/>
              <w:jc w:val="right"/>
              <w:rPr>
                <w:rFonts w:ascii="Arial" w:hAnsi="Arial" w:cs="Arial"/>
                <w:bCs/>
                <w:sz w:val="16"/>
                <w:szCs w:val="16"/>
              </w:rPr>
            </w:pPr>
            <w:r w:rsidRPr="00E2297F">
              <w:rPr>
                <w:rFonts w:ascii="Arial" w:hAnsi="Arial" w:cs="Arial"/>
                <w:bCs/>
                <w:sz w:val="16"/>
                <w:szCs w:val="16"/>
              </w:rPr>
              <w:t>20,000</w:t>
            </w:r>
          </w:p>
        </w:tc>
        <w:tc>
          <w:tcPr>
            <w:tcW w:w="1014" w:type="dxa"/>
            <w:tcBorders>
              <w:top w:val="nil"/>
              <w:left w:val="nil"/>
              <w:bottom w:val="nil"/>
              <w:right w:val="nil"/>
            </w:tcBorders>
            <w:shd w:val="clear" w:color="auto" w:fill="E6E6E6"/>
            <w:noWrap/>
            <w:vAlign w:val="bottom"/>
            <w:hideMark/>
          </w:tcPr>
          <w:p w14:paraId="60902C2F" w14:textId="77777777" w:rsidR="00C25D74" w:rsidRPr="00E2297F" w:rsidRDefault="00C25D74" w:rsidP="00B14412">
            <w:pPr>
              <w:spacing w:after="0" w:line="240" w:lineRule="auto"/>
              <w:jc w:val="right"/>
              <w:rPr>
                <w:rFonts w:ascii="Arial" w:hAnsi="Arial" w:cs="Arial"/>
                <w:bCs/>
                <w:sz w:val="16"/>
                <w:szCs w:val="16"/>
              </w:rPr>
            </w:pPr>
            <w:r w:rsidRPr="00E2297F">
              <w:rPr>
                <w:rFonts w:ascii="Arial" w:hAnsi="Arial" w:cs="Arial"/>
                <w:bCs/>
                <w:sz w:val="16"/>
                <w:szCs w:val="16"/>
              </w:rPr>
              <w:t>60,000</w:t>
            </w:r>
          </w:p>
        </w:tc>
        <w:tc>
          <w:tcPr>
            <w:tcW w:w="1014" w:type="dxa"/>
            <w:tcBorders>
              <w:top w:val="nil"/>
              <w:left w:val="nil"/>
              <w:bottom w:val="nil"/>
              <w:right w:val="nil"/>
            </w:tcBorders>
            <w:shd w:val="clear" w:color="auto" w:fill="auto"/>
            <w:noWrap/>
            <w:vAlign w:val="bottom"/>
            <w:hideMark/>
          </w:tcPr>
          <w:p w14:paraId="15FBE018" w14:textId="77777777" w:rsidR="00C25D74" w:rsidRPr="00E2297F" w:rsidRDefault="00C25D74" w:rsidP="00B14412">
            <w:pPr>
              <w:spacing w:after="0" w:line="240" w:lineRule="auto"/>
              <w:jc w:val="right"/>
              <w:rPr>
                <w:rFonts w:ascii="Arial" w:hAnsi="Arial" w:cs="Arial"/>
                <w:bCs/>
                <w:sz w:val="16"/>
                <w:szCs w:val="16"/>
              </w:rPr>
            </w:pPr>
            <w:r w:rsidRPr="00E2297F">
              <w:rPr>
                <w:rFonts w:ascii="Arial" w:hAnsi="Arial" w:cs="Arial"/>
                <w:bCs/>
                <w:sz w:val="16"/>
                <w:szCs w:val="16"/>
              </w:rPr>
              <w:t>40,000</w:t>
            </w:r>
          </w:p>
        </w:tc>
        <w:tc>
          <w:tcPr>
            <w:tcW w:w="863" w:type="dxa"/>
            <w:tcBorders>
              <w:top w:val="nil"/>
              <w:left w:val="nil"/>
              <w:bottom w:val="nil"/>
              <w:right w:val="nil"/>
            </w:tcBorders>
            <w:shd w:val="clear" w:color="auto" w:fill="E6E6E6"/>
            <w:noWrap/>
            <w:vAlign w:val="bottom"/>
            <w:hideMark/>
          </w:tcPr>
          <w:p w14:paraId="7AD0A419" w14:textId="77777777" w:rsidR="00C25D74" w:rsidRPr="00E2297F" w:rsidRDefault="00C25D74" w:rsidP="00B14412">
            <w:pPr>
              <w:spacing w:after="0" w:line="240" w:lineRule="auto"/>
              <w:jc w:val="right"/>
              <w:rPr>
                <w:rFonts w:ascii="Arial" w:hAnsi="Arial" w:cs="Arial"/>
                <w:bCs/>
                <w:sz w:val="16"/>
                <w:szCs w:val="16"/>
              </w:rPr>
            </w:pPr>
            <w:r w:rsidRPr="00E2297F">
              <w:rPr>
                <w:rFonts w:ascii="Arial" w:hAnsi="Arial" w:cs="Arial"/>
                <w:bCs/>
                <w:sz w:val="16"/>
                <w:szCs w:val="16"/>
              </w:rPr>
              <w:t>-</w:t>
            </w:r>
          </w:p>
        </w:tc>
      </w:tr>
      <w:tr w:rsidR="004A16F1" w:rsidRPr="004A16F1" w14:paraId="32392E0E" w14:textId="77777777" w:rsidTr="00436AC0">
        <w:trPr>
          <w:trHeight w:val="204"/>
        </w:trPr>
        <w:tc>
          <w:tcPr>
            <w:tcW w:w="2127" w:type="dxa"/>
            <w:tcBorders>
              <w:top w:val="nil"/>
              <w:left w:val="nil"/>
              <w:bottom w:val="nil"/>
              <w:right w:val="nil"/>
            </w:tcBorders>
            <w:shd w:val="clear" w:color="auto" w:fill="auto"/>
            <w:noWrap/>
            <w:vAlign w:val="bottom"/>
            <w:hideMark/>
          </w:tcPr>
          <w:p w14:paraId="75595647"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Departmental payments</w:t>
            </w:r>
          </w:p>
        </w:tc>
        <w:tc>
          <w:tcPr>
            <w:tcW w:w="907" w:type="dxa"/>
            <w:tcBorders>
              <w:top w:val="nil"/>
              <w:left w:val="nil"/>
              <w:bottom w:val="nil"/>
              <w:right w:val="nil"/>
            </w:tcBorders>
            <w:shd w:val="clear" w:color="auto" w:fill="auto"/>
            <w:noWrap/>
            <w:vAlign w:val="bottom"/>
            <w:hideMark/>
          </w:tcPr>
          <w:p w14:paraId="7F4FC79E"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32A9F2E8" w14:textId="630D66AE" w:rsidR="004A16F1" w:rsidRPr="00E2297F" w:rsidRDefault="004A16F1" w:rsidP="00E2297F">
            <w:pPr>
              <w:spacing w:after="0" w:line="240" w:lineRule="auto"/>
              <w:jc w:val="right"/>
              <w:rPr>
                <w:rFonts w:ascii="Arial" w:hAnsi="Arial" w:cs="Arial"/>
                <w:bCs/>
                <w:sz w:val="16"/>
                <w:szCs w:val="16"/>
              </w:rPr>
            </w:pPr>
            <w:r w:rsidRPr="00E2297F">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3CD88785" w14:textId="142911E8"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3,134</w:t>
            </w:r>
          </w:p>
        </w:tc>
        <w:tc>
          <w:tcPr>
            <w:tcW w:w="1014" w:type="dxa"/>
            <w:tcBorders>
              <w:top w:val="nil"/>
              <w:left w:val="nil"/>
              <w:bottom w:val="nil"/>
              <w:right w:val="nil"/>
            </w:tcBorders>
            <w:shd w:val="clear" w:color="auto" w:fill="E6E6E6"/>
            <w:noWrap/>
            <w:vAlign w:val="bottom"/>
            <w:hideMark/>
          </w:tcPr>
          <w:p w14:paraId="59D3DFF8" w14:textId="06A0ABF4"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3,907</w:t>
            </w:r>
          </w:p>
        </w:tc>
        <w:tc>
          <w:tcPr>
            <w:tcW w:w="1014" w:type="dxa"/>
            <w:tcBorders>
              <w:top w:val="nil"/>
              <w:left w:val="nil"/>
              <w:bottom w:val="nil"/>
              <w:right w:val="nil"/>
            </w:tcBorders>
            <w:shd w:val="clear" w:color="auto" w:fill="auto"/>
            <w:noWrap/>
            <w:vAlign w:val="bottom"/>
            <w:hideMark/>
          </w:tcPr>
          <w:p w14:paraId="30440117" w14:textId="5CF16BBB"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w:t>
            </w:r>
          </w:p>
        </w:tc>
        <w:tc>
          <w:tcPr>
            <w:tcW w:w="863" w:type="dxa"/>
            <w:tcBorders>
              <w:top w:val="nil"/>
              <w:left w:val="nil"/>
              <w:bottom w:val="nil"/>
              <w:right w:val="nil"/>
            </w:tcBorders>
            <w:shd w:val="clear" w:color="auto" w:fill="E6E6E6"/>
            <w:noWrap/>
            <w:vAlign w:val="bottom"/>
            <w:hideMark/>
          </w:tcPr>
          <w:p w14:paraId="3BEA9A96" w14:textId="34BED8B3"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w:t>
            </w:r>
          </w:p>
        </w:tc>
      </w:tr>
      <w:tr w:rsidR="004A16F1" w:rsidRPr="004A16F1" w14:paraId="06F39145" w14:textId="77777777" w:rsidTr="00436AC0">
        <w:trPr>
          <w:trHeight w:val="204"/>
        </w:trPr>
        <w:tc>
          <w:tcPr>
            <w:tcW w:w="2127" w:type="dxa"/>
            <w:tcBorders>
              <w:top w:val="nil"/>
              <w:left w:val="nil"/>
              <w:bottom w:val="nil"/>
              <w:right w:val="nil"/>
            </w:tcBorders>
            <w:shd w:val="clear" w:color="auto" w:fill="auto"/>
            <w:noWrap/>
            <w:vAlign w:val="bottom"/>
            <w:hideMark/>
          </w:tcPr>
          <w:p w14:paraId="06105A3A"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3C620C95"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18897BBC" w14:textId="0C5E3F07"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6D5C9956" w14:textId="16A4A50B"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23,134</w:t>
            </w:r>
          </w:p>
        </w:tc>
        <w:tc>
          <w:tcPr>
            <w:tcW w:w="1014" w:type="dxa"/>
            <w:tcBorders>
              <w:top w:val="nil"/>
              <w:left w:val="nil"/>
              <w:bottom w:val="nil"/>
              <w:right w:val="nil"/>
            </w:tcBorders>
            <w:shd w:val="clear" w:color="auto" w:fill="E6E6E6"/>
            <w:noWrap/>
            <w:vAlign w:val="bottom"/>
            <w:hideMark/>
          </w:tcPr>
          <w:p w14:paraId="1473615F" w14:textId="455C64FF"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63,907</w:t>
            </w:r>
          </w:p>
        </w:tc>
        <w:tc>
          <w:tcPr>
            <w:tcW w:w="1014" w:type="dxa"/>
            <w:tcBorders>
              <w:top w:val="nil"/>
              <w:left w:val="nil"/>
              <w:bottom w:val="nil"/>
              <w:right w:val="nil"/>
            </w:tcBorders>
            <w:shd w:val="clear" w:color="auto" w:fill="auto"/>
            <w:noWrap/>
            <w:vAlign w:val="bottom"/>
            <w:hideMark/>
          </w:tcPr>
          <w:p w14:paraId="296B26FF" w14:textId="049B67DA"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40,000</w:t>
            </w:r>
          </w:p>
        </w:tc>
        <w:tc>
          <w:tcPr>
            <w:tcW w:w="863" w:type="dxa"/>
            <w:tcBorders>
              <w:top w:val="nil"/>
              <w:left w:val="nil"/>
              <w:bottom w:val="nil"/>
              <w:right w:val="nil"/>
            </w:tcBorders>
            <w:shd w:val="clear" w:color="auto" w:fill="E6E6E6"/>
            <w:noWrap/>
            <w:vAlign w:val="bottom"/>
            <w:hideMark/>
          </w:tcPr>
          <w:p w14:paraId="0EC3C1EE" w14:textId="58EBC82C"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w:t>
            </w:r>
          </w:p>
        </w:tc>
      </w:tr>
      <w:tr w:rsidR="004A16F1" w:rsidRPr="004A16F1" w14:paraId="6679151D" w14:textId="77777777" w:rsidTr="00436AC0">
        <w:trPr>
          <w:trHeight w:val="204"/>
        </w:trPr>
        <w:tc>
          <w:tcPr>
            <w:tcW w:w="2127" w:type="dxa"/>
            <w:tcBorders>
              <w:top w:val="nil"/>
              <w:left w:val="nil"/>
              <w:bottom w:val="nil"/>
              <w:right w:val="nil"/>
            </w:tcBorders>
            <w:shd w:val="clear" w:color="auto" w:fill="auto"/>
            <w:noWrap/>
            <w:vAlign w:val="bottom"/>
            <w:hideMark/>
          </w:tcPr>
          <w:p w14:paraId="4918B452" w14:textId="2F95D92E"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Supporting Local News and Community</w:t>
            </w:r>
            <w:r w:rsidR="008452B1" w:rsidRPr="008452B1">
              <w:rPr>
                <w:rFonts w:ascii="Arial" w:hAnsi="Arial" w:cs="Arial"/>
                <w:bCs/>
                <w:sz w:val="16"/>
                <w:szCs w:val="16"/>
                <w:vertAlign w:val="superscript"/>
              </w:rPr>
              <w:t xml:space="preserve"> </w:t>
            </w:r>
            <w:r w:rsidRPr="00F7784A">
              <w:rPr>
                <w:rFonts w:ascii="Arial" w:hAnsi="Arial" w:cs="Arial"/>
                <w:bCs/>
                <w:sz w:val="16"/>
                <w:szCs w:val="16"/>
              </w:rPr>
              <w:t>Broadcasting</w:t>
            </w:r>
          </w:p>
        </w:tc>
        <w:tc>
          <w:tcPr>
            <w:tcW w:w="907" w:type="dxa"/>
            <w:tcBorders>
              <w:top w:val="nil"/>
              <w:left w:val="nil"/>
              <w:bottom w:val="nil"/>
              <w:right w:val="nil"/>
            </w:tcBorders>
            <w:shd w:val="clear" w:color="auto" w:fill="auto"/>
            <w:noWrap/>
            <w:vAlign w:val="bottom"/>
            <w:hideMark/>
          </w:tcPr>
          <w:p w14:paraId="53CA86BA"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5.1</w:t>
            </w:r>
          </w:p>
        </w:tc>
        <w:tc>
          <w:tcPr>
            <w:tcW w:w="859" w:type="dxa"/>
            <w:tcBorders>
              <w:top w:val="nil"/>
              <w:left w:val="nil"/>
              <w:bottom w:val="nil"/>
              <w:right w:val="nil"/>
            </w:tcBorders>
            <w:shd w:val="clear" w:color="auto" w:fill="E6E6E6"/>
            <w:noWrap/>
            <w:vAlign w:val="bottom"/>
            <w:hideMark/>
          </w:tcPr>
          <w:p w14:paraId="1B9F7EB7" w14:textId="686B1FBE" w:rsidR="004A16F1" w:rsidRPr="00E2297F"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50CCF098" w14:textId="77777777" w:rsidR="004A16F1" w:rsidRPr="00E2297F"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6136E74F" w14:textId="70AD9B1B" w:rsidR="004A16F1" w:rsidRPr="00E2297F"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1254B7B7" w14:textId="77777777" w:rsidR="004A16F1" w:rsidRPr="00E2297F"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57189E2D" w14:textId="4F2447E7" w:rsidR="004A16F1" w:rsidRPr="00E2297F" w:rsidRDefault="004A16F1" w:rsidP="004A16F1">
            <w:pPr>
              <w:spacing w:after="0" w:line="240" w:lineRule="auto"/>
              <w:jc w:val="right"/>
              <w:rPr>
                <w:rFonts w:ascii="Arial" w:hAnsi="Arial" w:cs="Arial"/>
                <w:bCs/>
                <w:sz w:val="16"/>
                <w:szCs w:val="16"/>
              </w:rPr>
            </w:pPr>
          </w:p>
        </w:tc>
      </w:tr>
      <w:tr w:rsidR="004A16F1" w:rsidRPr="004A16F1" w14:paraId="4455CEBF" w14:textId="77777777" w:rsidTr="00436AC0">
        <w:trPr>
          <w:trHeight w:val="204"/>
        </w:trPr>
        <w:tc>
          <w:tcPr>
            <w:tcW w:w="2127" w:type="dxa"/>
            <w:tcBorders>
              <w:top w:val="nil"/>
              <w:left w:val="nil"/>
              <w:bottom w:val="nil"/>
              <w:right w:val="nil"/>
            </w:tcBorders>
            <w:shd w:val="clear" w:color="auto" w:fill="auto"/>
            <w:noWrap/>
            <w:vAlign w:val="bottom"/>
            <w:hideMark/>
          </w:tcPr>
          <w:p w14:paraId="4E2BE189" w14:textId="77777777" w:rsidR="004A16F1" w:rsidRPr="00F7784A" w:rsidRDefault="004A16F1" w:rsidP="00F7784A">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bottom w:val="nil"/>
              <w:right w:val="nil"/>
            </w:tcBorders>
            <w:shd w:val="clear" w:color="auto" w:fill="auto"/>
            <w:noWrap/>
            <w:vAlign w:val="bottom"/>
            <w:hideMark/>
          </w:tcPr>
          <w:p w14:paraId="0478231C"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0FE79096" w14:textId="3DE754BD" w:rsidR="004A16F1" w:rsidRPr="00E2297F" w:rsidRDefault="004A16F1" w:rsidP="00E2297F">
            <w:pPr>
              <w:spacing w:after="0" w:line="240" w:lineRule="auto"/>
              <w:jc w:val="right"/>
              <w:rPr>
                <w:rFonts w:ascii="Arial" w:hAnsi="Arial" w:cs="Arial"/>
                <w:bCs/>
                <w:sz w:val="16"/>
                <w:szCs w:val="16"/>
              </w:rPr>
            </w:pPr>
            <w:r w:rsidRPr="00E2297F">
              <w:rPr>
                <w:rFonts w:ascii="Arial" w:hAnsi="Arial" w:cs="Arial"/>
                <w:bCs/>
                <w:sz w:val="16"/>
                <w:szCs w:val="16"/>
              </w:rPr>
              <w:t>-</w:t>
            </w:r>
          </w:p>
        </w:tc>
        <w:tc>
          <w:tcPr>
            <w:tcW w:w="1014" w:type="dxa"/>
            <w:tcBorders>
              <w:top w:val="nil"/>
              <w:left w:val="nil"/>
              <w:bottom w:val="nil"/>
              <w:right w:val="nil"/>
            </w:tcBorders>
            <w:shd w:val="clear" w:color="auto" w:fill="auto"/>
            <w:noWrap/>
            <w:vAlign w:val="bottom"/>
            <w:hideMark/>
          </w:tcPr>
          <w:p w14:paraId="41A292CC" w14:textId="6EAABF1C"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15,000</w:t>
            </w:r>
          </w:p>
        </w:tc>
        <w:tc>
          <w:tcPr>
            <w:tcW w:w="1014" w:type="dxa"/>
            <w:tcBorders>
              <w:top w:val="nil"/>
              <w:left w:val="nil"/>
              <w:bottom w:val="nil"/>
              <w:right w:val="nil"/>
            </w:tcBorders>
            <w:shd w:val="clear" w:color="auto" w:fill="E6E6E6"/>
            <w:noWrap/>
            <w:vAlign w:val="bottom"/>
            <w:hideMark/>
          </w:tcPr>
          <w:p w14:paraId="14E680D1" w14:textId="277276F5"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4,000</w:t>
            </w:r>
          </w:p>
        </w:tc>
        <w:tc>
          <w:tcPr>
            <w:tcW w:w="1014" w:type="dxa"/>
            <w:tcBorders>
              <w:top w:val="nil"/>
              <w:left w:val="nil"/>
              <w:bottom w:val="nil"/>
              <w:right w:val="nil"/>
            </w:tcBorders>
            <w:shd w:val="clear" w:color="auto" w:fill="auto"/>
            <w:noWrap/>
            <w:vAlign w:val="bottom"/>
            <w:hideMark/>
          </w:tcPr>
          <w:p w14:paraId="69E88A32" w14:textId="6D4A4A20"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4,000</w:t>
            </w:r>
          </w:p>
        </w:tc>
        <w:tc>
          <w:tcPr>
            <w:tcW w:w="863" w:type="dxa"/>
            <w:tcBorders>
              <w:top w:val="nil"/>
              <w:left w:val="nil"/>
              <w:bottom w:val="nil"/>
              <w:right w:val="nil"/>
            </w:tcBorders>
            <w:shd w:val="clear" w:color="auto" w:fill="E6E6E6"/>
            <w:noWrap/>
            <w:vAlign w:val="bottom"/>
            <w:hideMark/>
          </w:tcPr>
          <w:p w14:paraId="190A89D1" w14:textId="560AA582" w:rsidR="004A16F1" w:rsidRPr="00E2297F" w:rsidRDefault="004A16F1" w:rsidP="004A16F1">
            <w:pPr>
              <w:spacing w:after="0" w:line="240" w:lineRule="auto"/>
              <w:jc w:val="right"/>
              <w:rPr>
                <w:rFonts w:ascii="Arial" w:hAnsi="Arial" w:cs="Arial"/>
                <w:bCs/>
                <w:sz w:val="16"/>
                <w:szCs w:val="16"/>
              </w:rPr>
            </w:pPr>
            <w:r w:rsidRPr="00E2297F">
              <w:rPr>
                <w:rFonts w:ascii="Arial" w:hAnsi="Arial" w:cs="Arial"/>
                <w:bCs/>
                <w:sz w:val="16"/>
                <w:szCs w:val="16"/>
              </w:rPr>
              <w:t>4,000</w:t>
            </w:r>
          </w:p>
        </w:tc>
      </w:tr>
      <w:tr w:rsidR="004A16F1" w:rsidRPr="004A16F1" w14:paraId="26A1077A" w14:textId="77777777" w:rsidTr="00436AC0">
        <w:trPr>
          <w:trHeight w:val="204"/>
        </w:trPr>
        <w:tc>
          <w:tcPr>
            <w:tcW w:w="2127" w:type="dxa"/>
            <w:tcBorders>
              <w:top w:val="nil"/>
              <w:left w:val="nil"/>
              <w:bottom w:val="nil"/>
              <w:right w:val="nil"/>
            </w:tcBorders>
            <w:shd w:val="clear" w:color="auto" w:fill="auto"/>
            <w:noWrap/>
            <w:vAlign w:val="bottom"/>
            <w:hideMark/>
          </w:tcPr>
          <w:p w14:paraId="2AE95B97" w14:textId="77777777" w:rsidR="004A16F1" w:rsidRPr="004A16F1" w:rsidRDefault="004A16F1" w:rsidP="003B0EDB">
            <w:pPr>
              <w:spacing w:after="6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nil"/>
              <w:right w:val="nil"/>
            </w:tcBorders>
            <w:shd w:val="clear" w:color="auto" w:fill="auto"/>
            <w:noWrap/>
            <w:vAlign w:val="bottom"/>
            <w:hideMark/>
          </w:tcPr>
          <w:p w14:paraId="556B8067"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nil"/>
              <w:right w:val="nil"/>
            </w:tcBorders>
            <w:shd w:val="clear" w:color="auto" w:fill="E6E6E6"/>
            <w:noWrap/>
            <w:vAlign w:val="bottom"/>
            <w:hideMark/>
          </w:tcPr>
          <w:p w14:paraId="1829D360" w14:textId="717C5E0A"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nil"/>
              <w:right w:val="nil"/>
            </w:tcBorders>
            <w:shd w:val="clear" w:color="auto" w:fill="auto"/>
            <w:noWrap/>
            <w:vAlign w:val="bottom"/>
            <w:hideMark/>
          </w:tcPr>
          <w:p w14:paraId="179EC931" w14:textId="4B30A2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15,000</w:t>
            </w:r>
          </w:p>
        </w:tc>
        <w:tc>
          <w:tcPr>
            <w:tcW w:w="1014" w:type="dxa"/>
            <w:tcBorders>
              <w:top w:val="nil"/>
              <w:left w:val="nil"/>
              <w:bottom w:val="nil"/>
              <w:right w:val="nil"/>
            </w:tcBorders>
            <w:shd w:val="clear" w:color="auto" w:fill="E6E6E6"/>
            <w:noWrap/>
            <w:vAlign w:val="bottom"/>
            <w:hideMark/>
          </w:tcPr>
          <w:p w14:paraId="419922EF" w14:textId="23D57A63"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4,000</w:t>
            </w:r>
          </w:p>
        </w:tc>
        <w:tc>
          <w:tcPr>
            <w:tcW w:w="1014" w:type="dxa"/>
            <w:tcBorders>
              <w:top w:val="nil"/>
              <w:left w:val="nil"/>
              <w:bottom w:val="nil"/>
              <w:right w:val="nil"/>
            </w:tcBorders>
            <w:shd w:val="clear" w:color="auto" w:fill="auto"/>
            <w:noWrap/>
            <w:vAlign w:val="bottom"/>
            <w:hideMark/>
          </w:tcPr>
          <w:p w14:paraId="2ADE0544" w14:textId="4FC4E28F"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4,000</w:t>
            </w:r>
          </w:p>
        </w:tc>
        <w:tc>
          <w:tcPr>
            <w:tcW w:w="863" w:type="dxa"/>
            <w:tcBorders>
              <w:top w:val="nil"/>
              <w:left w:val="nil"/>
              <w:bottom w:val="nil"/>
              <w:right w:val="nil"/>
            </w:tcBorders>
            <w:shd w:val="clear" w:color="auto" w:fill="E6E6E6"/>
            <w:noWrap/>
            <w:vAlign w:val="bottom"/>
            <w:hideMark/>
          </w:tcPr>
          <w:p w14:paraId="227CBE66" w14:textId="4F346370"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4,000</w:t>
            </w:r>
          </w:p>
        </w:tc>
      </w:tr>
      <w:tr w:rsidR="004A16F1" w:rsidRPr="00F7784A" w14:paraId="1775F2C1" w14:textId="77777777" w:rsidTr="00436AC0">
        <w:trPr>
          <w:trHeight w:val="204"/>
        </w:trPr>
        <w:tc>
          <w:tcPr>
            <w:tcW w:w="2127" w:type="dxa"/>
            <w:tcBorders>
              <w:top w:val="nil"/>
              <w:left w:val="nil"/>
              <w:bottom w:val="nil"/>
              <w:right w:val="nil"/>
            </w:tcBorders>
            <w:shd w:val="clear" w:color="auto" w:fill="auto"/>
            <w:noWrap/>
            <w:vAlign w:val="bottom"/>
            <w:hideMark/>
          </w:tcPr>
          <w:p w14:paraId="0AA8A48C" w14:textId="77777777" w:rsidR="004A16F1" w:rsidRPr="00F7784A" w:rsidRDefault="004A16F1" w:rsidP="004A16F1">
            <w:pPr>
              <w:spacing w:after="0" w:line="240" w:lineRule="auto"/>
              <w:rPr>
                <w:rFonts w:ascii="Arial" w:hAnsi="Arial" w:cs="Arial"/>
                <w:bCs/>
                <w:sz w:val="16"/>
                <w:szCs w:val="16"/>
              </w:rPr>
            </w:pPr>
            <w:r w:rsidRPr="00F7784A">
              <w:rPr>
                <w:rFonts w:ascii="Arial" w:hAnsi="Arial" w:cs="Arial"/>
                <w:bCs/>
                <w:sz w:val="16"/>
                <w:szCs w:val="16"/>
              </w:rPr>
              <w:t>Supporting the Arts</w:t>
            </w:r>
          </w:p>
        </w:tc>
        <w:tc>
          <w:tcPr>
            <w:tcW w:w="907" w:type="dxa"/>
            <w:tcBorders>
              <w:top w:val="nil"/>
              <w:left w:val="nil"/>
              <w:bottom w:val="nil"/>
              <w:right w:val="nil"/>
            </w:tcBorders>
            <w:shd w:val="clear" w:color="auto" w:fill="auto"/>
            <w:noWrap/>
            <w:vAlign w:val="bottom"/>
            <w:hideMark/>
          </w:tcPr>
          <w:p w14:paraId="02BD3E71" w14:textId="77777777" w:rsidR="004A16F1" w:rsidRPr="00E2297F" w:rsidRDefault="004A16F1" w:rsidP="00E2297F">
            <w:pPr>
              <w:spacing w:after="0" w:line="240" w:lineRule="auto"/>
              <w:jc w:val="center"/>
              <w:rPr>
                <w:rFonts w:ascii="Arial" w:hAnsi="Arial" w:cs="Arial"/>
                <w:bCs/>
                <w:sz w:val="16"/>
                <w:szCs w:val="16"/>
              </w:rPr>
            </w:pPr>
            <w:r w:rsidRPr="00E2297F">
              <w:rPr>
                <w:rFonts w:ascii="Arial" w:hAnsi="Arial" w:cs="Arial"/>
                <w:bCs/>
                <w:sz w:val="16"/>
                <w:szCs w:val="16"/>
              </w:rPr>
              <w:t>6.1</w:t>
            </w:r>
          </w:p>
        </w:tc>
        <w:tc>
          <w:tcPr>
            <w:tcW w:w="859" w:type="dxa"/>
            <w:tcBorders>
              <w:top w:val="nil"/>
              <w:left w:val="nil"/>
              <w:bottom w:val="nil"/>
              <w:right w:val="nil"/>
            </w:tcBorders>
            <w:shd w:val="clear" w:color="auto" w:fill="E6E6E6"/>
            <w:noWrap/>
            <w:vAlign w:val="bottom"/>
            <w:hideMark/>
          </w:tcPr>
          <w:p w14:paraId="311135A4" w14:textId="27D79136" w:rsidR="004A16F1" w:rsidRPr="00F7784A" w:rsidRDefault="004A16F1" w:rsidP="00E2297F">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7C439E15" w14:textId="77777777"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491483BD" w14:textId="13EA9013" w:rsidR="004A16F1" w:rsidRPr="00F7784A"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auto"/>
            <w:noWrap/>
            <w:vAlign w:val="bottom"/>
            <w:hideMark/>
          </w:tcPr>
          <w:p w14:paraId="330ECA18" w14:textId="77777777" w:rsidR="004A16F1" w:rsidRPr="00F7784A" w:rsidRDefault="004A16F1" w:rsidP="004A16F1">
            <w:pPr>
              <w:spacing w:after="0" w:line="240" w:lineRule="auto"/>
              <w:jc w:val="right"/>
              <w:rPr>
                <w:rFonts w:ascii="Arial" w:hAnsi="Arial" w:cs="Arial"/>
                <w:bCs/>
                <w:sz w:val="16"/>
                <w:szCs w:val="16"/>
              </w:rPr>
            </w:pPr>
          </w:p>
        </w:tc>
        <w:tc>
          <w:tcPr>
            <w:tcW w:w="863" w:type="dxa"/>
            <w:tcBorders>
              <w:top w:val="nil"/>
              <w:left w:val="nil"/>
              <w:bottom w:val="nil"/>
              <w:right w:val="nil"/>
            </w:tcBorders>
            <w:shd w:val="clear" w:color="auto" w:fill="E6E6E6"/>
            <w:noWrap/>
            <w:vAlign w:val="bottom"/>
            <w:hideMark/>
          </w:tcPr>
          <w:p w14:paraId="596BCBCA" w14:textId="28A5D902" w:rsidR="004A16F1" w:rsidRPr="00F7784A" w:rsidRDefault="004A16F1" w:rsidP="004A16F1">
            <w:pPr>
              <w:spacing w:after="0" w:line="240" w:lineRule="auto"/>
              <w:jc w:val="right"/>
              <w:rPr>
                <w:rFonts w:ascii="Arial" w:hAnsi="Arial" w:cs="Arial"/>
                <w:bCs/>
                <w:sz w:val="16"/>
                <w:szCs w:val="16"/>
              </w:rPr>
            </w:pPr>
          </w:p>
        </w:tc>
      </w:tr>
      <w:tr w:rsidR="004A16F1" w:rsidRPr="00F7784A" w14:paraId="5EEA92E0" w14:textId="77777777" w:rsidTr="00436AC0">
        <w:trPr>
          <w:trHeight w:val="204"/>
        </w:trPr>
        <w:tc>
          <w:tcPr>
            <w:tcW w:w="2127" w:type="dxa"/>
            <w:tcBorders>
              <w:top w:val="nil"/>
              <w:left w:val="nil"/>
              <w:right w:val="nil"/>
            </w:tcBorders>
            <w:shd w:val="clear" w:color="auto" w:fill="auto"/>
            <w:noWrap/>
            <w:vAlign w:val="bottom"/>
            <w:hideMark/>
          </w:tcPr>
          <w:p w14:paraId="22EE9EF2" w14:textId="77777777" w:rsidR="004A16F1" w:rsidRPr="00F7784A" w:rsidRDefault="004A16F1" w:rsidP="00E2297F">
            <w:pPr>
              <w:spacing w:after="0" w:line="240" w:lineRule="auto"/>
              <w:ind w:left="113"/>
              <w:rPr>
                <w:rFonts w:ascii="Arial" w:hAnsi="Arial" w:cs="Arial"/>
                <w:bCs/>
                <w:sz w:val="16"/>
                <w:szCs w:val="16"/>
              </w:rPr>
            </w:pPr>
            <w:r w:rsidRPr="00F7784A">
              <w:rPr>
                <w:rFonts w:ascii="Arial" w:hAnsi="Arial" w:cs="Arial"/>
                <w:bCs/>
                <w:sz w:val="16"/>
                <w:szCs w:val="16"/>
              </w:rPr>
              <w:t>Administered payments</w:t>
            </w:r>
          </w:p>
        </w:tc>
        <w:tc>
          <w:tcPr>
            <w:tcW w:w="907" w:type="dxa"/>
            <w:tcBorders>
              <w:top w:val="nil"/>
              <w:left w:val="nil"/>
              <w:right w:val="nil"/>
            </w:tcBorders>
            <w:shd w:val="clear" w:color="auto" w:fill="auto"/>
            <w:noWrap/>
            <w:vAlign w:val="bottom"/>
            <w:hideMark/>
          </w:tcPr>
          <w:p w14:paraId="375472AC" w14:textId="77777777" w:rsidR="004A16F1" w:rsidRPr="00E2297F" w:rsidRDefault="004A16F1" w:rsidP="00E2297F">
            <w:pPr>
              <w:spacing w:after="0" w:line="240" w:lineRule="auto"/>
              <w:ind w:left="113"/>
              <w:jc w:val="center"/>
              <w:rPr>
                <w:rFonts w:ascii="Arial" w:hAnsi="Arial" w:cs="Arial"/>
                <w:bCs/>
                <w:sz w:val="16"/>
                <w:szCs w:val="16"/>
              </w:rPr>
            </w:pPr>
          </w:p>
        </w:tc>
        <w:tc>
          <w:tcPr>
            <w:tcW w:w="859" w:type="dxa"/>
            <w:tcBorders>
              <w:top w:val="nil"/>
              <w:left w:val="nil"/>
              <w:right w:val="nil"/>
            </w:tcBorders>
            <w:shd w:val="clear" w:color="auto" w:fill="E6E6E6"/>
            <w:noWrap/>
            <w:vAlign w:val="bottom"/>
            <w:hideMark/>
          </w:tcPr>
          <w:p w14:paraId="3DBFF246" w14:textId="7D82ECBA"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w:t>
            </w:r>
          </w:p>
        </w:tc>
        <w:tc>
          <w:tcPr>
            <w:tcW w:w="1014" w:type="dxa"/>
            <w:tcBorders>
              <w:top w:val="nil"/>
              <w:left w:val="nil"/>
              <w:right w:val="nil"/>
            </w:tcBorders>
            <w:shd w:val="clear" w:color="auto" w:fill="auto"/>
            <w:noWrap/>
            <w:vAlign w:val="bottom"/>
            <w:hideMark/>
          </w:tcPr>
          <w:p w14:paraId="07BE2D57" w14:textId="77777777"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(5,373)</w:t>
            </w:r>
          </w:p>
        </w:tc>
        <w:tc>
          <w:tcPr>
            <w:tcW w:w="1014" w:type="dxa"/>
            <w:tcBorders>
              <w:top w:val="nil"/>
              <w:left w:val="nil"/>
              <w:right w:val="nil"/>
            </w:tcBorders>
            <w:shd w:val="clear" w:color="auto" w:fill="E6E6E6"/>
            <w:noWrap/>
            <w:vAlign w:val="bottom"/>
            <w:hideMark/>
          </w:tcPr>
          <w:p w14:paraId="25DE2824" w14:textId="77777777"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(4,491)</w:t>
            </w:r>
          </w:p>
        </w:tc>
        <w:tc>
          <w:tcPr>
            <w:tcW w:w="1014" w:type="dxa"/>
            <w:tcBorders>
              <w:top w:val="nil"/>
              <w:left w:val="nil"/>
              <w:right w:val="nil"/>
            </w:tcBorders>
            <w:shd w:val="clear" w:color="auto" w:fill="auto"/>
            <w:noWrap/>
            <w:vAlign w:val="bottom"/>
            <w:hideMark/>
          </w:tcPr>
          <w:p w14:paraId="56B6B622" w14:textId="77777777"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(4,369)</w:t>
            </w:r>
          </w:p>
        </w:tc>
        <w:tc>
          <w:tcPr>
            <w:tcW w:w="863" w:type="dxa"/>
            <w:tcBorders>
              <w:top w:val="nil"/>
              <w:left w:val="nil"/>
              <w:right w:val="nil"/>
            </w:tcBorders>
            <w:shd w:val="clear" w:color="auto" w:fill="E6E6E6"/>
            <w:noWrap/>
            <w:vAlign w:val="bottom"/>
            <w:hideMark/>
          </w:tcPr>
          <w:p w14:paraId="3A761403" w14:textId="77777777" w:rsidR="004A16F1" w:rsidRPr="00F7784A" w:rsidRDefault="004A16F1" w:rsidP="00E2297F">
            <w:pPr>
              <w:spacing w:after="0" w:line="240" w:lineRule="auto"/>
              <w:ind w:left="113"/>
              <w:jc w:val="right"/>
              <w:rPr>
                <w:rFonts w:ascii="Arial" w:hAnsi="Arial" w:cs="Arial"/>
                <w:bCs/>
                <w:sz w:val="16"/>
                <w:szCs w:val="16"/>
              </w:rPr>
            </w:pPr>
            <w:r w:rsidRPr="00F7784A">
              <w:rPr>
                <w:rFonts w:ascii="Arial" w:hAnsi="Arial" w:cs="Arial"/>
                <w:bCs/>
                <w:sz w:val="16"/>
                <w:szCs w:val="16"/>
              </w:rPr>
              <w:t>(4,211)</w:t>
            </w:r>
          </w:p>
        </w:tc>
      </w:tr>
      <w:tr w:rsidR="004A16F1" w:rsidRPr="004A16F1" w14:paraId="38061100" w14:textId="77777777" w:rsidTr="00436AC0">
        <w:trPr>
          <w:trHeight w:val="204"/>
        </w:trPr>
        <w:tc>
          <w:tcPr>
            <w:tcW w:w="2127" w:type="dxa"/>
            <w:tcBorders>
              <w:top w:val="nil"/>
              <w:left w:val="nil"/>
              <w:bottom w:val="single" w:sz="4" w:space="0" w:color="auto"/>
              <w:right w:val="nil"/>
            </w:tcBorders>
            <w:shd w:val="clear" w:color="auto" w:fill="auto"/>
            <w:noWrap/>
            <w:vAlign w:val="bottom"/>
            <w:hideMark/>
          </w:tcPr>
          <w:p w14:paraId="681188C5" w14:textId="77777777" w:rsidR="004A16F1" w:rsidRPr="004A16F1" w:rsidRDefault="004A16F1" w:rsidP="004A16F1">
            <w:pPr>
              <w:spacing w:after="0" w:line="240" w:lineRule="auto"/>
              <w:rPr>
                <w:rFonts w:ascii="Arial" w:hAnsi="Arial" w:cs="Arial"/>
                <w:b/>
                <w:bCs/>
                <w:sz w:val="16"/>
                <w:szCs w:val="16"/>
              </w:rPr>
            </w:pPr>
            <w:r w:rsidRPr="004A16F1">
              <w:rPr>
                <w:rFonts w:ascii="Arial" w:hAnsi="Arial" w:cs="Arial"/>
                <w:b/>
                <w:bCs/>
                <w:sz w:val="16"/>
                <w:szCs w:val="16"/>
              </w:rPr>
              <w:t>Total</w:t>
            </w:r>
          </w:p>
        </w:tc>
        <w:tc>
          <w:tcPr>
            <w:tcW w:w="907" w:type="dxa"/>
            <w:tcBorders>
              <w:top w:val="nil"/>
              <w:left w:val="nil"/>
              <w:bottom w:val="single" w:sz="4" w:space="0" w:color="auto"/>
              <w:right w:val="nil"/>
            </w:tcBorders>
            <w:shd w:val="clear" w:color="auto" w:fill="auto"/>
            <w:noWrap/>
            <w:vAlign w:val="bottom"/>
            <w:hideMark/>
          </w:tcPr>
          <w:p w14:paraId="03B8CEE7" w14:textId="77777777" w:rsidR="004A16F1" w:rsidRPr="00E2297F" w:rsidRDefault="004A16F1" w:rsidP="00E2297F">
            <w:pPr>
              <w:spacing w:after="0" w:line="240" w:lineRule="auto"/>
              <w:jc w:val="center"/>
              <w:rPr>
                <w:rFonts w:ascii="Arial" w:hAnsi="Arial" w:cs="Arial"/>
                <w:bCs/>
                <w:sz w:val="16"/>
                <w:szCs w:val="16"/>
              </w:rPr>
            </w:pPr>
          </w:p>
        </w:tc>
        <w:tc>
          <w:tcPr>
            <w:tcW w:w="859" w:type="dxa"/>
            <w:tcBorders>
              <w:top w:val="nil"/>
              <w:left w:val="nil"/>
              <w:bottom w:val="single" w:sz="4" w:space="0" w:color="auto"/>
              <w:right w:val="nil"/>
            </w:tcBorders>
            <w:shd w:val="clear" w:color="auto" w:fill="E6E6E6"/>
            <w:noWrap/>
            <w:vAlign w:val="bottom"/>
            <w:hideMark/>
          </w:tcPr>
          <w:p w14:paraId="63E62585" w14:textId="22C094F5" w:rsidR="004A16F1" w:rsidRPr="004A16F1" w:rsidRDefault="004A16F1" w:rsidP="00E2297F">
            <w:pPr>
              <w:spacing w:after="0" w:line="240" w:lineRule="auto"/>
              <w:jc w:val="right"/>
              <w:rPr>
                <w:rFonts w:ascii="Arial" w:hAnsi="Arial" w:cs="Arial"/>
                <w:b/>
                <w:bCs/>
                <w:sz w:val="16"/>
                <w:szCs w:val="16"/>
              </w:rPr>
            </w:pPr>
            <w:r w:rsidRPr="004A16F1">
              <w:rPr>
                <w:rFonts w:ascii="Arial" w:hAnsi="Arial" w:cs="Arial"/>
                <w:b/>
                <w:bCs/>
                <w:sz w:val="16"/>
                <w:szCs w:val="16"/>
              </w:rPr>
              <w:t>-</w:t>
            </w:r>
          </w:p>
        </w:tc>
        <w:tc>
          <w:tcPr>
            <w:tcW w:w="1014" w:type="dxa"/>
            <w:tcBorders>
              <w:top w:val="nil"/>
              <w:left w:val="nil"/>
              <w:bottom w:val="single" w:sz="4" w:space="0" w:color="auto"/>
              <w:right w:val="nil"/>
            </w:tcBorders>
            <w:shd w:val="clear" w:color="auto" w:fill="auto"/>
            <w:noWrap/>
            <w:vAlign w:val="bottom"/>
            <w:hideMark/>
          </w:tcPr>
          <w:p w14:paraId="0F3A429A"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(5,373)</w:t>
            </w:r>
          </w:p>
        </w:tc>
        <w:tc>
          <w:tcPr>
            <w:tcW w:w="1014" w:type="dxa"/>
            <w:tcBorders>
              <w:top w:val="nil"/>
              <w:left w:val="nil"/>
              <w:bottom w:val="single" w:sz="4" w:space="0" w:color="auto"/>
              <w:right w:val="nil"/>
            </w:tcBorders>
            <w:shd w:val="clear" w:color="auto" w:fill="E6E6E6"/>
            <w:noWrap/>
            <w:vAlign w:val="bottom"/>
            <w:hideMark/>
          </w:tcPr>
          <w:p w14:paraId="4919B4E8"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(4,491)</w:t>
            </w:r>
          </w:p>
        </w:tc>
        <w:tc>
          <w:tcPr>
            <w:tcW w:w="1014" w:type="dxa"/>
            <w:tcBorders>
              <w:top w:val="nil"/>
              <w:left w:val="nil"/>
              <w:bottom w:val="single" w:sz="4" w:space="0" w:color="auto"/>
              <w:right w:val="nil"/>
            </w:tcBorders>
            <w:shd w:val="clear" w:color="auto" w:fill="auto"/>
            <w:noWrap/>
            <w:vAlign w:val="bottom"/>
            <w:hideMark/>
          </w:tcPr>
          <w:p w14:paraId="7A3E1380"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(4,369)</w:t>
            </w:r>
          </w:p>
        </w:tc>
        <w:tc>
          <w:tcPr>
            <w:tcW w:w="863" w:type="dxa"/>
            <w:tcBorders>
              <w:top w:val="nil"/>
              <w:left w:val="nil"/>
              <w:bottom w:val="single" w:sz="4" w:space="0" w:color="auto"/>
              <w:right w:val="nil"/>
            </w:tcBorders>
            <w:shd w:val="clear" w:color="auto" w:fill="E6E6E6"/>
            <w:noWrap/>
            <w:vAlign w:val="bottom"/>
            <w:hideMark/>
          </w:tcPr>
          <w:p w14:paraId="3A7F12EE" w14:textId="77777777" w:rsidR="004A16F1" w:rsidRPr="004A16F1" w:rsidRDefault="004A16F1" w:rsidP="004A16F1">
            <w:pPr>
              <w:spacing w:after="0" w:line="240" w:lineRule="auto"/>
              <w:jc w:val="right"/>
              <w:rPr>
                <w:rFonts w:ascii="Arial" w:hAnsi="Arial" w:cs="Arial"/>
                <w:b/>
                <w:bCs/>
                <w:sz w:val="16"/>
                <w:szCs w:val="16"/>
              </w:rPr>
            </w:pPr>
            <w:r w:rsidRPr="004A16F1">
              <w:rPr>
                <w:rFonts w:ascii="Arial" w:hAnsi="Arial" w:cs="Arial"/>
                <w:b/>
                <w:bCs/>
                <w:sz w:val="16"/>
                <w:szCs w:val="16"/>
              </w:rPr>
              <w:t>(4,211)</w:t>
            </w:r>
          </w:p>
        </w:tc>
      </w:tr>
    </w:tbl>
    <w:p w14:paraId="3C6BD2A2" w14:textId="5374F974" w:rsidR="00B706C8" w:rsidRDefault="00B706C8">
      <w:r>
        <w:br w:type="page"/>
      </w:r>
    </w:p>
    <w:p w14:paraId="1B73102D" w14:textId="77777777" w:rsidR="00B706C8" w:rsidRPr="009A40DD" w:rsidRDefault="00B706C8" w:rsidP="00B706C8">
      <w:pPr>
        <w:pStyle w:val="TableHeading"/>
      </w:pPr>
      <w:r w:rsidRPr="009A40DD">
        <w:lastRenderedPageBreak/>
        <w:t xml:space="preserve">Table 1.2: </w:t>
      </w:r>
      <w:r>
        <w:t>Department of Infrastructure, Transport, Regional Development, Communications and the Arts</w:t>
      </w:r>
      <w:r w:rsidRPr="009A40DD">
        <w:t xml:space="preserve"> </w:t>
      </w:r>
      <w:r>
        <w:t xml:space="preserve">October </w:t>
      </w:r>
      <w:r w:rsidRPr="009A40DD">
        <w:t xml:space="preserve">Budget </w:t>
      </w:r>
      <w:r>
        <w:t xml:space="preserve">2022-23 </w:t>
      </w:r>
      <w:r w:rsidRPr="009A40DD">
        <w:t>measures</w:t>
      </w:r>
    </w:p>
    <w:p w14:paraId="28403FBA" w14:textId="77777777" w:rsidR="00B706C8" w:rsidRDefault="00B706C8" w:rsidP="00B706C8">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March Budget 2022-23 (continued)</w:t>
      </w:r>
    </w:p>
    <w:tbl>
      <w:tblPr>
        <w:tblW w:w="7768" w:type="dxa"/>
        <w:tblLook w:val="04A0" w:firstRow="1" w:lastRow="0" w:firstColumn="1" w:lastColumn="0" w:noHBand="0" w:noVBand="1"/>
      </w:tblPr>
      <w:tblGrid>
        <w:gridCol w:w="1985"/>
        <w:gridCol w:w="874"/>
        <w:gridCol w:w="866"/>
        <w:gridCol w:w="1148"/>
        <w:gridCol w:w="1014"/>
        <w:gridCol w:w="1014"/>
        <w:gridCol w:w="910"/>
      </w:tblGrid>
      <w:tr w:rsidR="00A5240B" w:rsidRPr="00085819" w14:paraId="3B300FC9" w14:textId="77777777" w:rsidTr="00436AC0">
        <w:trPr>
          <w:trHeight w:val="204"/>
        </w:trPr>
        <w:tc>
          <w:tcPr>
            <w:tcW w:w="1985" w:type="dxa"/>
            <w:tcBorders>
              <w:top w:val="single" w:sz="4" w:space="0" w:color="auto"/>
              <w:left w:val="nil"/>
              <w:bottom w:val="nil"/>
              <w:right w:val="nil"/>
            </w:tcBorders>
            <w:shd w:val="clear" w:color="auto" w:fill="auto"/>
            <w:noWrap/>
            <w:vAlign w:val="bottom"/>
            <w:hideMark/>
          </w:tcPr>
          <w:p w14:paraId="43D990F2" w14:textId="77777777" w:rsidR="00B706C8" w:rsidRPr="00085819" w:rsidRDefault="00B706C8" w:rsidP="008526C0">
            <w:pPr>
              <w:spacing w:after="0" w:line="240" w:lineRule="auto"/>
              <w:rPr>
                <w:rFonts w:ascii="Arial" w:hAnsi="Arial" w:cs="Arial"/>
                <w:sz w:val="16"/>
                <w:szCs w:val="16"/>
              </w:rPr>
            </w:pPr>
            <w:r w:rsidRPr="00085819">
              <w:rPr>
                <w:rFonts w:ascii="Arial" w:hAnsi="Arial" w:cs="Arial"/>
                <w:sz w:val="16"/>
                <w:szCs w:val="16"/>
              </w:rPr>
              <w:t> </w:t>
            </w:r>
          </w:p>
        </w:tc>
        <w:tc>
          <w:tcPr>
            <w:tcW w:w="874" w:type="dxa"/>
            <w:tcBorders>
              <w:top w:val="single" w:sz="4" w:space="0" w:color="auto"/>
              <w:left w:val="nil"/>
              <w:bottom w:val="single" w:sz="4" w:space="0" w:color="auto"/>
              <w:right w:val="nil"/>
            </w:tcBorders>
            <w:shd w:val="clear" w:color="auto" w:fill="auto"/>
            <w:noWrap/>
            <w:vAlign w:val="bottom"/>
            <w:hideMark/>
          </w:tcPr>
          <w:p w14:paraId="0C9A6D9B" w14:textId="77777777" w:rsidR="00B706C8" w:rsidRPr="00085819" w:rsidRDefault="00B706C8" w:rsidP="008526C0">
            <w:pPr>
              <w:spacing w:after="0" w:line="240" w:lineRule="auto"/>
              <w:jc w:val="center"/>
              <w:rPr>
                <w:rFonts w:ascii="Arial" w:hAnsi="Arial" w:cs="Arial"/>
                <w:b/>
                <w:bCs/>
                <w:sz w:val="16"/>
                <w:szCs w:val="16"/>
              </w:rPr>
            </w:pPr>
            <w:r w:rsidRPr="00085819">
              <w:rPr>
                <w:rFonts w:ascii="Arial" w:hAnsi="Arial" w:cs="Arial"/>
                <w:b/>
                <w:bCs/>
                <w:sz w:val="16"/>
                <w:szCs w:val="16"/>
              </w:rPr>
              <w:t>Program</w:t>
            </w:r>
          </w:p>
        </w:tc>
        <w:tc>
          <w:tcPr>
            <w:tcW w:w="866" w:type="dxa"/>
            <w:tcBorders>
              <w:top w:val="single" w:sz="4" w:space="0" w:color="auto"/>
              <w:left w:val="nil"/>
              <w:bottom w:val="single" w:sz="4" w:space="0" w:color="auto"/>
              <w:right w:val="nil"/>
            </w:tcBorders>
            <w:shd w:val="clear" w:color="auto" w:fill="E6E6E6"/>
            <w:noWrap/>
            <w:vAlign w:val="bottom"/>
            <w:hideMark/>
          </w:tcPr>
          <w:p w14:paraId="1B6B970C" w14:textId="77777777" w:rsidR="00B706C8" w:rsidRPr="00085819" w:rsidRDefault="00B706C8" w:rsidP="008526C0">
            <w:pPr>
              <w:spacing w:after="0" w:line="240" w:lineRule="auto"/>
              <w:jc w:val="right"/>
              <w:rPr>
                <w:rFonts w:ascii="Arial" w:hAnsi="Arial" w:cs="Arial"/>
                <w:b/>
                <w:bCs/>
                <w:sz w:val="16"/>
                <w:szCs w:val="16"/>
              </w:rPr>
            </w:pPr>
            <w:r w:rsidRPr="00085819">
              <w:rPr>
                <w:rFonts w:ascii="Arial" w:hAnsi="Arial" w:cs="Arial"/>
                <w:b/>
                <w:bCs/>
                <w:sz w:val="16"/>
                <w:szCs w:val="16"/>
              </w:rPr>
              <w:t>2021-22</w:t>
            </w:r>
            <w:r w:rsidRPr="00085819">
              <w:rPr>
                <w:rFonts w:ascii="Arial" w:hAnsi="Arial" w:cs="Arial"/>
                <w:b/>
                <w:bCs/>
                <w:sz w:val="16"/>
                <w:szCs w:val="16"/>
              </w:rPr>
              <w:br/>
              <w:t>$'000</w:t>
            </w:r>
          </w:p>
        </w:tc>
        <w:tc>
          <w:tcPr>
            <w:tcW w:w="1148" w:type="dxa"/>
            <w:tcBorders>
              <w:top w:val="single" w:sz="4" w:space="0" w:color="auto"/>
              <w:left w:val="nil"/>
              <w:bottom w:val="single" w:sz="4" w:space="0" w:color="auto"/>
              <w:right w:val="nil"/>
            </w:tcBorders>
            <w:shd w:val="clear" w:color="auto" w:fill="auto"/>
            <w:noWrap/>
            <w:vAlign w:val="bottom"/>
            <w:hideMark/>
          </w:tcPr>
          <w:p w14:paraId="098E62A2" w14:textId="77777777" w:rsidR="00B706C8" w:rsidRPr="00085819" w:rsidRDefault="00B706C8" w:rsidP="008526C0">
            <w:pPr>
              <w:spacing w:after="0" w:line="240" w:lineRule="auto"/>
              <w:jc w:val="right"/>
              <w:rPr>
                <w:rFonts w:ascii="Arial" w:hAnsi="Arial" w:cs="Arial"/>
                <w:b/>
                <w:bCs/>
                <w:sz w:val="16"/>
                <w:szCs w:val="16"/>
              </w:rPr>
            </w:pPr>
            <w:r w:rsidRPr="00085819">
              <w:rPr>
                <w:rFonts w:ascii="Arial" w:hAnsi="Arial" w:cs="Arial"/>
                <w:b/>
                <w:bCs/>
                <w:sz w:val="16"/>
                <w:szCs w:val="16"/>
              </w:rPr>
              <w:t>2022-23</w:t>
            </w:r>
            <w:r w:rsidRPr="00085819">
              <w:rPr>
                <w:rFonts w:ascii="Arial" w:hAnsi="Arial" w:cs="Arial"/>
                <w:b/>
                <w:bCs/>
                <w:sz w:val="16"/>
                <w:szCs w:val="16"/>
              </w:rPr>
              <w:br/>
              <w:t>$'000</w:t>
            </w:r>
          </w:p>
        </w:tc>
        <w:tc>
          <w:tcPr>
            <w:tcW w:w="1014" w:type="dxa"/>
            <w:tcBorders>
              <w:top w:val="single" w:sz="4" w:space="0" w:color="auto"/>
              <w:left w:val="nil"/>
              <w:bottom w:val="single" w:sz="4" w:space="0" w:color="auto"/>
              <w:right w:val="nil"/>
            </w:tcBorders>
            <w:shd w:val="clear" w:color="auto" w:fill="E6E6E6"/>
            <w:noWrap/>
            <w:vAlign w:val="bottom"/>
            <w:hideMark/>
          </w:tcPr>
          <w:p w14:paraId="366A87F7" w14:textId="77777777" w:rsidR="00B706C8" w:rsidRPr="00085819" w:rsidRDefault="00B706C8" w:rsidP="008526C0">
            <w:pPr>
              <w:spacing w:after="0" w:line="240" w:lineRule="auto"/>
              <w:jc w:val="right"/>
              <w:rPr>
                <w:rFonts w:ascii="Arial" w:hAnsi="Arial" w:cs="Arial"/>
                <w:b/>
                <w:bCs/>
                <w:sz w:val="16"/>
                <w:szCs w:val="16"/>
              </w:rPr>
            </w:pPr>
            <w:r w:rsidRPr="00085819">
              <w:rPr>
                <w:rFonts w:ascii="Arial" w:hAnsi="Arial" w:cs="Arial"/>
                <w:b/>
                <w:bCs/>
                <w:sz w:val="16"/>
                <w:szCs w:val="16"/>
              </w:rPr>
              <w:t>2023-24</w:t>
            </w:r>
            <w:r w:rsidRPr="00085819">
              <w:rPr>
                <w:rFonts w:ascii="Arial" w:hAnsi="Arial" w:cs="Arial"/>
                <w:b/>
                <w:bCs/>
                <w:sz w:val="16"/>
                <w:szCs w:val="16"/>
              </w:rPr>
              <w:br/>
              <w:t>$'000</w:t>
            </w:r>
          </w:p>
        </w:tc>
        <w:tc>
          <w:tcPr>
            <w:tcW w:w="971" w:type="dxa"/>
            <w:tcBorders>
              <w:top w:val="single" w:sz="4" w:space="0" w:color="auto"/>
              <w:left w:val="nil"/>
              <w:bottom w:val="single" w:sz="4" w:space="0" w:color="auto"/>
              <w:right w:val="nil"/>
            </w:tcBorders>
            <w:shd w:val="clear" w:color="auto" w:fill="auto"/>
            <w:noWrap/>
            <w:vAlign w:val="bottom"/>
            <w:hideMark/>
          </w:tcPr>
          <w:p w14:paraId="2FEEE187" w14:textId="77777777" w:rsidR="00B706C8" w:rsidRPr="00085819" w:rsidRDefault="00B706C8" w:rsidP="008526C0">
            <w:pPr>
              <w:spacing w:after="0" w:line="240" w:lineRule="auto"/>
              <w:jc w:val="right"/>
              <w:rPr>
                <w:rFonts w:ascii="Arial" w:hAnsi="Arial" w:cs="Arial"/>
                <w:b/>
                <w:bCs/>
                <w:sz w:val="16"/>
                <w:szCs w:val="16"/>
              </w:rPr>
            </w:pPr>
            <w:r w:rsidRPr="00085819">
              <w:rPr>
                <w:rFonts w:ascii="Arial" w:hAnsi="Arial" w:cs="Arial"/>
                <w:b/>
                <w:bCs/>
                <w:sz w:val="16"/>
                <w:szCs w:val="16"/>
              </w:rPr>
              <w:t>2024-25</w:t>
            </w:r>
            <w:r w:rsidRPr="00085819">
              <w:rPr>
                <w:rFonts w:ascii="Arial" w:hAnsi="Arial" w:cs="Arial"/>
                <w:b/>
                <w:bCs/>
                <w:sz w:val="16"/>
                <w:szCs w:val="16"/>
              </w:rPr>
              <w:br/>
              <w:t>$'000</w:t>
            </w:r>
          </w:p>
        </w:tc>
        <w:tc>
          <w:tcPr>
            <w:tcW w:w="910" w:type="dxa"/>
            <w:tcBorders>
              <w:top w:val="single" w:sz="4" w:space="0" w:color="auto"/>
              <w:left w:val="nil"/>
              <w:bottom w:val="single" w:sz="4" w:space="0" w:color="auto"/>
              <w:right w:val="nil"/>
            </w:tcBorders>
            <w:shd w:val="clear" w:color="auto" w:fill="E6E6E6"/>
            <w:noWrap/>
            <w:vAlign w:val="bottom"/>
            <w:hideMark/>
          </w:tcPr>
          <w:p w14:paraId="7A4EC6DD" w14:textId="77777777" w:rsidR="00B706C8" w:rsidRPr="00085819" w:rsidRDefault="00B706C8" w:rsidP="008526C0">
            <w:pPr>
              <w:spacing w:after="0" w:line="240" w:lineRule="auto"/>
              <w:jc w:val="right"/>
              <w:rPr>
                <w:rFonts w:ascii="Arial" w:hAnsi="Arial" w:cs="Arial"/>
                <w:b/>
                <w:bCs/>
                <w:sz w:val="16"/>
                <w:szCs w:val="16"/>
              </w:rPr>
            </w:pPr>
            <w:r w:rsidRPr="00085819">
              <w:rPr>
                <w:rFonts w:ascii="Arial" w:hAnsi="Arial" w:cs="Arial"/>
                <w:b/>
                <w:bCs/>
                <w:sz w:val="16"/>
                <w:szCs w:val="16"/>
              </w:rPr>
              <w:t>2025-26</w:t>
            </w:r>
            <w:r w:rsidRPr="00085819">
              <w:rPr>
                <w:rFonts w:ascii="Arial" w:hAnsi="Arial" w:cs="Arial"/>
                <w:b/>
                <w:bCs/>
                <w:sz w:val="16"/>
                <w:szCs w:val="16"/>
              </w:rPr>
              <w:br/>
              <w:t>$'000</w:t>
            </w:r>
          </w:p>
        </w:tc>
      </w:tr>
      <w:tr w:rsidR="00A5240B" w:rsidRPr="00085819" w14:paraId="7EC00B92" w14:textId="77777777" w:rsidTr="00436AC0">
        <w:trPr>
          <w:trHeight w:val="204"/>
        </w:trPr>
        <w:tc>
          <w:tcPr>
            <w:tcW w:w="1985" w:type="dxa"/>
            <w:tcBorders>
              <w:top w:val="nil"/>
              <w:left w:val="nil"/>
              <w:bottom w:val="nil"/>
              <w:right w:val="nil"/>
            </w:tcBorders>
            <w:shd w:val="clear" w:color="auto" w:fill="auto"/>
            <w:noWrap/>
            <w:vAlign w:val="bottom"/>
            <w:hideMark/>
          </w:tcPr>
          <w:p w14:paraId="5BC6ECFD" w14:textId="26198764" w:rsidR="004A16F1" w:rsidRPr="00085819" w:rsidRDefault="004A16F1" w:rsidP="00A5240B">
            <w:pPr>
              <w:spacing w:after="0" w:line="240" w:lineRule="auto"/>
              <w:ind w:left="-109"/>
              <w:rPr>
                <w:rFonts w:ascii="Arial" w:hAnsi="Arial" w:cs="Arial"/>
                <w:bCs/>
                <w:sz w:val="16"/>
                <w:szCs w:val="16"/>
              </w:rPr>
            </w:pPr>
            <w:r w:rsidRPr="00085819">
              <w:rPr>
                <w:rFonts w:ascii="Arial" w:hAnsi="Arial" w:cs="Arial"/>
                <w:bCs/>
                <w:sz w:val="16"/>
                <w:szCs w:val="16"/>
              </w:rPr>
              <w:t>Tourist and Heritage Operators' Rail Safety Regulation</w:t>
            </w:r>
          </w:p>
        </w:tc>
        <w:tc>
          <w:tcPr>
            <w:tcW w:w="874" w:type="dxa"/>
            <w:tcBorders>
              <w:top w:val="nil"/>
              <w:left w:val="nil"/>
              <w:bottom w:val="nil"/>
              <w:right w:val="nil"/>
            </w:tcBorders>
            <w:shd w:val="clear" w:color="auto" w:fill="auto"/>
            <w:noWrap/>
            <w:vAlign w:val="bottom"/>
            <w:hideMark/>
          </w:tcPr>
          <w:p w14:paraId="797E8464" w14:textId="77777777" w:rsidR="004A16F1" w:rsidRPr="00085819" w:rsidRDefault="004A16F1" w:rsidP="004A16F1">
            <w:pPr>
              <w:spacing w:after="0" w:line="240" w:lineRule="auto"/>
              <w:jc w:val="center"/>
              <w:rPr>
                <w:rFonts w:ascii="Arial" w:hAnsi="Arial" w:cs="Arial"/>
                <w:bCs/>
                <w:sz w:val="16"/>
                <w:szCs w:val="16"/>
              </w:rPr>
            </w:pPr>
            <w:r w:rsidRPr="00085819">
              <w:rPr>
                <w:rFonts w:ascii="Arial" w:hAnsi="Arial" w:cs="Arial"/>
                <w:bCs/>
                <w:sz w:val="16"/>
                <w:szCs w:val="16"/>
              </w:rPr>
              <w:t>2.1</w:t>
            </w:r>
          </w:p>
        </w:tc>
        <w:tc>
          <w:tcPr>
            <w:tcW w:w="866" w:type="dxa"/>
            <w:tcBorders>
              <w:top w:val="nil"/>
              <w:left w:val="nil"/>
              <w:bottom w:val="nil"/>
              <w:right w:val="nil"/>
            </w:tcBorders>
            <w:shd w:val="clear" w:color="auto" w:fill="E6E6E6"/>
            <w:noWrap/>
            <w:vAlign w:val="bottom"/>
            <w:hideMark/>
          </w:tcPr>
          <w:p w14:paraId="05A9F268" w14:textId="511F385F" w:rsidR="004A16F1" w:rsidRPr="00085819" w:rsidRDefault="004A16F1" w:rsidP="004A16F1">
            <w:pPr>
              <w:spacing w:after="0" w:line="240" w:lineRule="auto"/>
              <w:jc w:val="right"/>
              <w:rPr>
                <w:rFonts w:ascii="Arial" w:hAnsi="Arial" w:cs="Arial"/>
                <w:bCs/>
                <w:sz w:val="16"/>
                <w:szCs w:val="16"/>
              </w:rPr>
            </w:pPr>
          </w:p>
        </w:tc>
        <w:tc>
          <w:tcPr>
            <w:tcW w:w="1148" w:type="dxa"/>
            <w:tcBorders>
              <w:top w:val="nil"/>
              <w:left w:val="nil"/>
              <w:bottom w:val="nil"/>
              <w:right w:val="nil"/>
            </w:tcBorders>
            <w:shd w:val="clear" w:color="auto" w:fill="auto"/>
            <w:noWrap/>
            <w:vAlign w:val="bottom"/>
            <w:hideMark/>
          </w:tcPr>
          <w:p w14:paraId="63C53FD8" w14:textId="77777777" w:rsidR="004A16F1" w:rsidRPr="00085819" w:rsidRDefault="004A16F1" w:rsidP="004A16F1">
            <w:pPr>
              <w:spacing w:after="0" w:line="240" w:lineRule="auto"/>
              <w:jc w:val="right"/>
              <w:rPr>
                <w:rFonts w:ascii="Arial" w:hAnsi="Arial" w:cs="Arial"/>
                <w:bCs/>
                <w:sz w:val="16"/>
                <w:szCs w:val="16"/>
              </w:rPr>
            </w:pPr>
          </w:p>
        </w:tc>
        <w:tc>
          <w:tcPr>
            <w:tcW w:w="1014" w:type="dxa"/>
            <w:tcBorders>
              <w:top w:val="nil"/>
              <w:left w:val="nil"/>
              <w:bottom w:val="nil"/>
              <w:right w:val="nil"/>
            </w:tcBorders>
            <w:shd w:val="clear" w:color="auto" w:fill="E6E6E6"/>
            <w:noWrap/>
            <w:vAlign w:val="bottom"/>
            <w:hideMark/>
          </w:tcPr>
          <w:p w14:paraId="212F26ED" w14:textId="35C26549" w:rsidR="004A16F1" w:rsidRPr="00085819" w:rsidRDefault="004A16F1" w:rsidP="004A16F1">
            <w:pPr>
              <w:spacing w:after="0" w:line="240" w:lineRule="auto"/>
              <w:jc w:val="right"/>
              <w:rPr>
                <w:rFonts w:ascii="Arial" w:hAnsi="Arial" w:cs="Arial"/>
                <w:bCs/>
                <w:sz w:val="16"/>
                <w:szCs w:val="16"/>
              </w:rPr>
            </w:pPr>
          </w:p>
        </w:tc>
        <w:tc>
          <w:tcPr>
            <w:tcW w:w="971" w:type="dxa"/>
            <w:tcBorders>
              <w:top w:val="nil"/>
              <w:left w:val="nil"/>
              <w:bottom w:val="nil"/>
              <w:right w:val="nil"/>
            </w:tcBorders>
            <w:shd w:val="clear" w:color="auto" w:fill="auto"/>
            <w:noWrap/>
            <w:vAlign w:val="bottom"/>
            <w:hideMark/>
          </w:tcPr>
          <w:p w14:paraId="28F50354" w14:textId="77777777" w:rsidR="004A16F1" w:rsidRPr="00085819" w:rsidRDefault="004A16F1" w:rsidP="004A16F1">
            <w:pPr>
              <w:spacing w:after="0" w:line="240" w:lineRule="auto"/>
              <w:jc w:val="right"/>
              <w:rPr>
                <w:rFonts w:ascii="Arial" w:hAnsi="Arial" w:cs="Arial"/>
                <w:bCs/>
                <w:sz w:val="16"/>
                <w:szCs w:val="16"/>
              </w:rPr>
            </w:pPr>
          </w:p>
        </w:tc>
        <w:tc>
          <w:tcPr>
            <w:tcW w:w="909" w:type="dxa"/>
            <w:tcBorders>
              <w:top w:val="nil"/>
              <w:left w:val="nil"/>
              <w:bottom w:val="nil"/>
              <w:right w:val="nil"/>
            </w:tcBorders>
            <w:shd w:val="clear" w:color="auto" w:fill="E6E6E6"/>
            <w:noWrap/>
            <w:vAlign w:val="bottom"/>
            <w:hideMark/>
          </w:tcPr>
          <w:p w14:paraId="5A8D6DF4" w14:textId="7DB47403" w:rsidR="004A16F1" w:rsidRPr="00085819" w:rsidRDefault="004A16F1" w:rsidP="004A16F1">
            <w:pPr>
              <w:spacing w:after="0" w:line="240" w:lineRule="auto"/>
              <w:jc w:val="right"/>
              <w:rPr>
                <w:rFonts w:ascii="Arial" w:hAnsi="Arial" w:cs="Arial"/>
                <w:bCs/>
                <w:sz w:val="16"/>
                <w:szCs w:val="16"/>
              </w:rPr>
            </w:pPr>
          </w:p>
        </w:tc>
      </w:tr>
      <w:tr w:rsidR="00A5240B" w:rsidRPr="00085819" w14:paraId="7FDA2F40" w14:textId="77777777" w:rsidTr="00436AC0">
        <w:trPr>
          <w:trHeight w:val="204"/>
        </w:trPr>
        <w:tc>
          <w:tcPr>
            <w:tcW w:w="1985" w:type="dxa"/>
            <w:tcBorders>
              <w:top w:val="nil"/>
              <w:left w:val="nil"/>
              <w:bottom w:val="nil"/>
              <w:right w:val="nil"/>
            </w:tcBorders>
            <w:shd w:val="clear" w:color="auto" w:fill="auto"/>
            <w:noWrap/>
            <w:vAlign w:val="bottom"/>
            <w:hideMark/>
          </w:tcPr>
          <w:p w14:paraId="2888C964" w14:textId="77777777" w:rsidR="004A16F1" w:rsidRPr="00085819" w:rsidRDefault="004A16F1" w:rsidP="00A5240B">
            <w:pPr>
              <w:spacing w:after="0" w:line="240" w:lineRule="auto"/>
              <w:rPr>
                <w:rFonts w:ascii="Arial" w:hAnsi="Arial" w:cs="Arial"/>
                <w:bCs/>
                <w:sz w:val="16"/>
                <w:szCs w:val="16"/>
              </w:rPr>
            </w:pPr>
            <w:r w:rsidRPr="00085819">
              <w:rPr>
                <w:rFonts w:ascii="Arial" w:hAnsi="Arial" w:cs="Arial"/>
                <w:bCs/>
                <w:sz w:val="16"/>
                <w:szCs w:val="16"/>
              </w:rPr>
              <w:t>Administered payments</w:t>
            </w:r>
          </w:p>
        </w:tc>
        <w:tc>
          <w:tcPr>
            <w:tcW w:w="874" w:type="dxa"/>
            <w:tcBorders>
              <w:top w:val="nil"/>
              <w:left w:val="nil"/>
              <w:bottom w:val="nil"/>
              <w:right w:val="nil"/>
            </w:tcBorders>
            <w:shd w:val="clear" w:color="auto" w:fill="auto"/>
            <w:noWrap/>
            <w:vAlign w:val="bottom"/>
            <w:hideMark/>
          </w:tcPr>
          <w:p w14:paraId="22A2C3CB" w14:textId="77777777" w:rsidR="004A16F1" w:rsidRPr="00085819" w:rsidRDefault="004A16F1" w:rsidP="004A16F1">
            <w:pPr>
              <w:spacing w:after="0" w:line="240" w:lineRule="auto"/>
              <w:jc w:val="center"/>
              <w:rPr>
                <w:rFonts w:ascii="Arial" w:hAnsi="Arial" w:cs="Arial"/>
                <w:bCs/>
                <w:sz w:val="16"/>
                <w:szCs w:val="16"/>
              </w:rPr>
            </w:pPr>
          </w:p>
        </w:tc>
        <w:tc>
          <w:tcPr>
            <w:tcW w:w="866" w:type="dxa"/>
            <w:tcBorders>
              <w:top w:val="nil"/>
              <w:left w:val="nil"/>
              <w:bottom w:val="nil"/>
              <w:right w:val="nil"/>
            </w:tcBorders>
            <w:shd w:val="clear" w:color="auto" w:fill="E6E6E6"/>
            <w:noWrap/>
            <w:vAlign w:val="bottom"/>
            <w:hideMark/>
          </w:tcPr>
          <w:p w14:paraId="593DFAA4" w14:textId="0ED396C5" w:rsidR="004A16F1" w:rsidRPr="00085819" w:rsidRDefault="004A16F1" w:rsidP="004A16F1">
            <w:pPr>
              <w:spacing w:after="0" w:line="240" w:lineRule="auto"/>
              <w:jc w:val="right"/>
              <w:rPr>
                <w:rFonts w:ascii="Arial" w:hAnsi="Arial" w:cs="Arial"/>
                <w:bCs/>
                <w:sz w:val="16"/>
                <w:szCs w:val="16"/>
              </w:rPr>
            </w:pPr>
            <w:r w:rsidRPr="00085819">
              <w:rPr>
                <w:rFonts w:ascii="Arial" w:hAnsi="Arial" w:cs="Arial"/>
                <w:bCs/>
                <w:sz w:val="16"/>
                <w:szCs w:val="16"/>
              </w:rPr>
              <w:t>-</w:t>
            </w:r>
          </w:p>
        </w:tc>
        <w:tc>
          <w:tcPr>
            <w:tcW w:w="1148" w:type="dxa"/>
            <w:tcBorders>
              <w:top w:val="nil"/>
              <w:left w:val="nil"/>
              <w:bottom w:val="nil"/>
              <w:right w:val="nil"/>
            </w:tcBorders>
            <w:shd w:val="clear" w:color="auto" w:fill="auto"/>
            <w:noWrap/>
            <w:vAlign w:val="bottom"/>
            <w:hideMark/>
          </w:tcPr>
          <w:p w14:paraId="39C552C0" w14:textId="664BCAD2" w:rsidR="004A16F1" w:rsidRPr="00085819" w:rsidRDefault="004A16F1" w:rsidP="004A16F1">
            <w:pPr>
              <w:spacing w:after="0" w:line="240" w:lineRule="auto"/>
              <w:jc w:val="right"/>
              <w:rPr>
                <w:rFonts w:ascii="Arial" w:hAnsi="Arial" w:cs="Arial"/>
                <w:bCs/>
                <w:sz w:val="16"/>
                <w:szCs w:val="16"/>
              </w:rPr>
            </w:pPr>
            <w:r w:rsidRPr="00085819">
              <w:rPr>
                <w:rFonts w:ascii="Arial" w:hAnsi="Arial" w:cs="Arial"/>
                <w:bCs/>
                <w:sz w:val="16"/>
                <w:szCs w:val="16"/>
              </w:rPr>
              <w:t>-</w:t>
            </w:r>
          </w:p>
        </w:tc>
        <w:tc>
          <w:tcPr>
            <w:tcW w:w="1014" w:type="dxa"/>
            <w:tcBorders>
              <w:top w:val="nil"/>
              <w:left w:val="nil"/>
              <w:bottom w:val="nil"/>
              <w:right w:val="nil"/>
            </w:tcBorders>
            <w:shd w:val="clear" w:color="auto" w:fill="E6E6E6"/>
            <w:noWrap/>
            <w:vAlign w:val="bottom"/>
            <w:hideMark/>
          </w:tcPr>
          <w:p w14:paraId="62045C2D" w14:textId="04B0D088" w:rsidR="004A16F1" w:rsidRPr="00085819" w:rsidRDefault="004A16F1" w:rsidP="004A16F1">
            <w:pPr>
              <w:spacing w:after="0" w:line="240" w:lineRule="auto"/>
              <w:jc w:val="right"/>
              <w:rPr>
                <w:rFonts w:ascii="Arial" w:hAnsi="Arial" w:cs="Arial"/>
                <w:bCs/>
                <w:sz w:val="16"/>
                <w:szCs w:val="16"/>
              </w:rPr>
            </w:pPr>
            <w:r w:rsidRPr="00085819">
              <w:rPr>
                <w:rFonts w:ascii="Arial" w:hAnsi="Arial" w:cs="Arial"/>
                <w:bCs/>
                <w:sz w:val="16"/>
                <w:szCs w:val="16"/>
              </w:rPr>
              <w:t>1,638</w:t>
            </w:r>
          </w:p>
        </w:tc>
        <w:tc>
          <w:tcPr>
            <w:tcW w:w="971" w:type="dxa"/>
            <w:tcBorders>
              <w:top w:val="nil"/>
              <w:left w:val="nil"/>
              <w:bottom w:val="nil"/>
              <w:right w:val="nil"/>
            </w:tcBorders>
            <w:shd w:val="clear" w:color="auto" w:fill="auto"/>
            <w:noWrap/>
            <w:vAlign w:val="bottom"/>
            <w:hideMark/>
          </w:tcPr>
          <w:p w14:paraId="5C510EAD" w14:textId="0E3C96A6" w:rsidR="004A16F1" w:rsidRPr="00085819" w:rsidRDefault="004A16F1" w:rsidP="004A16F1">
            <w:pPr>
              <w:spacing w:after="0" w:line="240" w:lineRule="auto"/>
              <w:jc w:val="right"/>
              <w:rPr>
                <w:rFonts w:ascii="Arial" w:hAnsi="Arial" w:cs="Arial"/>
                <w:bCs/>
                <w:sz w:val="16"/>
                <w:szCs w:val="16"/>
              </w:rPr>
            </w:pPr>
            <w:r w:rsidRPr="00085819">
              <w:rPr>
                <w:rFonts w:ascii="Arial" w:hAnsi="Arial" w:cs="Arial"/>
                <w:bCs/>
                <w:sz w:val="16"/>
                <w:szCs w:val="16"/>
              </w:rPr>
              <w:t>1,693</w:t>
            </w:r>
          </w:p>
        </w:tc>
        <w:tc>
          <w:tcPr>
            <w:tcW w:w="909" w:type="dxa"/>
            <w:tcBorders>
              <w:top w:val="nil"/>
              <w:left w:val="nil"/>
              <w:bottom w:val="nil"/>
              <w:right w:val="nil"/>
            </w:tcBorders>
            <w:shd w:val="clear" w:color="auto" w:fill="E6E6E6"/>
            <w:noWrap/>
            <w:vAlign w:val="bottom"/>
            <w:hideMark/>
          </w:tcPr>
          <w:p w14:paraId="2CACE501" w14:textId="456C1C58" w:rsidR="004A16F1" w:rsidRPr="00085819" w:rsidRDefault="004A16F1" w:rsidP="004A16F1">
            <w:pPr>
              <w:spacing w:after="0" w:line="240" w:lineRule="auto"/>
              <w:jc w:val="right"/>
              <w:rPr>
                <w:rFonts w:ascii="Arial" w:hAnsi="Arial" w:cs="Arial"/>
                <w:bCs/>
                <w:sz w:val="16"/>
                <w:szCs w:val="16"/>
              </w:rPr>
            </w:pPr>
            <w:r w:rsidRPr="00085819">
              <w:rPr>
                <w:rFonts w:ascii="Arial" w:hAnsi="Arial" w:cs="Arial"/>
                <w:bCs/>
                <w:sz w:val="16"/>
                <w:szCs w:val="16"/>
              </w:rPr>
              <w:t>1,737</w:t>
            </w:r>
          </w:p>
        </w:tc>
      </w:tr>
      <w:tr w:rsidR="00A5240B" w:rsidRPr="00085819" w14:paraId="2C6B22C6" w14:textId="77777777" w:rsidTr="00707BCF">
        <w:trPr>
          <w:trHeight w:val="204"/>
        </w:trPr>
        <w:tc>
          <w:tcPr>
            <w:tcW w:w="1985" w:type="dxa"/>
            <w:tcBorders>
              <w:top w:val="nil"/>
              <w:left w:val="nil"/>
              <w:bottom w:val="nil"/>
              <w:right w:val="nil"/>
            </w:tcBorders>
            <w:shd w:val="clear" w:color="auto" w:fill="auto"/>
            <w:noWrap/>
            <w:vAlign w:val="bottom"/>
            <w:hideMark/>
          </w:tcPr>
          <w:p w14:paraId="7053ACEC" w14:textId="77777777" w:rsidR="004A16F1" w:rsidRPr="00085819" w:rsidRDefault="004A16F1" w:rsidP="00A5240B">
            <w:pPr>
              <w:spacing w:after="0" w:line="240" w:lineRule="auto"/>
              <w:ind w:left="-109"/>
              <w:rPr>
                <w:rFonts w:ascii="Arial" w:hAnsi="Arial" w:cs="Arial"/>
                <w:b/>
                <w:bCs/>
                <w:sz w:val="16"/>
                <w:szCs w:val="16"/>
              </w:rPr>
            </w:pPr>
            <w:r w:rsidRPr="00085819">
              <w:rPr>
                <w:rFonts w:ascii="Arial" w:hAnsi="Arial" w:cs="Arial"/>
                <w:b/>
                <w:bCs/>
                <w:sz w:val="16"/>
                <w:szCs w:val="16"/>
              </w:rPr>
              <w:t>Total</w:t>
            </w:r>
          </w:p>
        </w:tc>
        <w:tc>
          <w:tcPr>
            <w:tcW w:w="874" w:type="dxa"/>
            <w:tcBorders>
              <w:top w:val="nil"/>
              <w:left w:val="nil"/>
              <w:bottom w:val="nil"/>
              <w:right w:val="nil"/>
            </w:tcBorders>
            <w:shd w:val="clear" w:color="auto" w:fill="auto"/>
            <w:noWrap/>
            <w:vAlign w:val="bottom"/>
            <w:hideMark/>
          </w:tcPr>
          <w:p w14:paraId="551DD18B" w14:textId="77777777" w:rsidR="004A16F1" w:rsidRPr="00085819" w:rsidRDefault="004A16F1" w:rsidP="004A16F1">
            <w:pPr>
              <w:spacing w:after="0" w:line="240" w:lineRule="auto"/>
              <w:jc w:val="center"/>
              <w:rPr>
                <w:rFonts w:ascii="Arial" w:hAnsi="Arial" w:cs="Arial"/>
                <w:b/>
                <w:bCs/>
                <w:sz w:val="16"/>
                <w:szCs w:val="16"/>
              </w:rPr>
            </w:pPr>
          </w:p>
        </w:tc>
        <w:tc>
          <w:tcPr>
            <w:tcW w:w="866" w:type="dxa"/>
            <w:tcBorders>
              <w:top w:val="nil"/>
              <w:left w:val="nil"/>
              <w:bottom w:val="single" w:sz="4" w:space="0" w:color="auto"/>
              <w:right w:val="nil"/>
            </w:tcBorders>
            <w:shd w:val="clear" w:color="auto" w:fill="E6E6E6"/>
            <w:noWrap/>
            <w:vAlign w:val="bottom"/>
            <w:hideMark/>
          </w:tcPr>
          <w:p w14:paraId="73FCAC6A" w14:textId="5F884517"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w:t>
            </w:r>
          </w:p>
        </w:tc>
        <w:tc>
          <w:tcPr>
            <w:tcW w:w="1148" w:type="dxa"/>
            <w:tcBorders>
              <w:top w:val="nil"/>
              <w:left w:val="nil"/>
              <w:bottom w:val="single" w:sz="4" w:space="0" w:color="auto"/>
              <w:right w:val="nil"/>
            </w:tcBorders>
            <w:shd w:val="clear" w:color="auto" w:fill="auto"/>
            <w:noWrap/>
            <w:vAlign w:val="bottom"/>
            <w:hideMark/>
          </w:tcPr>
          <w:p w14:paraId="3F6F666E" w14:textId="09CF7D7E"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w:t>
            </w:r>
          </w:p>
        </w:tc>
        <w:tc>
          <w:tcPr>
            <w:tcW w:w="1014" w:type="dxa"/>
            <w:tcBorders>
              <w:top w:val="nil"/>
              <w:left w:val="nil"/>
              <w:bottom w:val="single" w:sz="4" w:space="0" w:color="auto"/>
              <w:right w:val="nil"/>
            </w:tcBorders>
            <w:shd w:val="clear" w:color="auto" w:fill="E6E6E6"/>
            <w:noWrap/>
            <w:vAlign w:val="bottom"/>
            <w:hideMark/>
          </w:tcPr>
          <w:p w14:paraId="2FB9509F" w14:textId="780E0118"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1,638</w:t>
            </w:r>
          </w:p>
        </w:tc>
        <w:tc>
          <w:tcPr>
            <w:tcW w:w="971" w:type="dxa"/>
            <w:tcBorders>
              <w:top w:val="nil"/>
              <w:left w:val="nil"/>
              <w:bottom w:val="single" w:sz="4" w:space="0" w:color="auto"/>
              <w:right w:val="nil"/>
            </w:tcBorders>
            <w:shd w:val="clear" w:color="auto" w:fill="auto"/>
            <w:noWrap/>
            <w:vAlign w:val="bottom"/>
            <w:hideMark/>
          </w:tcPr>
          <w:p w14:paraId="7356A240" w14:textId="4C4CEA02"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1,693</w:t>
            </w:r>
          </w:p>
        </w:tc>
        <w:tc>
          <w:tcPr>
            <w:tcW w:w="909" w:type="dxa"/>
            <w:tcBorders>
              <w:top w:val="nil"/>
              <w:left w:val="nil"/>
              <w:bottom w:val="single" w:sz="4" w:space="0" w:color="auto"/>
              <w:right w:val="nil"/>
            </w:tcBorders>
            <w:shd w:val="clear" w:color="auto" w:fill="E6E6E6"/>
            <w:noWrap/>
            <w:vAlign w:val="bottom"/>
            <w:hideMark/>
          </w:tcPr>
          <w:p w14:paraId="5D9B5DD2" w14:textId="3DBA24F8"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1,737</w:t>
            </w:r>
          </w:p>
        </w:tc>
      </w:tr>
      <w:tr w:rsidR="00A5240B" w:rsidRPr="00085819" w14:paraId="5EC73BB4" w14:textId="77777777" w:rsidTr="00707BCF">
        <w:trPr>
          <w:trHeight w:val="204"/>
        </w:trPr>
        <w:tc>
          <w:tcPr>
            <w:tcW w:w="1985" w:type="dxa"/>
            <w:tcBorders>
              <w:top w:val="nil"/>
              <w:left w:val="nil"/>
              <w:bottom w:val="nil"/>
              <w:right w:val="nil"/>
            </w:tcBorders>
            <w:shd w:val="clear" w:color="auto" w:fill="auto"/>
            <w:noWrap/>
            <w:vAlign w:val="bottom"/>
            <w:hideMark/>
          </w:tcPr>
          <w:p w14:paraId="2521C579" w14:textId="77777777" w:rsidR="004A16F1" w:rsidRPr="00085819" w:rsidRDefault="004A16F1" w:rsidP="00A5240B">
            <w:pPr>
              <w:spacing w:after="0" w:line="240" w:lineRule="auto"/>
              <w:ind w:left="-109"/>
              <w:rPr>
                <w:rFonts w:ascii="Arial" w:hAnsi="Arial" w:cs="Arial"/>
                <w:b/>
                <w:bCs/>
                <w:sz w:val="16"/>
                <w:szCs w:val="16"/>
              </w:rPr>
            </w:pPr>
            <w:r w:rsidRPr="00085819">
              <w:rPr>
                <w:rFonts w:ascii="Arial" w:hAnsi="Arial" w:cs="Arial"/>
                <w:b/>
                <w:bCs/>
                <w:sz w:val="16"/>
                <w:szCs w:val="16"/>
              </w:rPr>
              <w:t>Total payment measures</w:t>
            </w:r>
          </w:p>
        </w:tc>
        <w:tc>
          <w:tcPr>
            <w:tcW w:w="874" w:type="dxa"/>
            <w:tcBorders>
              <w:top w:val="nil"/>
              <w:left w:val="nil"/>
              <w:bottom w:val="nil"/>
              <w:right w:val="nil"/>
            </w:tcBorders>
            <w:shd w:val="clear" w:color="auto" w:fill="auto"/>
            <w:noWrap/>
            <w:vAlign w:val="bottom"/>
            <w:hideMark/>
          </w:tcPr>
          <w:p w14:paraId="1BA167A2" w14:textId="77777777" w:rsidR="004A16F1" w:rsidRPr="00085819" w:rsidRDefault="004A16F1" w:rsidP="004A16F1">
            <w:pPr>
              <w:spacing w:after="0" w:line="240" w:lineRule="auto"/>
              <w:jc w:val="center"/>
              <w:rPr>
                <w:rFonts w:ascii="Arial" w:hAnsi="Arial" w:cs="Arial"/>
                <w:b/>
                <w:bCs/>
                <w:sz w:val="16"/>
                <w:szCs w:val="16"/>
              </w:rPr>
            </w:pPr>
          </w:p>
        </w:tc>
        <w:tc>
          <w:tcPr>
            <w:tcW w:w="866" w:type="dxa"/>
            <w:tcBorders>
              <w:top w:val="single" w:sz="4" w:space="0" w:color="auto"/>
              <w:left w:val="nil"/>
              <w:bottom w:val="nil"/>
              <w:right w:val="nil"/>
            </w:tcBorders>
            <w:shd w:val="clear" w:color="auto" w:fill="E6E6E6"/>
            <w:noWrap/>
            <w:vAlign w:val="bottom"/>
            <w:hideMark/>
          </w:tcPr>
          <w:p w14:paraId="1A117FEE" w14:textId="29291A8F" w:rsidR="004A16F1" w:rsidRPr="00085819" w:rsidRDefault="004A16F1" w:rsidP="004A16F1">
            <w:pPr>
              <w:spacing w:after="0" w:line="240" w:lineRule="auto"/>
              <w:jc w:val="right"/>
              <w:rPr>
                <w:rFonts w:ascii="Arial" w:hAnsi="Arial" w:cs="Arial"/>
                <w:b/>
                <w:bCs/>
                <w:sz w:val="16"/>
                <w:szCs w:val="16"/>
              </w:rPr>
            </w:pPr>
          </w:p>
        </w:tc>
        <w:tc>
          <w:tcPr>
            <w:tcW w:w="1148" w:type="dxa"/>
            <w:tcBorders>
              <w:top w:val="single" w:sz="4" w:space="0" w:color="auto"/>
              <w:left w:val="nil"/>
              <w:bottom w:val="nil"/>
              <w:right w:val="nil"/>
            </w:tcBorders>
            <w:shd w:val="clear" w:color="auto" w:fill="auto"/>
            <w:noWrap/>
            <w:vAlign w:val="bottom"/>
            <w:hideMark/>
          </w:tcPr>
          <w:p w14:paraId="2C658B47" w14:textId="77777777" w:rsidR="004A16F1" w:rsidRPr="00085819" w:rsidRDefault="004A16F1" w:rsidP="004A16F1">
            <w:pPr>
              <w:spacing w:after="0" w:line="240" w:lineRule="auto"/>
              <w:jc w:val="right"/>
              <w:rPr>
                <w:rFonts w:ascii="Arial" w:hAnsi="Arial" w:cs="Arial"/>
                <w:b/>
                <w:bCs/>
                <w:sz w:val="16"/>
                <w:szCs w:val="16"/>
              </w:rPr>
            </w:pPr>
          </w:p>
        </w:tc>
        <w:tc>
          <w:tcPr>
            <w:tcW w:w="1014" w:type="dxa"/>
            <w:tcBorders>
              <w:top w:val="single" w:sz="4" w:space="0" w:color="auto"/>
              <w:left w:val="nil"/>
              <w:bottom w:val="nil"/>
              <w:right w:val="nil"/>
            </w:tcBorders>
            <w:shd w:val="clear" w:color="auto" w:fill="E6E6E6"/>
            <w:noWrap/>
            <w:vAlign w:val="bottom"/>
            <w:hideMark/>
          </w:tcPr>
          <w:p w14:paraId="4E9CF703" w14:textId="28EC98F9" w:rsidR="004A16F1" w:rsidRPr="00085819" w:rsidRDefault="004A16F1" w:rsidP="004A16F1">
            <w:pPr>
              <w:spacing w:after="0" w:line="240" w:lineRule="auto"/>
              <w:jc w:val="right"/>
              <w:rPr>
                <w:rFonts w:ascii="Arial" w:hAnsi="Arial" w:cs="Arial"/>
                <w:b/>
                <w:bCs/>
                <w:sz w:val="16"/>
                <w:szCs w:val="16"/>
              </w:rPr>
            </w:pPr>
          </w:p>
        </w:tc>
        <w:tc>
          <w:tcPr>
            <w:tcW w:w="971" w:type="dxa"/>
            <w:tcBorders>
              <w:top w:val="single" w:sz="4" w:space="0" w:color="auto"/>
              <w:left w:val="nil"/>
              <w:bottom w:val="nil"/>
              <w:right w:val="nil"/>
            </w:tcBorders>
            <w:shd w:val="clear" w:color="auto" w:fill="auto"/>
            <w:noWrap/>
            <w:vAlign w:val="bottom"/>
            <w:hideMark/>
          </w:tcPr>
          <w:p w14:paraId="76BD0E38" w14:textId="77777777" w:rsidR="004A16F1" w:rsidRPr="00085819" w:rsidRDefault="004A16F1" w:rsidP="004A16F1">
            <w:pPr>
              <w:spacing w:after="0" w:line="240" w:lineRule="auto"/>
              <w:jc w:val="right"/>
              <w:rPr>
                <w:rFonts w:ascii="Arial" w:hAnsi="Arial" w:cs="Arial"/>
                <w:b/>
                <w:bCs/>
                <w:sz w:val="16"/>
                <w:szCs w:val="16"/>
              </w:rPr>
            </w:pPr>
          </w:p>
        </w:tc>
        <w:tc>
          <w:tcPr>
            <w:tcW w:w="909" w:type="dxa"/>
            <w:tcBorders>
              <w:top w:val="single" w:sz="4" w:space="0" w:color="auto"/>
              <w:left w:val="nil"/>
              <w:bottom w:val="nil"/>
              <w:right w:val="nil"/>
            </w:tcBorders>
            <w:shd w:val="clear" w:color="auto" w:fill="E6E6E6"/>
            <w:noWrap/>
            <w:vAlign w:val="bottom"/>
            <w:hideMark/>
          </w:tcPr>
          <w:p w14:paraId="4DD77C45" w14:textId="17B544B4" w:rsidR="004A16F1" w:rsidRPr="00085819" w:rsidRDefault="004A16F1" w:rsidP="004A16F1">
            <w:pPr>
              <w:spacing w:after="0" w:line="240" w:lineRule="auto"/>
              <w:jc w:val="right"/>
              <w:rPr>
                <w:rFonts w:ascii="Arial" w:hAnsi="Arial" w:cs="Arial"/>
                <w:b/>
                <w:bCs/>
                <w:sz w:val="16"/>
                <w:szCs w:val="16"/>
              </w:rPr>
            </w:pPr>
          </w:p>
        </w:tc>
      </w:tr>
      <w:tr w:rsidR="00A5240B" w:rsidRPr="00085819" w14:paraId="63957590" w14:textId="77777777" w:rsidTr="00436AC0">
        <w:trPr>
          <w:trHeight w:val="204"/>
        </w:trPr>
        <w:tc>
          <w:tcPr>
            <w:tcW w:w="1985" w:type="dxa"/>
            <w:tcBorders>
              <w:top w:val="nil"/>
              <w:left w:val="nil"/>
              <w:bottom w:val="nil"/>
              <w:right w:val="nil"/>
            </w:tcBorders>
            <w:shd w:val="clear" w:color="auto" w:fill="auto"/>
            <w:noWrap/>
            <w:vAlign w:val="bottom"/>
            <w:hideMark/>
          </w:tcPr>
          <w:p w14:paraId="1C4A6406" w14:textId="77777777" w:rsidR="004A16F1" w:rsidRPr="00085819" w:rsidRDefault="004A16F1" w:rsidP="00A5240B">
            <w:pPr>
              <w:spacing w:after="0" w:line="240" w:lineRule="auto"/>
              <w:rPr>
                <w:rFonts w:ascii="Arial" w:hAnsi="Arial" w:cs="Arial"/>
                <w:bCs/>
                <w:sz w:val="16"/>
                <w:szCs w:val="16"/>
              </w:rPr>
            </w:pPr>
            <w:r w:rsidRPr="00085819">
              <w:rPr>
                <w:rFonts w:ascii="Arial" w:hAnsi="Arial" w:cs="Arial"/>
                <w:bCs/>
                <w:sz w:val="16"/>
                <w:szCs w:val="16"/>
              </w:rPr>
              <w:t>Administered</w:t>
            </w:r>
          </w:p>
        </w:tc>
        <w:tc>
          <w:tcPr>
            <w:tcW w:w="874" w:type="dxa"/>
            <w:tcBorders>
              <w:top w:val="nil"/>
              <w:left w:val="nil"/>
              <w:bottom w:val="nil"/>
              <w:right w:val="nil"/>
            </w:tcBorders>
            <w:shd w:val="clear" w:color="auto" w:fill="auto"/>
            <w:noWrap/>
            <w:vAlign w:val="bottom"/>
            <w:hideMark/>
          </w:tcPr>
          <w:p w14:paraId="6CEC08C7" w14:textId="77777777" w:rsidR="004A16F1" w:rsidRPr="00085819" w:rsidRDefault="004A16F1" w:rsidP="00F7784A">
            <w:pPr>
              <w:spacing w:after="0" w:line="240" w:lineRule="auto"/>
              <w:ind w:left="113"/>
              <w:jc w:val="center"/>
              <w:rPr>
                <w:rFonts w:ascii="Arial" w:hAnsi="Arial" w:cs="Arial"/>
                <w:bCs/>
                <w:sz w:val="16"/>
                <w:szCs w:val="16"/>
              </w:rPr>
            </w:pPr>
          </w:p>
        </w:tc>
        <w:tc>
          <w:tcPr>
            <w:tcW w:w="866" w:type="dxa"/>
            <w:tcBorders>
              <w:top w:val="nil"/>
              <w:left w:val="nil"/>
              <w:bottom w:val="nil"/>
              <w:right w:val="nil"/>
            </w:tcBorders>
            <w:shd w:val="clear" w:color="auto" w:fill="E6E6E6"/>
            <w:noWrap/>
            <w:vAlign w:val="bottom"/>
            <w:hideMark/>
          </w:tcPr>
          <w:p w14:paraId="3619A8E3" w14:textId="2019625E"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w:t>
            </w:r>
          </w:p>
        </w:tc>
        <w:tc>
          <w:tcPr>
            <w:tcW w:w="1148" w:type="dxa"/>
            <w:tcBorders>
              <w:top w:val="nil"/>
              <w:left w:val="nil"/>
              <w:bottom w:val="nil"/>
              <w:right w:val="nil"/>
            </w:tcBorders>
            <w:shd w:val="clear" w:color="auto" w:fill="auto"/>
            <w:noWrap/>
            <w:vAlign w:val="bottom"/>
            <w:hideMark/>
          </w:tcPr>
          <w:p w14:paraId="1170EA34" w14:textId="77777777"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(1,052,017)</w:t>
            </w:r>
          </w:p>
        </w:tc>
        <w:tc>
          <w:tcPr>
            <w:tcW w:w="1014" w:type="dxa"/>
            <w:tcBorders>
              <w:top w:val="nil"/>
              <w:left w:val="nil"/>
              <w:bottom w:val="nil"/>
              <w:right w:val="nil"/>
            </w:tcBorders>
            <w:shd w:val="clear" w:color="auto" w:fill="E6E6E6"/>
            <w:noWrap/>
            <w:vAlign w:val="bottom"/>
            <w:hideMark/>
          </w:tcPr>
          <w:p w14:paraId="33D58949" w14:textId="77777777"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(456,591)</w:t>
            </w:r>
          </w:p>
        </w:tc>
        <w:tc>
          <w:tcPr>
            <w:tcW w:w="971" w:type="dxa"/>
            <w:tcBorders>
              <w:top w:val="nil"/>
              <w:left w:val="nil"/>
              <w:bottom w:val="nil"/>
              <w:right w:val="nil"/>
            </w:tcBorders>
            <w:shd w:val="clear" w:color="auto" w:fill="auto"/>
            <w:noWrap/>
            <w:vAlign w:val="bottom"/>
            <w:hideMark/>
          </w:tcPr>
          <w:p w14:paraId="2200786F" w14:textId="77777777"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(162,826)</w:t>
            </w:r>
          </w:p>
        </w:tc>
        <w:tc>
          <w:tcPr>
            <w:tcW w:w="909" w:type="dxa"/>
            <w:tcBorders>
              <w:top w:val="nil"/>
              <w:left w:val="nil"/>
              <w:bottom w:val="nil"/>
              <w:right w:val="nil"/>
            </w:tcBorders>
            <w:shd w:val="clear" w:color="auto" w:fill="E6E6E6"/>
            <w:noWrap/>
            <w:vAlign w:val="bottom"/>
            <w:hideMark/>
          </w:tcPr>
          <w:p w14:paraId="0718F5AC" w14:textId="08DF73BD"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304,279</w:t>
            </w:r>
          </w:p>
        </w:tc>
      </w:tr>
      <w:tr w:rsidR="00A5240B" w:rsidRPr="00085819" w14:paraId="269E0A57" w14:textId="77777777" w:rsidTr="00436AC0">
        <w:trPr>
          <w:trHeight w:val="204"/>
        </w:trPr>
        <w:tc>
          <w:tcPr>
            <w:tcW w:w="1985" w:type="dxa"/>
            <w:tcBorders>
              <w:top w:val="nil"/>
              <w:left w:val="nil"/>
              <w:right w:val="nil"/>
            </w:tcBorders>
            <w:shd w:val="clear" w:color="auto" w:fill="auto"/>
            <w:noWrap/>
            <w:vAlign w:val="bottom"/>
            <w:hideMark/>
          </w:tcPr>
          <w:p w14:paraId="77CC0A59" w14:textId="77777777" w:rsidR="004A16F1" w:rsidRPr="00085819" w:rsidRDefault="004A16F1" w:rsidP="00A5240B">
            <w:pPr>
              <w:spacing w:after="0" w:line="240" w:lineRule="auto"/>
              <w:rPr>
                <w:rFonts w:ascii="Arial" w:hAnsi="Arial" w:cs="Arial"/>
                <w:bCs/>
                <w:sz w:val="16"/>
                <w:szCs w:val="16"/>
              </w:rPr>
            </w:pPr>
            <w:r w:rsidRPr="00085819">
              <w:rPr>
                <w:rFonts w:ascii="Arial" w:hAnsi="Arial" w:cs="Arial"/>
                <w:bCs/>
                <w:sz w:val="16"/>
                <w:szCs w:val="16"/>
              </w:rPr>
              <w:t>Departmental</w:t>
            </w:r>
          </w:p>
        </w:tc>
        <w:tc>
          <w:tcPr>
            <w:tcW w:w="874" w:type="dxa"/>
            <w:tcBorders>
              <w:top w:val="nil"/>
              <w:left w:val="nil"/>
              <w:right w:val="nil"/>
            </w:tcBorders>
            <w:shd w:val="clear" w:color="auto" w:fill="auto"/>
            <w:noWrap/>
            <w:vAlign w:val="bottom"/>
            <w:hideMark/>
          </w:tcPr>
          <w:p w14:paraId="69B5EDE4" w14:textId="77777777" w:rsidR="004A16F1" w:rsidRPr="00085819" w:rsidRDefault="004A16F1" w:rsidP="00F7784A">
            <w:pPr>
              <w:spacing w:after="0" w:line="240" w:lineRule="auto"/>
              <w:ind w:left="113"/>
              <w:jc w:val="center"/>
              <w:rPr>
                <w:rFonts w:ascii="Arial" w:hAnsi="Arial" w:cs="Arial"/>
                <w:bCs/>
                <w:sz w:val="16"/>
                <w:szCs w:val="16"/>
              </w:rPr>
            </w:pPr>
          </w:p>
        </w:tc>
        <w:tc>
          <w:tcPr>
            <w:tcW w:w="866" w:type="dxa"/>
            <w:tcBorders>
              <w:top w:val="nil"/>
              <w:left w:val="nil"/>
              <w:right w:val="nil"/>
            </w:tcBorders>
            <w:shd w:val="clear" w:color="auto" w:fill="E6E6E6"/>
            <w:noWrap/>
            <w:vAlign w:val="bottom"/>
            <w:hideMark/>
          </w:tcPr>
          <w:p w14:paraId="037443E2" w14:textId="7F67C6FD"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w:t>
            </w:r>
          </w:p>
        </w:tc>
        <w:tc>
          <w:tcPr>
            <w:tcW w:w="1148" w:type="dxa"/>
            <w:tcBorders>
              <w:top w:val="nil"/>
              <w:left w:val="nil"/>
              <w:right w:val="nil"/>
            </w:tcBorders>
            <w:shd w:val="clear" w:color="auto" w:fill="auto"/>
            <w:noWrap/>
            <w:vAlign w:val="bottom"/>
            <w:hideMark/>
          </w:tcPr>
          <w:p w14:paraId="1E5CF8D7" w14:textId="4B49D3FE"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7,226</w:t>
            </w:r>
          </w:p>
        </w:tc>
        <w:tc>
          <w:tcPr>
            <w:tcW w:w="1014" w:type="dxa"/>
            <w:tcBorders>
              <w:top w:val="nil"/>
              <w:left w:val="nil"/>
              <w:right w:val="nil"/>
            </w:tcBorders>
            <w:shd w:val="clear" w:color="auto" w:fill="E6E6E6"/>
            <w:noWrap/>
            <w:vAlign w:val="bottom"/>
            <w:hideMark/>
          </w:tcPr>
          <w:p w14:paraId="6FC30B5F" w14:textId="6A568951"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10,083</w:t>
            </w:r>
          </w:p>
        </w:tc>
        <w:tc>
          <w:tcPr>
            <w:tcW w:w="971" w:type="dxa"/>
            <w:tcBorders>
              <w:top w:val="nil"/>
              <w:left w:val="nil"/>
              <w:right w:val="nil"/>
            </w:tcBorders>
            <w:shd w:val="clear" w:color="auto" w:fill="auto"/>
            <w:noWrap/>
            <w:vAlign w:val="bottom"/>
            <w:hideMark/>
          </w:tcPr>
          <w:p w14:paraId="28982F5A" w14:textId="14DEE4A9"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7,668</w:t>
            </w:r>
          </w:p>
        </w:tc>
        <w:tc>
          <w:tcPr>
            <w:tcW w:w="909" w:type="dxa"/>
            <w:tcBorders>
              <w:top w:val="nil"/>
              <w:left w:val="nil"/>
              <w:right w:val="nil"/>
            </w:tcBorders>
            <w:shd w:val="clear" w:color="auto" w:fill="E6E6E6"/>
            <w:noWrap/>
            <w:vAlign w:val="bottom"/>
            <w:hideMark/>
          </w:tcPr>
          <w:p w14:paraId="715D62A3" w14:textId="45F6E104" w:rsidR="004A16F1" w:rsidRPr="00085819" w:rsidRDefault="004A16F1" w:rsidP="00F7784A">
            <w:pPr>
              <w:spacing w:after="0" w:line="240" w:lineRule="auto"/>
              <w:ind w:left="113"/>
              <w:jc w:val="right"/>
              <w:rPr>
                <w:rFonts w:ascii="Arial" w:hAnsi="Arial" w:cs="Arial"/>
                <w:bCs/>
                <w:sz w:val="16"/>
                <w:szCs w:val="16"/>
              </w:rPr>
            </w:pPr>
            <w:r w:rsidRPr="00085819">
              <w:rPr>
                <w:rFonts w:ascii="Arial" w:hAnsi="Arial" w:cs="Arial"/>
                <w:bCs/>
                <w:sz w:val="16"/>
                <w:szCs w:val="16"/>
              </w:rPr>
              <w:t>1,160</w:t>
            </w:r>
          </w:p>
        </w:tc>
      </w:tr>
      <w:tr w:rsidR="00A5240B" w:rsidRPr="00085819" w14:paraId="51725C70" w14:textId="77777777" w:rsidTr="00436AC0">
        <w:trPr>
          <w:trHeight w:val="204"/>
        </w:trPr>
        <w:tc>
          <w:tcPr>
            <w:tcW w:w="1985" w:type="dxa"/>
            <w:tcBorders>
              <w:top w:val="nil"/>
              <w:left w:val="nil"/>
              <w:bottom w:val="single" w:sz="4" w:space="0" w:color="auto"/>
              <w:right w:val="nil"/>
            </w:tcBorders>
            <w:shd w:val="clear" w:color="auto" w:fill="auto"/>
            <w:noWrap/>
            <w:vAlign w:val="bottom"/>
            <w:hideMark/>
          </w:tcPr>
          <w:p w14:paraId="17FF80A7" w14:textId="77777777" w:rsidR="004A16F1" w:rsidRPr="00085819" w:rsidRDefault="004A16F1" w:rsidP="00A5240B">
            <w:pPr>
              <w:spacing w:after="0" w:line="240" w:lineRule="auto"/>
              <w:ind w:left="-109"/>
              <w:rPr>
                <w:rFonts w:ascii="Arial" w:hAnsi="Arial" w:cs="Arial"/>
                <w:b/>
                <w:bCs/>
                <w:sz w:val="16"/>
                <w:szCs w:val="16"/>
              </w:rPr>
            </w:pPr>
            <w:r w:rsidRPr="00085819">
              <w:rPr>
                <w:rFonts w:ascii="Arial" w:hAnsi="Arial" w:cs="Arial"/>
                <w:b/>
                <w:bCs/>
                <w:sz w:val="16"/>
                <w:szCs w:val="16"/>
              </w:rPr>
              <w:t>Total</w:t>
            </w:r>
          </w:p>
        </w:tc>
        <w:tc>
          <w:tcPr>
            <w:tcW w:w="874" w:type="dxa"/>
            <w:tcBorders>
              <w:top w:val="nil"/>
              <w:left w:val="nil"/>
              <w:bottom w:val="single" w:sz="4" w:space="0" w:color="auto"/>
              <w:right w:val="nil"/>
            </w:tcBorders>
            <w:shd w:val="clear" w:color="auto" w:fill="auto"/>
            <w:noWrap/>
            <w:vAlign w:val="bottom"/>
            <w:hideMark/>
          </w:tcPr>
          <w:p w14:paraId="3FF7405D" w14:textId="77777777" w:rsidR="004A16F1" w:rsidRPr="00085819" w:rsidRDefault="004A16F1" w:rsidP="004A16F1">
            <w:pPr>
              <w:spacing w:after="0" w:line="240" w:lineRule="auto"/>
              <w:jc w:val="center"/>
              <w:rPr>
                <w:rFonts w:ascii="Arial" w:hAnsi="Arial" w:cs="Arial"/>
                <w:b/>
                <w:bCs/>
                <w:sz w:val="16"/>
                <w:szCs w:val="16"/>
              </w:rPr>
            </w:pPr>
          </w:p>
        </w:tc>
        <w:tc>
          <w:tcPr>
            <w:tcW w:w="866" w:type="dxa"/>
            <w:tcBorders>
              <w:top w:val="nil"/>
              <w:left w:val="nil"/>
              <w:bottom w:val="single" w:sz="4" w:space="0" w:color="auto"/>
              <w:right w:val="nil"/>
            </w:tcBorders>
            <w:shd w:val="clear" w:color="auto" w:fill="E6E6E6"/>
            <w:noWrap/>
            <w:vAlign w:val="bottom"/>
            <w:hideMark/>
          </w:tcPr>
          <w:p w14:paraId="0B6D0462" w14:textId="2B232415"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w:t>
            </w:r>
          </w:p>
        </w:tc>
        <w:tc>
          <w:tcPr>
            <w:tcW w:w="1148" w:type="dxa"/>
            <w:tcBorders>
              <w:top w:val="nil"/>
              <w:left w:val="nil"/>
              <w:bottom w:val="single" w:sz="4" w:space="0" w:color="auto"/>
              <w:right w:val="nil"/>
            </w:tcBorders>
            <w:shd w:val="clear" w:color="auto" w:fill="auto"/>
            <w:noWrap/>
            <w:vAlign w:val="bottom"/>
            <w:hideMark/>
          </w:tcPr>
          <w:p w14:paraId="704DD9D9" w14:textId="77777777"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(1,044,791)</w:t>
            </w:r>
          </w:p>
        </w:tc>
        <w:tc>
          <w:tcPr>
            <w:tcW w:w="1014" w:type="dxa"/>
            <w:tcBorders>
              <w:top w:val="nil"/>
              <w:left w:val="nil"/>
              <w:bottom w:val="single" w:sz="4" w:space="0" w:color="auto"/>
              <w:right w:val="nil"/>
            </w:tcBorders>
            <w:shd w:val="clear" w:color="auto" w:fill="E6E6E6"/>
            <w:noWrap/>
            <w:vAlign w:val="bottom"/>
            <w:hideMark/>
          </w:tcPr>
          <w:p w14:paraId="75AB4726" w14:textId="77777777"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(446,508)</w:t>
            </w:r>
          </w:p>
        </w:tc>
        <w:tc>
          <w:tcPr>
            <w:tcW w:w="971" w:type="dxa"/>
            <w:tcBorders>
              <w:top w:val="nil"/>
              <w:left w:val="nil"/>
              <w:bottom w:val="single" w:sz="4" w:space="0" w:color="auto"/>
              <w:right w:val="nil"/>
            </w:tcBorders>
            <w:shd w:val="clear" w:color="auto" w:fill="auto"/>
            <w:noWrap/>
            <w:vAlign w:val="bottom"/>
            <w:hideMark/>
          </w:tcPr>
          <w:p w14:paraId="46D57D9B" w14:textId="77777777"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(155,158)</w:t>
            </w:r>
          </w:p>
        </w:tc>
        <w:tc>
          <w:tcPr>
            <w:tcW w:w="909" w:type="dxa"/>
            <w:tcBorders>
              <w:top w:val="nil"/>
              <w:left w:val="nil"/>
              <w:bottom w:val="single" w:sz="4" w:space="0" w:color="auto"/>
              <w:right w:val="nil"/>
            </w:tcBorders>
            <w:shd w:val="clear" w:color="auto" w:fill="E6E6E6"/>
            <w:noWrap/>
            <w:vAlign w:val="bottom"/>
            <w:hideMark/>
          </w:tcPr>
          <w:p w14:paraId="07408671" w14:textId="7E2BF3FF" w:rsidR="004A16F1" w:rsidRPr="00085819" w:rsidRDefault="004A16F1" w:rsidP="004A16F1">
            <w:pPr>
              <w:spacing w:after="0" w:line="240" w:lineRule="auto"/>
              <w:jc w:val="right"/>
              <w:rPr>
                <w:rFonts w:ascii="Arial" w:hAnsi="Arial" w:cs="Arial"/>
                <w:b/>
                <w:bCs/>
                <w:sz w:val="16"/>
                <w:szCs w:val="16"/>
              </w:rPr>
            </w:pPr>
            <w:r w:rsidRPr="00085819">
              <w:rPr>
                <w:rFonts w:ascii="Arial" w:hAnsi="Arial" w:cs="Arial"/>
                <w:b/>
                <w:bCs/>
                <w:sz w:val="16"/>
                <w:szCs w:val="16"/>
              </w:rPr>
              <w:t>305,439</w:t>
            </w:r>
          </w:p>
        </w:tc>
      </w:tr>
    </w:tbl>
    <w:p w14:paraId="69C96DC8" w14:textId="05387A5D" w:rsidR="00115843" w:rsidRPr="008452B1" w:rsidRDefault="00115843" w:rsidP="00115843">
      <w:pPr>
        <w:pStyle w:val="ChartandTableFootnote"/>
        <w:spacing w:before="60"/>
        <w:rPr>
          <w:rFonts w:eastAsia="Calibri" w:cs="Arial"/>
          <w:color w:val="auto"/>
          <w:szCs w:val="16"/>
        </w:rPr>
      </w:pPr>
      <w:r w:rsidRPr="00704BB6">
        <w:t>Prepared on a Government Finance Statistics (Underlying Cash) basis. Figures displayed as a negative (-) repres</w:t>
      </w:r>
      <w:r w:rsidRPr="008452B1">
        <w:rPr>
          <w:rFonts w:eastAsia="Calibri" w:cs="Arial"/>
          <w:color w:val="auto"/>
          <w:szCs w:val="16"/>
        </w:rPr>
        <w:t>ent a decrease in funds and a positive (+) represent an increase in funds.</w:t>
      </w:r>
    </w:p>
    <w:p w14:paraId="786B7517" w14:textId="0CA8926E" w:rsidR="008452B1" w:rsidRDefault="008452B1" w:rsidP="008452B1">
      <w:pPr>
        <w:pStyle w:val="ListParagraph"/>
        <w:numPr>
          <w:ilvl w:val="4"/>
          <w:numId w:val="176"/>
        </w:numPr>
        <w:spacing w:before="60" w:after="0"/>
        <w:ind w:left="426" w:hanging="426"/>
        <w:rPr>
          <w:rFonts w:ascii="Arial" w:hAnsi="Arial" w:cs="Arial"/>
          <w:sz w:val="16"/>
          <w:szCs w:val="16"/>
        </w:rPr>
      </w:pPr>
      <w:r w:rsidRPr="008452B1">
        <w:rPr>
          <w:rFonts w:ascii="Arial" w:hAnsi="Arial" w:cs="Arial"/>
          <w:sz w:val="16"/>
          <w:szCs w:val="16"/>
        </w:rPr>
        <w:t xml:space="preserve">Funding </w:t>
      </w:r>
      <w:r w:rsidR="004E6224">
        <w:rPr>
          <w:rFonts w:ascii="Arial" w:hAnsi="Arial" w:cs="Arial"/>
          <w:sz w:val="16"/>
          <w:szCs w:val="16"/>
        </w:rPr>
        <w:t xml:space="preserve">through this measure provided to </w:t>
      </w:r>
      <w:r w:rsidRPr="008452B1">
        <w:rPr>
          <w:rFonts w:ascii="Arial" w:hAnsi="Arial" w:cs="Arial"/>
          <w:sz w:val="16"/>
          <w:szCs w:val="16"/>
        </w:rPr>
        <w:t>Australian Broadcasting Corporation (AB</w:t>
      </w:r>
      <w:r w:rsidR="004E6224">
        <w:rPr>
          <w:rFonts w:ascii="Arial" w:hAnsi="Arial" w:cs="Arial"/>
          <w:sz w:val="16"/>
          <w:szCs w:val="16"/>
        </w:rPr>
        <w:t>C) can be found in T</w:t>
      </w:r>
      <w:r w:rsidRPr="008452B1">
        <w:rPr>
          <w:rFonts w:ascii="Arial" w:hAnsi="Arial" w:cs="Arial"/>
          <w:sz w:val="16"/>
          <w:szCs w:val="16"/>
        </w:rPr>
        <w:t>able 1.2</w:t>
      </w:r>
      <w:r w:rsidR="005A49CF">
        <w:rPr>
          <w:rFonts w:ascii="Arial" w:hAnsi="Arial" w:cs="Arial"/>
          <w:sz w:val="16"/>
          <w:szCs w:val="16"/>
        </w:rPr>
        <w:t xml:space="preserve"> in ABC’s chapter</w:t>
      </w:r>
      <w:r w:rsidRPr="008452B1">
        <w:rPr>
          <w:rFonts w:ascii="Arial" w:hAnsi="Arial" w:cs="Arial"/>
          <w:sz w:val="16"/>
          <w:szCs w:val="16"/>
        </w:rPr>
        <w:t>.</w:t>
      </w:r>
    </w:p>
    <w:p w14:paraId="6D6DD5E1" w14:textId="6B80321E" w:rsidR="008452B1" w:rsidRPr="008452B1" w:rsidRDefault="00C904B7" w:rsidP="008452B1">
      <w:pPr>
        <w:pStyle w:val="ListParagraph"/>
        <w:numPr>
          <w:ilvl w:val="4"/>
          <w:numId w:val="176"/>
        </w:numPr>
        <w:spacing w:before="60" w:after="0"/>
        <w:ind w:left="426" w:hanging="426"/>
        <w:rPr>
          <w:rFonts w:ascii="Arial" w:hAnsi="Arial" w:cs="Arial"/>
          <w:sz w:val="16"/>
          <w:szCs w:val="16"/>
        </w:rPr>
      </w:pPr>
      <w:r w:rsidRPr="000F0C9E">
        <w:rPr>
          <w:rFonts w:ascii="Arial" w:hAnsi="Arial" w:cs="Arial"/>
          <w:sz w:val="16"/>
          <w:szCs w:val="16"/>
        </w:rPr>
        <w:t>'nfp' figures are not for publication due to commercial sensitivities and are not included in totals.</w:t>
      </w:r>
    </w:p>
    <w:p w14:paraId="6F857FA6" w14:textId="77777777" w:rsidR="00115843" w:rsidRDefault="00115843" w:rsidP="00115843">
      <w:pPr>
        <w:spacing w:after="0" w:line="240" w:lineRule="auto"/>
        <w:rPr>
          <w:rFonts w:ascii="Arial" w:hAnsi="Arial"/>
          <w:color w:val="000000"/>
          <w:sz w:val="16"/>
        </w:rPr>
      </w:pPr>
      <w:r>
        <w:br w:type="page"/>
      </w:r>
    </w:p>
    <w:p w14:paraId="6F7EF604" w14:textId="77777777" w:rsidR="00115843" w:rsidRPr="00810C6A" w:rsidRDefault="00115843" w:rsidP="00115843">
      <w:pPr>
        <w:pStyle w:val="Heading2-ITRDCA"/>
      </w:pPr>
      <w:bookmarkStart w:id="12" w:name="_Toc117242346"/>
      <w:r w:rsidRPr="00810C6A">
        <w:lastRenderedPageBreak/>
        <w:t>Section 2: Outcomes and planned performance</w:t>
      </w:r>
      <w:bookmarkEnd w:id="12"/>
    </w:p>
    <w:p w14:paraId="74B0FB40" w14:textId="77777777" w:rsidR="00115843" w:rsidRPr="005E6F2B" w:rsidRDefault="00115843" w:rsidP="00115843">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4A3B392" w14:textId="77777777" w:rsidR="00115843" w:rsidRPr="004C0F95" w:rsidRDefault="00115843" w:rsidP="00115843">
      <w:pPr>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4C0F95">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115843" w:rsidRPr="001C6402" w14:paraId="4789B936" w14:textId="77777777" w:rsidTr="00FB0D02">
        <w:tc>
          <w:tcPr>
            <w:tcW w:w="7700" w:type="dxa"/>
            <w:shd w:val="clear" w:color="auto" w:fill="auto"/>
          </w:tcPr>
          <w:p w14:paraId="572CC27A" w14:textId="77777777" w:rsidR="00115843" w:rsidRPr="00963AB6" w:rsidRDefault="00115843" w:rsidP="00FB0D02">
            <w:pPr>
              <w:spacing w:before="120" w:after="120" w:line="240" w:lineRule="auto"/>
              <w:rPr>
                <w:b/>
                <w:szCs w:val="19"/>
              </w:rPr>
            </w:pPr>
            <w:r w:rsidRPr="00963AB6">
              <w:rPr>
                <w:b/>
                <w:szCs w:val="19"/>
              </w:rPr>
              <w:t>Note:</w:t>
            </w:r>
          </w:p>
          <w:p w14:paraId="6B2DA560" w14:textId="77777777" w:rsidR="00115843" w:rsidRPr="00963AB6" w:rsidRDefault="00115843" w:rsidP="00FB0D02">
            <w:pPr>
              <w:rPr>
                <w:szCs w:val="19"/>
              </w:rPr>
            </w:pPr>
            <w:r w:rsidRPr="00963AB6">
              <w:rPr>
                <w:szCs w:val="19"/>
              </w:rPr>
              <w:t xml:space="preserve">Performance reporting requirements in the Portfolio Budget Statements are part of the Commonwealth performance framework established by the </w:t>
            </w:r>
            <w:r w:rsidRPr="00963AB6">
              <w:rPr>
                <w:i/>
                <w:szCs w:val="19"/>
              </w:rPr>
              <w:t>Public Governance, Performance and Accountability Act 2013</w:t>
            </w:r>
            <w:r w:rsidRPr="00963AB6">
              <w:rPr>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512E32A9" w14:textId="77777777" w:rsidR="00115843" w:rsidRPr="00963AB6" w:rsidRDefault="00115843" w:rsidP="00FB0D02">
            <w:pPr>
              <w:rPr>
                <w:szCs w:val="19"/>
              </w:rPr>
            </w:pPr>
            <w:r w:rsidRPr="00963AB6">
              <w:rPr>
                <w:szCs w:val="19"/>
              </w:rPr>
              <w:t xml:space="preserve">The most recent corporate plan for </w:t>
            </w:r>
            <w:r>
              <w:rPr>
                <w:szCs w:val="19"/>
              </w:rPr>
              <w:t xml:space="preserve">the </w:t>
            </w:r>
            <w:r w:rsidRPr="00963AB6">
              <w:rPr>
                <w:szCs w:val="19"/>
              </w:rPr>
              <w:t>Department of Infrastructure, Transport, Regional Development, Communications and the Arts can be found at: (</w:t>
            </w:r>
            <w:r w:rsidRPr="00963AB6">
              <w:rPr>
                <w:szCs w:val="19"/>
                <w:u w:val="single"/>
              </w:rPr>
              <w:t>https://www.infrastructure.gov.au/department/about/corporate-plan</w:t>
            </w:r>
            <w:r w:rsidRPr="00963AB6">
              <w:rPr>
                <w:szCs w:val="19"/>
              </w:rPr>
              <w:t>)</w:t>
            </w:r>
          </w:p>
          <w:p w14:paraId="745A4EB0" w14:textId="77777777" w:rsidR="00115843" w:rsidRPr="005F2DAC" w:rsidRDefault="00115843" w:rsidP="00FB0D02">
            <w:pPr>
              <w:autoSpaceDE w:val="0"/>
              <w:autoSpaceDN w:val="0"/>
              <w:spacing w:after="0" w:line="240" w:lineRule="auto"/>
              <w:rPr>
                <w:rFonts w:ascii="Calibri" w:hAnsi="Calibri"/>
                <w:sz w:val="22"/>
              </w:rPr>
            </w:pPr>
            <w:r w:rsidRPr="005F2DAC">
              <w:rPr>
                <w:szCs w:val="19"/>
              </w:rPr>
              <w:t xml:space="preserve">The most recent annual performance statement can be found at: </w:t>
            </w:r>
            <w:r w:rsidRPr="005F2DAC">
              <w:rPr>
                <w:rFonts w:cs="Segoe UI"/>
                <w:u w:val="single"/>
                <w:lang w:val="en-GB"/>
              </w:rPr>
              <w:t>https://www.infrastructure.gov.au/department/media/publications/annual-reports</w:t>
            </w:r>
          </w:p>
        </w:tc>
      </w:tr>
    </w:tbl>
    <w:p w14:paraId="09932F74" w14:textId="77777777" w:rsidR="00115843" w:rsidRDefault="00115843" w:rsidP="00115843">
      <w:pPr>
        <w:spacing w:after="0" w:line="240" w:lineRule="auto"/>
        <w:rPr>
          <w:rFonts w:ascii="Arial Bold" w:hAnsi="Arial Bold"/>
          <w:b/>
          <w:sz w:val="22"/>
        </w:rPr>
      </w:pPr>
      <w:r>
        <w:br w:type="page"/>
      </w:r>
    </w:p>
    <w:p w14:paraId="6E9018A7" w14:textId="77777777" w:rsidR="00115843" w:rsidRPr="00F743D8" w:rsidRDefault="00115843" w:rsidP="00115843">
      <w:pPr>
        <w:pStyle w:val="Heading3-ITRDCA"/>
      </w:pPr>
      <w:bookmarkStart w:id="13" w:name="_Toc117242347"/>
      <w:r>
        <w:lastRenderedPageBreak/>
        <w:t>2.1</w:t>
      </w:r>
      <w:r w:rsidRPr="00F743D8">
        <w:t xml:space="preserve"> </w:t>
      </w:r>
      <w:r w:rsidRPr="00F743D8">
        <w:tab/>
        <w:t xml:space="preserve">Budgeted expenses and performance for Outcome </w:t>
      </w:r>
      <w:r>
        <w:t>1</w:t>
      </w:r>
      <w:bookmarkEnd w:id="1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842923" w14:paraId="364CFC4B" w14:textId="77777777" w:rsidTr="00FB0D02">
        <w:tc>
          <w:tcPr>
            <w:tcW w:w="7704" w:type="dxa"/>
            <w:shd w:val="clear" w:color="auto" w:fill="E6E6E6"/>
          </w:tcPr>
          <w:p w14:paraId="290EC29E" w14:textId="77777777" w:rsidR="00115843" w:rsidRPr="00707BCF" w:rsidRDefault="00115843" w:rsidP="00FB0D02">
            <w:pPr>
              <w:pStyle w:val="TableColumnHeadingLeft"/>
              <w:rPr>
                <w:rFonts w:cs="Arial"/>
              </w:rPr>
            </w:pPr>
            <w:r w:rsidRPr="00707BCF">
              <w:rPr>
                <w:rFonts w:cs="Arial"/>
              </w:rPr>
              <w:t>Outcome 1: Improved infrastructure across Australia through investment in and coordination of transport and other infrastructure</w:t>
            </w:r>
          </w:p>
        </w:tc>
      </w:tr>
    </w:tbl>
    <w:p w14:paraId="42779B5E" w14:textId="77777777" w:rsidR="00115843" w:rsidRPr="005E6F2B" w:rsidRDefault="00115843" w:rsidP="00115843">
      <w:pPr>
        <w:pStyle w:val="NoSpacing"/>
      </w:pPr>
    </w:p>
    <w:p w14:paraId="019041FD" w14:textId="77777777" w:rsidR="00115843" w:rsidRPr="005E6F2B" w:rsidRDefault="00115843" w:rsidP="00115843">
      <w:pPr>
        <w:pStyle w:val="Heading4"/>
      </w:pPr>
      <w:r w:rsidRPr="005E6F2B">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15843" w:rsidRPr="00E1004B" w14:paraId="395A5626" w14:textId="77777777" w:rsidTr="00D6413D">
        <w:trPr>
          <w:trHeight w:val="113"/>
          <w:tblHeader/>
        </w:trPr>
        <w:tc>
          <w:tcPr>
            <w:tcW w:w="7700" w:type="dxa"/>
            <w:tcBorders>
              <w:bottom w:val="nil"/>
            </w:tcBorders>
          </w:tcPr>
          <w:p w14:paraId="16403C69" w14:textId="77777777" w:rsidR="00115843" w:rsidRPr="00E1004B" w:rsidRDefault="00115843" w:rsidP="00FB0D02">
            <w:pPr>
              <w:spacing w:before="60" w:after="60" w:line="240" w:lineRule="auto"/>
              <w:rPr>
                <w:b/>
              </w:rPr>
            </w:pPr>
            <w:r w:rsidRPr="00E1004B">
              <w:rPr>
                <w:b/>
              </w:rPr>
              <w:t>Director of National Parks</w:t>
            </w:r>
          </w:p>
        </w:tc>
      </w:tr>
      <w:tr w:rsidR="00115843" w:rsidRPr="00E1004B" w14:paraId="73F36B1F" w14:textId="77777777" w:rsidTr="00D6413D">
        <w:trPr>
          <w:trHeight w:val="113"/>
        </w:trPr>
        <w:tc>
          <w:tcPr>
            <w:tcW w:w="7700" w:type="dxa"/>
            <w:tcBorders>
              <w:top w:val="nil"/>
              <w:bottom w:val="single" w:sz="4" w:space="0" w:color="auto"/>
            </w:tcBorders>
          </w:tcPr>
          <w:p w14:paraId="59A7B227" w14:textId="77777777" w:rsidR="00115843" w:rsidRPr="00E1004B" w:rsidRDefault="00115843" w:rsidP="00FB0D02">
            <w:pPr>
              <w:pStyle w:val="BoxText"/>
              <w:rPr>
                <w:rStyle w:val="ExampletextCharChar"/>
                <w:b/>
                <w:bCs/>
                <w:i w:val="0"/>
                <w:color w:val="auto"/>
              </w:rPr>
            </w:pPr>
            <w:r w:rsidRPr="00E1004B">
              <w:rPr>
                <w:b/>
                <w:bCs/>
              </w:rPr>
              <w:t>Programs</w:t>
            </w:r>
          </w:p>
          <w:p w14:paraId="116A691F" w14:textId="77777777" w:rsidR="00115843" w:rsidRPr="00E1004B" w:rsidRDefault="00115843" w:rsidP="00305B37">
            <w:pPr>
              <w:pStyle w:val="BoxBullet"/>
              <w:numPr>
                <w:ilvl w:val="0"/>
                <w:numId w:val="268"/>
              </w:numPr>
              <w:spacing w:before="120"/>
              <w:ind w:left="317" w:hanging="284"/>
            </w:pPr>
            <w:r w:rsidRPr="00E1004B">
              <w:rPr>
                <w:lang w:val="en-US"/>
              </w:rPr>
              <w:t>Program</w:t>
            </w:r>
            <w:r w:rsidRPr="00E1004B">
              <w:t xml:space="preserve"> 1.1: Parks and Reserves</w:t>
            </w:r>
          </w:p>
          <w:p w14:paraId="3A4F93C4" w14:textId="77777777" w:rsidR="00115843" w:rsidRPr="00E1004B" w:rsidRDefault="00115843" w:rsidP="00FB0D02">
            <w:pPr>
              <w:spacing w:before="60" w:after="60" w:line="240" w:lineRule="auto"/>
              <w:rPr>
                <w:b/>
              </w:rPr>
            </w:pPr>
            <w:r w:rsidRPr="00E1004B">
              <w:rPr>
                <w:b/>
              </w:rPr>
              <w:t>Contribution to Outcome 1 made by linked programs</w:t>
            </w:r>
          </w:p>
          <w:p w14:paraId="19E4A750" w14:textId="77777777" w:rsidR="00115843" w:rsidRPr="00E1004B" w:rsidRDefault="00115843" w:rsidP="00FB0D02">
            <w:pPr>
              <w:pStyle w:val="BoxBullet"/>
              <w:numPr>
                <w:ilvl w:val="0"/>
                <w:numId w:val="0"/>
              </w:numPr>
            </w:pPr>
            <w:r w:rsidRPr="00E1004B">
              <w:t>The Director of National Parks is working with the Department of Infrastructure, Transport, Regional Development, Communications and the Arts to secure the future of Jabiru by supporting the township’s transition from a reliance on mining to a tourism-based economy that leverages its proximity to the Kakadu National Park. Funding of $70 million for roads within Kakadu National Park under the Infrastructure Investment Program will complement an investment of more than $100 million by the Australian Government to improve tourism infrastructure across the park and to bolster the local economy and support Indigenous businesses and employment.</w:t>
            </w:r>
          </w:p>
        </w:tc>
      </w:tr>
      <w:tr w:rsidR="00115843" w:rsidRPr="00E1004B" w14:paraId="21A857A3" w14:textId="77777777" w:rsidTr="00D6413D">
        <w:trPr>
          <w:trHeight w:val="113"/>
        </w:trPr>
        <w:tc>
          <w:tcPr>
            <w:tcW w:w="7700" w:type="dxa"/>
            <w:tcBorders>
              <w:bottom w:val="nil"/>
            </w:tcBorders>
          </w:tcPr>
          <w:p w14:paraId="5C6173E7" w14:textId="77777777" w:rsidR="00115843" w:rsidRPr="00E1004B" w:rsidRDefault="00115843" w:rsidP="00FB0D02">
            <w:pPr>
              <w:spacing w:before="60" w:after="60" w:line="240" w:lineRule="auto"/>
              <w:rPr>
                <w:b/>
              </w:rPr>
            </w:pPr>
            <w:r w:rsidRPr="00E1004B">
              <w:rPr>
                <w:b/>
              </w:rPr>
              <w:t>The Treasury</w:t>
            </w:r>
          </w:p>
        </w:tc>
      </w:tr>
      <w:tr w:rsidR="00115843" w:rsidRPr="00E1004B" w14:paraId="62AF4B8B" w14:textId="77777777" w:rsidTr="00D6413D">
        <w:trPr>
          <w:trHeight w:val="113"/>
        </w:trPr>
        <w:tc>
          <w:tcPr>
            <w:tcW w:w="7700" w:type="dxa"/>
            <w:tcBorders>
              <w:top w:val="nil"/>
              <w:bottom w:val="single" w:sz="4" w:space="0" w:color="auto"/>
            </w:tcBorders>
          </w:tcPr>
          <w:p w14:paraId="5236BF36" w14:textId="77777777" w:rsidR="00115843" w:rsidRPr="00E1004B" w:rsidRDefault="00115843" w:rsidP="00FB0D02">
            <w:pPr>
              <w:pStyle w:val="BoxText"/>
              <w:rPr>
                <w:b/>
                <w:bCs/>
              </w:rPr>
            </w:pPr>
            <w:r w:rsidRPr="00E1004B">
              <w:rPr>
                <w:b/>
                <w:bCs/>
              </w:rPr>
              <w:t>Programs</w:t>
            </w:r>
          </w:p>
          <w:p w14:paraId="195260E6" w14:textId="77777777" w:rsidR="00115843" w:rsidRPr="00E1004B" w:rsidRDefault="00115843" w:rsidP="00305B37">
            <w:pPr>
              <w:pStyle w:val="BoxBullet"/>
              <w:numPr>
                <w:ilvl w:val="0"/>
                <w:numId w:val="268"/>
              </w:numPr>
              <w:spacing w:before="120"/>
              <w:ind w:left="317" w:hanging="284"/>
              <w:rPr>
                <w:i/>
              </w:rPr>
            </w:pPr>
            <w:r w:rsidRPr="00E1004B">
              <w:rPr>
                <w:lang w:val="en-US"/>
              </w:rPr>
              <w:t>Program 1.9: National Partnership Payments to the states</w:t>
            </w:r>
          </w:p>
          <w:p w14:paraId="085C08B6" w14:textId="77777777" w:rsidR="00115843" w:rsidRPr="00E1004B" w:rsidRDefault="00115843" w:rsidP="00FB0D02">
            <w:pPr>
              <w:spacing w:before="60" w:after="60" w:line="240" w:lineRule="auto"/>
              <w:rPr>
                <w:b/>
                <w:i/>
              </w:rPr>
            </w:pPr>
            <w:r w:rsidRPr="00E1004B">
              <w:rPr>
                <w:b/>
                <w:lang w:val="en-US"/>
              </w:rPr>
              <w:t>Contribution to Outcome 1 made by linked programs</w:t>
            </w:r>
          </w:p>
          <w:p w14:paraId="4DC6E796" w14:textId="77777777" w:rsidR="00115843" w:rsidRPr="00E1004B" w:rsidRDefault="00115843" w:rsidP="00FB0D02">
            <w:pPr>
              <w:pStyle w:val="BoxBullet"/>
              <w:numPr>
                <w:ilvl w:val="0"/>
                <w:numId w:val="0"/>
              </w:numPr>
              <w:ind w:left="22" w:hanging="22"/>
            </w:pPr>
            <w:r w:rsidRPr="00E1004B">
              <w:t>The above linkage relates to National Partnership Payments which are paid through the Department of the Treasury as part of the Federation Funding Agreements Framework.</w:t>
            </w:r>
          </w:p>
        </w:tc>
      </w:tr>
    </w:tbl>
    <w:p w14:paraId="79F1FC78" w14:textId="77777777" w:rsidR="00115843" w:rsidRPr="00446612" w:rsidRDefault="00115843" w:rsidP="00115843">
      <w:pPr>
        <w:pStyle w:val="Heading4"/>
      </w:pPr>
      <w:r>
        <w:br w:type="page"/>
      </w:r>
      <w:r w:rsidRPr="00446612">
        <w:lastRenderedPageBreak/>
        <w:t xml:space="preserve">Budgeted expenses for Outcome </w:t>
      </w:r>
      <w:r>
        <w:t>1</w:t>
      </w:r>
    </w:p>
    <w:p w14:paraId="536F73CA" w14:textId="77777777" w:rsidR="00115843" w:rsidRPr="00541FB4" w:rsidRDefault="00115843" w:rsidP="00115843">
      <w:r w:rsidRPr="00541FB4">
        <w:t xml:space="preserve">This table shows how much the </w:t>
      </w:r>
      <w:r>
        <w:t>Department</w:t>
      </w:r>
      <w:r w:rsidRPr="00541FB4">
        <w:t xml:space="preserve"> intends to spend (on an accrual basis) on achieving the outcome, broken down by program, as well as by </w:t>
      </w:r>
      <w:r>
        <w:t>a</w:t>
      </w:r>
      <w:r w:rsidRPr="00541FB4">
        <w:t xml:space="preserve">dministered and </w:t>
      </w:r>
      <w:r>
        <w:t>d</w:t>
      </w:r>
      <w:r w:rsidRPr="00541FB4">
        <w:t>epartmental funding sources.</w:t>
      </w:r>
    </w:p>
    <w:p w14:paraId="75B9F14F" w14:textId="77777777" w:rsidR="00115843" w:rsidRDefault="00115843" w:rsidP="00115843">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43"/>
        <w:gridCol w:w="34"/>
        <w:gridCol w:w="74"/>
        <w:gridCol w:w="951"/>
        <w:gridCol w:w="40"/>
        <w:gridCol w:w="797"/>
        <w:gridCol w:w="836"/>
        <w:gridCol w:w="32"/>
        <w:gridCol w:w="19"/>
        <w:gridCol w:w="785"/>
        <w:gridCol w:w="49"/>
        <w:gridCol w:w="9"/>
        <w:gridCol w:w="779"/>
        <w:gridCol w:w="62"/>
      </w:tblGrid>
      <w:tr w:rsidR="00115843" w:rsidRPr="005F517A" w14:paraId="1A3BDCC2" w14:textId="77777777" w:rsidTr="00436AC0">
        <w:trPr>
          <w:gridAfter w:val="1"/>
          <w:wAfter w:w="40" w:type="pct"/>
          <w:trHeight w:val="204"/>
        </w:trPr>
        <w:tc>
          <w:tcPr>
            <w:tcW w:w="2103" w:type="pct"/>
            <w:tcBorders>
              <w:top w:val="single" w:sz="4" w:space="0" w:color="auto"/>
              <w:left w:val="nil"/>
              <w:bottom w:val="single" w:sz="4" w:space="0" w:color="auto"/>
              <w:right w:val="nil"/>
            </w:tcBorders>
            <w:shd w:val="clear" w:color="auto" w:fill="auto"/>
            <w:noWrap/>
            <w:vAlign w:val="bottom"/>
            <w:hideMark/>
          </w:tcPr>
          <w:p w14:paraId="796B573C" w14:textId="77777777" w:rsidR="00115843" w:rsidRPr="005F517A" w:rsidRDefault="00115843" w:rsidP="00FB0D02">
            <w:pPr>
              <w:spacing w:after="0" w:line="240" w:lineRule="auto"/>
              <w:rPr>
                <w:rFonts w:ascii="Arial" w:hAnsi="Arial" w:cs="Arial"/>
                <w:sz w:val="16"/>
                <w:szCs w:val="16"/>
              </w:rPr>
            </w:pPr>
            <w:r w:rsidRPr="005F517A">
              <w:rPr>
                <w:rFonts w:ascii="Arial" w:hAnsi="Arial" w:cs="Arial"/>
                <w:sz w:val="16"/>
                <w:szCs w:val="16"/>
              </w:rPr>
              <w:t> </w:t>
            </w:r>
          </w:p>
        </w:tc>
        <w:tc>
          <w:tcPr>
            <w:tcW w:w="687" w:type="pct"/>
            <w:gridSpan w:val="3"/>
            <w:tcBorders>
              <w:top w:val="single" w:sz="4" w:space="0" w:color="auto"/>
              <w:left w:val="nil"/>
              <w:bottom w:val="single" w:sz="4" w:space="0" w:color="auto"/>
              <w:right w:val="nil"/>
            </w:tcBorders>
            <w:shd w:val="clear" w:color="auto" w:fill="auto"/>
            <w:vAlign w:val="bottom"/>
            <w:hideMark/>
          </w:tcPr>
          <w:p w14:paraId="25FE9C99"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2021-22</w:t>
            </w:r>
            <w:r w:rsidRPr="005F517A">
              <w:rPr>
                <w:rFonts w:ascii="Arial" w:hAnsi="Arial" w:cs="Arial"/>
                <w:sz w:val="16"/>
                <w:szCs w:val="16"/>
              </w:rPr>
              <w:br/>
              <w:t>Estimated  actual</w:t>
            </w:r>
            <w:r w:rsidRPr="005F517A">
              <w:rPr>
                <w:rFonts w:ascii="Arial" w:hAnsi="Arial" w:cs="Arial"/>
                <w:sz w:val="16"/>
                <w:szCs w:val="16"/>
              </w:rPr>
              <w:br/>
              <w:t>$'000</w:t>
            </w:r>
          </w:p>
        </w:tc>
        <w:tc>
          <w:tcPr>
            <w:tcW w:w="543" w:type="pct"/>
            <w:gridSpan w:val="2"/>
            <w:tcBorders>
              <w:top w:val="single" w:sz="4" w:space="0" w:color="auto"/>
              <w:left w:val="nil"/>
              <w:bottom w:val="single" w:sz="4" w:space="0" w:color="auto"/>
              <w:right w:val="nil"/>
            </w:tcBorders>
            <w:shd w:val="clear" w:color="auto" w:fill="E6E6E6"/>
            <w:vAlign w:val="bottom"/>
            <w:hideMark/>
          </w:tcPr>
          <w:p w14:paraId="33CA608A"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2022-23</w:t>
            </w:r>
            <w:r w:rsidRPr="005F517A">
              <w:rPr>
                <w:rFonts w:ascii="Arial" w:hAnsi="Arial" w:cs="Arial"/>
                <w:sz w:val="16"/>
                <w:szCs w:val="16"/>
              </w:rPr>
              <w:br/>
              <w:t xml:space="preserve"> Budget</w:t>
            </w:r>
            <w:r w:rsidRPr="005F517A">
              <w:rPr>
                <w:rFonts w:ascii="Arial" w:hAnsi="Arial" w:cs="Arial"/>
                <w:sz w:val="16"/>
                <w:szCs w:val="16"/>
              </w:rPr>
              <w:br/>
              <w:t xml:space="preserve">                                      $'000</w:t>
            </w:r>
          </w:p>
        </w:tc>
        <w:tc>
          <w:tcPr>
            <w:tcW w:w="542" w:type="pct"/>
            <w:tcBorders>
              <w:top w:val="single" w:sz="4" w:space="0" w:color="auto"/>
              <w:left w:val="nil"/>
              <w:bottom w:val="single" w:sz="4" w:space="0" w:color="auto"/>
              <w:right w:val="nil"/>
            </w:tcBorders>
            <w:shd w:val="clear" w:color="auto" w:fill="auto"/>
            <w:vAlign w:val="bottom"/>
            <w:hideMark/>
          </w:tcPr>
          <w:p w14:paraId="75E6687E"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2023-24</w:t>
            </w:r>
            <w:r w:rsidRPr="005F517A">
              <w:rPr>
                <w:rFonts w:ascii="Arial" w:hAnsi="Arial" w:cs="Arial"/>
                <w:sz w:val="16"/>
                <w:szCs w:val="16"/>
              </w:rPr>
              <w:br/>
              <w:t>Forward estimate</w:t>
            </w:r>
            <w:r w:rsidRPr="005F517A">
              <w:rPr>
                <w:rFonts w:ascii="Arial" w:hAnsi="Arial" w:cs="Arial"/>
                <w:sz w:val="16"/>
                <w:szCs w:val="16"/>
              </w:rPr>
              <w:br/>
              <w:t>$'000</w:t>
            </w:r>
          </w:p>
        </w:tc>
        <w:tc>
          <w:tcPr>
            <w:tcW w:w="542" w:type="pct"/>
            <w:gridSpan w:val="3"/>
            <w:tcBorders>
              <w:top w:val="single" w:sz="4" w:space="0" w:color="auto"/>
              <w:left w:val="nil"/>
              <w:bottom w:val="single" w:sz="4" w:space="0" w:color="auto"/>
              <w:right w:val="nil"/>
            </w:tcBorders>
            <w:shd w:val="clear" w:color="auto" w:fill="auto"/>
            <w:vAlign w:val="bottom"/>
            <w:hideMark/>
          </w:tcPr>
          <w:p w14:paraId="2343AC3A"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2024-25</w:t>
            </w:r>
            <w:r w:rsidRPr="005F517A">
              <w:rPr>
                <w:rFonts w:ascii="Arial" w:hAnsi="Arial" w:cs="Arial"/>
                <w:sz w:val="16"/>
                <w:szCs w:val="16"/>
              </w:rPr>
              <w:br/>
              <w:t>Forward estimate</w:t>
            </w:r>
            <w:r w:rsidRPr="005F517A">
              <w:rPr>
                <w:rFonts w:ascii="Arial" w:hAnsi="Arial" w:cs="Arial"/>
                <w:sz w:val="16"/>
                <w:szCs w:val="16"/>
              </w:rPr>
              <w:br/>
              <w:t>$'000</w:t>
            </w:r>
          </w:p>
        </w:tc>
        <w:tc>
          <w:tcPr>
            <w:tcW w:w="543" w:type="pct"/>
            <w:gridSpan w:val="3"/>
            <w:tcBorders>
              <w:top w:val="single" w:sz="4" w:space="0" w:color="auto"/>
              <w:left w:val="nil"/>
              <w:bottom w:val="single" w:sz="4" w:space="0" w:color="auto"/>
              <w:right w:val="nil"/>
            </w:tcBorders>
            <w:shd w:val="clear" w:color="auto" w:fill="auto"/>
            <w:vAlign w:val="bottom"/>
            <w:hideMark/>
          </w:tcPr>
          <w:p w14:paraId="7632E9AF"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2025-26</w:t>
            </w:r>
            <w:r w:rsidRPr="005F517A">
              <w:rPr>
                <w:rFonts w:ascii="Arial" w:hAnsi="Arial" w:cs="Arial"/>
                <w:sz w:val="16"/>
                <w:szCs w:val="16"/>
              </w:rPr>
              <w:br/>
              <w:t>Forward estimate</w:t>
            </w:r>
            <w:r w:rsidRPr="005F517A">
              <w:rPr>
                <w:rFonts w:ascii="Arial" w:hAnsi="Arial" w:cs="Arial"/>
                <w:sz w:val="16"/>
                <w:szCs w:val="16"/>
              </w:rPr>
              <w:br/>
              <w:t>$'000</w:t>
            </w:r>
          </w:p>
        </w:tc>
      </w:tr>
      <w:tr w:rsidR="00115843" w:rsidRPr="005F517A" w14:paraId="52719FF5" w14:textId="77777777" w:rsidTr="00436AC0">
        <w:trPr>
          <w:gridAfter w:val="1"/>
          <w:wAfter w:w="40" w:type="pct"/>
          <w:trHeight w:val="204"/>
        </w:trPr>
        <w:tc>
          <w:tcPr>
            <w:tcW w:w="2103" w:type="pct"/>
            <w:tcBorders>
              <w:top w:val="nil"/>
              <w:left w:val="nil"/>
              <w:bottom w:val="single" w:sz="4" w:space="0" w:color="auto"/>
              <w:right w:val="nil"/>
            </w:tcBorders>
            <w:shd w:val="clear" w:color="auto" w:fill="E6E6E6"/>
            <w:noWrap/>
            <w:vAlign w:val="bottom"/>
            <w:hideMark/>
          </w:tcPr>
          <w:p w14:paraId="0590AD76" w14:textId="77777777" w:rsidR="00115843" w:rsidRPr="005F517A" w:rsidRDefault="00115843" w:rsidP="00FB0D02">
            <w:pPr>
              <w:spacing w:after="0" w:line="240" w:lineRule="auto"/>
              <w:rPr>
                <w:rFonts w:ascii="Arial" w:hAnsi="Arial" w:cs="Arial"/>
                <w:b/>
                <w:bCs/>
                <w:sz w:val="16"/>
                <w:szCs w:val="16"/>
              </w:rPr>
            </w:pPr>
            <w:r w:rsidRPr="005F517A">
              <w:rPr>
                <w:rFonts w:ascii="Arial" w:hAnsi="Arial" w:cs="Arial"/>
                <w:b/>
                <w:bCs/>
                <w:sz w:val="16"/>
                <w:szCs w:val="16"/>
              </w:rPr>
              <w:t>Program 1.1: Infrastructure Investment</w:t>
            </w:r>
          </w:p>
        </w:tc>
        <w:tc>
          <w:tcPr>
            <w:tcW w:w="687" w:type="pct"/>
            <w:gridSpan w:val="3"/>
            <w:tcBorders>
              <w:top w:val="nil"/>
              <w:left w:val="nil"/>
              <w:bottom w:val="single" w:sz="4" w:space="0" w:color="auto"/>
              <w:right w:val="nil"/>
            </w:tcBorders>
            <w:shd w:val="clear" w:color="auto" w:fill="E6E6E6"/>
            <w:noWrap/>
            <w:vAlign w:val="bottom"/>
            <w:hideMark/>
          </w:tcPr>
          <w:p w14:paraId="1A5B3713"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43" w:type="pct"/>
            <w:gridSpan w:val="2"/>
            <w:tcBorders>
              <w:top w:val="nil"/>
              <w:left w:val="nil"/>
              <w:bottom w:val="single" w:sz="4" w:space="0" w:color="auto"/>
              <w:right w:val="nil"/>
            </w:tcBorders>
            <w:shd w:val="clear" w:color="auto" w:fill="E6E6E6"/>
            <w:noWrap/>
            <w:vAlign w:val="bottom"/>
            <w:hideMark/>
          </w:tcPr>
          <w:p w14:paraId="385C9803"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42" w:type="pct"/>
            <w:tcBorders>
              <w:top w:val="nil"/>
              <w:left w:val="nil"/>
              <w:bottom w:val="single" w:sz="4" w:space="0" w:color="auto"/>
              <w:right w:val="nil"/>
            </w:tcBorders>
            <w:shd w:val="clear" w:color="auto" w:fill="E6E6E6"/>
            <w:noWrap/>
            <w:vAlign w:val="bottom"/>
            <w:hideMark/>
          </w:tcPr>
          <w:p w14:paraId="53408933"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42" w:type="pct"/>
            <w:gridSpan w:val="3"/>
            <w:tcBorders>
              <w:top w:val="nil"/>
              <w:left w:val="nil"/>
              <w:bottom w:val="single" w:sz="4" w:space="0" w:color="auto"/>
              <w:right w:val="nil"/>
            </w:tcBorders>
            <w:shd w:val="clear" w:color="auto" w:fill="E6E6E6"/>
            <w:noWrap/>
            <w:vAlign w:val="bottom"/>
            <w:hideMark/>
          </w:tcPr>
          <w:p w14:paraId="6DDC48C2"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43" w:type="pct"/>
            <w:gridSpan w:val="3"/>
            <w:tcBorders>
              <w:top w:val="nil"/>
              <w:left w:val="nil"/>
              <w:bottom w:val="single" w:sz="4" w:space="0" w:color="auto"/>
              <w:right w:val="nil"/>
            </w:tcBorders>
            <w:shd w:val="clear" w:color="auto" w:fill="E6E6E6"/>
            <w:noWrap/>
            <w:vAlign w:val="bottom"/>
            <w:hideMark/>
          </w:tcPr>
          <w:p w14:paraId="36E03582"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r>
      <w:tr w:rsidR="00115843" w:rsidRPr="005F517A" w14:paraId="26C99CE4" w14:textId="77777777" w:rsidTr="00436AC0">
        <w:trPr>
          <w:gridAfter w:val="1"/>
          <w:wAfter w:w="40" w:type="pct"/>
          <w:trHeight w:val="204"/>
        </w:trPr>
        <w:tc>
          <w:tcPr>
            <w:tcW w:w="2103" w:type="pct"/>
            <w:tcBorders>
              <w:top w:val="nil"/>
              <w:left w:val="nil"/>
              <w:bottom w:val="nil"/>
              <w:right w:val="nil"/>
            </w:tcBorders>
            <w:shd w:val="clear" w:color="auto" w:fill="auto"/>
            <w:noWrap/>
            <w:vAlign w:val="bottom"/>
            <w:hideMark/>
          </w:tcPr>
          <w:p w14:paraId="6C124AC6" w14:textId="77777777" w:rsidR="00115843" w:rsidRPr="005F517A" w:rsidRDefault="00115843" w:rsidP="00FB0D02">
            <w:pPr>
              <w:spacing w:after="0" w:line="240" w:lineRule="auto"/>
              <w:rPr>
                <w:rFonts w:ascii="Arial" w:hAnsi="Arial" w:cs="Arial"/>
                <w:sz w:val="16"/>
                <w:szCs w:val="16"/>
              </w:rPr>
            </w:pPr>
            <w:r w:rsidRPr="005F517A">
              <w:rPr>
                <w:rFonts w:ascii="Arial" w:hAnsi="Arial" w:cs="Arial"/>
                <w:sz w:val="16"/>
                <w:szCs w:val="16"/>
              </w:rPr>
              <w:t>Administered expenses</w:t>
            </w:r>
          </w:p>
        </w:tc>
        <w:tc>
          <w:tcPr>
            <w:tcW w:w="687" w:type="pct"/>
            <w:gridSpan w:val="3"/>
            <w:tcBorders>
              <w:top w:val="nil"/>
              <w:left w:val="nil"/>
              <w:bottom w:val="nil"/>
              <w:right w:val="nil"/>
            </w:tcBorders>
            <w:shd w:val="clear" w:color="auto" w:fill="auto"/>
            <w:noWrap/>
            <w:vAlign w:val="bottom"/>
            <w:hideMark/>
          </w:tcPr>
          <w:p w14:paraId="14CB86CB" w14:textId="77777777" w:rsidR="00115843" w:rsidRPr="005F517A" w:rsidRDefault="00115843" w:rsidP="00FB0D02">
            <w:pPr>
              <w:spacing w:after="0" w:line="240" w:lineRule="auto"/>
              <w:jc w:val="right"/>
              <w:rPr>
                <w:rFonts w:ascii="Arial" w:hAnsi="Arial" w:cs="Arial"/>
                <w:sz w:val="16"/>
                <w:szCs w:val="16"/>
              </w:rPr>
            </w:pPr>
          </w:p>
        </w:tc>
        <w:tc>
          <w:tcPr>
            <w:tcW w:w="543" w:type="pct"/>
            <w:gridSpan w:val="2"/>
            <w:tcBorders>
              <w:top w:val="nil"/>
              <w:left w:val="nil"/>
              <w:bottom w:val="nil"/>
              <w:right w:val="nil"/>
            </w:tcBorders>
            <w:shd w:val="clear" w:color="auto" w:fill="E6E6E6"/>
            <w:noWrap/>
            <w:vAlign w:val="bottom"/>
            <w:hideMark/>
          </w:tcPr>
          <w:p w14:paraId="5EFECCC5" w14:textId="77777777" w:rsidR="00115843" w:rsidRPr="005F517A" w:rsidRDefault="00115843" w:rsidP="00FB0D02">
            <w:pPr>
              <w:spacing w:after="0" w:line="240" w:lineRule="auto"/>
              <w:jc w:val="right"/>
              <w:rPr>
                <w:rFonts w:ascii="Arial" w:hAnsi="Arial" w:cs="Arial"/>
                <w:sz w:val="16"/>
                <w:szCs w:val="16"/>
              </w:rPr>
            </w:pPr>
          </w:p>
        </w:tc>
        <w:tc>
          <w:tcPr>
            <w:tcW w:w="542" w:type="pct"/>
            <w:tcBorders>
              <w:top w:val="nil"/>
              <w:left w:val="nil"/>
              <w:bottom w:val="nil"/>
              <w:right w:val="nil"/>
            </w:tcBorders>
            <w:shd w:val="clear" w:color="auto" w:fill="auto"/>
            <w:noWrap/>
            <w:vAlign w:val="bottom"/>
            <w:hideMark/>
          </w:tcPr>
          <w:p w14:paraId="70029627" w14:textId="77777777" w:rsidR="00115843" w:rsidRPr="005F517A" w:rsidRDefault="00115843" w:rsidP="00FB0D02">
            <w:pPr>
              <w:spacing w:after="0" w:line="240" w:lineRule="auto"/>
              <w:jc w:val="right"/>
              <w:rPr>
                <w:rFonts w:ascii="Arial" w:hAnsi="Arial" w:cs="Arial"/>
                <w:sz w:val="16"/>
                <w:szCs w:val="16"/>
              </w:rPr>
            </w:pPr>
          </w:p>
        </w:tc>
        <w:tc>
          <w:tcPr>
            <w:tcW w:w="542" w:type="pct"/>
            <w:gridSpan w:val="3"/>
            <w:tcBorders>
              <w:top w:val="nil"/>
              <w:left w:val="nil"/>
              <w:bottom w:val="nil"/>
              <w:right w:val="nil"/>
            </w:tcBorders>
            <w:shd w:val="clear" w:color="auto" w:fill="auto"/>
            <w:noWrap/>
            <w:vAlign w:val="bottom"/>
            <w:hideMark/>
          </w:tcPr>
          <w:p w14:paraId="2E474849" w14:textId="77777777" w:rsidR="00115843" w:rsidRPr="005F517A" w:rsidRDefault="00115843" w:rsidP="00FB0D02">
            <w:pPr>
              <w:spacing w:after="0" w:line="240" w:lineRule="auto"/>
              <w:jc w:val="right"/>
              <w:rPr>
                <w:rFonts w:ascii="Times New Roman" w:hAnsi="Times New Roman"/>
              </w:rPr>
            </w:pPr>
          </w:p>
        </w:tc>
        <w:tc>
          <w:tcPr>
            <w:tcW w:w="543" w:type="pct"/>
            <w:gridSpan w:val="3"/>
            <w:tcBorders>
              <w:top w:val="nil"/>
              <w:left w:val="nil"/>
              <w:bottom w:val="nil"/>
              <w:right w:val="nil"/>
            </w:tcBorders>
            <w:shd w:val="clear" w:color="auto" w:fill="auto"/>
            <w:noWrap/>
            <w:vAlign w:val="bottom"/>
            <w:hideMark/>
          </w:tcPr>
          <w:p w14:paraId="7FACE491" w14:textId="77777777" w:rsidR="00115843" w:rsidRPr="005F517A" w:rsidRDefault="00115843" w:rsidP="00FB0D02">
            <w:pPr>
              <w:spacing w:after="0" w:line="240" w:lineRule="auto"/>
              <w:jc w:val="right"/>
              <w:rPr>
                <w:rFonts w:ascii="Times New Roman" w:hAnsi="Times New Roman"/>
              </w:rPr>
            </w:pPr>
          </w:p>
        </w:tc>
      </w:tr>
      <w:tr w:rsidR="00115843" w:rsidRPr="005F517A" w14:paraId="7FAD25F0" w14:textId="77777777" w:rsidTr="00436AC0">
        <w:trPr>
          <w:gridAfter w:val="1"/>
          <w:wAfter w:w="40" w:type="pct"/>
          <w:trHeight w:val="204"/>
        </w:trPr>
        <w:tc>
          <w:tcPr>
            <w:tcW w:w="2103" w:type="pct"/>
            <w:tcBorders>
              <w:top w:val="nil"/>
              <w:left w:val="nil"/>
              <w:bottom w:val="nil"/>
              <w:right w:val="nil"/>
            </w:tcBorders>
            <w:shd w:val="clear" w:color="auto" w:fill="auto"/>
            <w:vAlign w:val="bottom"/>
            <w:hideMark/>
          </w:tcPr>
          <w:p w14:paraId="1F94A761"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Ordinary Annual Services (Appropriation Act No. 1 and Bill No. 3)</w:t>
            </w:r>
          </w:p>
        </w:tc>
        <w:tc>
          <w:tcPr>
            <w:tcW w:w="687" w:type="pct"/>
            <w:gridSpan w:val="3"/>
            <w:tcBorders>
              <w:top w:val="nil"/>
              <w:left w:val="nil"/>
              <w:bottom w:val="nil"/>
              <w:right w:val="nil"/>
            </w:tcBorders>
            <w:shd w:val="clear" w:color="auto" w:fill="auto"/>
            <w:noWrap/>
            <w:vAlign w:val="bottom"/>
            <w:hideMark/>
          </w:tcPr>
          <w:p w14:paraId="24E5F1D5"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370,521</w:t>
            </w:r>
          </w:p>
        </w:tc>
        <w:tc>
          <w:tcPr>
            <w:tcW w:w="543" w:type="pct"/>
            <w:gridSpan w:val="2"/>
            <w:tcBorders>
              <w:top w:val="nil"/>
              <w:left w:val="nil"/>
              <w:bottom w:val="nil"/>
              <w:right w:val="nil"/>
            </w:tcBorders>
            <w:shd w:val="clear" w:color="auto" w:fill="E6E6E6"/>
            <w:noWrap/>
            <w:vAlign w:val="bottom"/>
            <w:hideMark/>
          </w:tcPr>
          <w:p w14:paraId="247B37B2"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227,827</w:t>
            </w:r>
          </w:p>
        </w:tc>
        <w:tc>
          <w:tcPr>
            <w:tcW w:w="542" w:type="pct"/>
            <w:tcBorders>
              <w:top w:val="nil"/>
              <w:left w:val="nil"/>
              <w:bottom w:val="nil"/>
              <w:right w:val="nil"/>
            </w:tcBorders>
            <w:shd w:val="clear" w:color="auto" w:fill="auto"/>
            <w:noWrap/>
            <w:vAlign w:val="bottom"/>
            <w:hideMark/>
          </w:tcPr>
          <w:p w14:paraId="26146DCD"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50,599</w:t>
            </w:r>
          </w:p>
        </w:tc>
        <w:tc>
          <w:tcPr>
            <w:tcW w:w="542" w:type="pct"/>
            <w:gridSpan w:val="3"/>
            <w:tcBorders>
              <w:top w:val="nil"/>
              <w:left w:val="nil"/>
              <w:bottom w:val="nil"/>
              <w:right w:val="nil"/>
            </w:tcBorders>
            <w:shd w:val="clear" w:color="auto" w:fill="auto"/>
            <w:noWrap/>
            <w:vAlign w:val="bottom"/>
            <w:hideMark/>
          </w:tcPr>
          <w:p w14:paraId="78C5058B"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24,542</w:t>
            </w:r>
          </w:p>
        </w:tc>
        <w:tc>
          <w:tcPr>
            <w:tcW w:w="543" w:type="pct"/>
            <w:gridSpan w:val="3"/>
            <w:tcBorders>
              <w:top w:val="nil"/>
              <w:left w:val="nil"/>
              <w:bottom w:val="nil"/>
              <w:right w:val="nil"/>
            </w:tcBorders>
            <w:shd w:val="clear" w:color="auto" w:fill="auto"/>
            <w:noWrap/>
            <w:vAlign w:val="bottom"/>
            <w:hideMark/>
          </w:tcPr>
          <w:p w14:paraId="3972AEEA"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22,382</w:t>
            </w:r>
          </w:p>
        </w:tc>
      </w:tr>
      <w:tr w:rsidR="00115843" w:rsidRPr="005F517A" w14:paraId="7555EB31" w14:textId="77777777" w:rsidTr="00436AC0">
        <w:trPr>
          <w:gridAfter w:val="1"/>
          <w:wAfter w:w="40" w:type="pct"/>
          <w:trHeight w:val="204"/>
        </w:trPr>
        <w:tc>
          <w:tcPr>
            <w:tcW w:w="2103" w:type="pct"/>
            <w:tcBorders>
              <w:top w:val="nil"/>
              <w:left w:val="nil"/>
              <w:bottom w:val="nil"/>
              <w:right w:val="nil"/>
            </w:tcBorders>
            <w:shd w:val="clear" w:color="auto" w:fill="auto"/>
            <w:vAlign w:val="bottom"/>
            <w:hideMark/>
          </w:tcPr>
          <w:p w14:paraId="30956DB6"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Other Services (Appropriation Act No. 2 and Bill No. 4)</w:t>
            </w:r>
          </w:p>
        </w:tc>
        <w:tc>
          <w:tcPr>
            <w:tcW w:w="687" w:type="pct"/>
            <w:gridSpan w:val="3"/>
            <w:tcBorders>
              <w:top w:val="nil"/>
              <w:left w:val="nil"/>
              <w:bottom w:val="nil"/>
              <w:right w:val="nil"/>
            </w:tcBorders>
            <w:shd w:val="clear" w:color="auto" w:fill="auto"/>
            <w:noWrap/>
            <w:vAlign w:val="bottom"/>
            <w:hideMark/>
          </w:tcPr>
          <w:p w14:paraId="6F9EACF7"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498,866</w:t>
            </w:r>
          </w:p>
        </w:tc>
        <w:tc>
          <w:tcPr>
            <w:tcW w:w="543" w:type="pct"/>
            <w:gridSpan w:val="2"/>
            <w:tcBorders>
              <w:top w:val="nil"/>
              <w:left w:val="nil"/>
              <w:bottom w:val="nil"/>
              <w:right w:val="nil"/>
            </w:tcBorders>
            <w:shd w:val="clear" w:color="auto" w:fill="E6E6E6"/>
            <w:noWrap/>
            <w:vAlign w:val="bottom"/>
            <w:hideMark/>
          </w:tcPr>
          <w:p w14:paraId="355E755E"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490,881</w:t>
            </w:r>
          </w:p>
        </w:tc>
        <w:tc>
          <w:tcPr>
            <w:tcW w:w="542" w:type="pct"/>
            <w:tcBorders>
              <w:top w:val="nil"/>
              <w:left w:val="nil"/>
              <w:bottom w:val="nil"/>
              <w:right w:val="nil"/>
            </w:tcBorders>
            <w:shd w:val="clear" w:color="auto" w:fill="auto"/>
            <w:noWrap/>
            <w:vAlign w:val="bottom"/>
            <w:hideMark/>
          </w:tcPr>
          <w:p w14:paraId="03C977E3"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485,306</w:t>
            </w:r>
          </w:p>
        </w:tc>
        <w:tc>
          <w:tcPr>
            <w:tcW w:w="542" w:type="pct"/>
            <w:gridSpan w:val="3"/>
            <w:tcBorders>
              <w:top w:val="nil"/>
              <w:left w:val="nil"/>
              <w:bottom w:val="nil"/>
              <w:right w:val="nil"/>
            </w:tcBorders>
            <w:shd w:val="clear" w:color="auto" w:fill="auto"/>
            <w:noWrap/>
            <w:vAlign w:val="bottom"/>
            <w:hideMark/>
          </w:tcPr>
          <w:p w14:paraId="6308DFAF"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499,516</w:t>
            </w:r>
          </w:p>
        </w:tc>
        <w:tc>
          <w:tcPr>
            <w:tcW w:w="543" w:type="pct"/>
            <w:gridSpan w:val="3"/>
            <w:tcBorders>
              <w:top w:val="nil"/>
              <w:left w:val="nil"/>
              <w:bottom w:val="nil"/>
              <w:right w:val="nil"/>
            </w:tcBorders>
            <w:shd w:val="clear" w:color="auto" w:fill="auto"/>
            <w:noWrap/>
            <w:vAlign w:val="bottom"/>
            <w:hideMark/>
          </w:tcPr>
          <w:p w14:paraId="667A1A75"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499,516</w:t>
            </w:r>
          </w:p>
        </w:tc>
      </w:tr>
      <w:tr w:rsidR="00115843" w:rsidRPr="005F517A" w14:paraId="7735E072" w14:textId="77777777" w:rsidTr="00436AC0">
        <w:trPr>
          <w:gridAfter w:val="1"/>
          <w:wAfter w:w="40" w:type="pct"/>
          <w:trHeight w:val="204"/>
        </w:trPr>
        <w:tc>
          <w:tcPr>
            <w:tcW w:w="2103" w:type="pct"/>
            <w:tcBorders>
              <w:top w:val="nil"/>
              <w:left w:val="nil"/>
              <w:bottom w:val="nil"/>
              <w:right w:val="nil"/>
            </w:tcBorders>
            <w:shd w:val="clear" w:color="auto" w:fill="auto"/>
            <w:noWrap/>
            <w:vAlign w:val="bottom"/>
            <w:hideMark/>
          </w:tcPr>
          <w:p w14:paraId="7C2CBE31"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 xml:space="preserve">Payments to corporate entities </w:t>
            </w:r>
            <w:r w:rsidRPr="005F517A">
              <w:rPr>
                <w:rFonts w:ascii="Arial" w:hAnsi="Arial" w:cs="Arial"/>
                <w:sz w:val="16"/>
                <w:szCs w:val="16"/>
                <w:vertAlign w:val="superscript"/>
              </w:rPr>
              <w:t>(a)</w:t>
            </w:r>
          </w:p>
        </w:tc>
        <w:tc>
          <w:tcPr>
            <w:tcW w:w="687" w:type="pct"/>
            <w:gridSpan w:val="3"/>
            <w:tcBorders>
              <w:top w:val="nil"/>
              <w:left w:val="nil"/>
              <w:bottom w:val="nil"/>
              <w:right w:val="nil"/>
            </w:tcBorders>
            <w:shd w:val="clear" w:color="auto" w:fill="auto"/>
            <w:noWrap/>
            <w:vAlign w:val="bottom"/>
            <w:hideMark/>
          </w:tcPr>
          <w:p w14:paraId="5B8966B2"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12,853</w:t>
            </w:r>
          </w:p>
        </w:tc>
        <w:tc>
          <w:tcPr>
            <w:tcW w:w="543" w:type="pct"/>
            <w:gridSpan w:val="2"/>
            <w:tcBorders>
              <w:top w:val="nil"/>
              <w:left w:val="nil"/>
              <w:bottom w:val="nil"/>
              <w:right w:val="nil"/>
            </w:tcBorders>
            <w:shd w:val="clear" w:color="auto" w:fill="E6E6E6"/>
            <w:noWrap/>
            <w:vAlign w:val="bottom"/>
            <w:hideMark/>
          </w:tcPr>
          <w:p w14:paraId="41358F1C"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12,733</w:t>
            </w:r>
          </w:p>
        </w:tc>
        <w:tc>
          <w:tcPr>
            <w:tcW w:w="542" w:type="pct"/>
            <w:tcBorders>
              <w:top w:val="nil"/>
              <w:left w:val="nil"/>
              <w:bottom w:val="nil"/>
              <w:right w:val="nil"/>
            </w:tcBorders>
            <w:shd w:val="clear" w:color="auto" w:fill="auto"/>
            <w:noWrap/>
            <w:vAlign w:val="bottom"/>
            <w:hideMark/>
          </w:tcPr>
          <w:p w14:paraId="3EBFF3D9"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13,110</w:t>
            </w:r>
          </w:p>
        </w:tc>
        <w:tc>
          <w:tcPr>
            <w:tcW w:w="542" w:type="pct"/>
            <w:gridSpan w:val="3"/>
            <w:tcBorders>
              <w:top w:val="nil"/>
              <w:left w:val="nil"/>
              <w:bottom w:val="nil"/>
              <w:right w:val="nil"/>
            </w:tcBorders>
            <w:shd w:val="clear" w:color="auto" w:fill="auto"/>
            <w:noWrap/>
            <w:vAlign w:val="bottom"/>
            <w:hideMark/>
          </w:tcPr>
          <w:p w14:paraId="64FA9B08"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13,259</w:t>
            </w:r>
          </w:p>
        </w:tc>
        <w:tc>
          <w:tcPr>
            <w:tcW w:w="543" w:type="pct"/>
            <w:gridSpan w:val="3"/>
            <w:tcBorders>
              <w:top w:val="nil"/>
              <w:left w:val="nil"/>
              <w:bottom w:val="nil"/>
              <w:right w:val="nil"/>
            </w:tcBorders>
            <w:shd w:val="clear" w:color="auto" w:fill="auto"/>
            <w:noWrap/>
            <w:vAlign w:val="bottom"/>
            <w:hideMark/>
          </w:tcPr>
          <w:p w14:paraId="7D1A5B84"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13,368</w:t>
            </w:r>
          </w:p>
        </w:tc>
      </w:tr>
      <w:tr w:rsidR="00115843" w:rsidRPr="005F517A" w14:paraId="481C3AF9" w14:textId="77777777" w:rsidTr="00436AC0">
        <w:trPr>
          <w:gridAfter w:val="1"/>
          <w:wAfter w:w="40" w:type="pct"/>
          <w:trHeight w:val="204"/>
        </w:trPr>
        <w:tc>
          <w:tcPr>
            <w:tcW w:w="2103" w:type="pct"/>
            <w:tcBorders>
              <w:top w:val="nil"/>
              <w:left w:val="nil"/>
              <w:bottom w:val="nil"/>
              <w:right w:val="nil"/>
            </w:tcBorders>
            <w:shd w:val="clear" w:color="auto" w:fill="auto"/>
            <w:vAlign w:val="bottom"/>
            <w:hideMark/>
          </w:tcPr>
          <w:p w14:paraId="68F05B3D"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 xml:space="preserve">Expenses not requiring appropriation in the Budget year </w:t>
            </w:r>
            <w:r w:rsidRPr="005F517A">
              <w:rPr>
                <w:rFonts w:ascii="Arial" w:hAnsi="Arial" w:cs="Arial"/>
                <w:sz w:val="16"/>
                <w:szCs w:val="16"/>
                <w:vertAlign w:val="superscript"/>
              </w:rPr>
              <w:t>(b)</w:t>
            </w:r>
          </w:p>
        </w:tc>
        <w:tc>
          <w:tcPr>
            <w:tcW w:w="687" w:type="pct"/>
            <w:gridSpan w:val="3"/>
            <w:tcBorders>
              <w:top w:val="nil"/>
              <w:left w:val="nil"/>
              <w:bottom w:val="nil"/>
              <w:right w:val="nil"/>
            </w:tcBorders>
            <w:shd w:val="clear" w:color="auto" w:fill="auto"/>
            <w:noWrap/>
            <w:vAlign w:val="bottom"/>
            <w:hideMark/>
          </w:tcPr>
          <w:p w14:paraId="67E92DAA"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48,741</w:t>
            </w:r>
          </w:p>
        </w:tc>
        <w:tc>
          <w:tcPr>
            <w:tcW w:w="543" w:type="pct"/>
            <w:gridSpan w:val="2"/>
            <w:tcBorders>
              <w:top w:val="nil"/>
              <w:left w:val="nil"/>
              <w:bottom w:val="nil"/>
              <w:right w:val="nil"/>
            </w:tcBorders>
            <w:shd w:val="clear" w:color="auto" w:fill="E6E6E6"/>
            <w:noWrap/>
            <w:vAlign w:val="bottom"/>
            <w:hideMark/>
          </w:tcPr>
          <w:p w14:paraId="7789D248"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12,465</w:t>
            </w:r>
          </w:p>
        </w:tc>
        <w:tc>
          <w:tcPr>
            <w:tcW w:w="542" w:type="pct"/>
            <w:tcBorders>
              <w:top w:val="nil"/>
              <w:left w:val="nil"/>
              <w:bottom w:val="nil"/>
              <w:right w:val="nil"/>
            </w:tcBorders>
            <w:shd w:val="clear" w:color="auto" w:fill="auto"/>
            <w:noWrap/>
            <w:vAlign w:val="bottom"/>
            <w:hideMark/>
          </w:tcPr>
          <w:p w14:paraId="7D551A33"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76,659</w:t>
            </w:r>
          </w:p>
        </w:tc>
        <w:tc>
          <w:tcPr>
            <w:tcW w:w="542" w:type="pct"/>
            <w:gridSpan w:val="3"/>
            <w:tcBorders>
              <w:top w:val="nil"/>
              <w:left w:val="nil"/>
              <w:bottom w:val="nil"/>
              <w:right w:val="nil"/>
            </w:tcBorders>
            <w:shd w:val="clear" w:color="auto" w:fill="auto"/>
            <w:noWrap/>
            <w:vAlign w:val="bottom"/>
            <w:hideMark/>
          </w:tcPr>
          <w:p w14:paraId="44DB1515"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25,000</w:t>
            </w:r>
          </w:p>
        </w:tc>
        <w:tc>
          <w:tcPr>
            <w:tcW w:w="543" w:type="pct"/>
            <w:gridSpan w:val="3"/>
            <w:tcBorders>
              <w:top w:val="nil"/>
              <w:left w:val="nil"/>
              <w:bottom w:val="nil"/>
              <w:right w:val="nil"/>
            </w:tcBorders>
            <w:shd w:val="clear" w:color="auto" w:fill="auto"/>
            <w:noWrap/>
            <w:vAlign w:val="bottom"/>
            <w:hideMark/>
          </w:tcPr>
          <w:p w14:paraId="23C49887"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5F517A" w14:paraId="1C9E57EF" w14:textId="77777777" w:rsidTr="00436AC0">
        <w:trPr>
          <w:gridAfter w:val="1"/>
          <w:wAfter w:w="40" w:type="pct"/>
          <w:trHeight w:val="204"/>
        </w:trPr>
        <w:tc>
          <w:tcPr>
            <w:tcW w:w="2103" w:type="pct"/>
            <w:tcBorders>
              <w:top w:val="nil"/>
              <w:left w:val="nil"/>
              <w:bottom w:val="nil"/>
              <w:right w:val="nil"/>
            </w:tcBorders>
            <w:shd w:val="clear" w:color="auto" w:fill="auto"/>
            <w:noWrap/>
            <w:vAlign w:val="bottom"/>
            <w:hideMark/>
          </w:tcPr>
          <w:p w14:paraId="7E0F4AAE" w14:textId="77777777" w:rsidR="00115843" w:rsidRPr="005F517A" w:rsidRDefault="00115843" w:rsidP="00FB0D02">
            <w:pPr>
              <w:spacing w:after="0" w:line="240" w:lineRule="auto"/>
              <w:rPr>
                <w:rFonts w:ascii="Arial" w:hAnsi="Arial" w:cs="Arial"/>
                <w:b/>
                <w:bCs/>
                <w:sz w:val="16"/>
                <w:szCs w:val="16"/>
              </w:rPr>
            </w:pPr>
            <w:r w:rsidRPr="005F517A">
              <w:rPr>
                <w:rFonts w:ascii="Arial" w:hAnsi="Arial" w:cs="Arial"/>
                <w:b/>
                <w:bCs/>
                <w:sz w:val="16"/>
                <w:szCs w:val="16"/>
              </w:rPr>
              <w:t>Total expenses for Program 1.1</w:t>
            </w:r>
          </w:p>
        </w:tc>
        <w:tc>
          <w:tcPr>
            <w:tcW w:w="687" w:type="pct"/>
            <w:gridSpan w:val="3"/>
            <w:tcBorders>
              <w:top w:val="single" w:sz="4" w:space="0" w:color="auto"/>
              <w:left w:val="nil"/>
              <w:bottom w:val="single" w:sz="4" w:space="0" w:color="auto"/>
              <w:right w:val="nil"/>
            </w:tcBorders>
            <w:shd w:val="clear" w:color="auto" w:fill="auto"/>
            <w:noWrap/>
            <w:vAlign w:val="bottom"/>
            <w:hideMark/>
          </w:tcPr>
          <w:p w14:paraId="2BB0E874"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930,981</w:t>
            </w:r>
          </w:p>
        </w:tc>
        <w:tc>
          <w:tcPr>
            <w:tcW w:w="543" w:type="pct"/>
            <w:gridSpan w:val="2"/>
            <w:tcBorders>
              <w:top w:val="single" w:sz="4" w:space="0" w:color="auto"/>
              <w:left w:val="nil"/>
              <w:bottom w:val="single" w:sz="4" w:space="0" w:color="auto"/>
              <w:right w:val="nil"/>
            </w:tcBorders>
            <w:shd w:val="clear" w:color="auto" w:fill="E6E6E6"/>
            <w:noWrap/>
            <w:vAlign w:val="bottom"/>
            <w:hideMark/>
          </w:tcPr>
          <w:p w14:paraId="3CD26BB4"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743,906</w:t>
            </w:r>
          </w:p>
        </w:tc>
        <w:tc>
          <w:tcPr>
            <w:tcW w:w="542" w:type="pct"/>
            <w:tcBorders>
              <w:top w:val="single" w:sz="4" w:space="0" w:color="auto"/>
              <w:left w:val="nil"/>
              <w:bottom w:val="single" w:sz="4" w:space="0" w:color="auto"/>
              <w:right w:val="nil"/>
            </w:tcBorders>
            <w:shd w:val="clear" w:color="auto" w:fill="auto"/>
            <w:noWrap/>
            <w:vAlign w:val="bottom"/>
            <w:hideMark/>
          </w:tcPr>
          <w:p w14:paraId="6F7AAFC1"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625,674</w:t>
            </w:r>
          </w:p>
        </w:tc>
        <w:tc>
          <w:tcPr>
            <w:tcW w:w="542" w:type="pct"/>
            <w:gridSpan w:val="3"/>
            <w:tcBorders>
              <w:top w:val="single" w:sz="4" w:space="0" w:color="auto"/>
              <w:left w:val="nil"/>
              <w:bottom w:val="single" w:sz="4" w:space="0" w:color="auto"/>
              <w:right w:val="nil"/>
            </w:tcBorders>
            <w:shd w:val="clear" w:color="auto" w:fill="auto"/>
            <w:noWrap/>
            <w:vAlign w:val="bottom"/>
            <w:hideMark/>
          </w:tcPr>
          <w:p w14:paraId="50B5775F"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562,317</w:t>
            </w:r>
          </w:p>
        </w:tc>
        <w:tc>
          <w:tcPr>
            <w:tcW w:w="543" w:type="pct"/>
            <w:gridSpan w:val="3"/>
            <w:tcBorders>
              <w:top w:val="single" w:sz="4" w:space="0" w:color="auto"/>
              <w:left w:val="nil"/>
              <w:bottom w:val="single" w:sz="4" w:space="0" w:color="auto"/>
              <w:right w:val="nil"/>
            </w:tcBorders>
            <w:shd w:val="clear" w:color="auto" w:fill="auto"/>
            <w:noWrap/>
            <w:vAlign w:val="bottom"/>
            <w:hideMark/>
          </w:tcPr>
          <w:p w14:paraId="5CB165E1"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535,266</w:t>
            </w:r>
          </w:p>
        </w:tc>
      </w:tr>
      <w:tr w:rsidR="00115843" w:rsidRPr="005F517A" w14:paraId="5EFFD1C5" w14:textId="77777777" w:rsidTr="00436AC0">
        <w:trPr>
          <w:trHeight w:val="204"/>
        </w:trPr>
        <w:tc>
          <w:tcPr>
            <w:tcW w:w="2790" w:type="pct"/>
            <w:gridSpan w:val="4"/>
            <w:tcBorders>
              <w:top w:val="single" w:sz="4" w:space="0" w:color="auto"/>
              <w:left w:val="nil"/>
              <w:bottom w:val="single" w:sz="4" w:space="0" w:color="auto"/>
              <w:right w:val="nil"/>
            </w:tcBorders>
            <w:shd w:val="clear" w:color="auto" w:fill="E6E6E6"/>
            <w:noWrap/>
            <w:vAlign w:val="bottom"/>
            <w:hideMark/>
          </w:tcPr>
          <w:p w14:paraId="01A03495" w14:textId="77777777" w:rsidR="00115843" w:rsidRPr="005F517A" w:rsidRDefault="00115843" w:rsidP="00FB0D02">
            <w:pPr>
              <w:spacing w:after="0" w:line="240" w:lineRule="auto"/>
              <w:rPr>
                <w:rFonts w:ascii="Arial" w:hAnsi="Arial" w:cs="Arial"/>
                <w:b/>
                <w:bCs/>
                <w:sz w:val="16"/>
                <w:szCs w:val="16"/>
              </w:rPr>
            </w:pPr>
            <w:r w:rsidRPr="005F517A">
              <w:rPr>
                <w:rFonts w:ascii="Arial" w:hAnsi="Arial" w:cs="Arial"/>
                <w:b/>
                <w:bCs/>
                <w:sz w:val="16"/>
                <w:szCs w:val="16"/>
              </w:rPr>
              <w:t>Program 1.2: Program Support for Outcome 1</w:t>
            </w:r>
          </w:p>
        </w:tc>
        <w:tc>
          <w:tcPr>
            <w:tcW w:w="543" w:type="pct"/>
            <w:gridSpan w:val="2"/>
            <w:tcBorders>
              <w:top w:val="single" w:sz="4" w:space="0" w:color="auto"/>
              <w:left w:val="nil"/>
              <w:bottom w:val="single" w:sz="4" w:space="0" w:color="auto"/>
              <w:right w:val="nil"/>
            </w:tcBorders>
            <w:shd w:val="clear" w:color="auto" w:fill="E6E6E6"/>
            <w:noWrap/>
            <w:vAlign w:val="bottom"/>
            <w:hideMark/>
          </w:tcPr>
          <w:p w14:paraId="7A0DF9EA"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63" w:type="pct"/>
            <w:gridSpan w:val="2"/>
            <w:tcBorders>
              <w:top w:val="single" w:sz="4" w:space="0" w:color="auto"/>
              <w:left w:val="nil"/>
              <w:bottom w:val="single" w:sz="4" w:space="0" w:color="auto"/>
              <w:right w:val="nil"/>
            </w:tcBorders>
            <w:shd w:val="clear" w:color="auto" w:fill="E6E6E6"/>
            <w:noWrap/>
            <w:vAlign w:val="bottom"/>
            <w:hideMark/>
          </w:tcPr>
          <w:p w14:paraId="05397249"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53" w:type="pct"/>
            <w:gridSpan w:val="3"/>
            <w:tcBorders>
              <w:top w:val="single" w:sz="4" w:space="0" w:color="auto"/>
              <w:left w:val="nil"/>
              <w:bottom w:val="single" w:sz="4" w:space="0" w:color="auto"/>
              <w:right w:val="nil"/>
            </w:tcBorders>
            <w:shd w:val="clear" w:color="auto" w:fill="E6E6E6"/>
            <w:noWrap/>
            <w:vAlign w:val="bottom"/>
            <w:hideMark/>
          </w:tcPr>
          <w:p w14:paraId="07E2054F"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c>
          <w:tcPr>
            <w:tcW w:w="551" w:type="pct"/>
            <w:gridSpan w:val="3"/>
            <w:tcBorders>
              <w:top w:val="single" w:sz="4" w:space="0" w:color="auto"/>
              <w:left w:val="nil"/>
              <w:bottom w:val="single" w:sz="4" w:space="0" w:color="auto"/>
              <w:right w:val="nil"/>
            </w:tcBorders>
            <w:shd w:val="clear" w:color="auto" w:fill="E6E6E6"/>
            <w:noWrap/>
            <w:vAlign w:val="bottom"/>
            <w:hideMark/>
          </w:tcPr>
          <w:p w14:paraId="04F25050" w14:textId="77777777" w:rsidR="00115843" w:rsidRPr="005F517A" w:rsidRDefault="00115843" w:rsidP="00FB0D02">
            <w:pPr>
              <w:spacing w:after="0" w:line="240" w:lineRule="auto"/>
              <w:jc w:val="right"/>
              <w:rPr>
                <w:rFonts w:ascii="Arial" w:hAnsi="Arial" w:cs="Arial"/>
                <w:sz w:val="16"/>
                <w:szCs w:val="16"/>
              </w:rPr>
            </w:pPr>
            <w:r w:rsidRPr="005F517A">
              <w:rPr>
                <w:rFonts w:ascii="Arial" w:hAnsi="Arial" w:cs="Arial"/>
                <w:sz w:val="16"/>
                <w:szCs w:val="16"/>
              </w:rPr>
              <w:t> </w:t>
            </w:r>
          </w:p>
        </w:tc>
      </w:tr>
      <w:tr w:rsidR="00115843" w:rsidRPr="005F517A" w14:paraId="606AEB0A" w14:textId="77777777" w:rsidTr="00436AC0">
        <w:trPr>
          <w:trHeight w:val="204"/>
        </w:trPr>
        <w:tc>
          <w:tcPr>
            <w:tcW w:w="2173" w:type="pct"/>
            <w:gridSpan w:val="3"/>
            <w:tcBorders>
              <w:top w:val="nil"/>
              <w:left w:val="nil"/>
              <w:bottom w:val="nil"/>
              <w:right w:val="nil"/>
            </w:tcBorders>
            <w:shd w:val="clear" w:color="auto" w:fill="auto"/>
            <w:noWrap/>
            <w:vAlign w:val="bottom"/>
            <w:hideMark/>
          </w:tcPr>
          <w:p w14:paraId="171F6210" w14:textId="77777777" w:rsidR="00115843" w:rsidRPr="005F517A" w:rsidRDefault="00115843" w:rsidP="00FB0D02">
            <w:pPr>
              <w:spacing w:after="0" w:line="240" w:lineRule="auto"/>
              <w:rPr>
                <w:rFonts w:ascii="Arial" w:hAnsi="Arial" w:cs="Arial"/>
                <w:sz w:val="16"/>
                <w:szCs w:val="16"/>
              </w:rPr>
            </w:pPr>
            <w:r w:rsidRPr="005F517A">
              <w:rPr>
                <w:rFonts w:ascii="Arial" w:hAnsi="Arial" w:cs="Arial"/>
                <w:sz w:val="16"/>
                <w:szCs w:val="16"/>
              </w:rPr>
              <w:t>Departmental expenses</w:t>
            </w:r>
          </w:p>
        </w:tc>
        <w:tc>
          <w:tcPr>
            <w:tcW w:w="617" w:type="pct"/>
            <w:tcBorders>
              <w:top w:val="nil"/>
              <w:left w:val="nil"/>
              <w:bottom w:val="nil"/>
              <w:right w:val="nil"/>
            </w:tcBorders>
            <w:shd w:val="clear" w:color="auto" w:fill="auto"/>
            <w:noWrap/>
            <w:vAlign w:val="bottom"/>
            <w:hideMark/>
          </w:tcPr>
          <w:p w14:paraId="2A01BE14" w14:textId="77777777" w:rsidR="00115843" w:rsidRPr="005F517A" w:rsidRDefault="00115843" w:rsidP="00FB0D02">
            <w:pPr>
              <w:spacing w:after="0" w:line="240" w:lineRule="auto"/>
              <w:jc w:val="right"/>
              <w:rPr>
                <w:rFonts w:ascii="Arial" w:hAnsi="Arial" w:cs="Arial"/>
                <w:sz w:val="16"/>
                <w:szCs w:val="16"/>
              </w:rPr>
            </w:pPr>
          </w:p>
        </w:tc>
        <w:tc>
          <w:tcPr>
            <w:tcW w:w="543" w:type="pct"/>
            <w:gridSpan w:val="2"/>
            <w:tcBorders>
              <w:top w:val="nil"/>
              <w:left w:val="nil"/>
              <w:bottom w:val="nil"/>
              <w:right w:val="nil"/>
            </w:tcBorders>
            <w:shd w:val="clear" w:color="auto" w:fill="E6E6E6"/>
            <w:noWrap/>
            <w:vAlign w:val="bottom"/>
            <w:hideMark/>
          </w:tcPr>
          <w:p w14:paraId="1FE5DCEF" w14:textId="77777777" w:rsidR="00115843" w:rsidRPr="005F517A" w:rsidRDefault="00115843" w:rsidP="00FB0D02">
            <w:pPr>
              <w:spacing w:after="0" w:line="240" w:lineRule="auto"/>
              <w:jc w:val="right"/>
              <w:rPr>
                <w:rFonts w:ascii="Arial" w:hAnsi="Arial" w:cs="Arial"/>
                <w:sz w:val="16"/>
                <w:szCs w:val="16"/>
              </w:rPr>
            </w:pPr>
          </w:p>
        </w:tc>
        <w:tc>
          <w:tcPr>
            <w:tcW w:w="563" w:type="pct"/>
            <w:gridSpan w:val="2"/>
            <w:tcBorders>
              <w:top w:val="nil"/>
              <w:left w:val="nil"/>
              <w:bottom w:val="nil"/>
              <w:right w:val="nil"/>
            </w:tcBorders>
            <w:shd w:val="clear" w:color="auto" w:fill="auto"/>
            <w:noWrap/>
            <w:vAlign w:val="bottom"/>
            <w:hideMark/>
          </w:tcPr>
          <w:p w14:paraId="5059843B" w14:textId="77777777" w:rsidR="00115843" w:rsidRPr="005F517A"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nil"/>
              <w:right w:val="nil"/>
            </w:tcBorders>
            <w:shd w:val="clear" w:color="auto" w:fill="auto"/>
            <w:noWrap/>
            <w:vAlign w:val="bottom"/>
            <w:hideMark/>
          </w:tcPr>
          <w:p w14:paraId="1532A93F" w14:textId="77777777" w:rsidR="00115843" w:rsidRPr="005F517A" w:rsidRDefault="00115843" w:rsidP="00FB0D02">
            <w:pPr>
              <w:spacing w:after="0" w:line="240" w:lineRule="auto"/>
              <w:jc w:val="right"/>
              <w:rPr>
                <w:rFonts w:ascii="Times New Roman" w:hAnsi="Times New Roman"/>
              </w:rPr>
            </w:pPr>
          </w:p>
        </w:tc>
        <w:tc>
          <w:tcPr>
            <w:tcW w:w="551" w:type="pct"/>
            <w:gridSpan w:val="3"/>
            <w:tcBorders>
              <w:top w:val="nil"/>
              <w:left w:val="nil"/>
              <w:bottom w:val="nil"/>
              <w:right w:val="nil"/>
            </w:tcBorders>
            <w:shd w:val="clear" w:color="auto" w:fill="auto"/>
            <w:noWrap/>
            <w:vAlign w:val="bottom"/>
            <w:hideMark/>
          </w:tcPr>
          <w:p w14:paraId="5393993F" w14:textId="77777777" w:rsidR="00115843" w:rsidRPr="005F517A" w:rsidRDefault="00115843" w:rsidP="00FB0D02">
            <w:pPr>
              <w:spacing w:after="0" w:line="240" w:lineRule="auto"/>
              <w:jc w:val="right"/>
              <w:rPr>
                <w:rFonts w:ascii="Times New Roman" w:hAnsi="Times New Roman"/>
              </w:rPr>
            </w:pPr>
          </w:p>
        </w:tc>
      </w:tr>
      <w:tr w:rsidR="00115843" w:rsidRPr="005F517A" w14:paraId="2E1CCF3C" w14:textId="77777777" w:rsidTr="00436AC0">
        <w:trPr>
          <w:trHeight w:val="204"/>
        </w:trPr>
        <w:tc>
          <w:tcPr>
            <w:tcW w:w="2173" w:type="pct"/>
            <w:gridSpan w:val="3"/>
            <w:tcBorders>
              <w:top w:val="nil"/>
              <w:left w:val="nil"/>
              <w:bottom w:val="nil"/>
              <w:right w:val="nil"/>
            </w:tcBorders>
            <w:shd w:val="clear" w:color="auto" w:fill="auto"/>
            <w:vAlign w:val="bottom"/>
            <w:hideMark/>
          </w:tcPr>
          <w:p w14:paraId="00C7C0B8"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Departmental appropriation</w:t>
            </w:r>
          </w:p>
        </w:tc>
        <w:tc>
          <w:tcPr>
            <w:tcW w:w="617" w:type="pct"/>
            <w:tcBorders>
              <w:top w:val="nil"/>
              <w:left w:val="nil"/>
              <w:bottom w:val="nil"/>
              <w:right w:val="nil"/>
            </w:tcBorders>
            <w:shd w:val="clear" w:color="auto" w:fill="auto"/>
            <w:noWrap/>
            <w:vAlign w:val="bottom"/>
            <w:hideMark/>
          </w:tcPr>
          <w:p w14:paraId="0A38FD68"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68,058</w:t>
            </w:r>
          </w:p>
        </w:tc>
        <w:tc>
          <w:tcPr>
            <w:tcW w:w="543" w:type="pct"/>
            <w:gridSpan w:val="2"/>
            <w:tcBorders>
              <w:top w:val="nil"/>
              <w:left w:val="nil"/>
              <w:bottom w:val="nil"/>
              <w:right w:val="nil"/>
            </w:tcBorders>
            <w:shd w:val="clear" w:color="auto" w:fill="E6E6E6"/>
            <w:noWrap/>
            <w:vAlign w:val="bottom"/>
            <w:hideMark/>
          </w:tcPr>
          <w:p w14:paraId="475E38DA"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86,666</w:t>
            </w:r>
          </w:p>
        </w:tc>
        <w:tc>
          <w:tcPr>
            <w:tcW w:w="563" w:type="pct"/>
            <w:gridSpan w:val="2"/>
            <w:tcBorders>
              <w:top w:val="nil"/>
              <w:left w:val="nil"/>
              <w:bottom w:val="nil"/>
              <w:right w:val="nil"/>
            </w:tcBorders>
            <w:shd w:val="clear" w:color="auto" w:fill="auto"/>
            <w:noWrap/>
            <w:vAlign w:val="bottom"/>
            <w:hideMark/>
          </w:tcPr>
          <w:p w14:paraId="04B7DFC6"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67,287</w:t>
            </w:r>
          </w:p>
        </w:tc>
        <w:tc>
          <w:tcPr>
            <w:tcW w:w="553" w:type="pct"/>
            <w:gridSpan w:val="3"/>
            <w:tcBorders>
              <w:top w:val="nil"/>
              <w:left w:val="nil"/>
              <w:bottom w:val="nil"/>
              <w:right w:val="nil"/>
            </w:tcBorders>
            <w:shd w:val="clear" w:color="auto" w:fill="auto"/>
            <w:noWrap/>
            <w:vAlign w:val="bottom"/>
            <w:hideMark/>
          </w:tcPr>
          <w:p w14:paraId="1D105F30"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59,134</w:t>
            </w:r>
          </w:p>
        </w:tc>
        <w:tc>
          <w:tcPr>
            <w:tcW w:w="551" w:type="pct"/>
            <w:gridSpan w:val="3"/>
            <w:tcBorders>
              <w:top w:val="nil"/>
              <w:left w:val="nil"/>
              <w:bottom w:val="nil"/>
              <w:right w:val="nil"/>
            </w:tcBorders>
            <w:shd w:val="clear" w:color="auto" w:fill="auto"/>
            <w:noWrap/>
            <w:vAlign w:val="bottom"/>
            <w:hideMark/>
          </w:tcPr>
          <w:p w14:paraId="18206704"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59,357</w:t>
            </w:r>
          </w:p>
        </w:tc>
      </w:tr>
      <w:tr w:rsidR="00115843" w:rsidRPr="005F517A" w14:paraId="20A59CCC" w14:textId="77777777" w:rsidTr="00436AC0">
        <w:trPr>
          <w:trHeight w:val="204"/>
        </w:trPr>
        <w:tc>
          <w:tcPr>
            <w:tcW w:w="2173" w:type="pct"/>
            <w:gridSpan w:val="3"/>
            <w:tcBorders>
              <w:top w:val="nil"/>
              <w:left w:val="nil"/>
              <w:bottom w:val="nil"/>
              <w:right w:val="nil"/>
            </w:tcBorders>
            <w:shd w:val="clear" w:color="auto" w:fill="auto"/>
            <w:vAlign w:val="bottom"/>
            <w:hideMark/>
          </w:tcPr>
          <w:p w14:paraId="2246EEEA"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 xml:space="preserve">s74 external revenues </w:t>
            </w:r>
            <w:r w:rsidRPr="005F517A">
              <w:rPr>
                <w:rFonts w:ascii="Arial" w:hAnsi="Arial" w:cs="Arial"/>
                <w:sz w:val="16"/>
                <w:szCs w:val="16"/>
                <w:vertAlign w:val="superscript"/>
              </w:rPr>
              <w:t>(c)</w:t>
            </w:r>
          </w:p>
        </w:tc>
        <w:tc>
          <w:tcPr>
            <w:tcW w:w="617" w:type="pct"/>
            <w:tcBorders>
              <w:top w:val="nil"/>
              <w:left w:val="nil"/>
              <w:bottom w:val="nil"/>
              <w:right w:val="nil"/>
            </w:tcBorders>
            <w:shd w:val="clear" w:color="auto" w:fill="auto"/>
            <w:noWrap/>
            <w:vAlign w:val="bottom"/>
            <w:hideMark/>
          </w:tcPr>
          <w:p w14:paraId="164850BD"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2,127</w:t>
            </w:r>
          </w:p>
        </w:tc>
        <w:tc>
          <w:tcPr>
            <w:tcW w:w="543" w:type="pct"/>
            <w:gridSpan w:val="2"/>
            <w:tcBorders>
              <w:top w:val="nil"/>
              <w:left w:val="nil"/>
              <w:bottom w:val="nil"/>
              <w:right w:val="nil"/>
            </w:tcBorders>
            <w:shd w:val="clear" w:color="auto" w:fill="E6E6E6"/>
            <w:noWrap/>
            <w:vAlign w:val="bottom"/>
            <w:hideMark/>
          </w:tcPr>
          <w:p w14:paraId="6F4E324E"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3" w:type="pct"/>
            <w:gridSpan w:val="2"/>
            <w:tcBorders>
              <w:top w:val="nil"/>
              <w:left w:val="nil"/>
              <w:bottom w:val="nil"/>
              <w:right w:val="nil"/>
            </w:tcBorders>
            <w:shd w:val="clear" w:color="auto" w:fill="auto"/>
            <w:noWrap/>
            <w:vAlign w:val="bottom"/>
            <w:hideMark/>
          </w:tcPr>
          <w:p w14:paraId="25ECDDC3"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3" w:type="pct"/>
            <w:gridSpan w:val="3"/>
            <w:tcBorders>
              <w:top w:val="nil"/>
              <w:left w:val="nil"/>
              <w:bottom w:val="nil"/>
              <w:right w:val="nil"/>
            </w:tcBorders>
            <w:shd w:val="clear" w:color="auto" w:fill="auto"/>
            <w:noWrap/>
            <w:vAlign w:val="bottom"/>
            <w:hideMark/>
          </w:tcPr>
          <w:p w14:paraId="0B044C66"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1" w:type="pct"/>
            <w:gridSpan w:val="3"/>
            <w:tcBorders>
              <w:top w:val="nil"/>
              <w:left w:val="nil"/>
              <w:bottom w:val="nil"/>
              <w:right w:val="nil"/>
            </w:tcBorders>
            <w:shd w:val="clear" w:color="auto" w:fill="auto"/>
            <w:noWrap/>
            <w:vAlign w:val="bottom"/>
            <w:hideMark/>
          </w:tcPr>
          <w:p w14:paraId="3EF38E44"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5F517A" w14:paraId="038177BB" w14:textId="77777777" w:rsidTr="00436AC0">
        <w:trPr>
          <w:trHeight w:val="204"/>
        </w:trPr>
        <w:tc>
          <w:tcPr>
            <w:tcW w:w="2173" w:type="pct"/>
            <w:gridSpan w:val="3"/>
            <w:tcBorders>
              <w:top w:val="nil"/>
              <w:left w:val="nil"/>
              <w:bottom w:val="nil"/>
              <w:right w:val="nil"/>
            </w:tcBorders>
            <w:shd w:val="clear" w:color="auto" w:fill="auto"/>
            <w:vAlign w:val="bottom"/>
            <w:hideMark/>
          </w:tcPr>
          <w:p w14:paraId="0C7D0CA3" w14:textId="77777777" w:rsidR="00115843" w:rsidRPr="005F517A" w:rsidRDefault="00115843" w:rsidP="00FB0D02">
            <w:pPr>
              <w:spacing w:after="0" w:line="240" w:lineRule="auto"/>
              <w:ind w:left="113"/>
              <w:rPr>
                <w:rFonts w:ascii="Arial" w:hAnsi="Arial" w:cs="Arial"/>
                <w:sz w:val="16"/>
                <w:szCs w:val="16"/>
              </w:rPr>
            </w:pPr>
            <w:r w:rsidRPr="005F517A">
              <w:rPr>
                <w:rFonts w:ascii="Arial" w:hAnsi="Arial" w:cs="Arial"/>
                <w:sz w:val="16"/>
                <w:szCs w:val="16"/>
              </w:rPr>
              <w:t xml:space="preserve">Expenses not requiring appropriation in the Budget year </w:t>
            </w:r>
            <w:r w:rsidRPr="005F517A">
              <w:rPr>
                <w:rFonts w:ascii="Arial" w:hAnsi="Arial" w:cs="Arial"/>
                <w:sz w:val="16"/>
                <w:szCs w:val="16"/>
                <w:vertAlign w:val="superscript"/>
              </w:rPr>
              <w:t>(d)</w:t>
            </w:r>
          </w:p>
        </w:tc>
        <w:tc>
          <w:tcPr>
            <w:tcW w:w="617" w:type="pct"/>
            <w:tcBorders>
              <w:top w:val="nil"/>
              <w:left w:val="nil"/>
              <w:bottom w:val="nil"/>
              <w:right w:val="nil"/>
            </w:tcBorders>
            <w:shd w:val="clear" w:color="auto" w:fill="auto"/>
            <w:noWrap/>
            <w:vAlign w:val="bottom"/>
            <w:hideMark/>
          </w:tcPr>
          <w:p w14:paraId="345A8A7A"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2,945</w:t>
            </w:r>
          </w:p>
        </w:tc>
        <w:tc>
          <w:tcPr>
            <w:tcW w:w="543" w:type="pct"/>
            <w:gridSpan w:val="2"/>
            <w:tcBorders>
              <w:top w:val="nil"/>
              <w:left w:val="nil"/>
              <w:bottom w:val="nil"/>
              <w:right w:val="nil"/>
            </w:tcBorders>
            <w:shd w:val="clear" w:color="auto" w:fill="E6E6E6"/>
            <w:noWrap/>
            <w:vAlign w:val="bottom"/>
            <w:hideMark/>
          </w:tcPr>
          <w:p w14:paraId="107F4C2E"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3" w:type="pct"/>
            <w:gridSpan w:val="2"/>
            <w:tcBorders>
              <w:top w:val="nil"/>
              <w:left w:val="nil"/>
              <w:bottom w:val="nil"/>
              <w:right w:val="nil"/>
            </w:tcBorders>
            <w:shd w:val="clear" w:color="auto" w:fill="auto"/>
            <w:noWrap/>
            <w:vAlign w:val="bottom"/>
            <w:hideMark/>
          </w:tcPr>
          <w:p w14:paraId="7E9A3CBA"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3" w:type="pct"/>
            <w:gridSpan w:val="3"/>
            <w:tcBorders>
              <w:top w:val="nil"/>
              <w:left w:val="nil"/>
              <w:bottom w:val="nil"/>
              <w:right w:val="nil"/>
            </w:tcBorders>
            <w:shd w:val="clear" w:color="auto" w:fill="auto"/>
            <w:noWrap/>
            <w:vAlign w:val="bottom"/>
            <w:hideMark/>
          </w:tcPr>
          <w:p w14:paraId="7E18985D"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1" w:type="pct"/>
            <w:gridSpan w:val="3"/>
            <w:tcBorders>
              <w:top w:val="nil"/>
              <w:left w:val="nil"/>
              <w:bottom w:val="nil"/>
              <w:right w:val="nil"/>
            </w:tcBorders>
            <w:shd w:val="clear" w:color="auto" w:fill="auto"/>
            <w:noWrap/>
            <w:vAlign w:val="bottom"/>
            <w:hideMark/>
          </w:tcPr>
          <w:p w14:paraId="109A1E1A" w14:textId="77777777" w:rsidR="00115843" w:rsidRPr="005F517A"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5F517A" w14:paraId="394C0A72" w14:textId="77777777" w:rsidTr="00436AC0">
        <w:trPr>
          <w:trHeight w:val="204"/>
        </w:trPr>
        <w:tc>
          <w:tcPr>
            <w:tcW w:w="2173" w:type="pct"/>
            <w:gridSpan w:val="3"/>
            <w:tcBorders>
              <w:top w:val="nil"/>
              <w:left w:val="nil"/>
              <w:bottom w:val="single" w:sz="4" w:space="0" w:color="auto"/>
              <w:right w:val="nil"/>
            </w:tcBorders>
            <w:shd w:val="clear" w:color="auto" w:fill="auto"/>
            <w:noWrap/>
            <w:vAlign w:val="bottom"/>
            <w:hideMark/>
          </w:tcPr>
          <w:p w14:paraId="18DB01D3" w14:textId="77777777" w:rsidR="00115843" w:rsidRPr="005F517A" w:rsidRDefault="00115843" w:rsidP="00FB0D02">
            <w:pPr>
              <w:spacing w:after="0" w:line="240" w:lineRule="auto"/>
              <w:rPr>
                <w:rFonts w:ascii="Arial" w:hAnsi="Arial" w:cs="Arial"/>
                <w:b/>
                <w:bCs/>
                <w:sz w:val="16"/>
                <w:szCs w:val="16"/>
              </w:rPr>
            </w:pPr>
            <w:r w:rsidRPr="005F517A">
              <w:rPr>
                <w:rFonts w:ascii="Arial" w:hAnsi="Arial" w:cs="Arial"/>
                <w:b/>
                <w:bCs/>
                <w:sz w:val="16"/>
                <w:szCs w:val="16"/>
              </w:rPr>
              <w:t>Total expenses for Program 1.2</w:t>
            </w:r>
          </w:p>
        </w:tc>
        <w:tc>
          <w:tcPr>
            <w:tcW w:w="617" w:type="pct"/>
            <w:tcBorders>
              <w:top w:val="single" w:sz="4" w:space="0" w:color="auto"/>
              <w:left w:val="nil"/>
              <w:bottom w:val="single" w:sz="4" w:space="0" w:color="auto"/>
              <w:right w:val="nil"/>
            </w:tcBorders>
            <w:shd w:val="clear" w:color="auto" w:fill="auto"/>
            <w:noWrap/>
            <w:vAlign w:val="bottom"/>
            <w:hideMark/>
          </w:tcPr>
          <w:p w14:paraId="24E1BAAB"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73,130</w:t>
            </w:r>
          </w:p>
        </w:tc>
        <w:tc>
          <w:tcPr>
            <w:tcW w:w="543" w:type="pct"/>
            <w:gridSpan w:val="2"/>
            <w:tcBorders>
              <w:top w:val="single" w:sz="4" w:space="0" w:color="auto"/>
              <w:left w:val="nil"/>
              <w:bottom w:val="single" w:sz="4" w:space="0" w:color="auto"/>
              <w:right w:val="nil"/>
            </w:tcBorders>
            <w:shd w:val="clear" w:color="auto" w:fill="E6E6E6"/>
            <w:noWrap/>
            <w:vAlign w:val="bottom"/>
            <w:hideMark/>
          </w:tcPr>
          <w:p w14:paraId="02C302BF"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86,666</w:t>
            </w:r>
          </w:p>
        </w:tc>
        <w:tc>
          <w:tcPr>
            <w:tcW w:w="563" w:type="pct"/>
            <w:gridSpan w:val="2"/>
            <w:tcBorders>
              <w:top w:val="single" w:sz="4" w:space="0" w:color="auto"/>
              <w:left w:val="nil"/>
              <w:bottom w:val="single" w:sz="4" w:space="0" w:color="auto"/>
              <w:right w:val="nil"/>
            </w:tcBorders>
            <w:shd w:val="clear" w:color="auto" w:fill="auto"/>
            <w:noWrap/>
            <w:vAlign w:val="bottom"/>
            <w:hideMark/>
          </w:tcPr>
          <w:p w14:paraId="0E4D1DF3"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67,287</w:t>
            </w:r>
          </w:p>
        </w:tc>
        <w:tc>
          <w:tcPr>
            <w:tcW w:w="553" w:type="pct"/>
            <w:gridSpan w:val="3"/>
            <w:tcBorders>
              <w:top w:val="single" w:sz="4" w:space="0" w:color="auto"/>
              <w:left w:val="nil"/>
              <w:bottom w:val="single" w:sz="4" w:space="0" w:color="auto"/>
              <w:right w:val="nil"/>
            </w:tcBorders>
            <w:shd w:val="clear" w:color="auto" w:fill="auto"/>
            <w:noWrap/>
            <w:vAlign w:val="bottom"/>
            <w:hideMark/>
          </w:tcPr>
          <w:p w14:paraId="3F82AE79"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59,134</w:t>
            </w:r>
          </w:p>
        </w:tc>
        <w:tc>
          <w:tcPr>
            <w:tcW w:w="551" w:type="pct"/>
            <w:gridSpan w:val="3"/>
            <w:tcBorders>
              <w:top w:val="single" w:sz="4" w:space="0" w:color="auto"/>
              <w:left w:val="nil"/>
              <w:bottom w:val="single" w:sz="4" w:space="0" w:color="auto"/>
              <w:right w:val="nil"/>
            </w:tcBorders>
            <w:shd w:val="clear" w:color="auto" w:fill="auto"/>
            <w:noWrap/>
            <w:vAlign w:val="bottom"/>
            <w:hideMark/>
          </w:tcPr>
          <w:p w14:paraId="136C3578" w14:textId="77777777" w:rsidR="00115843" w:rsidRPr="005F517A" w:rsidRDefault="00115843" w:rsidP="00FB0D02">
            <w:pPr>
              <w:spacing w:after="0" w:line="240" w:lineRule="auto"/>
              <w:jc w:val="right"/>
              <w:rPr>
                <w:rFonts w:ascii="Arial" w:hAnsi="Arial" w:cs="Arial"/>
                <w:b/>
                <w:bCs/>
                <w:sz w:val="16"/>
                <w:szCs w:val="16"/>
              </w:rPr>
            </w:pPr>
            <w:r>
              <w:rPr>
                <w:rFonts w:ascii="Arial" w:hAnsi="Arial" w:cs="Arial"/>
                <w:b/>
                <w:bCs/>
                <w:sz w:val="16"/>
                <w:szCs w:val="16"/>
              </w:rPr>
              <w:t>59,357</w:t>
            </w:r>
          </w:p>
        </w:tc>
      </w:tr>
      <w:tr w:rsidR="00115843" w:rsidRPr="008B7995" w14:paraId="1CCE31E4" w14:textId="77777777" w:rsidTr="00436AC0">
        <w:trPr>
          <w:trHeight w:val="204"/>
        </w:trPr>
        <w:tc>
          <w:tcPr>
            <w:tcW w:w="2125" w:type="pct"/>
            <w:gridSpan w:val="2"/>
            <w:tcBorders>
              <w:top w:val="nil"/>
              <w:left w:val="nil"/>
              <w:bottom w:val="single" w:sz="4" w:space="0" w:color="auto"/>
              <w:right w:val="nil"/>
            </w:tcBorders>
            <w:shd w:val="clear" w:color="auto" w:fill="E6E6E6"/>
            <w:noWrap/>
            <w:vAlign w:val="bottom"/>
            <w:hideMark/>
          </w:tcPr>
          <w:p w14:paraId="353986B0" w14:textId="77777777" w:rsidR="00115843" w:rsidRPr="008B7995" w:rsidRDefault="00115843" w:rsidP="00FB0D02">
            <w:pPr>
              <w:spacing w:after="0" w:line="240" w:lineRule="auto"/>
              <w:rPr>
                <w:rFonts w:ascii="Arial" w:hAnsi="Arial" w:cs="Arial"/>
                <w:b/>
                <w:bCs/>
                <w:sz w:val="16"/>
                <w:szCs w:val="16"/>
              </w:rPr>
            </w:pPr>
            <w:r w:rsidRPr="008B7995">
              <w:rPr>
                <w:rFonts w:ascii="Arial" w:hAnsi="Arial" w:cs="Arial"/>
                <w:b/>
                <w:bCs/>
                <w:sz w:val="16"/>
                <w:szCs w:val="16"/>
              </w:rPr>
              <w:t>Outcome 1 Totals by appropriation type</w:t>
            </w:r>
          </w:p>
        </w:tc>
        <w:tc>
          <w:tcPr>
            <w:tcW w:w="691" w:type="pct"/>
            <w:gridSpan w:val="3"/>
            <w:tcBorders>
              <w:top w:val="nil"/>
              <w:left w:val="nil"/>
              <w:bottom w:val="single" w:sz="4" w:space="0" w:color="auto"/>
              <w:right w:val="nil"/>
            </w:tcBorders>
            <w:shd w:val="clear" w:color="auto" w:fill="E6E6E6"/>
            <w:noWrap/>
            <w:vAlign w:val="bottom"/>
            <w:hideMark/>
          </w:tcPr>
          <w:p w14:paraId="7AF0EE84"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 </w:t>
            </w:r>
          </w:p>
        </w:tc>
        <w:tc>
          <w:tcPr>
            <w:tcW w:w="517" w:type="pct"/>
            <w:tcBorders>
              <w:top w:val="nil"/>
              <w:left w:val="nil"/>
              <w:bottom w:val="single" w:sz="4" w:space="0" w:color="auto"/>
              <w:right w:val="nil"/>
            </w:tcBorders>
            <w:shd w:val="clear" w:color="auto" w:fill="E6E6E6"/>
            <w:noWrap/>
            <w:vAlign w:val="bottom"/>
            <w:hideMark/>
          </w:tcPr>
          <w:p w14:paraId="07FB4354"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 </w:t>
            </w:r>
          </w:p>
        </w:tc>
        <w:tc>
          <w:tcPr>
            <w:tcW w:w="575" w:type="pct"/>
            <w:gridSpan w:val="3"/>
            <w:tcBorders>
              <w:top w:val="nil"/>
              <w:left w:val="nil"/>
              <w:bottom w:val="single" w:sz="4" w:space="0" w:color="auto"/>
              <w:right w:val="nil"/>
            </w:tcBorders>
            <w:shd w:val="clear" w:color="auto" w:fill="E6E6E6"/>
            <w:noWrap/>
            <w:vAlign w:val="bottom"/>
            <w:hideMark/>
          </w:tcPr>
          <w:p w14:paraId="4D52AD47"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 </w:t>
            </w:r>
          </w:p>
        </w:tc>
        <w:tc>
          <w:tcPr>
            <w:tcW w:w="547" w:type="pct"/>
            <w:gridSpan w:val="3"/>
            <w:tcBorders>
              <w:top w:val="nil"/>
              <w:left w:val="nil"/>
              <w:bottom w:val="single" w:sz="4" w:space="0" w:color="auto"/>
              <w:right w:val="nil"/>
            </w:tcBorders>
            <w:shd w:val="clear" w:color="auto" w:fill="E6E6E6"/>
            <w:noWrap/>
            <w:vAlign w:val="bottom"/>
            <w:hideMark/>
          </w:tcPr>
          <w:p w14:paraId="77CE6CBC"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 </w:t>
            </w:r>
          </w:p>
        </w:tc>
        <w:tc>
          <w:tcPr>
            <w:tcW w:w="545" w:type="pct"/>
            <w:gridSpan w:val="2"/>
            <w:tcBorders>
              <w:top w:val="nil"/>
              <w:left w:val="nil"/>
              <w:bottom w:val="single" w:sz="4" w:space="0" w:color="auto"/>
              <w:right w:val="nil"/>
            </w:tcBorders>
            <w:shd w:val="clear" w:color="auto" w:fill="E6E6E6"/>
            <w:noWrap/>
            <w:vAlign w:val="bottom"/>
            <w:hideMark/>
          </w:tcPr>
          <w:p w14:paraId="452E505F"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 </w:t>
            </w:r>
          </w:p>
        </w:tc>
      </w:tr>
      <w:tr w:rsidR="00115843" w:rsidRPr="008B7995" w14:paraId="131D1EF3" w14:textId="77777777" w:rsidTr="00436AC0">
        <w:trPr>
          <w:trHeight w:val="204"/>
        </w:trPr>
        <w:tc>
          <w:tcPr>
            <w:tcW w:w="2125" w:type="pct"/>
            <w:gridSpan w:val="2"/>
            <w:tcBorders>
              <w:top w:val="nil"/>
              <w:left w:val="nil"/>
              <w:bottom w:val="nil"/>
              <w:right w:val="nil"/>
            </w:tcBorders>
            <w:shd w:val="clear" w:color="auto" w:fill="auto"/>
            <w:noWrap/>
            <w:vAlign w:val="bottom"/>
            <w:hideMark/>
          </w:tcPr>
          <w:p w14:paraId="2D5CC874" w14:textId="77777777" w:rsidR="00115843" w:rsidRPr="008B7995" w:rsidRDefault="00115843" w:rsidP="00FB0D02">
            <w:pPr>
              <w:spacing w:after="0" w:line="240" w:lineRule="auto"/>
              <w:rPr>
                <w:rFonts w:ascii="Arial" w:hAnsi="Arial" w:cs="Arial"/>
                <w:sz w:val="16"/>
                <w:szCs w:val="16"/>
              </w:rPr>
            </w:pPr>
            <w:r w:rsidRPr="008B7995">
              <w:rPr>
                <w:rFonts w:ascii="Arial" w:hAnsi="Arial" w:cs="Arial"/>
                <w:sz w:val="16"/>
                <w:szCs w:val="16"/>
              </w:rPr>
              <w:t>Administered expenses</w:t>
            </w:r>
          </w:p>
        </w:tc>
        <w:tc>
          <w:tcPr>
            <w:tcW w:w="691" w:type="pct"/>
            <w:gridSpan w:val="3"/>
            <w:tcBorders>
              <w:top w:val="nil"/>
              <w:left w:val="nil"/>
              <w:bottom w:val="nil"/>
              <w:right w:val="nil"/>
            </w:tcBorders>
            <w:shd w:val="clear" w:color="auto" w:fill="auto"/>
            <w:noWrap/>
            <w:vAlign w:val="bottom"/>
            <w:hideMark/>
          </w:tcPr>
          <w:p w14:paraId="5B82CEB3" w14:textId="77777777" w:rsidR="00115843" w:rsidRPr="008B7995" w:rsidRDefault="00115843" w:rsidP="00FB0D02">
            <w:pPr>
              <w:spacing w:after="0" w:line="240" w:lineRule="auto"/>
              <w:jc w:val="right"/>
              <w:rPr>
                <w:rFonts w:ascii="Arial" w:hAnsi="Arial" w:cs="Arial"/>
                <w:sz w:val="16"/>
                <w:szCs w:val="16"/>
              </w:rPr>
            </w:pPr>
          </w:p>
        </w:tc>
        <w:tc>
          <w:tcPr>
            <w:tcW w:w="517" w:type="pct"/>
            <w:tcBorders>
              <w:top w:val="nil"/>
              <w:left w:val="nil"/>
              <w:bottom w:val="nil"/>
              <w:right w:val="nil"/>
            </w:tcBorders>
            <w:shd w:val="clear" w:color="auto" w:fill="E6E6E6"/>
            <w:noWrap/>
            <w:vAlign w:val="bottom"/>
            <w:hideMark/>
          </w:tcPr>
          <w:p w14:paraId="44408A96" w14:textId="77777777" w:rsidR="00115843" w:rsidRPr="008B7995" w:rsidRDefault="00115843" w:rsidP="00FB0D02">
            <w:pPr>
              <w:spacing w:after="0" w:line="240" w:lineRule="auto"/>
              <w:jc w:val="right"/>
              <w:rPr>
                <w:rFonts w:ascii="Arial" w:hAnsi="Arial" w:cs="Arial"/>
                <w:sz w:val="16"/>
                <w:szCs w:val="16"/>
              </w:rPr>
            </w:pPr>
          </w:p>
        </w:tc>
        <w:tc>
          <w:tcPr>
            <w:tcW w:w="575" w:type="pct"/>
            <w:gridSpan w:val="3"/>
            <w:tcBorders>
              <w:top w:val="nil"/>
              <w:left w:val="nil"/>
              <w:bottom w:val="nil"/>
              <w:right w:val="nil"/>
            </w:tcBorders>
            <w:shd w:val="clear" w:color="auto" w:fill="auto"/>
            <w:noWrap/>
            <w:vAlign w:val="bottom"/>
            <w:hideMark/>
          </w:tcPr>
          <w:p w14:paraId="7B1162FF" w14:textId="77777777" w:rsidR="00115843" w:rsidRPr="008B7995" w:rsidRDefault="00115843" w:rsidP="00FB0D02">
            <w:pPr>
              <w:spacing w:after="0" w:line="240" w:lineRule="auto"/>
              <w:jc w:val="right"/>
              <w:rPr>
                <w:rFonts w:ascii="Arial" w:hAnsi="Arial" w:cs="Arial"/>
                <w:sz w:val="16"/>
                <w:szCs w:val="16"/>
              </w:rPr>
            </w:pPr>
          </w:p>
        </w:tc>
        <w:tc>
          <w:tcPr>
            <w:tcW w:w="547" w:type="pct"/>
            <w:gridSpan w:val="3"/>
            <w:tcBorders>
              <w:top w:val="nil"/>
              <w:left w:val="nil"/>
              <w:bottom w:val="nil"/>
              <w:right w:val="nil"/>
            </w:tcBorders>
            <w:shd w:val="clear" w:color="auto" w:fill="auto"/>
            <w:noWrap/>
            <w:vAlign w:val="bottom"/>
            <w:hideMark/>
          </w:tcPr>
          <w:p w14:paraId="650FCDEA" w14:textId="77777777" w:rsidR="00115843" w:rsidRPr="008B7995" w:rsidRDefault="00115843" w:rsidP="00FB0D02">
            <w:pPr>
              <w:spacing w:after="0" w:line="240" w:lineRule="auto"/>
              <w:jc w:val="right"/>
              <w:rPr>
                <w:rFonts w:ascii="Times New Roman" w:hAnsi="Times New Roman"/>
              </w:rPr>
            </w:pPr>
          </w:p>
        </w:tc>
        <w:tc>
          <w:tcPr>
            <w:tcW w:w="545" w:type="pct"/>
            <w:gridSpan w:val="2"/>
            <w:tcBorders>
              <w:top w:val="nil"/>
              <w:left w:val="nil"/>
              <w:bottom w:val="nil"/>
              <w:right w:val="nil"/>
            </w:tcBorders>
            <w:shd w:val="clear" w:color="auto" w:fill="auto"/>
            <w:noWrap/>
            <w:vAlign w:val="bottom"/>
            <w:hideMark/>
          </w:tcPr>
          <w:p w14:paraId="2A5B7ED3" w14:textId="77777777" w:rsidR="00115843" w:rsidRPr="008B7995" w:rsidRDefault="00115843" w:rsidP="00FB0D02">
            <w:pPr>
              <w:spacing w:after="0" w:line="240" w:lineRule="auto"/>
              <w:jc w:val="right"/>
              <w:rPr>
                <w:rFonts w:ascii="Times New Roman" w:hAnsi="Times New Roman"/>
              </w:rPr>
            </w:pPr>
          </w:p>
        </w:tc>
      </w:tr>
      <w:tr w:rsidR="00115843" w:rsidRPr="008B7995" w14:paraId="6DDAAF0F" w14:textId="77777777" w:rsidTr="00436AC0">
        <w:trPr>
          <w:trHeight w:val="204"/>
        </w:trPr>
        <w:tc>
          <w:tcPr>
            <w:tcW w:w="2125" w:type="pct"/>
            <w:gridSpan w:val="2"/>
            <w:tcBorders>
              <w:top w:val="nil"/>
              <w:left w:val="nil"/>
              <w:bottom w:val="nil"/>
              <w:right w:val="nil"/>
            </w:tcBorders>
            <w:shd w:val="clear" w:color="auto" w:fill="auto"/>
            <w:vAlign w:val="bottom"/>
            <w:hideMark/>
          </w:tcPr>
          <w:p w14:paraId="5F390FE4"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Ordinary Annual Services (Appropriation Act No. 1 and Bill No. 3)</w:t>
            </w:r>
          </w:p>
        </w:tc>
        <w:tc>
          <w:tcPr>
            <w:tcW w:w="691" w:type="pct"/>
            <w:gridSpan w:val="3"/>
            <w:tcBorders>
              <w:top w:val="nil"/>
              <w:left w:val="nil"/>
              <w:bottom w:val="nil"/>
              <w:right w:val="nil"/>
            </w:tcBorders>
            <w:shd w:val="clear" w:color="auto" w:fill="auto"/>
            <w:noWrap/>
            <w:vAlign w:val="bottom"/>
            <w:hideMark/>
          </w:tcPr>
          <w:p w14:paraId="2B237FD6"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370,521</w:t>
            </w:r>
          </w:p>
        </w:tc>
        <w:tc>
          <w:tcPr>
            <w:tcW w:w="517" w:type="pct"/>
            <w:tcBorders>
              <w:top w:val="nil"/>
              <w:left w:val="nil"/>
              <w:bottom w:val="nil"/>
              <w:right w:val="nil"/>
            </w:tcBorders>
            <w:shd w:val="clear" w:color="auto" w:fill="E6E6E6"/>
            <w:noWrap/>
            <w:vAlign w:val="bottom"/>
            <w:hideMark/>
          </w:tcPr>
          <w:p w14:paraId="0BEBFEB3"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227,827</w:t>
            </w:r>
          </w:p>
        </w:tc>
        <w:tc>
          <w:tcPr>
            <w:tcW w:w="575" w:type="pct"/>
            <w:gridSpan w:val="3"/>
            <w:tcBorders>
              <w:top w:val="nil"/>
              <w:left w:val="nil"/>
              <w:bottom w:val="nil"/>
              <w:right w:val="nil"/>
            </w:tcBorders>
            <w:shd w:val="clear" w:color="auto" w:fill="auto"/>
            <w:noWrap/>
            <w:vAlign w:val="bottom"/>
            <w:hideMark/>
          </w:tcPr>
          <w:p w14:paraId="7796D737"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50,599</w:t>
            </w:r>
          </w:p>
        </w:tc>
        <w:tc>
          <w:tcPr>
            <w:tcW w:w="547" w:type="pct"/>
            <w:gridSpan w:val="3"/>
            <w:tcBorders>
              <w:top w:val="nil"/>
              <w:left w:val="nil"/>
              <w:bottom w:val="nil"/>
              <w:right w:val="nil"/>
            </w:tcBorders>
            <w:shd w:val="clear" w:color="auto" w:fill="auto"/>
            <w:noWrap/>
            <w:vAlign w:val="bottom"/>
            <w:hideMark/>
          </w:tcPr>
          <w:p w14:paraId="70CB500A"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24,542</w:t>
            </w:r>
          </w:p>
        </w:tc>
        <w:tc>
          <w:tcPr>
            <w:tcW w:w="545" w:type="pct"/>
            <w:gridSpan w:val="2"/>
            <w:tcBorders>
              <w:top w:val="nil"/>
              <w:left w:val="nil"/>
              <w:bottom w:val="nil"/>
              <w:right w:val="nil"/>
            </w:tcBorders>
            <w:shd w:val="clear" w:color="auto" w:fill="auto"/>
            <w:noWrap/>
            <w:vAlign w:val="bottom"/>
            <w:hideMark/>
          </w:tcPr>
          <w:p w14:paraId="42CA8199"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22,382</w:t>
            </w:r>
          </w:p>
        </w:tc>
      </w:tr>
      <w:tr w:rsidR="00115843" w:rsidRPr="008B7995" w14:paraId="043C10EC" w14:textId="77777777" w:rsidTr="00436AC0">
        <w:trPr>
          <w:trHeight w:val="204"/>
        </w:trPr>
        <w:tc>
          <w:tcPr>
            <w:tcW w:w="2125" w:type="pct"/>
            <w:gridSpan w:val="2"/>
            <w:tcBorders>
              <w:top w:val="nil"/>
              <w:left w:val="nil"/>
              <w:bottom w:val="nil"/>
              <w:right w:val="nil"/>
            </w:tcBorders>
            <w:shd w:val="clear" w:color="auto" w:fill="auto"/>
            <w:vAlign w:val="bottom"/>
            <w:hideMark/>
          </w:tcPr>
          <w:p w14:paraId="797AC28A"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Other Services (Appropriation Act No. 2 and Bill No. 4)</w:t>
            </w:r>
          </w:p>
        </w:tc>
        <w:tc>
          <w:tcPr>
            <w:tcW w:w="691" w:type="pct"/>
            <w:gridSpan w:val="3"/>
            <w:tcBorders>
              <w:top w:val="nil"/>
              <w:left w:val="nil"/>
              <w:bottom w:val="nil"/>
              <w:right w:val="nil"/>
            </w:tcBorders>
            <w:shd w:val="clear" w:color="auto" w:fill="auto"/>
            <w:noWrap/>
            <w:vAlign w:val="bottom"/>
            <w:hideMark/>
          </w:tcPr>
          <w:p w14:paraId="75861E24"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498,866</w:t>
            </w:r>
          </w:p>
        </w:tc>
        <w:tc>
          <w:tcPr>
            <w:tcW w:w="517" w:type="pct"/>
            <w:tcBorders>
              <w:top w:val="nil"/>
              <w:left w:val="nil"/>
              <w:bottom w:val="nil"/>
              <w:right w:val="nil"/>
            </w:tcBorders>
            <w:shd w:val="clear" w:color="auto" w:fill="E6E6E6"/>
            <w:noWrap/>
            <w:vAlign w:val="bottom"/>
            <w:hideMark/>
          </w:tcPr>
          <w:p w14:paraId="353F4E94"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490,881</w:t>
            </w:r>
          </w:p>
        </w:tc>
        <w:tc>
          <w:tcPr>
            <w:tcW w:w="575" w:type="pct"/>
            <w:gridSpan w:val="3"/>
            <w:tcBorders>
              <w:top w:val="nil"/>
              <w:left w:val="nil"/>
              <w:bottom w:val="nil"/>
              <w:right w:val="nil"/>
            </w:tcBorders>
            <w:shd w:val="clear" w:color="auto" w:fill="auto"/>
            <w:noWrap/>
            <w:vAlign w:val="bottom"/>
            <w:hideMark/>
          </w:tcPr>
          <w:p w14:paraId="58B65536"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485,306</w:t>
            </w:r>
          </w:p>
        </w:tc>
        <w:tc>
          <w:tcPr>
            <w:tcW w:w="547" w:type="pct"/>
            <w:gridSpan w:val="3"/>
            <w:tcBorders>
              <w:top w:val="nil"/>
              <w:left w:val="nil"/>
              <w:bottom w:val="nil"/>
              <w:right w:val="nil"/>
            </w:tcBorders>
            <w:shd w:val="clear" w:color="auto" w:fill="auto"/>
            <w:noWrap/>
            <w:vAlign w:val="bottom"/>
            <w:hideMark/>
          </w:tcPr>
          <w:p w14:paraId="65EFE377"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499,516</w:t>
            </w:r>
          </w:p>
        </w:tc>
        <w:tc>
          <w:tcPr>
            <w:tcW w:w="545" w:type="pct"/>
            <w:gridSpan w:val="2"/>
            <w:tcBorders>
              <w:top w:val="nil"/>
              <w:left w:val="nil"/>
              <w:bottom w:val="nil"/>
              <w:right w:val="nil"/>
            </w:tcBorders>
            <w:shd w:val="clear" w:color="auto" w:fill="auto"/>
            <w:noWrap/>
            <w:vAlign w:val="bottom"/>
            <w:hideMark/>
          </w:tcPr>
          <w:p w14:paraId="3EF626D2"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499,516</w:t>
            </w:r>
          </w:p>
        </w:tc>
      </w:tr>
      <w:tr w:rsidR="00115843" w:rsidRPr="008B7995" w14:paraId="14DADFBA" w14:textId="77777777" w:rsidTr="00436AC0">
        <w:trPr>
          <w:trHeight w:val="204"/>
        </w:trPr>
        <w:tc>
          <w:tcPr>
            <w:tcW w:w="2125" w:type="pct"/>
            <w:gridSpan w:val="2"/>
            <w:tcBorders>
              <w:top w:val="nil"/>
              <w:left w:val="nil"/>
              <w:bottom w:val="nil"/>
              <w:right w:val="nil"/>
            </w:tcBorders>
            <w:shd w:val="clear" w:color="auto" w:fill="auto"/>
            <w:noWrap/>
            <w:vAlign w:val="bottom"/>
            <w:hideMark/>
          </w:tcPr>
          <w:p w14:paraId="0F61DDEB"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 xml:space="preserve">Payments to corporate entities </w:t>
            </w:r>
            <w:r w:rsidRPr="00AC0428">
              <w:rPr>
                <w:rFonts w:ascii="Arial" w:hAnsi="Arial" w:cs="Arial"/>
                <w:sz w:val="16"/>
                <w:szCs w:val="16"/>
                <w:vertAlign w:val="superscript"/>
              </w:rPr>
              <w:t>(a)</w:t>
            </w:r>
          </w:p>
        </w:tc>
        <w:tc>
          <w:tcPr>
            <w:tcW w:w="691" w:type="pct"/>
            <w:gridSpan w:val="3"/>
            <w:tcBorders>
              <w:top w:val="nil"/>
              <w:left w:val="nil"/>
              <w:bottom w:val="nil"/>
              <w:right w:val="nil"/>
            </w:tcBorders>
            <w:shd w:val="clear" w:color="auto" w:fill="auto"/>
            <w:noWrap/>
            <w:vAlign w:val="bottom"/>
            <w:hideMark/>
          </w:tcPr>
          <w:p w14:paraId="388B2BFB"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12,853</w:t>
            </w:r>
          </w:p>
        </w:tc>
        <w:tc>
          <w:tcPr>
            <w:tcW w:w="517" w:type="pct"/>
            <w:tcBorders>
              <w:top w:val="nil"/>
              <w:left w:val="nil"/>
              <w:bottom w:val="nil"/>
              <w:right w:val="nil"/>
            </w:tcBorders>
            <w:shd w:val="clear" w:color="auto" w:fill="E6E6E6"/>
            <w:noWrap/>
            <w:vAlign w:val="bottom"/>
            <w:hideMark/>
          </w:tcPr>
          <w:p w14:paraId="4E230B15"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12,733</w:t>
            </w:r>
          </w:p>
        </w:tc>
        <w:tc>
          <w:tcPr>
            <w:tcW w:w="575" w:type="pct"/>
            <w:gridSpan w:val="3"/>
            <w:tcBorders>
              <w:top w:val="nil"/>
              <w:left w:val="nil"/>
              <w:bottom w:val="nil"/>
              <w:right w:val="nil"/>
            </w:tcBorders>
            <w:shd w:val="clear" w:color="auto" w:fill="auto"/>
            <w:noWrap/>
            <w:vAlign w:val="bottom"/>
            <w:hideMark/>
          </w:tcPr>
          <w:p w14:paraId="316D08BC"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13,110</w:t>
            </w:r>
          </w:p>
        </w:tc>
        <w:tc>
          <w:tcPr>
            <w:tcW w:w="547" w:type="pct"/>
            <w:gridSpan w:val="3"/>
            <w:tcBorders>
              <w:top w:val="nil"/>
              <w:left w:val="nil"/>
              <w:bottom w:val="nil"/>
              <w:right w:val="nil"/>
            </w:tcBorders>
            <w:shd w:val="clear" w:color="auto" w:fill="auto"/>
            <w:noWrap/>
            <w:vAlign w:val="bottom"/>
            <w:hideMark/>
          </w:tcPr>
          <w:p w14:paraId="3EF4E18C"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13,259</w:t>
            </w:r>
          </w:p>
        </w:tc>
        <w:tc>
          <w:tcPr>
            <w:tcW w:w="545" w:type="pct"/>
            <w:gridSpan w:val="2"/>
            <w:tcBorders>
              <w:top w:val="nil"/>
              <w:left w:val="nil"/>
              <w:bottom w:val="nil"/>
              <w:right w:val="nil"/>
            </w:tcBorders>
            <w:shd w:val="clear" w:color="auto" w:fill="auto"/>
            <w:noWrap/>
            <w:vAlign w:val="bottom"/>
            <w:hideMark/>
          </w:tcPr>
          <w:p w14:paraId="537D9C1D"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13,368</w:t>
            </w:r>
          </w:p>
        </w:tc>
      </w:tr>
      <w:tr w:rsidR="00115843" w:rsidRPr="008B7995" w14:paraId="719E33E5" w14:textId="77777777" w:rsidTr="00436AC0">
        <w:trPr>
          <w:trHeight w:val="204"/>
        </w:trPr>
        <w:tc>
          <w:tcPr>
            <w:tcW w:w="2125" w:type="pct"/>
            <w:gridSpan w:val="2"/>
            <w:tcBorders>
              <w:top w:val="nil"/>
              <w:left w:val="nil"/>
              <w:bottom w:val="nil"/>
              <w:right w:val="nil"/>
            </w:tcBorders>
            <w:shd w:val="clear" w:color="auto" w:fill="auto"/>
            <w:vAlign w:val="bottom"/>
            <w:hideMark/>
          </w:tcPr>
          <w:p w14:paraId="2BC59838"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 xml:space="preserve">Expenses not requiring appropriation in the Budget year </w:t>
            </w:r>
            <w:r w:rsidRPr="005F517A">
              <w:rPr>
                <w:rFonts w:ascii="Arial" w:hAnsi="Arial" w:cs="Arial"/>
                <w:sz w:val="16"/>
                <w:szCs w:val="16"/>
                <w:vertAlign w:val="superscript"/>
              </w:rPr>
              <w:t>(b)</w:t>
            </w:r>
          </w:p>
        </w:tc>
        <w:tc>
          <w:tcPr>
            <w:tcW w:w="691" w:type="pct"/>
            <w:gridSpan w:val="3"/>
            <w:tcBorders>
              <w:top w:val="nil"/>
              <w:left w:val="nil"/>
              <w:bottom w:val="nil"/>
              <w:right w:val="nil"/>
            </w:tcBorders>
            <w:shd w:val="clear" w:color="auto" w:fill="auto"/>
            <w:noWrap/>
            <w:vAlign w:val="bottom"/>
            <w:hideMark/>
          </w:tcPr>
          <w:p w14:paraId="566D7848"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48,741</w:t>
            </w:r>
          </w:p>
        </w:tc>
        <w:tc>
          <w:tcPr>
            <w:tcW w:w="517" w:type="pct"/>
            <w:tcBorders>
              <w:top w:val="nil"/>
              <w:left w:val="nil"/>
              <w:bottom w:val="nil"/>
              <w:right w:val="nil"/>
            </w:tcBorders>
            <w:shd w:val="clear" w:color="auto" w:fill="E6E6E6"/>
            <w:noWrap/>
            <w:vAlign w:val="bottom"/>
            <w:hideMark/>
          </w:tcPr>
          <w:p w14:paraId="40AC3720"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12,465</w:t>
            </w:r>
          </w:p>
        </w:tc>
        <w:tc>
          <w:tcPr>
            <w:tcW w:w="575" w:type="pct"/>
            <w:gridSpan w:val="3"/>
            <w:tcBorders>
              <w:top w:val="nil"/>
              <w:left w:val="nil"/>
              <w:bottom w:val="nil"/>
              <w:right w:val="nil"/>
            </w:tcBorders>
            <w:shd w:val="clear" w:color="auto" w:fill="auto"/>
            <w:noWrap/>
            <w:vAlign w:val="bottom"/>
            <w:hideMark/>
          </w:tcPr>
          <w:p w14:paraId="29CB9FB7"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76,659</w:t>
            </w:r>
          </w:p>
        </w:tc>
        <w:tc>
          <w:tcPr>
            <w:tcW w:w="547" w:type="pct"/>
            <w:gridSpan w:val="3"/>
            <w:tcBorders>
              <w:top w:val="nil"/>
              <w:left w:val="nil"/>
              <w:bottom w:val="nil"/>
              <w:right w:val="nil"/>
            </w:tcBorders>
            <w:shd w:val="clear" w:color="auto" w:fill="auto"/>
            <w:noWrap/>
            <w:vAlign w:val="bottom"/>
            <w:hideMark/>
          </w:tcPr>
          <w:p w14:paraId="03BB0833"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25,000</w:t>
            </w:r>
          </w:p>
        </w:tc>
        <w:tc>
          <w:tcPr>
            <w:tcW w:w="545" w:type="pct"/>
            <w:gridSpan w:val="2"/>
            <w:tcBorders>
              <w:top w:val="nil"/>
              <w:left w:val="nil"/>
              <w:bottom w:val="nil"/>
              <w:right w:val="nil"/>
            </w:tcBorders>
            <w:shd w:val="clear" w:color="auto" w:fill="auto"/>
            <w:noWrap/>
            <w:vAlign w:val="bottom"/>
            <w:hideMark/>
          </w:tcPr>
          <w:p w14:paraId="39364267"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8B7995" w14:paraId="6285D97D" w14:textId="77777777" w:rsidTr="00436AC0">
        <w:trPr>
          <w:trHeight w:val="204"/>
        </w:trPr>
        <w:tc>
          <w:tcPr>
            <w:tcW w:w="2125" w:type="pct"/>
            <w:gridSpan w:val="2"/>
            <w:tcBorders>
              <w:top w:val="nil"/>
              <w:left w:val="nil"/>
              <w:bottom w:val="nil"/>
              <w:right w:val="nil"/>
            </w:tcBorders>
            <w:shd w:val="clear" w:color="auto" w:fill="auto"/>
            <w:vAlign w:val="bottom"/>
            <w:hideMark/>
          </w:tcPr>
          <w:p w14:paraId="5D39C729" w14:textId="77777777" w:rsidR="00115843" w:rsidRPr="008B7995" w:rsidRDefault="00115843" w:rsidP="007E1717">
            <w:pPr>
              <w:spacing w:after="0" w:line="240" w:lineRule="auto"/>
              <w:jc w:val="right"/>
              <w:rPr>
                <w:rFonts w:ascii="Arial" w:hAnsi="Arial" w:cs="Arial"/>
                <w:b/>
                <w:bCs/>
                <w:sz w:val="16"/>
                <w:szCs w:val="16"/>
              </w:rPr>
            </w:pPr>
            <w:r w:rsidRPr="008B7995">
              <w:rPr>
                <w:rFonts w:ascii="Arial" w:hAnsi="Arial" w:cs="Arial"/>
                <w:b/>
                <w:bCs/>
                <w:sz w:val="16"/>
                <w:szCs w:val="16"/>
              </w:rPr>
              <w:t>Total administered expenses</w:t>
            </w:r>
          </w:p>
        </w:tc>
        <w:tc>
          <w:tcPr>
            <w:tcW w:w="691" w:type="pct"/>
            <w:gridSpan w:val="3"/>
            <w:tcBorders>
              <w:top w:val="single" w:sz="4" w:space="0" w:color="auto"/>
              <w:left w:val="nil"/>
              <w:bottom w:val="single" w:sz="4" w:space="0" w:color="auto"/>
              <w:right w:val="nil"/>
            </w:tcBorders>
            <w:shd w:val="clear" w:color="auto" w:fill="auto"/>
            <w:noWrap/>
            <w:vAlign w:val="bottom"/>
            <w:hideMark/>
          </w:tcPr>
          <w:p w14:paraId="0C9A4A30"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930,981</w:t>
            </w:r>
          </w:p>
        </w:tc>
        <w:tc>
          <w:tcPr>
            <w:tcW w:w="517" w:type="pct"/>
            <w:tcBorders>
              <w:top w:val="single" w:sz="4" w:space="0" w:color="auto"/>
              <w:left w:val="nil"/>
              <w:bottom w:val="single" w:sz="4" w:space="0" w:color="auto"/>
              <w:right w:val="nil"/>
            </w:tcBorders>
            <w:shd w:val="clear" w:color="auto" w:fill="E6E6E6"/>
            <w:noWrap/>
            <w:vAlign w:val="bottom"/>
            <w:hideMark/>
          </w:tcPr>
          <w:p w14:paraId="161CC232"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743,906</w:t>
            </w:r>
          </w:p>
        </w:tc>
        <w:tc>
          <w:tcPr>
            <w:tcW w:w="575" w:type="pct"/>
            <w:gridSpan w:val="3"/>
            <w:tcBorders>
              <w:top w:val="single" w:sz="4" w:space="0" w:color="auto"/>
              <w:left w:val="nil"/>
              <w:bottom w:val="single" w:sz="4" w:space="0" w:color="auto"/>
              <w:right w:val="nil"/>
            </w:tcBorders>
            <w:shd w:val="clear" w:color="auto" w:fill="auto"/>
            <w:noWrap/>
            <w:vAlign w:val="bottom"/>
            <w:hideMark/>
          </w:tcPr>
          <w:p w14:paraId="6852B8D3"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625,674</w:t>
            </w:r>
          </w:p>
        </w:tc>
        <w:tc>
          <w:tcPr>
            <w:tcW w:w="547" w:type="pct"/>
            <w:gridSpan w:val="3"/>
            <w:tcBorders>
              <w:top w:val="single" w:sz="4" w:space="0" w:color="auto"/>
              <w:left w:val="nil"/>
              <w:bottom w:val="single" w:sz="4" w:space="0" w:color="auto"/>
              <w:right w:val="nil"/>
            </w:tcBorders>
            <w:shd w:val="clear" w:color="auto" w:fill="auto"/>
            <w:noWrap/>
            <w:vAlign w:val="bottom"/>
            <w:hideMark/>
          </w:tcPr>
          <w:p w14:paraId="48896D7D"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562,317</w:t>
            </w:r>
          </w:p>
        </w:tc>
        <w:tc>
          <w:tcPr>
            <w:tcW w:w="545" w:type="pct"/>
            <w:gridSpan w:val="2"/>
            <w:tcBorders>
              <w:top w:val="single" w:sz="4" w:space="0" w:color="auto"/>
              <w:left w:val="nil"/>
              <w:bottom w:val="single" w:sz="4" w:space="0" w:color="auto"/>
              <w:right w:val="nil"/>
            </w:tcBorders>
            <w:shd w:val="clear" w:color="auto" w:fill="auto"/>
            <w:noWrap/>
            <w:vAlign w:val="bottom"/>
            <w:hideMark/>
          </w:tcPr>
          <w:p w14:paraId="5B3A3165"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535,266</w:t>
            </w:r>
          </w:p>
        </w:tc>
      </w:tr>
      <w:tr w:rsidR="00115843" w:rsidRPr="008B7995" w14:paraId="3B98067B" w14:textId="77777777" w:rsidTr="00436AC0">
        <w:trPr>
          <w:trHeight w:val="204"/>
        </w:trPr>
        <w:tc>
          <w:tcPr>
            <w:tcW w:w="2125" w:type="pct"/>
            <w:gridSpan w:val="2"/>
            <w:tcBorders>
              <w:top w:val="nil"/>
              <w:left w:val="nil"/>
              <w:bottom w:val="nil"/>
              <w:right w:val="nil"/>
            </w:tcBorders>
            <w:shd w:val="clear" w:color="auto" w:fill="auto"/>
            <w:noWrap/>
            <w:vAlign w:val="bottom"/>
            <w:hideMark/>
          </w:tcPr>
          <w:p w14:paraId="43F57C88"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Departmental expenses</w:t>
            </w:r>
          </w:p>
        </w:tc>
        <w:tc>
          <w:tcPr>
            <w:tcW w:w="691" w:type="pct"/>
            <w:gridSpan w:val="3"/>
            <w:tcBorders>
              <w:top w:val="nil"/>
              <w:left w:val="nil"/>
              <w:bottom w:val="nil"/>
              <w:right w:val="nil"/>
            </w:tcBorders>
            <w:shd w:val="clear" w:color="auto" w:fill="auto"/>
            <w:noWrap/>
            <w:vAlign w:val="bottom"/>
            <w:hideMark/>
          </w:tcPr>
          <w:p w14:paraId="3BB74B5E" w14:textId="77777777" w:rsidR="00115843" w:rsidRPr="008B7995" w:rsidRDefault="00115843" w:rsidP="00FB0D02">
            <w:pPr>
              <w:spacing w:after="0" w:line="240" w:lineRule="auto"/>
              <w:ind w:firstLineChars="100" w:firstLine="160"/>
              <w:jc w:val="right"/>
              <w:rPr>
                <w:rFonts w:ascii="Arial" w:hAnsi="Arial" w:cs="Arial"/>
                <w:sz w:val="16"/>
                <w:szCs w:val="16"/>
              </w:rPr>
            </w:pPr>
          </w:p>
        </w:tc>
        <w:tc>
          <w:tcPr>
            <w:tcW w:w="517" w:type="pct"/>
            <w:tcBorders>
              <w:top w:val="nil"/>
              <w:left w:val="nil"/>
              <w:bottom w:val="nil"/>
              <w:right w:val="nil"/>
            </w:tcBorders>
            <w:shd w:val="clear" w:color="auto" w:fill="E6E6E6"/>
            <w:noWrap/>
            <w:vAlign w:val="bottom"/>
            <w:hideMark/>
          </w:tcPr>
          <w:p w14:paraId="01D32673" w14:textId="77777777" w:rsidR="00115843" w:rsidRPr="008B7995" w:rsidRDefault="00115843" w:rsidP="00FB0D02">
            <w:pPr>
              <w:spacing w:after="0" w:line="240" w:lineRule="auto"/>
              <w:jc w:val="right"/>
              <w:rPr>
                <w:rFonts w:ascii="Arial" w:hAnsi="Arial" w:cs="Arial"/>
                <w:sz w:val="16"/>
                <w:szCs w:val="16"/>
              </w:rPr>
            </w:pPr>
          </w:p>
        </w:tc>
        <w:tc>
          <w:tcPr>
            <w:tcW w:w="575" w:type="pct"/>
            <w:gridSpan w:val="3"/>
            <w:tcBorders>
              <w:top w:val="nil"/>
              <w:left w:val="nil"/>
              <w:bottom w:val="nil"/>
              <w:right w:val="nil"/>
            </w:tcBorders>
            <w:shd w:val="clear" w:color="auto" w:fill="auto"/>
            <w:noWrap/>
            <w:vAlign w:val="bottom"/>
            <w:hideMark/>
          </w:tcPr>
          <w:p w14:paraId="1C76C054" w14:textId="77777777" w:rsidR="00115843" w:rsidRPr="008B7995" w:rsidRDefault="00115843" w:rsidP="00FB0D02">
            <w:pPr>
              <w:spacing w:after="0" w:line="240" w:lineRule="auto"/>
              <w:jc w:val="right"/>
              <w:rPr>
                <w:rFonts w:ascii="Arial" w:hAnsi="Arial" w:cs="Arial"/>
                <w:sz w:val="16"/>
                <w:szCs w:val="16"/>
              </w:rPr>
            </w:pPr>
          </w:p>
        </w:tc>
        <w:tc>
          <w:tcPr>
            <w:tcW w:w="547" w:type="pct"/>
            <w:gridSpan w:val="3"/>
            <w:tcBorders>
              <w:top w:val="nil"/>
              <w:left w:val="nil"/>
              <w:bottom w:val="nil"/>
              <w:right w:val="nil"/>
            </w:tcBorders>
            <w:shd w:val="clear" w:color="auto" w:fill="auto"/>
            <w:noWrap/>
            <w:vAlign w:val="bottom"/>
            <w:hideMark/>
          </w:tcPr>
          <w:p w14:paraId="12BD12FD" w14:textId="77777777" w:rsidR="00115843" w:rsidRPr="008B7995" w:rsidRDefault="00115843" w:rsidP="00FB0D02">
            <w:pPr>
              <w:spacing w:after="0" w:line="240" w:lineRule="auto"/>
              <w:jc w:val="right"/>
              <w:rPr>
                <w:rFonts w:ascii="Times New Roman" w:hAnsi="Times New Roman"/>
              </w:rPr>
            </w:pPr>
          </w:p>
        </w:tc>
        <w:tc>
          <w:tcPr>
            <w:tcW w:w="545" w:type="pct"/>
            <w:gridSpan w:val="2"/>
            <w:tcBorders>
              <w:top w:val="nil"/>
              <w:left w:val="nil"/>
              <w:bottom w:val="nil"/>
              <w:right w:val="nil"/>
            </w:tcBorders>
            <w:shd w:val="clear" w:color="auto" w:fill="auto"/>
            <w:noWrap/>
            <w:vAlign w:val="bottom"/>
            <w:hideMark/>
          </w:tcPr>
          <w:p w14:paraId="7A8E2E6D" w14:textId="77777777" w:rsidR="00115843" w:rsidRPr="008B7995" w:rsidRDefault="00115843" w:rsidP="00FB0D02">
            <w:pPr>
              <w:spacing w:after="0" w:line="240" w:lineRule="auto"/>
              <w:jc w:val="right"/>
              <w:rPr>
                <w:rFonts w:ascii="Times New Roman" w:hAnsi="Times New Roman"/>
              </w:rPr>
            </w:pPr>
          </w:p>
        </w:tc>
      </w:tr>
      <w:tr w:rsidR="00115843" w:rsidRPr="008B7995" w14:paraId="133472AF" w14:textId="77777777" w:rsidTr="00436AC0">
        <w:trPr>
          <w:trHeight w:val="204"/>
        </w:trPr>
        <w:tc>
          <w:tcPr>
            <w:tcW w:w="2125" w:type="pct"/>
            <w:gridSpan w:val="2"/>
            <w:tcBorders>
              <w:top w:val="nil"/>
              <w:left w:val="nil"/>
              <w:bottom w:val="nil"/>
              <w:right w:val="nil"/>
            </w:tcBorders>
            <w:shd w:val="clear" w:color="auto" w:fill="auto"/>
            <w:vAlign w:val="bottom"/>
            <w:hideMark/>
          </w:tcPr>
          <w:p w14:paraId="523D7253"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Departmental appropriation</w:t>
            </w:r>
          </w:p>
        </w:tc>
        <w:tc>
          <w:tcPr>
            <w:tcW w:w="691" w:type="pct"/>
            <w:gridSpan w:val="3"/>
            <w:tcBorders>
              <w:top w:val="nil"/>
              <w:left w:val="nil"/>
              <w:bottom w:val="nil"/>
              <w:right w:val="nil"/>
            </w:tcBorders>
            <w:shd w:val="clear" w:color="auto" w:fill="auto"/>
            <w:noWrap/>
            <w:vAlign w:val="bottom"/>
            <w:hideMark/>
          </w:tcPr>
          <w:p w14:paraId="1A57CB99"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68,058</w:t>
            </w:r>
          </w:p>
        </w:tc>
        <w:tc>
          <w:tcPr>
            <w:tcW w:w="517" w:type="pct"/>
            <w:tcBorders>
              <w:top w:val="nil"/>
              <w:left w:val="nil"/>
              <w:bottom w:val="nil"/>
              <w:right w:val="nil"/>
            </w:tcBorders>
            <w:shd w:val="clear" w:color="auto" w:fill="E6E6E6"/>
            <w:noWrap/>
            <w:vAlign w:val="bottom"/>
            <w:hideMark/>
          </w:tcPr>
          <w:p w14:paraId="352A6035"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86,666</w:t>
            </w:r>
          </w:p>
        </w:tc>
        <w:tc>
          <w:tcPr>
            <w:tcW w:w="575" w:type="pct"/>
            <w:gridSpan w:val="3"/>
            <w:tcBorders>
              <w:top w:val="nil"/>
              <w:left w:val="nil"/>
              <w:bottom w:val="nil"/>
              <w:right w:val="nil"/>
            </w:tcBorders>
            <w:shd w:val="clear" w:color="auto" w:fill="auto"/>
            <w:noWrap/>
            <w:vAlign w:val="bottom"/>
            <w:hideMark/>
          </w:tcPr>
          <w:p w14:paraId="35B9B0DD"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67,287</w:t>
            </w:r>
          </w:p>
        </w:tc>
        <w:tc>
          <w:tcPr>
            <w:tcW w:w="547" w:type="pct"/>
            <w:gridSpan w:val="3"/>
            <w:tcBorders>
              <w:top w:val="nil"/>
              <w:left w:val="nil"/>
              <w:bottom w:val="nil"/>
              <w:right w:val="nil"/>
            </w:tcBorders>
            <w:shd w:val="clear" w:color="auto" w:fill="auto"/>
            <w:noWrap/>
            <w:vAlign w:val="bottom"/>
            <w:hideMark/>
          </w:tcPr>
          <w:p w14:paraId="2FC2DF6F"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59,134</w:t>
            </w:r>
          </w:p>
        </w:tc>
        <w:tc>
          <w:tcPr>
            <w:tcW w:w="545" w:type="pct"/>
            <w:gridSpan w:val="2"/>
            <w:tcBorders>
              <w:top w:val="nil"/>
              <w:left w:val="nil"/>
              <w:bottom w:val="nil"/>
              <w:right w:val="nil"/>
            </w:tcBorders>
            <w:shd w:val="clear" w:color="auto" w:fill="auto"/>
            <w:noWrap/>
            <w:vAlign w:val="bottom"/>
            <w:hideMark/>
          </w:tcPr>
          <w:p w14:paraId="6202744C"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59,357</w:t>
            </w:r>
          </w:p>
        </w:tc>
      </w:tr>
      <w:tr w:rsidR="00115843" w:rsidRPr="008B7995" w14:paraId="2BE40528" w14:textId="77777777" w:rsidTr="00436AC0">
        <w:trPr>
          <w:trHeight w:val="204"/>
        </w:trPr>
        <w:tc>
          <w:tcPr>
            <w:tcW w:w="2125" w:type="pct"/>
            <w:gridSpan w:val="2"/>
            <w:tcBorders>
              <w:top w:val="nil"/>
              <w:left w:val="nil"/>
              <w:bottom w:val="nil"/>
              <w:right w:val="nil"/>
            </w:tcBorders>
            <w:shd w:val="clear" w:color="auto" w:fill="auto"/>
            <w:vAlign w:val="bottom"/>
            <w:hideMark/>
          </w:tcPr>
          <w:p w14:paraId="5E206CB4"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 xml:space="preserve">s74 external revenues </w:t>
            </w:r>
            <w:r w:rsidRPr="005F517A">
              <w:rPr>
                <w:rFonts w:ascii="Arial" w:hAnsi="Arial" w:cs="Arial"/>
                <w:sz w:val="16"/>
                <w:szCs w:val="16"/>
                <w:vertAlign w:val="superscript"/>
              </w:rPr>
              <w:t>(c)</w:t>
            </w:r>
          </w:p>
        </w:tc>
        <w:tc>
          <w:tcPr>
            <w:tcW w:w="691" w:type="pct"/>
            <w:gridSpan w:val="3"/>
            <w:tcBorders>
              <w:top w:val="nil"/>
              <w:left w:val="nil"/>
              <w:bottom w:val="nil"/>
              <w:right w:val="nil"/>
            </w:tcBorders>
            <w:shd w:val="clear" w:color="auto" w:fill="auto"/>
            <w:noWrap/>
            <w:vAlign w:val="bottom"/>
            <w:hideMark/>
          </w:tcPr>
          <w:p w14:paraId="1CF71A06"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2,127</w:t>
            </w:r>
          </w:p>
        </w:tc>
        <w:tc>
          <w:tcPr>
            <w:tcW w:w="517" w:type="pct"/>
            <w:tcBorders>
              <w:top w:val="nil"/>
              <w:left w:val="nil"/>
              <w:bottom w:val="nil"/>
              <w:right w:val="nil"/>
            </w:tcBorders>
            <w:shd w:val="clear" w:color="auto" w:fill="E6E6E6"/>
            <w:noWrap/>
            <w:vAlign w:val="bottom"/>
            <w:hideMark/>
          </w:tcPr>
          <w:p w14:paraId="4EAE097B"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75" w:type="pct"/>
            <w:gridSpan w:val="3"/>
            <w:tcBorders>
              <w:top w:val="nil"/>
              <w:left w:val="nil"/>
              <w:bottom w:val="nil"/>
              <w:right w:val="nil"/>
            </w:tcBorders>
            <w:shd w:val="clear" w:color="auto" w:fill="auto"/>
            <w:noWrap/>
            <w:vAlign w:val="bottom"/>
            <w:hideMark/>
          </w:tcPr>
          <w:p w14:paraId="05AEA175"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47" w:type="pct"/>
            <w:gridSpan w:val="3"/>
            <w:tcBorders>
              <w:top w:val="nil"/>
              <w:left w:val="nil"/>
              <w:bottom w:val="nil"/>
              <w:right w:val="nil"/>
            </w:tcBorders>
            <w:shd w:val="clear" w:color="auto" w:fill="auto"/>
            <w:noWrap/>
            <w:vAlign w:val="bottom"/>
            <w:hideMark/>
          </w:tcPr>
          <w:p w14:paraId="1774BCF4"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45" w:type="pct"/>
            <w:gridSpan w:val="2"/>
            <w:tcBorders>
              <w:top w:val="nil"/>
              <w:left w:val="nil"/>
              <w:bottom w:val="nil"/>
              <w:right w:val="nil"/>
            </w:tcBorders>
            <w:shd w:val="clear" w:color="auto" w:fill="auto"/>
            <w:noWrap/>
            <w:vAlign w:val="bottom"/>
            <w:hideMark/>
          </w:tcPr>
          <w:p w14:paraId="7481A000"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8B7995" w14:paraId="64A8649C" w14:textId="77777777" w:rsidTr="00436AC0">
        <w:trPr>
          <w:trHeight w:val="204"/>
        </w:trPr>
        <w:tc>
          <w:tcPr>
            <w:tcW w:w="2125" w:type="pct"/>
            <w:gridSpan w:val="2"/>
            <w:tcBorders>
              <w:top w:val="nil"/>
              <w:left w:val="nil"/>
              <w:bottom w:val="nil"/>
              <w:right w:val="nil"/>
            </w:tcBorders>
            <w:shd w:val="clear" w:color="auto" w:fill="auto"/>
            <w:vAlign w:val="bottom"/>
            <w:hideMark/>
          </w:tcPr>
          <w:p w14:paraId="65A68B66" w14:textId="77777777" w:rsidR="00115843" w:rsidRPr="008B7995" w:rsidRDefault="00115843" w:rsidP="00FB0D02">
            <w:pPr>
              <w:spacing w:after="0" w:line="240" w:lineRule="auto"/>
              <w:ind w:left="113"/>
              <w:rPr>
                <w:rFonts w:ascii="Arial" w:hAnsi="Arial" w:cs="Arial"/>
                <w:sz w:val="16"/>
                <w:szCs w:val="16"/>
              </w:rPr>
            </w:pPr>
            <w:r w:rsidRPr="008B7995">
              <w:rPr>
                <w:rFonts w:ascii="Arial" w:hAnsi="Arial" w:cs="Arial"/>
                <w:sz w:val="16"/>
                <w:szCs w:val="16"/>
              </w:rPr>
              <w:t xml:space="preserve">Expenses not requiring appropriation in the Budget year </w:t>
            </w:r>
            <w:r w:rsidRPr="005F517A">
              <w:rPr>
                <w:rFonts w:ascii="Arial" w:hAnsi="Arial" w:cs="Arial"/>
                <w:sz w:val="16"/>
                <w:szCs w:val="16"/>
                <w:vertAlign w:val="superscript"/>
              </w:rPr>
              <w:t>(d)</w:t>
            </w:r>
          </w:p>
        </w:tc>
        <w:tc>
          <w:tcPr>
            <w:tcW w:w="691" w:type="pct"/>
            <w:gridSpan w:val="3"/>
            <w:tcBorders>
              <w:top w:val="nil"/>
              <w:left w:val="nil"/>
              <w:bottom w:val="nil"/>
              <w:right w:val="nil"/>
            </w:tcBorders>
            <w:shd w:val="clear" w:color="auto" w:fill="auto"/>
            <w:noWrap/>
            <w:vAlign w:val="bottom"/>
            <w:hideMark/>
          </w:tcPr>
          <w:p w14:paraId="413EA6EA"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2,945</w:t>
            </w:r>
          </w:p>
        </w:tc>
        <w:tc>
          <w:tcPr>
            <w:tcW w:w="517" w:type="pct"/>
            <w:tcBorders>
              <w:top w:val="nil"/>
              <w:left w:val="nil"/>
              <w:bottom w:val="nil"/>
              <w:right w:val="nil"/>
            </w:tcBorders>
            <w:shd w:val="clear" w:color="auto" w:fill="E6E6E6"/>
            <w:noWrap/>
            <w:vAlign w:val="bottom"/>
            <w:hideMark/>
          </w:tcPr>
          <w:p w14:paraId="1B963733"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75" w:type="pct"/>
            <w:gridSpan w:val="3"/>
            <w:tcBorders>
              <w:top w:val="nil"/>
              <w:left w:val="nil"/>
              <w:bottom w:val="nil"/>
              <w:right w:val="nil"/>
            </w:tcBorders>
            <w:shd w:val="clear" w:color="auto" w:fill="auto"/>
            <w:noWrap/>
            <w:vAlign w:val="bottom"/>
            <w:hideMark/>
          </w:tcPr>
          <w:p w14:paraId="6CD07159"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47" w:type="pct"/>
            <w:gridSpan w:val="3"/>
            <w:tcBorders>
              <w:top w:val="nil"/>
              <w:left w:val="nil"/>
              <w:bottom w:val="nil"/>
              <w:right w:val="nil"/>
            </w:tcBorders>
            <w:shd w:val="clear" w:color="auto" w:fill="auto"/>
            <w:noWrap/>
            <w:vAlign w:val="bottom"/>
            <w:hideMark/>
          </w:tcPr>
          <w:p w14:paraId="13994AA9"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45" w:type="pct"/>
            <w:gridSpan w:val="2"/>
            <w:tcBorders>
              <w:top w:val="nil"/>
              <w:left w:val="nil"/>
              <w:bottom w:val="nil"/>
              <w:right w:val="nil"/>
            </w:tcBorders>
            <w:shd w:val="clear" w:color="auto" w:fill="auto"/>
            <w:noWrap/>
            <w:vAlign w:val="bottom"/>
            <w:hideMark/>
          </w:tcPr>
          <w:p w14:paraId="7AD1FB73" w14:textId="77777777" w:rsidR="00115843" w:rsidRPr="008B7995"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8B7995" w14:paraId="4F397ED7" w14:textId="77777777" w:rsidTr="00436AC0">
        <w:trPr>
          <w:trHeight w:val="204"/>
        </w:trPr>
        <w:tc>
          <w:tcPr>
            <w:tcW w:w="2125" w:type="pct"/>
            <w:gridSpan w:val="2"/>
            <w:tcBorders>
              <w:top w:val="nil"/>
              <w:left w:val="nil"/>
              <w:bottom w:val="nil"/>
              <w:right w:val="nil"/>
            </w:tcBorders>
            <w:shd w:val="clear" w:color="auto" w:fill="auto"/>
            <w:vAlign w:val="bottom"/>
            <w:hideMark/>
          </w:tcPr>
          <w:p w14:paraId="2B289C00" w14:textId="77777777" w:rsidR="00115843" w:rsidRPr="008B7995" w:rsidRDefault="00115843" w:rsidP="007E1717">
            <w:pPr>
              <w:spacing w:after="0" w:line="240" w:lineRule="auto"/>
              <w:jc w:val="right"/>
              <w:rPr>
                <w:rFonts w:ascii="Arial" w:hAnsi="Arial" w:cs="Arial"/>
                <w:b/>
                <w:bCs/>
                <w:sz w:val="16"/>
                <w:szCs w:val="16"/>
              </w:rPr>
            </w:pPr>
            <w:r w:rsidRPr="008B7995">
              <w:rPr>
                <w:rFonts w:ascii="Arial" w:hAnsi="Arial" w:cs="Arial"/>
                <w:b/>
                <w:bCs/>
                <w:sz w:val="16"/>
                <w:szCs w:val="16"/>
              </w:rPr>
              <w:t>Total departmental expenses</w:t>
            </w:r>
          </w:p>
        </w:tc>
        <w:tc>
          <w:tcPr>
            <w:tcW w:w="691" w:type="pct"/>
            <w:gridSpan w:val="3"/>
            <w:tcBorders>
              <w:top w:val="single" w:sz="4" w:space="0" w:color="auto"/>
              <w:left w:val="nil"/>
              <w:bottom w:val="single" w:sz="4" w:space="0" w:color="auto"/>
              <w:right w:val="nil"/>
            </w:tcBorders>
            <w:shd w:val="clear" w:color="auto" w:fill="auto"/>
            <w:noWrap/>
            <w:vAlign w:val="bottom"/>
            <w:hideMark/>
          </w:tcPr>
          <w:p w14:paraId="4FF571FB"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73,130</w:t>
            </w:r>
          </w:p>
        </w:tc>
        <w:tc>
          <w:tcPr>
            <w:tcW w:w="517" w:type="pct"/>
            <w:tcBorders>
              <w:top w:val="single" w:sz="4" w:space="0" w:color="auto"/>
              <w:left w:val="nil"/>
              <w:bottom w:val="single" w:sz="4" w:space="0" w:color="auto"/>
              <w:right w:val="nil"/>
            </w:tcBorders>
            <w:shd w:val="clear" w:color="auto" w:fill="E6E6E6"/>
            <w:noWrap/>
            <w:vAlign w:val="bottom"/>
            <w:hideMark/>
          </w:tcPr>
          <w:p w14:paraId="16229D0D"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86,666</w:t>
            </w:r>
          </w:p>
        </w:tc>
        <w:tc>
          <w:tcPr>
            <w:tcW w:w="575" w:type="pct"/>
            <w:gridSpan w:val="3"/>
            <w:tcBorders>
              <w:top w:val="single" w:sz="4" w:space="0" w:color="auto"/>
              <w:left w:val="nil"/>
              <w:bottom w:val="single" w:sz="4" w:space="0" w:color="auto"/>
              <w:right w:val="nil"/>
            </w:tcBorders>
            <w:shd w:val="clear" w:color="auto" w:fill="auto"/>
            <w:noWrap/>
            <w:vAlign w:val="bottom"/>
            <w:hideMark/>
          </w:tcPr>
          <w:p w14:paraId="48EFC0A8"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67,287</w:t>
            </w:r>
          </w:p>
        </w:tc>
        <w:tc>
          <w:tcPr>
            <w:tcW w:w="547" w:type="pct"/>
            <w:gridSpan w:val="3"/>
            <w:tcBorders>
              <w:top w:val="single" w:sz="4" w:space="0" w:color="auto"/>
              <w:left w:val="nil"/>
              <w:bottom w:val="single" w:sz="4" w:space="0" w:color="auto"/>
              <w:right w:val="nil"/>
            </w:tcBorders>
            <w:shd w:val="clear" w:color="auto" w:fill="auto"/>
            <w:noWrap/>
            <w:vAlign w:val="bottom"/>
            <w:hideMark/>
          </w:tcPr>
          <w:p w14:paraId="30BECB11"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59,134</w:t>
            </w:r>
          </w:p>
        </w:tc>
        <w:tc>
          <w:tcPr>
            <w:tcW w:w="545" w:type="pct"/>
            <w:gridSpan w:val="2"/>
            <w:tcBorders>
              <w:top w:val="single" w:sz="4" w:space="0" w:color="auto"/>
              <w:left w:val="nil"/>
              <w:bottom w:val="single" w:sz="4" w:space="0" w:color="auto"/>
              <w:right w:val="nil"/>
            </w:tcBorders>
            <w:shd w:val="clear" w:color="auto" w:fill="auto"/>
            <w:noWrap/>
            <w:vAlign w:val="bottom"/>
            <w:hideMark/>
          </w:tcPr>
          <w:p w14:paraId="22812372"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59,357</w:t>
            </w:r>
          </w:p>
        </w:tc>
      </w:tr>
      <w:tr w:rsidR="00115843" w:rsidRPr="008B7995" w14:paraId="79E4698D" w14:textId="77777777" w:rsidTr="00436AC0">
        <w:trPr>
          <w:trHeight w:val="204"/>
        </w:trPr>
        <w:tc>
          <w:tcPr>
            <w:tcW w:w="2125" w:type="pct"/>
            <w:gridSpan w:val="2"/>
            <w:tcBorders>
              <w:top w:val="nil"/>
              <w:left w:val="nil"/>
              <w:bottom w:val="single" w:sz="4" w:space="0" w:color="auto"/>
              <w:right w:val="nil"/>
            </w:tcBorders>
            <w:shd w:val="clear" w:color="auto" w:fill="auto"/>
            <w:noWrap/>
            <w:vAlign w:val="bottom"/>
            <w:hideMark/>
          </w:tcPr>
          <w:p w14:paraId="6BC3E14F" w14:textId="77777777" w:rsidR="00115843" w:rsidRPr="008B7995" w:rsidRDefault="00115843" w:rsidP="00FB0D02">
            <w:pPr>
              <w:spacing w:after="0" w:line="240" w:lineRule="auto"/>
              <w:rPr>
                <w:rFonts w:ascii="Arial" w:hAnsi="Arial" w:cs="Arial"/>
                <w:b/>
                <w:bCs/>
                <w:sz w:val="16"/>
                <w:szCs w:val="16"/>
              </w:rPr>
            </w:pPr>
            <w:r w:rsidRPr="008B7995">
              <w:rPr>
                <w:rFonts w:ascii="Arial" w:hAnsi="Arial" w:cs="Arial"/>
                <w:b/>
                <w:bCs/>
                <w:sz w:val="16"/>
                <w:szCs w:val="16"/>
              </w:rPr>
              <w:t>Total expenses for Outcome 1</w:t>
            </w:r>
          </w:p>
        </w:tc>
        <w:tc>
          <w:tcPr>
            <w:tcW w:w="691" w:type="pct"/>
            <w:gridSpan w:val="3"/>
            <w:tcBorders>
              <w:top w:val="nil"/>
              <w:left w:val="nil"/>
              <w:bottom w:val="single" w:sz="4" w:space="0" w:color="auto"/>
              <w:right w:val="nil"/>
            </w:tcBorders>
            <w:shd w:val="clear" w:color="auto" w:fill="auto"/>
            <w:noWrap/>
            <w:vAlign w:val="bottom"/>
            <w:hideMark/>
          </w:tcPr>
          <w:p w14:paraId="54A7806B"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1,004,111</w:t>
            </w:r>
          </w:p>
        </w:tc>
        <w:tc>
          <w:tcPr>
            <w:tcW w:w="517" w:type="pct"/>
            <w:tcBorders>
              <w:top w:val="nil"/>
              <w:left w:val="nil"/>
              <w:bottom w:val="single" w:sz="4" w:space="0" w:color="auto"/>
              <w:right w:val="nil"/>
            </w:tcBorders>
            <w:shd w:val="clear" w:color="auto" w:fill="E6E6E6"/>
            <w:noWrap/>
            <w:vAlign w:val="bottom"/>
            <w:hideMark/>
          </w:tcPr>
          <w:p w14:paraId="38F6784A"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830,572</w:t>
            </w:r>
          </w:p>
        </w:tc>
        <w:tc>
          <w:tcPr>
            <w:tcW w:w="575" w:type="pct"/>
            <w:gridSpan w:val="3"/>
            <w:tcBorders>
              <w:top w:val="nil"/>
              <w:left w:val="nil"/>
              <w:bottom w:val="single" w:sz="4" w:space="0" w:color="auto"/>
              <w:right w:val="nil"/>
            </w:tcBorders>
            <w:shd w:val="clear" w:color="auto" w:fill="auto"/>
            <w:noWrap/>
            <w:vAlign w:val="bottom"/>
            <w:hideMark/>
          </w:tcPr>
          <w:p w14:paraId="62718C8B"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692,961</w:t>
            </w:r>
          </w:p>
        </w:tc>
        <w:tc>
          <w:tcPr>
            <w:tcW w:w="547" w:type="pct"/>
            <w:gridSpan w:val="3"/>
            <w:tcBorders>
              <w:top w:val="nil"/>
              <w:left w:val="nil"/>
              <w:bottom w:val="single" w:sz="4" w:space="0" w:color="auto"/>
              <w:right w:val="nil"/>
            </w:tcBorders>
            <w:shd w:val="clear" w:color="auto" w:fill="auto"/>
            <w:noWrap/>
            <w:vAlign w:val="bottom"/>
            <w:hideMark/>
          </w:tcPr>
          <w:p w14:paraId="39298C49"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621,451</w:t>
            </w:r>
          </w:p>
        </w:tc>
        <w:tc>
          <w:tcPr>
            <w:tcW w:w="545" w:type="pct"/>
            <w:gridSpan w:val="2"/>
            <w:tcBorders>
              <w:top w:val="nil"/>
              <w:left w:val="nil"/>
              <w:bottom w:val="single" w:sz="4" w:space="0" w:color="auto"/>
              <w:right w:val="nil"/>
            </w:tcBorders>
            <w:shd w:val="clear" w:color="auto" w:fill="auto"/>
            <w:noWrap/>
            <w:vAlign w:val="bottom"/>
            <w:hideMark/>
          </w:tcPr>
          <w:p w14:paraId="09F7938E" w14:textId="77777777" w:rsidR="00115843" w:rsidRPr="008B7995" w:rsidRDefault="00115843" w:rsidP="00FB0D02">
            <w:pPr>
              <w:spacing w:after="0" w:line="240" w:lineRule="auto"/>
              <w:jc w:val="right"/>
              <w:rPr>
                <w:rFonts w:ascii="Arial" w:hAnsi="Arial" w:cs="Arial"/>
                <w:b/>
                <w:bCs/>
                <w:sz w:val="16"/>
                <w:szCs w:val="16"/>
              </w:rPr>
            </w:pPr>
            <w:r>
              <w:rPr>
                <w:rFonts w:ascii="Arial" w:hAnsi="Arial" w:cs="Arial"/>
                <w:b/>
                <w:bCs/>
                <w:sz w:val="16"/>
                <w:szCs w:val="16"/>
              </w:rPr>
              <w:t>594,623</w:t>
            </w:r>
          </w:p>
        </w:tc>
      </w:tr>
    </w:tbl>
    <w:p w14:paraId="4AB2448D" w14:textId="77777777" w:rsidR="00115843" w:rsidRDefault="00115843" w:rsidP="00115843">
      <w:pPr>
        <w:pStyle w:val="TableGraphic"/>
        <w:rPr>
          <w:rFonts w:ascii="Arial" w:hAnsi="Arial" w:cs="Arial"/>
          <w:sz w:val="16"/>
        </w:rPr>
      </w:pPr>
    </w:p>
    <w:tbl>
      <w:tblPr>
        <w:tblW w:w="5000" w:type="pct"/>
        <w:tblLook w:val="04A0" w:firstRow="1" w:lastRow="0" w:firstColumn="1" w:lastColumn="0" w:noHBand="0" w:noVBand="1"/>
      </w:tblPr>
      <w:tblGrid>
        <w:gridCol w:w="3260"/>
        <w:gridCol w:w="1070"/>
        <w:gridCol w:w="845"/>
        <w:gridCol w:w="845"/>
        <w:gridCol w:w="845"/>
        <w:gridCol w:w="845"/>
      </w:tblGrid>
      <w:tr w:rsidR="00115843" w:rsidRPr="00DF75A0" w14:paraId="33827DED" w14:textId="77777777" w:rsidTr="00436AC0">
        <w:trPr>
          <w:trHeight w:val="204"/>
        </w:trPr>
        <w:tc>
          <w:tcPr>
            <w:tcW w:w="2114" w:type="pct"/>
            <w:tcBorders>
              <w:top w:val="single" w:sz="4" w:space="0" w:color="auto"/>
              <w:left w:val="nil"/>
              <w:bottom w:val="nil"/>
              <w:right w:val="nil"/>
            </w:tcBorders>
            <w:shd w:val="clear" w:color="auto" w:fill="auto"/>
            <w:vAlign w:val="bottom"/>
            <w:hideMark/>
          </w:tcPr>
          <w:p w14:paraId="33FCB8A7" w14:textId="14F63A03" w:rsidR="00115843" w:rsidRPr="00DF75A0" w:rsidRDefault="00115843" w:rsidP="00FB0D02">
            <w:pPr>
              <w:spacing w:after="0" w:line="240" w:lineRule="auto"/>
              <w:rPr>
                <w:rFonts w:ascii="Arial" w:hAnsi="Arial" w:cs="Arial"/>
                <w:b/>
                <w:bCs/>
                <w:sz w:val="16"/>
                <w:szCs w:val="16"/>
              </w:rPr>
            </w:pPr>
            <w:r w:rsidRPr="00DF75A0">
              <w:rPr>
                <w:rFonts w:ascii="Arial" w:hAnsi="Arial" w:cs="Arial"/>
                <w:b/>
                <w:bCs/>
                <w:sz w:val="16"/>
                <w:szCs w:val="16"/>
              </w:rPr>
              <w:t xml:space="preserve">Movement of administered funds between years </w:t>
            </w:r>
            <w:r w:rsidR="00BF5A1E" w:rsidRPr="00BF5A1E">
              <w:rPr>
                <w:rFonts w:ascii="Arial" w:hAnsi="Arial" w:cs="Arial"/>
                <w:bCs/>
                <w:sz w:val="16"/>
                <w:szCs w:val="16"/>
                <w:vertAlign w:val="superscript"/>
              </w:rPr>
              <w:t>(e)</w:t>
            </w:r>
          </w:p>
        </w:tc>
        <w:tc>
          <w:tcPr>
            <w:tcW w:w="694" w:type="pct"/>
            <w:tcBorders>
              <w:top w:val="single" w:sz="4" w:space="0" w:color="auto"/>
              <w:left w:val="nil"/>
              <w:bottom w:val="nil"/>
              <w:right w:val="nil"/>
            </w:tcBorders>
            <w:shd w:val="clear" w:color="auto" w:fill="auto"/>
            <w:vAlign w:val="bottom"/>
            <w:hideMark/>
          </w:tcPr>
          <w:p w14:paraId="0144B9EF" w14:textId="77777777" w:rsidR="00115843" w:rsidRPr="00DF75A0" w:rsidRDefault="00115843" w:rsidP="00FB0D02">
            <w:pPr>
              <w:spacing w:after="0" w:line="240" w:lineRule="auto"/>
              <w:jc w:val="right"/>
              <w:rPr>
                <w:rFonts w:ascii="Arial" w:hAnsi="Arial" w:cs="Arial"/>
                <w:b/>
                <w:bCs/>
                <w:sz w:val="16"/>
                <w:szCs w:val="16"/>
              </w:rPr>
            </w:pPr>
          </w:p>
        </w:tc>
        <w:tc>
          <w:tcPr>
            <w:tcW w:w="548" w:type="pct"/>
            <w:tcBorders>
              <w:top w:val="single" w:sz="4" w:space="0" w:color="auto"/>
              <w:left w:val="nil"/>
              <w:bottom w:val="nil"/>
              <w:right w:val="nil"/>
            </w:tcBorders>
            <w:shd w:val="clear" w:color="auto" w:fill="E6E6E6"/>
            <w:noWrap/>
            <w:vAlign w:val="bottom"/>
            <w:hideMark/>
          </w:tcPr>
          <w:p w14:paraId="449DC271" w14:textId="77777777" w:rsidR="00115843" w:rsidRPr="00DF75A0" w:rsidRDefault="00115843" w:rsidP="00FB0D02">
            <w:pPr>
              <w:spacing w:after="0" w:line="240" w:lineRule="auto"/>
              <w:jc w:val="right"/>
              <w:rPr>
                <w:rFonts w:ascii="Arial" w:hAnsi="Arial" w:cs="Arial"/>
                <w:sz w:val="16"/>
                <w:szCs w:val="16"/>
              </w:rPr>
            </w:pPr>
          </w:p>
        </w:tc>
        <w:tc>
          <w:tcPr>
            <w:tcW w:w="548" w:type="pct"/>
            <w:tcBorders>
              <w:top w:val="single" w:sz="4" w:space="0" w:color="auto"/>
              <w:left w:val="nil"/>
              <w:bottom w:val="nil"/>
              <w:right w:val="nil"/>
            </w:tcBorders>
            <w:shd w:val="clear" w:color="auto" w:fill="auto"/>
            <w:vAlign w:val="bottom"/>
            <w:hideMark/>
          </w:tcPr>
          <w:p w14:paraId="733940DD" w14:textId="77777777" w:rsidR="00115843" w:rsidRPr="00DF75A0" w:rsidRDefault="00115843" w:rsidP="00FB0D02">
            <w:pPr>
              <w:spacing w:after="0" w:line="240" w:lineRule="auto"/>
              <w:jc w:val="right"/>
              <w:rPr>
                <w:rFonts w:ascii="Arial" w:hAnsi="Arial" w:cs="Arial"/>
                <w:sz w:val="16"/>
                <w:szCs w:val="16"/>
              </w:rPr>
            </w:pPr>
          </w:p>
        </w:tc>
        <w:tc>
          <w:tcPr>
            <w:tcW w:w="548" w:type="pct"/>
            <w:tcBorders>
              <w:top w:val="single" w:sz="4" w:space="0" w:color="auto"/>
              <w:left w:val="nil"/>
              <w:bottom w:val="nil"/>
              <w:right w:val="nil"/>
            </w:tcBorders>
            <w:shd w:val="clear" w:color="auto" w:fill="auto"/>
            <w:vAlign w:val="bottom"/>
            <w:hideMark/>
          </w:tcPr>
          <w:p w14:paraId="767A6574" w14:textId="77777777" w:rsidR="00115843" w:rsidRPr="00DF75A0" w:rsidRDefault="00115843" w:rsidP="00FB0D02">
            <w:pPr>
              <w:spacing w:after="0" w:line="240" w:lineRule="auto"/>
              <w:jc w:val="right"/>
              <w:rPr>
                <w:rFonts w:ascii="Times New Roman" w:hAnsi="Times New Roman"/>
              </w:rPr>
            </w:pPr>
          </w:p>
        </w:tc>
        <w:tc>
          <w:tcPr>
            <w:tcW w:w="548" w:type="pct"/>
            <w:tcBorders>
              <w:top w:val="single" w:sz="4" w:space="0" w:color="auto"/>
              <w:left w:val="nil"/>
              <w:bottom w:val="nil"/>
              <w:right w:val="nil"/>
            </w:tcBorders>
            <w:shd w:val="clear" w:color="auto" w:fill="auto"/>
            <w:vAlign w:val="bottom"/>
            <w:hideMark/>
          </w:tcPr>
          <w:p w14:paraId="5093070E" w14:textId="77777777" w:rsidR="00115843" w:rsidRPr="00DF75A0" w:rsidRDefault="00115843" w:rsidP="00FB0D02">
            <w:pPr>
              <w:spacing w:after="0" w:line="240" w:lineRule="auto"/>
              <w:jc w:val="right"/>
              <w:rPr>
                <w:rFonts w:ascii="Times New Roman" w:hAnsi="Times New Roman"/>
              </w:rPr>
            </w:pPr>
          </w:p>
        </w:tc>
      </w:tr>
      <w:tr w:rsidR="00115843" w:rsidRPr="00DF75A0" w14:paraId="4400A4D9" w14:textId="77777777" w:rsidTr="00436AC0">
        <w:trPr>
          <w:trHeight w:val="204"/>
        </w:trPr>
        <w:tc>
          <w:tcPr>
            <w:tcW w:w="2114" w:type="pct"/>
            <w:tcBorders>
              <w:top w:val="nil"/>
              <w:left w:val="nil"/>
              <w:bottom w:val="nil"/>
              <w:right w:val="nil"/>
            </w:tcBorders>
            <w:shd w:val="clear" w:color="auto" w:fill="auto"/>
            <w:noWrap/>
            <w:vAlign w:val="bottom"/>
            <w:hideMark/>
          </w:tcPr>
          <w:p w14:paraId="3025BEC5" w14:textId="77777777" w:rsidR="00115843" w:rsidRPr="00DF75A0" w:rsidRDefault="00115843" w:rsidP="00FB0D02">
            <w:pPr>
              <w:spacing w:after="0" w:line="240" w:lineRule="auto"/>
              <w:ind w:firstLineChars="100" w:firstLine="160"/>
              <w:outlineLvl w:val="1"/>
              <w:rPr>
                <w:rFonts w:ascii="Arial" w:hAnsi="Arial" w:cs="Arial"/>
                <w:sz w:val="16"/>
                <w:szCs w:val="16"/>
              </w:rPr>
            </w:pPr>
            <w:r w:rsidRPr="00DF75A0">
              <w:rPr>
                <w:rFonts w:ascii="Arial" w:hAnsi="Arial" w:cs="Arial"/>
                <w:sz w:val="16"/>
                <w:szCs w:val="16"/>
              </w:rPr>
              <w:t>Program 1.1: Infrastructure Investment</w:t>
            </w:r>
          </w:p>
        </w:tc>
        <w:tc>
          <w:tcPr>
            <w:tcW w:w="694" w:type="pct"/>
            <w:tcBorders>
              <w:top w:val="nil"/>
              <w:left w:val="nil"/>
              <w:bottom w:val="single" w:sz="4" w:space="0" w:color="auto"/>
              <w:right w:val="nil"/>
            </w:tcBorders>
            <w:shd w:val="clear" w:color="auto" w:fill="auto"/>
            <w:noWrap/>
            <w:vAlign w:val="bottom"/>
            <w:hideMark/>
          </w:tcPr>
          <w:p w14:paraId="331464F5" w14:textId="77777777" w:rsidR="00115843" w:rsidRPr="00DF75A0" w:rsidRDefault="00115843" w:rsidP="00FB0D02">
            <w:pPr>
              <w:spacing w:after="0" w:line="240" w:lineRule="auto"/>
              <w:jc w:val="right"/>
              <w:outlineLvl w:val="1"/>
              <w:rPr>
                <w:rFonts w:ascii="Arial" w:hAnsi="Arial" w:cs="Arial"/>
                <w:sz w:val="16"/>
                <w:szCs w:val="16"/>
              </w:rPr>
            </w:pPr>
            <w:r>
              <w:rPr>
                <w:rFonts w:ascii="Arial" w:hAnsi="Arial" w:cs="Arial"/>
                <w:sz w:val="16"/>
                <w:szCs w:val="16"/>
              </w:rPr>
              <w:t>(1,280)</w:t>
            </w:r>
          </w:p>
        </w:tc>
        <w:tc>
          <w:tcPr>
            <w:tcW w:w="548" w:type="pct"/>
            <w:tcBorders>
              <w:top w:val="nil"/>
              <w:left w:val="nil"/>
              <w:bottom w:val="single" w:sz="4" w:space="0" w:color="auto"/>
              <w:right w:val="nil"/>
            </w:tcBorders>
            <w:shd w:val="clear" w:color="auto" w:fill="E6E6E6"/>
            <w:noWrap/>
            <w:vAlign w:val="bottom"/>
            <w:hideMark/>
          </w:tcPr>
          <w:p w14:paraId="3071D93B" w14:textId="77777777" w:rsidR="00115843" w:rsidRPr="00DF75A0" w:rsidRDefault="00115843" w:rsidP="00FB0D02">
            <w:pPr>
              <w:spacing w:after="0" w:line="240" w:lineRule="auto"/>
              <w:jc w:val="right"/>
              <w:outlineLvl w:val="1"/>
              <w:rPr>
                <w:rFonts w:ascii="Arial" w:hAnsi="Arial" w:cs="Arial"/>
                <w:sz w:val="16"/>
                <w:szCs w:val="16"/>
              </w:rPr>
            </w:pPr>
            <w:r>
              <w:rPr>
                <w:rFonts w:ascii="Arial" w:hAnsi="Arial" w:cs="Arial"/>
                <w:sz w:val="16"/>
                <w:szCs w:val="16"/>
              </w:rPr>
              <w:t>-</w:t>
            </w:r>
          </w:p>
        </w:tc>
        <w:tc>
          <w:tcPr>
            <w:tcW w:w="548" w:type="pct"/>
            <w:tcBorders>
              <w:top w:val="nil"/>
              <w:left w:val="nil"/>
              <w:bottom w:val="single" w:sz="4" w:space="0" w:color="auto"/>
              <w:right w:val="nil"/>
            </w:tcBorders>
            <w:shd w:val="clear" w:color="auto" w:fill="auto"/>
            <w:noWrap/>
            <w:vAlign w:val="bottom"/>
            <w:hideMark/>
          </w:tcPr>
          <w:p w14:paraId="1AA77830" w14:textId="77777777" w:rsidR="00115843" w:rsidRPr="00DF75A0" w:rsidRDefault="00115843" w:rsidP="00FB0D02">
            <w:pPr>
              <w:spacing w:after="0" w:line="240" w:lineRule="auto"/>
              <w:jc w:val="right"/>
              <w:outlineLvl w:val="1"/>
              <w:rPr>
                <w:rFonts w:ascii="Arial" w:hAnsi="Arial" w:cs="Arial"/>
                <w:sz w:val="16"/>
                <w:szCs w:val="16"/>
              </w:rPr>
            </w:pPr>
            <w:r>
              <w:rPr>
                <w:rFonts w:ascii="Arial" w:hAnsi="Arial" w:cs="Arial"/>
                <w:sz w:val="16"/>
                <w:szCs w:val="16"/>
              </w:rPr>
              <w:t>1,280</w:t>
            </w:r>
          </w:p>
        </w:tc>
        <w:tc>
          <w:tcPr>
            <w:tcW w:w="548" w:type="pct"/>
            <w:tcBorders>
              <w:top w:val="nil"/>
              <w:left w:val="nil"/>
              <w:bottom w:val="single" w:sz="4" w:space="0" w:color="auto"/>
              <w:right w:val="nil"/>
            </w:tcBorders>
            <w:shd w:val="clear" w:color="auto" w:fill="auto"/>
            <w:noWrap/>
            <w:vAlign w:val="bottom"/>
            <w:hideMark/>
          </w:tcPr>
          <w:p w14:paraId="25BA956B" w14:textId="77777777" w:rsidR="00115843" w:rsidRPr="00DF75A0" w:rsidRDefault="00115843" w:rsidP="00FB0D02">
            <w:pPr>
              <w:spacing w:after="0" w:line="240" w:lineRule="auto"/>
              <w:jc w:val="right"/>
              <w:outlineLvl w:val="1"/>
              <w:rPr>
                <w:rFonts w:ascii="Arial" w:hAnsi="Arial" w:cs="Arial"/>
                <w:sz w:val="16"/>
                <w:szCs w:val="16"/>
              </w:rPr>
            </w:pPr>
            <w:r>
              <w:rPr>
                <w:rFonts w:ascii="Arial" w:hAnsi="Arial" w:cs="Arial"/>
                <w:sz w:val="16"/>
                <w:szCs w:val="16"/>
              </w:rPr>
              <w:t>-</w:t>
            </w:r>
          </w:p>
        </w:tc>
        <w:tc>
          <w:tcPr>
            <w:tcW w:w="548" w:type="pct"/>
            <w:tcBorders>
              <w:top w:val="nil"/>
              <w:left w:val="nil"/>
              <w:bottom w:val="single" w:sz="4" w:space="0" w:color="auto"/>
              <w:right w:val="nil"/>
            </w:tcBorders>
            <w:shd w:val="clear" w:color="auto" w:fill="auto"/>
            <w:noWrap/>
            <w:vAlign w:val="bottom"/>
            <w:hideMark/>
          </w:tcPr>
          <w:p w14:paraId="0202E465" w14:textId="77777777" w:rsidR="00115843" w:rsidRPr="00DF75A0" w:rsidRDefault="00115843" w:rsidP="00FB0D02">
            <w:pPr>
              <w:spacing w:after="0" w:line="240" w:lineRule="auto"/>
              <w:jc w:val="right"/>
              <w:outlineLvl w:val="1"/>
              <w:rPr>
                <w:rFonts w:ascii="Arial" w:hAnsi="Arial" w:cs="Arial"/>
                <w:sz w:val="16"/>
                <w:szCs w:val="16"/>
              </w:rPr>
            </w:pPr>
            <w:r>
              <w:rPr>
                <w:rFonts w:ascii="Arial" w:hAnsi="Arial" w:cs="Arial"/>
                <w:sz w:val="16"/>
                <w:szCs w:val="16"/>
              </w:rPr>
              <w:t>-</w:t>
            </w:r>
          </w:p>
        </w:tc>
      </w:tr>
      <w:tr w:rsidR="00115843" w:rsidRPr="003505C2" w14:paraId="1C4AAEAC" w14:textId="77777777" w:rsidTr="00436AC0">
        <w:trPr>
          <w:trHeight w:val="204"/>
        </w:trPr>
        <w:tc>
          <w:tcPr>
            <w:tcW w:w="2114" w:type="pct"/>
            <w:tcBorders>
              <w:top w:val="nil"/>
              <w:left w:val="nil"/>
              <w:bottom w:val="single" w:sz="4" w:space="0" w:color="auto"/>
              <w:right w:val="nil"/>
            </w:tcBorders>
            <w:shd w:val="clear" w:color="auto" w:fill="auto"/>
            <w:vAlign w:val="bottom"/>
            <w:hideMark/>
          </w:tcPr>
          <w:p w14:paraId="67C0EE7A" w14:textId="77777777" w:rsidR="00115843" w:rsidRPr="000E3967" w:rsidRDefault="00115843" w:rsidP="00FB0D02">
            <w:pPr>
              <w:spacing w:after="0" w:line="240" w:lineRule="auto"/>
              <w:rPr>
                <w:rFonts w:ascii="Arial" w:hAnsi="Arial" w:cs="Arial"/>
                <w:b/>
                <w:bCs/>
                <w:sz w:val="16"/>
                <w:szCs w:val="16"/>
              </w:rPr>
            </w:pPr>
            <w:r w:rsidRPr="000E3967">
              <w:rPr>
                <w:rFonts w:ascii="Arial" w:hAnsi="Arial" w:cs="Arial"/>
                <w:b/>
                <w:bCs/>
                <w:sz w:val="16"/>
                <w:szCs w:val="16"/>
              </w:rPr>
              <w:t>Total movement of administered funds between years</w:t>
            </w:r>
          </w:p>
        </w:tc>
        <w:tc>
          <w:tcPr>
            <w:tcW w:w="694" w:type="pct"/>
            <w:tcBorders>
              <w:top w:val="nil"/>
              <w:left w:val="nil"/>
              <w:bottom w:val="single" w:sz="4" w:space="0" w:color="auto"/>
              <w:right w:val="nil"/>
            </w:tcBorders>
            <w:shd w:val="clear" w:color="auto" w:fill="auto"/>
            <w:noWrap/>
            <w:vAlign w:val="bottom"/>
            <w:hideMark/>
          </w:tcPr>
          <w:p w14:paraId="6F89A066" w14:textId="77777777" w:rsidR="00115843" w:rsidRPr="000E3967" w:rsidRDefault="00115843" w:rsidP="00FB0D02">
            <w:pPr>
              <w:spacing w:after="0" w:line="240" w:lineRule="auto"/>
              <w:jc w:val="right"/>
              <w:rPr>
                <w:rFonts w:ascii="Arial" w:hAnsi="Arial" w:cs="Arial"/>
                <w:b/>
                <w:bCs/>
                <w:sz w:val="16"/>
                <w:szCs w:val="16"/>
              </w:rPr>
            </w:pPr>
            <w:r>
              <w:rPr>
                <w:rFonts w:ascii="Arial" w:hAnsi="Arial" w:cs="Arial"/>
                <w:b/>
                <w:bCs/>
                <w:sz w:val="16"/>
                <w:szCs w:val="16"/>
              </w:rPr>
              <w:t>(1,280)</w:t>
            </w:r>
          </w:p>
        </w:tc>
        <w:tc>
          <w:tcPr>
            <w:tcW w:w="548" w:type="pct"/>
            <w:tcBorders>
              <w:top w:val="nil"/>
              <w:left w:val="nil"/>
              <w:bottom w:val="single" w:sz="4" w:space="0" w:color="auto"/>
              <w:right w:val="nil"/>
            </w:tcBorders>
            <w:shd w:val="clear" w:color="auto" w:fill="E6E6E6"/>
            <w:noWrap/>
            <w:vAlign w:val="bottom"/>
            <w:hideMark/>
          </w:tcPr>
          <w:p w14:paraId="0DDB6058" w14:textId="77777777" w:rsidR="00115843" w:rsidRPr="000E3967" w:rsidRDefault="00115843" w:rsidP="00FB0D02">
            <w:pPr>
              <w:spacing w:after="0" w:line="240" w:lineRule="auto"/>
              <w:jc w:val="right"/>
              <w:rPr>
                <w:rFonts w:ascii="Arial" w:hAnsi="Arial" w:cs="Arial"/>
                <w:b/>
                <w:bCs/>
                <w:sz w:val="16"/>
                <w:szCs w:val="16"/>
              </w:rPr>
            </w:pPr>
            <w:r>
              <w:rPr>
                <w:rFonts w:ascii="Arial" w:hAnsi="Arial" w:cs="Arial"/>
                <w:b/>
                <w:bCs/>
                <w:sz w:val="16"/>
                <w:szCs w:val="16"/>
              </w:rPr>
              <w:t>-</w:t>
            </w:r>
          </w:p>
        </w:tc>
        <w:tc>
          <w:tcPr>
            <w:tcW w:w="548" w:type="pct"/>
            <w:tcBorders>
              <w:top w:val="nil"/>
              <w:left w:val="nil"/>
              <w:bottom w:val="single" w:sz="4" w:space="0" w:color="auto"/>
              <w:right w:val="nil"/>
            </w:tcBorders>
            <w:shd w:val="clear" w:color="auto" w:fill="auto"/>
            <w:noWrap/>
            <w:vAlign w:val="bottom"/>
            <w:hideMark/>
          </w:tcPr>
          <w:p w14:paraId="340BCA0A" w14:textId="77777777" w:rsidR="00115843" w:rsidRPr="000E3967" w:rsidRDefault="00115843" w:rsidP="00FB0D02">
            <w:pPr>
              <w:spacing w:after="0" w:line="240" w:lineRule="auto"/>
              <w:jc w:val="right"/>
              <w:rPr>
                <w:rFonts w:ascii="Arial" w:hAnsi="Arial" w:cs="Arial"/>
                <w:b/>
                <w:bCs/>
                <w:sz w:val="16"/>
                <w:szCs w:val="16"/>
              </w:rPr>
            </w:pPr>
            <w:r>
              <w:rPr>
                <w:rFonts w:ascii="Arial" w:hAnsi="Arial" w:cs="Arial"/>
                <w:b/>
                <w:bCs/>
                <w:sz w:val="16"/>
                <w:szCs w:val="16"/>
              </w:rPr>
              <w:t>1,280</w:t>
            </w:r>
          </w:p>
        </w:tc>
        <w:tc>
          <w:tcPr>
            <w:tcW w:w="548" w:type="pct"/>
            <w:tcBorders>
              <w:top w:val="nil"/>
              <w:left w:val="nil"/>
              <w:bottom w:val="single" w:sz="4" w:space="0" w:color="auto"/>
              <w:right w:val="nil"/>
            </w:tcBorders>
            <w:shd w:val="clear" w:color="auto" w:fill="auto"/>
            <w:noWrap/>
            <w:vAlign w:val="bottom"/>
            <w:hideMark/>
          </w:tcPr>
          <w:p w14:paraId="4352B2B5" w14:textId="77777777" w:rsidR="00115843" w:rsidRPr="000E3967" w:rsidRDefault="00115843" w:rsidP="00FB0D02">
            <w:pPr>
              <w:spacing w:after="0" w:line="240" w:lineRule="auto"/>
              <w:jc w:val="right"/>
              <w:rPr>
                <w:rFonts w:ascii="Arial" w:hAnsi="Arial" w:cs="Arial"/>
                <w:b/>
                <w:bCs/>
                <w:sz w:val="16"/>
                <w:szCs w:val="16"/>
              </w:rPr>
            </w:pPr>
            <w:r>
              <w:rPr>
                <w:rFonts w:ascii="Arial" w:hAnsi="Arial" w:cs="Arial"/>
                <w:b/>
                <w:bCs/>
                <w:sz w:val="16"/>
                <w:szCs w:val="16"/>
              </w:rPr>
              <w:t>-</w:t>
            </w:r>
          </w:p>
        </w:tc>
        <w:tc>
          <w:tcPr>
            <w:tcW w:w="548" w:type="pct"/>
            <w:tcBorders>
              <w:top w:val="nil"/>
              <w:left w:val="nil"/>
              <w:bottom w:val="single" w:sz="4" w:space="0" w:color="auto"/>
              <w:right w:val="nil"/>
            </w:tcBorders>
            <w:shd w:val="clear" w:color="auto" w:fill="auto"/>
            <w:noWrap/>
            <w:vAlign w:val="bottom"/>
            <w:hideMark/>
          </w:tcPr>
          <w:p w14:paraId="569E91C2" w14:textId="77777777" w:rsidR="00115843" w:rsidRPr="000E3967" w:rsidRDefault="00115843" w:rsidP="00FB0D02">
            <w:pPr>
              <w:spacing w:after="0" w:line="240" w:lineRule="auto"/>
              <w:jc w:val="right"/>
              <w:rPr>
                <w:rFonts w:ascii="Arial" w:hAnsi="Arial" w:cs="Arial"/>
                <w:b/>
                <w:bCs/>
                <w:sz w:val="16"/>
                <w:szCs w:val="16"/>
              </w:rPr>
            </w:pPr>
            <w:r>
              <w:rPr>
                <w:rFonts w:ascii="Arial" w:hAnsi="Arial" w:cs="Arial"/>
                <w:b/>
                <w:bCs/>
                <w:sz w:val="16"/>
                <w:szCs w:val="16"/>
              </w:rPr>
              <w:t>-</w:t>
            </w:r>
          </w:p>
        </w:tc>
      </w:tr>
    </w:tbl>
    <w:p w14:paraId="781BC53D" w14:textId="77777777" w:rsidR="00115843" w:rsidRPr="000E3967" w:rsidRDefault="00115843" w:rsidP="00115843">
      <w:pPr>
        <w:spacing w:after="0" w:line="240" w:lineRule="auto"/>
        <w:rPr>
          <w:rFonts w:ascii="Arial" w:hAnsi="Arial" w:cs="Arial"/>
          <w:sz w:val="16"/>
        </w:rPr>
      </w:pPr>
    </w:p>
    <w:tbl>
      <w:tblPr>
        <w:tblW w:w="5194" w:type="dxa"/>
        <w:tblLook w:val="04A0" w:firstRow="1" w:lastRow="0" w:firstColumn="1" w:lastColumn="0" w:noHBand="0" w:noVBand="1"/>
      </w:tblPr>
      <w:tblGrid>
        <w:gridCol w:w="3261"/>
        <w:gridCol w:w="1065"/>
        <w:gridCol w:w="868"/>
      </w:tblGrid>
      <w:tr w:rsidR="00115843" w:rsidRPr="008B7995" w14:paraId="1376B11D" w14:textId="77777777" w:rsidTr="00436AC0">
        <w:trPr>
          <w:trHeight w:val="204"/>
        </w:trPr>
        <w:tc>
          <w:tcPr>
            <w:tcW w:w="3261" w:type="dxa"/>
            <w:tcBorders>
              <w:top w:val="single" w:sz="4" w:space="0" w:color="auto"/>
              <w:left w:val="nil"/>
              <w:bottom w:val="nil"/>
              <w:right w:val="nil"/>
            </w:tcBorders>
            <w:shd w:val="clear" w:color="auto" w:fill="auto"/>
            <w:noWrap/>
            <w:vAlign w:val="bottom"/>
            <w:hideMark/>
          </w:tcPr>
          <w:p w14:paraId="5C6A9D4F" w14:textId="77777777" w:rsidR="00115843" w:rsidRPr="008B7995" w:rsidRDefault="00115843" w:rsidP="00FB0D02">
            <w:pPr>
              <w:spacing w:after="0" w:line="240" w:lineRule="auto"/>
              <w:rPr>
                <w:rFonts w:ascii="Arial" w:hAnsi="Arial" w:cs="Arial"/>
                <w:sz w:val="16"/>
                <w:szCs w:val="16"/>
              </w:rPr>
            </w:pPr>
            <w:r w:rsidRPr="008B7995">
              <w:rPr>
                <w:rFonts w:ascii="Arial" w:hAnsi="Arial" w:cs="Arial"/>
                <w:sz w:val="16"/>
                <w:szCs w:val="16"/>
              </w:rPr>
              <w:t> </w:t>
            </w:r>
          </w:p>
        </w:tc>
        <w:tc>
          <w:tcPr>
            <w:tcW w:w="1065" w:type="dxa"/>
            <w:tcBorders>
              <w:top w:val="single" w:sz="4" w:space="0" w:color="auto"/>
              <w:left w:val="nil"/>
              <w:bottom w:val="single" w:sz="4" w:space="0" w:color="auto"/>
              <w:right w:val="nil"/>
            </w:tcBorders>
            <w:shd w:val="clear" w:color="auto" w:fill="auto"/>
            <w:noWrap/>
            <w:vAlign w:val="bottom"/>
            <w:hideMark/>
          </w:tcPr>
          <w:p w14:paraId="0121CC20"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2021-22</w:t>
            </w:r>
          </w:p>
        </w:tc>
        <w:tc>
          <w:tcPr>
            <w:tcW w:w="868" w:type="dxa"/>
            <w:tcBorders>
              <w:top w:val="single" w:sz="4" w:space="0" w:color="auto"/>
              <w:left w:val="nil"/>
              <w:bottom w:val="single" w:sz="4" w:space="0" w:color="auto"/>
              <w:right w:val="nil"/>
            </w:tcBorders>
            <w:shd w:val="clear" w:color="auto" w:fill="E6E6E6"/>
            <w:noWrap/>
            <w:vAlign w:val="bottom"/>
            <w:hideMark/>
          </w:tcPr>
          <w:p w14:paraId="08A094BC"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2022-23</w:t>
            </w:r>
          </w:p>
        </w:tc>
      </w:tr>
      <w:tr w:rsidR="00115843" w:rsidRPr="008B7995" w14:paraId="01EDF417" w14:textId="77777777" w:rsidTr="00436AC0">
        <w:trPr>
          <w:trHeight w:val="204"/>
        </w:trPr>
        <w:tc>
          <w:tcPr>
            <w:tcW w:w="3261" w:type="dxa"/>
            <w:tcBorders>
              <w:top w:val="nil"/>
              <w:left w:val="nil"/>
              <w:bottom w:val="single" w:sz="4" w:space="0" w:color="auto"/>
              <w:right w:val="nil"/>
            </w:tcBorders>
            <w:shd w:val="clear" w:color="auto" w:fill="auto"/>
            <w:noWrap/>
            <w:vAlign w:val="bottom"/>
            <w:hideMark/>
          </w:tcPr>
          <w:p w14:paraId="4B756915" w14:textId="77777777" w:rsidR="00115843" w:rsidRPr="008B7995" w:rsidRDefault="00115843" w:rsidP="00FB0D02">
            <w:pPr>
              <w:spacing w:after="0" w:line="240" w:lineRule="auto"/>
              <w:rPr>
                <w:rFonts w:ascii="Arial" w:hAnsi="Arial" w:cs="Arial"/>
                <w:b/>
                <w:bCs/>
                <w:sz w:val="16"/>
                <w:szCs w:val="16"/>
              </w:rPr>
            </w:pPr>
            <w:r w:rsidRPr="008B7995">
              <w:rPr>
                <w:rFonts w:ascii="Arial" w:hAnsi="Arial" w:cs="Arial"/>
                <w:b/>
                <w:bCs/>
                <w:sz w:val="16"/>
                <w:szCs w:val="16"/>
              </w:rPr>
              <w:t>Average staffing level (number)</w:t>
            </w:r>
          </w:p>
        </w:tc>
        <w:tc>
          <w:tcPr>
            <w:tcW w:w="1065" w:type="dxa"/>
            <w:tcBorders>
              <w:top w:val="nil"/>
              <w:left w:val="nil"/>
              <w:bottom w:val="single" w:sz="4" w:space="0" w:color="auto"/>
              <w:right w:val="nil"/>
            </w:tcBorders>
            <w:shd w:val="clear" w:color="auto" w:fill="auto"/>
            <w:noWrap/>
            <w:vAlign w:val="bottom"/>
            <w:hideMark/>
          </w:tcPr>
          <w:p w14:paraId="724D2E05"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317</w:t>
            </w:r>
          </w:p>
        </w:tc>
        <w:tc>
          <w:tcPr>
            <w:tcW w:w="868" w:type="dxa"/>
            <w:tcBorders>
              <w:top w:val="nil"/>
              <w:left w:val="nil"/>
              <w:bottom w:val="single" w:sz="4" w:space="0" w:color="auto"/>
              <w:right w:val="nil"/>
            </w:tcBorders>
            <w:shd w:val="clear" w:color="auto" w:fill="E6E6E6"/>
            <w:noWrap/>
            <w:vAlign w:val="bottom"/>
            <w:hideMark/>
          </w:tcPr>
          <w:p w14:paraId="15EB60D1" w14:textId="77777777" w:rsidR="00115843" w:rsidRPr="008B7995" w:rsidRDefault="00115843" w:rsidP="00FB0D02">
            <w:pPr>
              <w:spacing w:after="0" w:line="240" w:lineRule="auto"/>
              <w:jc w:val="right"/>
              <w:rPr>
                <w:rFonts w:ascii="Arial" w:hAnsi="Arial" w:cs="Arial"/>
                <w:sz w:val="16"/>
                <w:szCs w:val="16"/>
              </w:rPr>
            </w:pPr>
            <w:r w:rsidRPr="008B7995">
              <w:rPr>
                <w:rFonts w:ascii="Arial" w:hAnsi="Arial" w:cs="Arial"/>
                <w:sz w:val="16"/>
                <w:szCs w:val="16"/>
              </w:rPr>
              <w:t>314</w:t>
            </w:r>
          </w:p>
        </w:tc>
      </w:tr>
    </w:tbl>
    <w:p w14:paraId="20B9D8BF" w14:textId="77777777" w:rsidR="00115843" w:rsidRPr="008B7995" w:rsidRDefault="00115843" w:rsidP="008452B1">
      <w:pPr>
        <w:pStyle w:val="ListParagraph"/>
        <w:numPr>
          <w:ilvl w:val="4"/>
          <w:numId w:val="275"/>
        </w:numPr>
        <w:spacing w:before="60" w:after="0"/>
        <w:ind w:left="426" w:hanging="426"/>
        <w:rPr>
          <w:rFonts w:ascii="Arial" w:hAnsi="Arial" w:cs="Arial"/>
          <w:sz w:val="16"/>
          <w:szCs w:val="16"/>
        </w:rPr>
      </w:pPr>
      <w:r w:rsidRPr="008B7995">
        <w:rPr>
          <w:rFonts w:ascii="Arial" w:hAnsi="Arial" w:cs="Arial"/>
          <w:sz w:val="16"/>
          <w:szCs w:val="16"/>
        </w:rPr>
        <w:t xml:space="preserve">Relates to appropriation for corporate entities provided through the </w:t>
      </w:r>
      <w:r>
        <w:rPr>
          <w:rFonts w:ascii="Arial" w:hAnsi="Arial" w:cs="Arial"/>
          <w:sz w:val="16"/>
          <w:szCs w:val="16"/>
        </w:rPr>
        <w:t>D</w:t>
      </w:r>
      <w:r w:rsidRPr="008B7995">
        <w:rPr>
          <w:rFonts w:ascii="Arial" w:hAnsi="Arial" w:cs="Arial"/>
          <w:sz w:val="16"/>
          <w:szCs w:val="16"/>
        </w:rPr>
        <w:t>epartment.</w:t>
      </w:r>
    </w:p>
    <w:p w14:paraId="14BCC852" w14:textId="4B9E755F" w:rsidR="00115843" w:rsidRDefault="00115843" w:rsidP="008452B1">
      <w:pPr>
        <w:pStyle w:val="ListParagraph"/>
        <w:numPr>
          <w:ilvl w:val="4"/>
          <w:numId w:val="275"/>
        </w:numPr>
        <w:spacing w:before="60" w:after="0"/>
        <w:ind w:left="426" w:hanging="426"/>
        <w:rPr>
          <w:rFonts w:ascii="Arial" w:hAnsi="Arial" w:cs="Arial"/>
          <w:sz w:val="16"/>
          <w:szCs w:val="16"/>
        </w:rPr>
      </w:pPr>
      <w:r w:rsidRPr="008B7995">
        <w:rPr>
          <w:rFonts w:ascii="Arial" w:hAnsi="Arial" w:cs="Arial"/>
          <w:sz w:val="16"/>
          <w:szCs w:val="16"/>
        </w:rPr>
        <w:t>Administered ‘Expenses not requiring appropriation in the Budget year’ comprises expenses relating to concessional loans, accruals, payments made from prior year appropriations and other non–cash expenses</w:t>
      </w:r>
      <w:r w:rsidR="00D74717">
        <w:rPr>
          <w:rFonts w:ascii="Arial" w:hAnsi="Arial" w:cs="Arial"/>
          <w:sz w:val="16"/>
          <w:szCs w:val="16"/>
        </w:rPr>
        <w:t>.</w:t>
      </w:r>
    </w:p>
    <w:p w14:paraId="295DAD5C" w14:textId="77777777" w:rsidR="00115843" w:rsidRDefault="00115843" w:rsidP="008452B1">
      <w:pPr>
        <w:pStyle w:val="ListParagraph"/>
        <w:numPr>
          <w:ilvl w:val="4"/>
          <w:numId w:val="275"/>
        </w:numPr>
        <w:spacing w:before="60" w:after="0"/>
        <w:ind w:left="426" w:hanging="426"/>
        <w:rPr>
          <w:rFonts w:ascii="Arial" w:hAnsi="Arial" w:cs="Arial"/>
          <w:sz w:val="16"/>
          <w:szCs w:val="16"/>
        </w:rPr>
      </w:pPr>
      <w:r w:rsidRPr="008B7995">
        <w:rPr>
          <w:rFonts w:ascii="Arial" w:hAnsi="Arial" w:cs="Arial"/>
          <w:sz w:val="16"/>
          <w:szCs w:val="16"/>
        </w:rPr>
        <w:lastRenderedPageBreak/>
        <w:t>Estimated expenses incurred in relation to receipts retained under section 74 of the PGPA Act.</w:t>
      </w:r>
    </w:p>
    <w:p w14:paraId="231DDFDA" w14:textId="77777777" w:rsidR="00BF5A1E" w:rsidRDefault="00115843" w:rsidP="008452B1">
      <w:pPr>
        <w:pStyle w:val="ListParagraph"/>
        <w:numPr>
          <w:ilvl w:val="4"/>
          <w:numId w:val="275"/>
        </w:numPr>
        <w:spacing w:before="60" w:after="0"/>
        <w:ind w:left="426" w:hanging="426"/>
        <w:rPr>
          <w:rFonts w:ascii="Arial" w:hAnsi="Arial" w:cs="Arial"/>
          <w:sz w:val="16"/>
          <w:szCs w:val="16"/>
        </w:rPr>
      </w:pPr>
      <w:r w:rsidRPr="008B7995">
        <w:rPr>
          <w:rFonts w:ascii="Arial" w:hAnsi="Arial" w:cs="Arial"/>
          <w:sz w:val="16"/>
          <w:szCs w:val="16"/>
        </w:rPr>
        <w:t>Departmental ‘Expenses not requiring appropriation in the Budget year’ is made up of depreciation and amortisation expenses and expenses that are reduced by associated receipts.</w:t>
      </w:r>
    </w:p>
    <w:p w14:paraId="1ACF2F75" w14:textId="283C0F26" w:rsidR="00115843" w:rsidRPr="00BF5A1E" w:rsidRDefault="00115843" w:rsidP="008452B1">
      <w:pPr>
        <w:pStyle w:val="ListParagraph"/>
        <w:numPr>
          <w:ilvl w:val="4"/>
          <w:numId w:val="275"/>
        </w:numPr>
        <w:spacing w:before="60" w:after="0"/>
        <w:ind w:left="426" w:hanging="426"/>
        <w:rPr>
          <w:rFonts w:ascii="Arial" w:hAnsi="Arial" w:cs="Arial"/>
          <w:sz w:val="16"/>
          <w:szCs w:val="16"/>
        </w:rPr>
      </w:pPr>
      <w:r w:rsidRPr="00BF5A1E">
        <w:rPr>
          <w:rFonts w:ascii="Arial" w:hAnsi="Arial" w:cs="Arial"/>
          <w:sz w:val="16"/>
          <w:szCs w:val="16"/>
        </w:rPr>
        <w:t>Figures displayed as a negative (–) represent a decrease in funds and a positive (+) represent an increase in funds.</w:t>
      </w:r>
    </w:p>
    <w:p w14:paraId="195C6BD4" w14:textId="77777777" w:rsidR="00115843" w:rsidRPr="005378E9" w:rsidRDefault="00115843" w:rsidP="00BF5A1E">
      <w:pPr>
        <w:spacing w:before="60" w:after="0" w:line="240" w:lineRule="auto"/>
        <w:rPr>
          <w:rFonts w:ascii="Arial" w:hAnsi="Arial" w:cs="Arial"/>
          <w:sz w:val="16"/>
          <w:szCs w:val="16"/>
        </w:rPr>
      </w:pPr>
      <w:r w:rsidRPr="005378E9">
        <w:rPr>
          <w:rFonts w:ascii="Arial" w:hAnsi="Arial" w:cs="Arial"/>
          <w:sz w:val="16"/>
          <w:szCs w:val="16"/>
        </w:rPr>
        <w:t>Note: Departmental appropriation splits and totals are indicative estimates and may change in the course of the budget year as government priorities change.</w:t>
      </w:r>
    </w:p>
    <w:p w14:paraId="09A17312" w14:textId="4F25BC01" w:rsidR="00115843" w:rsidRDefault="00115843" w:rsidP="00115843">
      <w:pPr>
        <w:pStyle w:val="TableHeadingcontinued"/>
        <w:spacing w:before="360"/>
      </w:pPr>
      <w:bookmarkStart w:id="14" w:name="_Hlk115445446"/>
      <w:r w:rsidRPr="00AD42E2">
        <w:t>Table 2.</w:t>
      </w:r>
      <w:r>
        <w:t>1</w:t>
      </w:r>
      <w:r w:rsidRPr="00AD42E2">
        <w:t>.</w:t>
      </w:r>
      <w:r>
        <w:t>2</w:t>
      </w:r>
      <w:r w:rsidRPr="00AD42E2">
        <w:t xml:space="preserve">: </w:t>
      </w:r>
      <w:r w:rsidR="005B1890">
        <w:t>Program Components</w:t>
      </w:r>
      <w:r w:rsidRPr="00AD42E2">
        <w:t xml:space="preserve"> for Outcome </w:t>
      </w:r>
      <w:r>
        <w:t>1</w:t>
      </w:r>
    </w:p>
    <w:tbl>
      <w:tblPr>
        <w:tblW w:w="7720" w:type="dxa"/>
        <w:tblLook w:val="04A0" w:firstRow="1" w:lastRow="0" w:firstColumn="1" w:lastColumn="0" w:noHBand="0" w:noVBand="1"/>
      </w:tblPr>
      <w:tblGrid>
        <w:gridCol w:w="2817"/>
        <w:gridCol w:w="998"/>
        <w:gridCol w:w="977"/>
        <w:gridCol w:w="976"/>
        <w:gridCol w:w="976"/>
        <w:gridCol w:w="976"/>
      </w:tblGrid>
      <w:tr w:rsidR="00115843" w:rsidRPr="005A19CC" w14:paraId="41BA902F" w14:textId="77777777" w:rsidTr="00436AC0">
        <w:trPr>
          <w:trHeight w:val="204"/>
        </w:trPr>
        <w:tc>
          <w:tcPr>
            <w:tcW w:w="2817" w:type="dxa"/>
            <w:tcBorders>
              <w:top w:val="single" w:sz="4" w:space="0" w:color="auto"/>
              <w:left w:val="nil"/>
              <w:bottom w:val="single" w:sz="4" w:space="0" w:color="auto"/>
              <w:right w:val="nil"/>
            </w:tcBorders>
            <w:shd w:val="clear" w:color="auto" w:fill="auto"/>
            <w:noWrap/>
            <w:vAlign w:val="bottom"/>
            <w:hideMark/>
          </w:tcPr>
          <w:bookmarkEnd w:id="14"/>
          <w:p w14:paraId="11C81EDB" w14:textId="77777777" w:rsidR="00115843" w:rsidRPr="005A19CC" w:rsidRDefault="00115843" w:rsidP="00FB0D02">
            <w:pPr>
              <w:spacing w:after="0" w:line="240" w:lineRule="auto"/>
              <w:rPr>
                <w:rFonts w:ascii="Arial" w:hAnsi="Arial" w:cs="Arial"/>
                <w:sz w:val="16"/>
                <w:szCs w:val="16"/>
              </w:rPr>
            </w:pPr>
            <w:r w:rsidRPr="005A19CC">
              <w:rPr>
                <w:rFonts w:ascii="Arial" w:hAnsi="Arial" w:cs="Arial"/>
                <w:sz w:val="16"/>
                <w:szCs w:val="16"/>
              </w:rPr>
              <w:t> </w:t>
            </w:r>
          </w:p>
        </w:tc>
        <w:tc>
          <w:tcPr>
            <w:tcW w:w="998" w:type="dxa"/>
            <w:tcBorders>
              <w:top w:val="single" w:sz="4" w:space="0" w:color="auto"/>
              <w:left w:val="nil"/>
              <w:bottom w:val="single" w:sz="4" w:space="0" w:color="auto"/>
              <w:right w:val="nil"/>
            </w:tcBorders>
            <w:shd w:val="clear" w:color="auto" w:fill="auto"/>
            <w:vAlign w:val="bottom"/>
            <w:hideMark/>
          </w:tcPr>
          <w:p w14:paraId="45547C91"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2021-22</w:t>
            </w:r>
            <w:r w:rsidRPr="005A19CC">
              <w:rPr>
                <w:rFonts w:ascii="Arial" w:hAnsi="Arial" w:cs="Arial"/>
                <w:sz w:val="16"/>
                <w:szCs w:val="16"/>
              </w:rPr>
              <w:br/>
              <w:t>Estimated  actual</w:t>
            </w:r>
            <w:r w:rsidRPr="005A19CC">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E6E6E6"/>
            <w:vAlign w:val="bottom"/>
            <w:hideMark/>
          </w:tcPr>
          <w:p w14:paraId="553BABAE"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2022-23</w:t>
            </w:r>
            <w:r w:rsidRPr="005A19CC">
              <w:rPr>
                <w:rFonts w:ascii="Arial" w:hAnsi="Arial" w:cs="Arial"/>
                <w:sz w:val="16"/>
                <w:szCs w:val="16"/>
              </w:rPr>
              <w:br/>
              <w:t xml:space="preserve"> Budget</w:t>
            </w:r>
            <w:r w:rsidRPr="005A19CC">
              <w:rPr>
                <w:rFonts w:ascii="Arial" w:hAnsi="Arial" w:cs="Arial"/>
                <w:sz w:val="16"/>
                <w:szCs w:val="16"/>
              </w:rPr>
              <w:br/>
              <w:t xml:space="preserve">                                      $'000</w:t>
            </w:r>
          </w:p>
        </w:tc>
        <w:tc>
          <w:tcPr>
            <w:tcW w:w="976" w:type="dxa"/>
            <w:tcBorders>
              <w:top w:val="single" w:sz="4" w:space="0" w:color="auto"/>
              <w:left w:val="nil"/>
              <w:bottom w:val="single" w:sz="4" w:space="0" w:color="auto"/>
              <w:right w:val="nil"/>
            </w:tcBorders>
            <w:shd w:val="clear" w:color="auto" w:fill="auto"/>
            <w:vAlign w:val="bottom"/>
            <w:hideMark/>
          </w:tcPr>
          <w:p w14:paraId="6D36065A"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2023-24</w:t>
            </w:r>
            <w:r w:rsidRPr="005A19CC">
              <w:rPr>
                <w:rFonts w:ascii="Arial" w:hAnsi="Arial" w:cs="Arial"/>
                <w:sz w:val="16"/>
                <w:szCs w:val="16"/>
              </w:rPr>
              <w:br/>
              <w:t>Forward estimate</w:t>
            </w:r>
            <w:r w:rsidRPr="005A19CC">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auto" w:fill="auto"/>
            <w:vAlign w:val="bottom"/>
            <w:hideMark/>
          </w:tcPr>
          <w:p w14:paraId="4C9EAA39"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2024-25</w:t>
            </w:r>
            <w:r w:rsidRPr="005A19CC">
              <w:rPr>
                <w:rFonts w:ascii="Arial" w:hAnsi="Arial" w:cs="Arial"/>
                <w:sz w:val="16"/>
                <w:szCs w:val="16"/>
              </w:rPr>
              <w:br/>
              <w:t>Forward estimate</w:t>
            </w:r>
            <w:r w:rsidRPr="005A19CC">
              <w:rPr>
                <w:rFonts w:ascii="Arial" w:hAnsi="Arial" w:cs="Arial"/>
                <w:sz w:val="16"/>
                <w:szCs w:val="16"/>
              </w:rPr>
              <w:br/>
              <w:t>$'000</w:t>
            </w:r>
          </w:p>
        </w:tc>
        <w:tc>
          <w:tcPr>
            <w:tcW w:w="976" w:type="dxa"/>
            <w:tcBorders>
              <w:top w:val="single" w:sz="4" w:space="0" w:color="auto"/>
              <w:left w:val="nil"/>
              <w:bottom w:val="single" w:sz="4" w:space="0" w:color="auto"/>
              <w:right w:val="nil"/>
            </w:tcBorders>
            <w:shd w:val="clear" w:color="auto" w:fill="auto"/>
            <w:vAlign w:val="bottom"/>
            <w:hideMark/>
          </w:tcPr>
          <w:p w14:paraId="7DF52C89"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2025-26</w:t>
            </w:r>
            <w:r w:rsidRPr="005A19CC">
              <w:rPr>
                <w:rFonts w:ascii="Arial" w:hAnsi="Arial" w:cs="Arial"/>
                <w:sz w:val="16"/>
                <w:szCs w:val="16"/>
              </w:rPr>
              <w:br/>
              <w:t>Forward estimate</w:t>
            </w:r>
            <w:r w:rsidRPr="005A19CC">
              <w:rPr>
                <w:rFonts w:ascii="Arial" w:hAnsi="Arial" w:cs="Arial"/>
                <w:sz w:val="16"/>
                <w:szCs w:val="16"/>
              </w:rPr>
              <w:br/>
              <w:t>$'000</w:t>
            </w:r>
          </w:p>
        </w:tc>
      </w:tr>
      <w:tr w:rsidR="00115843" w:rsidRPr="005A19CC" w14:paraId="428F4703" w14:textId="77777777" w:rsidTr="00436AC0">
        <w:trPr>
          <w:trHeight w:val="204"/>
        </w:trPr>
        <w:tc>
          <w:tcPr>
            <w:tcW w:w="4792" w:type="dxa"/>
            <w:gridSpan w:val="3"/>
            <w:tcBorders>
              <w:top w:val="single" w:sz="4" w:space="0" w:color="auto"/>
              <w:left w:val="nil"/>
              <w:bottom w:val="single" w:sz="4" w:space="0" w:color="auto"/>
              <w:right w:val="nil"/>
            </w:tcBorders>
            <w:shd w:val="clear" w:color="auto" w:fill="E6E6E6"/>
            <w:noWrap/>
            <w:vAlign w:val="bottom"/>
            <w:hideMark/>
          </w:tcPr>
          <w:p w14:paraId="2D3A4433" w14:textId="77777777" w:rsidR="00115843" w:rsidRPr="005A19CC" w:rsidRDefault="00115843" w:rsidP="00FB0D02">
            <w:pPr>
              <w:spacing w:after="0" w:line="240" w:lineRule="auto"/>
              <w:rPr>
                <w:rFonts w:ascii="Arial" w:hAnsi="Arial" w:cs="Arial"/>
                <w:b/>
                <w:bCs/>
                <w:sz w:val="16"/>
                <w:szCs w:val="16"/>
              </w:rPr>
            </w:pPr>
            <w:r w:rsidRPr="005A19CC">
              <w:rPr>
                <w:rFonts w:ascii="Arial" w:hAnsi="Arial" w:cs="Arial"/>
                <w:b/>
                <w:bCs/>
                <w:sz w:val="16"/>
                <w:szCs w:val="16"/>
              </w:rPr>
              <w:t>Components for Program 1.1: Infrastructure Investment</w:t>
            </w:r>
          </w:p>
        </w:tc>
        <w:tc>
          <w:tcPr>
            <w:tcW w:w="976" w:type="dxa"/>
            <w:tcBorders>
              <w:top w:val="nil"/>
              <w:left w:val="nil"/>
              <w:bottom w:val="single" w:sz="4" w:space="0" w:color="auto"/>
              <w:right w:val="nil"/>
            </w:tcBorders>
            <w:shd w:val="clear" w:color="auto" w:fill="E6E6E6"/>
            <w:noWrap/>
            <w:vAlign w:val="bottom"/>
            <w:hideMark/>
          </w:tcPr>
          <w:p w14:paraId="2F572C4C"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 </w:t>
            </w:r>
          </w:p>
        </w:tc>
        <w:tc>
          <w:tcPr>
            <w:tcW w:w="976" w:type="dxa"/>
            <w:tcBorders>
              <w:top w:val="nil"/>
              <w:left w:val="nil"/>
              <w:bottom w:val="single" w:sz="4" w:space="0" w:color="auto"/>
              <w:right w:val="nil"/>
            </w:tcBorders>
            <w:shd w:val="clear" w:color="auto" w:fill="E6E6E6"/>
            <w:noWrap/>
            <w:vAlign w:val="bottom"/>
            <w:hideMark/>
          </w:tcPr>
          <w:p w14:paraId="3E4B3C4C"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 </w:t>
            </w:r>
          </w:p>
        </w:tc>
        <w:tc>
          <w:tcPr>
            <w:tcW w:w="976" w:type="dxa"/>
            <w:tcBorders>
              <w:top w:val="nil"/>
              <w:left w:val="nil"/>
              <w:bottom w:val="single" w:sz="4" w:space="0" w:color="auto"/>
              <w:right w:val="nil"/>
            </w:tcBorders>
            <w:shd w:val="clear" w:color="auto" w:fill="E6E6E6"/>
            <w:noWrap/>
            <w:vAlign w:val="bottom"/>
            <w:hideMark/>
          </w:tcPr>
          <w:p w14:paraId="6754FD88" w14:textId="77777777" w:rsidR="00115843" w:rsidRPr="005A19CC" w:rsidRDefault="00115843" w:rsidP="00FB0D02">
            <w:pPr>
              <w:spacing w:after="0" w:line="240" w:lineRule="auto"/>
              <w:jc w:val="right"/>
              <w:rPr>
                <w:rFonts w:ascii="Arial" w:hAnsi="Arial" w:cs="Arial"/>
                <w:sz w:val="16"/>
                <w:szCs w:val="16"/>
              </w:rPr>
            </w:pPr>
            <w:r w:rsidRPr="005A19CC">
              <w:rPr>
                <w:rFonts w:ascii="Arial" w:hAnsi="Arial" w:cs="Arial"/>
                <w:sz w:val="16"/>
                <w:szCs w:val="16"/>
              </w:rPr>
              <w:t> </w:t>
            </w:r>
          </w:p>
        </w:tc>
      </w:tr>
      <w:tr w:rsidR="00115843" w:rsidRPr="005A19CC" w14:paraId="3EC703F8" w14:textId="77777777" w:rsidTr="00436AC0">
        <w:trPr>
          <w:trHeight w:val="204"/>
        </w:trPr>
        <w:tc>
          <w:tcPr>
            <w:tcW w:w="2817" w:type="dxa"/>
            <w:tcBorders>
              <w:top w:val="nil"/>
              <w:left w:val="nil"/>
              <w:bottom w:val="nil"/>
              <w:right w:val="nil"/>
            </w:tcBorders>
            <w:shd w:val="clear" w:color="auto" w:fill="auto"/>
            <w:noWrap/>
            <w:vAlign w:val="bottom"/>
            <w:hideMark/>
          </w:tcPr>
          <w:p w14:paraId="0DA41A8E" w14:textId="77777777" w:rsidR="00115843" w:rsidRPr="005A19CC" w:rsidRDefault="00115843" w:rsidP="00FB0D02">
            <w:pPr>
              <w:spacing w:after="0" w:line="240" w:lineRule="auto"/>
              <w:rPr>
                <w:rFonts w:ascii="Arial" w:hAnsi="Arial" w:cs="Arial"/>
                <w:sz w:val="16"/>
                <w:szCs w:val="16"/>
              </w:rPr>
            </w:pPr>
            <w:r w:rsidRPr="005A19CC">
              <w:rPr>
                <w:rFonts w:ascii="Arial" w:hAnsi="Arial" w:cs="Arial"/>
                <w:sz w:val="16"/>
                <w:szCs w:val="16"/>
              </w:rPr>
              <w:t>Administered expenses</w:t>
            </w:r>
          </w:p>
        </w:tc>
        <w:tc>
          <w:tcPr>
            <w:tcW w:w="998" w:type="dxa"/>
            <w:tcBorders>
              <w:top w:val="nil"/>
              <w:left w:val="nil"/>
              <w:bottom w:val="nil"/>
              <w:right w:val="nil"/>
            </w:tcBorders>
            <w:shd w:val="clear" w:color="auto" w:fill="auto"/>
            <w:noWrap/>
            <w:vAlign w:val="bottom"/>
            <w:hideMark/>
          </w:tcPr>
          <w:p w14:paraId="6B9B729B" w14:textId="77777777" w:rsidR="00115843" w:rsidRPr="005A19CC" w:rsidRDefault="00115843" w:rsidP="00FB0D0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458886EA" w14:textId="77777777" w:rsidR="00115843" w:rsidRPr="005A19CC"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21AC9A59" w14:textId="77777777" w:rsidR="00115843" w:rsidRPr="005A19CC"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75AA0BEA" w14:textId="77777777" w:rsidR="00115843" w:rsidRPr="005A19CC" w:rsidRDefault="00115843" w:rsidP="00FB0D02">
            <w:pPr>
              <w:spacing w:after="0" w:line="240" w:lineRule="auto"/>
              <w:jc w:val="right"/>
              <w:rPr>
                <w:rFonts w:ascii="Times New Roman" w:hAnsi="Times New Roman"/>
              </w:rPr>
            </w:pPr>
          </w:p>
        </w:tc>
        <w:tc>
          <w:tcPr>
            <w:tcW w:w="976" w:type="dxa"/>
            <w:tcBorders>
              <w:top w:val="nil"/>
              <w:left w:val="nil"/>
              <w:bottom w:val="nil"/>
              <w:right w:val="nil"/>
            </w:tcBorders>
            <w:shd w:val="clear" w:color="auto" w:fill="auto"/>
            <w:noWrap/>
            <w:vAlign w:val="bottom"/>
            <w:hideMark/>
          </w:tcPr>
          <w:p w14:paraId="17980A12" w14:textId="77777777" w:rsidR="00115843" w:rsidRPr="005A19CC" w:rsidRDefault="00115843" w:rsidP="00FB0D02">
            <w:pPr>
              <w:spacing w:after="0" w:line="240" w:lineRule="auto"/>
              <w:jc w:val="right"/>
              <w:rPr>
                <w:rFonts w:ascii="Times New Roman" w:hAnsi="Times New Roman"/>
              </w:rPr>
            </w:pPr>
          </w:p>
        </w:tc>
      </w:tr>
      <w:tr w:rsidR="00115843" w:rsidRPr="005A19CC" w14:paraId="43124F20" w14:textId="77777777" w:rsidTr="00436AC0">
        <w:trPr>
          <w:trHeight w:val="204"/>
        </w:trPr>
        <w:tc>
          <w:tcPr>
            <w:tcW w:w="2817" w:type="dxa"/>
            <w:tcBorders>
              <w:top w:val="nil"/>
              <w:left w:val="nil"/>
              <w:bottom w:val="nil"/>
              <w:right w:val="nil"/>
            </w:tcBorders>
            <w:shd w:val="clear" w:color="auto" w:fill="auto"/>
            <w:vAlign w:val="bottom"/>
            <w:hideMark/>
          </w:tcPr>
          <w:p w14:paraId="73F01A1B" w14:textId="77777777" w:rsidR="00115843" w:rsidRPr="005A19CC" w:rsidRDefault="00115843" w:rsidP="00FB0D02">
            <w:pPr>
              <w:spacing w:after="0" w:line="240" w:lineRule="auto"/>
              <w:ind w:left="113"/>
              <w:rPr>
                <w:rFonts w:ascii="Arial" w:hAnsi="Arial" w:cs="Arial"/>
                <w:sz w:val="16"/>
                <w:szCs w:val="16"/>
              </w:rPr>
            </w:pPr>
            <w:r w:rsidRPr="005A19CC">
              <w:rPr>
                <w:rFonts w:ascii="Arial" w:hAnsi="Arial" w:cs="Arial"/>
                <w:sz w:val="16"/>
                <w:szCs w:val="16"/>
              </w:rPr>
              <w:t>Building our Future campaign</w:t>
            </w:r>
          </w:p>
        </w:tc>
        <w:tc>
          <w:tcPr>
            <w:tcW w:w="998" w:type="dxa"/>
            <w:tcBorders>
              <w:top w:val="nil"/>
              <w:left w:val="nil"/>
              <w:bottom w:val="nil"/>
              <w:right w:val="nil"/>
            </w:tcBorders>
            <w:shd w:val="clear" w:color="auto" w:fill="auto"/>
            <w:noWrap/>
            <w:vAlign w:val="bottom"/>
            <w:hideMark/>
          </w:tcPr>
          <w:p w14:paraId="5D2675EB"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1,531</w:t>
            </w:r>
          </w:p>
        </w:tc>
        <w:tc>
          <w:tcPr>
            <w:tcW w:w="977" w:type="dxa"/>
            <w:tcBorders>
              <w:top w:val="nil"/>
              <w:left w:val="nil"/>
              <w:bottom w:val="nil"/>
              <w:right w:val="nil"/>
            </w:tcBorders>
            <w:shd w:val="clear" w:color="auto" w:fill="E6E6E6"/>
            <w:noWrap/>
            <w:vAlign w:val="bottom"/>
            <w:hideMark/>
          </w:tcPr>
          <w:p w14:paraId="278698CE"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71A0E7E8"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44ED9DA7"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6AC5D892"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r>
      <w:tr w:rsidR="00115843" w:rsidRPr="005A19CC" w14:paraId="7BB770DF" w14:textId="77777777" w:rsidTr="00436AC0">
        <w:trPr>
          <w:trHeight w:val="204"/>
        </w:trPr>
        <w:tc>
          <w:tcPr>
            <w:tcW w:w="2817" w:type="dxa"/>
            <w:tcBorders>
              <w:top w:val="nil"/>
              <w:left w:val="nil"/>
              <w:bottom w:val="nil"/>
              <w:right w:val="nil"/>
            </w:tcBorders>
            <w:shd w:val="clear" w:color="auto" w:fill="auto"/>
            <w:vAlign w:val="bottom"/>
          </w:tcPr>
          <w:p w14:paraId="307262A8" w14:textId="77777777" w:rsidR="00115843" w:rsidRPr="005A19CC" w:rsidRDefault="00115843" w:rsidP="00FB0D02">
            <w:pPr>
              <w:spacing w:after="0" w:line="240" w:lineRule="auto"/>
              <w:ind w:left="113"/>
              <w:rPr>
                <w:rFonts w:ascii="Arial" w:hAnsi="Arial" w:cs="Arial"/>
                <w:sz w:val="16"/>
                <w:szCs w:val="16"/>
              </w:rPr>
            </w:pPr>
            <w:r w:rsidRPr="005378E9">
              <w:rPr>
                <w:rFonts w:ascii="Arial" w:hAnsi="Arial" w:cs="Arial"/>
                <w:sz w:val="16"/>
                <w:szCs w:val="16"/>
              </w:rPr>
              <w:t>High Speed Rail Authority - Establishment</w:t>
            </w:r>
          </w:p>
        </w:tc>
        <w:tc>
          <w:tcPr>
            <w:tcW w:w="998" w:type="dxa"/>
            <w:tcBorders>
              <w:top w:val="nil"/>
              <w:left w:val="nil"/>
              <w:bottom w:val="nil"/>
              <w:right w:val="nil"/>
            </w:tcBorders>
            <w:shd w:val="clear" w:color="auto" w:fill="auto"/>
            <w:noWrap/>
            <w:vAlign w:val="bottom"/>
          </w:tcPr>
          <w:p w14:paraId="2F3F8D51"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7" w:type="dxa"/>
            <w:tcBorders>
              <w:top w:val="nil"/>
              <w:left w:val="nil"/>
              <w:bottom w:val="nil"/>
              <w:right w:val="nil"/>
            </w:tcBorders>
            <w:shd w:val="clear" w:color="auto" w:fill="E6E6E6"/>
            <w:noWrap/>
            <w:vAlign w:val="bottom"/>
          </w:tcPr>
          <w:p w14:paraId="341D1E70"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4,447</w:t>
            </w:r>
          </w:p>
        </w:tc>
        <w:tc>
          <w:tcPr>
            <w:tcW w:w="976" w:type="dxa"/>
            <w:tcBorders>
              <w:top w:val="nil"/>
              <w:left w:val="nil"/>
              <w:bottom w:val="nil"/>
              <w:right w:val="nil"/>
            </w:tcBorders>
            <w:shd w:val="clear" w:color="auto" w:fill="auto"/>
            <w:noWrap/>
            <w:vAlign w:val="bottom"/>
          </w:tcPr>
          <w:p w14:paraId="5C258980"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5,431</w:t>
            </w:r>
          </w:p>
        </w:tc>
        <w:tc>
          <w:tcPr>
            <w:tcW w:w="976" w:type="dxa"/>
            <w:tcBorders>
              <w:top w:val="nil"/>
              <w:left w:val="nil"/>
              <w:bottom w:val="nil"/>
              <w:right w:val="nil"/>
            </w:tcBorders>
            <w:shd w:val="clear" w:color="auto" w:fill="auto"/>
            <w:noWrap/>
            <w:vAlign w:val="bottom"/>
          </w:tcPr>
          <w:p w14:paraId="2718D309"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4,059</w:t>
            </w:r>
          </w:p>
        </w:tc>
        <w:tc>
          <w:tcPr>
            <w:tcW w:w="976" w:type="dxa"/>
            <w:tcBorders>
              <w:top w:val="nil"/>
              <w:left w:val="nil"/>
              <w:bottom w:val="nil"/>
              <w:right w:val="nil"/>
            </w:tcBorders>
            <w:shd w:val="clear" w:color="auto" w:fill="auto"/>
            <w:noWrap/>
            <w:vAlign w:val="bottom"/>
          </w:tcPr>
          <w:p w14:paraId="7E64CA72"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4,095</w:t>
            </w:r>
          </w:p>
        </w:tc>
      </w:tr>
      <w:tr w:rsidR="00115843" w:rsidRPr="005A19CC" w14:paraId="1ADEF75A" w14:textId="77777777" w:rsidTr="00436AC0">
        <w:trPr>
          <w:trHeight w:val="204"/>
        </w:trPr>
        <w:tc>
          <w:tcPr>
            <w:tcW w:w="2817" w:type="dxa"/>
            <w:tcBorders>
              <w:top w:val="nil"/>
              <w:left w:val="nil"/>
              <w:bottom w:val="nil"/>
              <w:right w:val="nil"/>
            </w:tcBorders>
            <w:shd w:val="clear" w:color="auto" w:fill="auto"/>
            <w:vAlign w:val="bottom"/>
            <w:hideMark/>
          </w:tcPr>
          <w:p w14:paraId="477205C9" w14:textId="77777777" w:rsidR="00115843" w:rsidRPr="005A19CC" w:rsidRDefault="00115843" w:rsidP="00FB0D02">
            <w:pPr>
              <w:spacing w:after="0" w:line="240" w:lineRule="auto"/>
              <w:ind w:left="113"/>
              <w:rPr>
                <w:rFonts w:ascii="Arial" w:hAnsi="Arial" w:cs="Arial"/>
                <w:sz w:val="16"/>
                <w:szCs w:val="16"/>
              </w:rPr>
            </w:pPr>
            <w:r w:rsidRPr="005A19CC">
              <w:rPr>
                <w:rFonts w:ascii="Arial" w:hAnsi="Arial" w:cs="Arial"/>
                <w:sz w:val="16"/>
                <w:szCs w:val="16"/>
              </w:rPr>
              <w:t>Infrastructure Investment Program</w:t>
            </w:r>
            <w:r>
              <w:rPr>
                <w:rFonts w:ascii="Arial" w:hAnsi="Arial" w:cs="Arial"/>
                <w:sz w:val="16"/>
                <w:szCs w:val="16"/>
              </w:rPr>
              <w:t> </w:t>
            </w:r>
            <w:r w:rsidRPr="005A19CC">
              <w:rPr>
                <w:rFonts w:ascii="Arial" w:hAnsi="Arial" w:cs="Arial"/>
                <w:sz w:val="16"/>
                <w:szCs w:val="16"/>
                <w:vertAlign w:val="superscript"/>
              </w:rPr>
              <w:t>(a)</w:t>
            </w:r>
          </w:p>
        </w:tc>
        <w:tc>
          <w:tcPr>
            <w:tcW w:w="998" w:type="dxa"/>
            <w:tcBorders>
              <w:top w:val="nil"/>
              <w:left w:val="nil"/>
              <w:bottom w:val="nil"/>
              <w:right w:val="nil"/>
            </w:tcBorders>
            <w:shd w:val="clear" w:color="auto" w:fill="auto"/>
            <w:noWrap/>
            <w:vAlign w:val="bottom"/>
            <w:hideMark/>
          </w:tcPr>
          <w:p w14:paraId="7C54C3B6" w14:textId="77777777" w:rsidR="00115843" w:rsidRPr="005378E9" w:rsidRDefault="00115843" w:rsidP="00FB0D02">
            <w:pPr>
              <w:spacing w:after="0" w:line="240" w:lineRule="auto"/>
              <w:ind w:firstLineChars="200" w:firstLine="32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5AE51932" w14:textId="77777777" w:rsidR="00115843" w:rsidRPr="005378E9"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22048B93" w14:textId="77777777" w:rsidR="00115843" w:rsidRPr="005378E9"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236B5C46" w14:textId="77777777" w:rsidR="00115843" w:rsidRPr="005378E9"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68BFA30C" w14:textId="77777777" w:rsidR="00115843" w:rsidRPr="005378E9" w:rsidRDefault="00115843" w:rsidP="00FB0D02">
            <w:pPr>
              <w:spacing w:after="0" w:line="240" w:lineRule="auto"/>
              <w:jc w:val="right"/>
              <w:rPr>
                <w:rFonts w:ascii="Arial" w:hAnsi="Arial" w:cs="Arial"/>
                <w:sz w:val="16"/>
                <w:szCs w:val="16"/>
              </w:rPr>
            </w:pPr>
          </w:p>
        </w:tc>
      </w:tr>
      <w:tr w:rsidR="00115843" w:rsidRPr="005A19CC" w14:paraId="7A9B7C7D" w14:textId="77777777" w:rsidTr="00436AC0">
        <w:trPr>
          <w:trHeight w:val="204"/>
        </w:trPr>
        <w:tc>
          <w:tcPr>
            <w:tcW w:w="2817" w:type="dxa"/>
            <w:tcBorders>
              <w:top w:val="nil"/>
              <w:left w:val="nil"/>
              <w:bottom w:val="nil"/>
              <w:right w:val="nil"/>
            </w:tcBorders>
            <w:shd w:val="clear" w:color="auto" w:fill="auto"/>
            <w:vAlign w:val="bottom"/>
            <w:hideMark/>
          </w:tcPr>
          <w:p w14:paraId="76C3F210" w14:textId="77777777" w:rsidR="00115843" w:rsidRPr="00552136" w:rsidRDefault="00115843" w:rsidP="00115843">
            <w:pPr>
              <w:pStyle w:val="ListParagraph"/>
              <w:numPr>
                <w:ilvl w:val="0"/>
                <w:numId w:val="256"/>
              </w:numPr>
              <w:spacing w:after="0" w:line="240" w:lineRule="auto"/>
              <w:ind w:left="302" w:hanging="189"/>
              <w:rPr>
                <w:rFonts w:ascii="Arial" w:hAnsi="Arial" w:cs="Arial"/>
                <w:sz w:val="16"/>
                <w:szCs w:val="16"/>
              </w:rPr>
            </w:pPr>
            <w:r w:rsidRPr="00552136">
              <w:rPr>
                <w:rFonts w:ascii="Arial" w:hAnsi="Arial" w:cs="Arial"/>
                <w:sz w:val="16"/>
                <w:szCs w:val="16"/>
              </w:rPr>
              <w:t>Investment and Roads to Recovery</w:t>
            </w:r>
          </w:p>
        </w:tc>
        <w:tc>
          <w:tcPr>
            <w:tcW w:w="998" w:type="dxa"/>
            <w:tcBorders>
              <w:top w:val="nil"/>
              <w:left w:val="nil"/>
              <w:bottom w:val="nil"/>
              <w:right w:val="nil"/>
            </w:tcBorders>
            <w:shd w:val="clear" w:color="auto" w:fill="auto"/>
            <w:noWrap/>
            <w:vAlign w:val="bottom"/>
            <w:hideMark/>
          </w:tcPr>
          <w:p w14:paraId="562A3CC2"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401,794</w:t>
            </w:r>
          </w:p>
        </w:tc>
        <w:tc>
          <w:tcPr>
            <w:tcW w:w="977" w:type="dxa"/>
            <w:tcBorders>
              <w:top w:val="nil"/>
              <w:left w:val="nil"/>
              <w:bottom w:val="nil"/>
              <w:right w:val="nil"/>
            </w:tcBorders>
            <w:shd w:val="clear" w:color="auto" w:fill="E6E6E6"/>
            <w:noWrap/>
            <w:vAlign w:val="bottom"/>
            <w:hideMark/>
          </w:tcPr>
          <w:p w14:paraId="2D69BC83"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205,468</w:t>
            </w:r>
          </w:p>
        </w:tc>
        <w:tc>
          <w:tcPr>
            <w:tcW w:w="976" w:type="dxa"/>
            <w:tcBorders>
              <w:top w:val="nil"/>
              <w:left w:val="nil"/>
              <w:bottom w:val="nil"/>
              <w:right w:val="nil"/>
            </w:tcBorders>
            <w:shd w:val="clear" w:color="auto" w:fill="auto"/>
            <w:noWrap/>
            <w:vAlign w:val="bottom"/>
            <w:hideMark/>
          </w:tcPr>
          <w:p w14:paraId="4C71C5DB"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117,553</w:t>
            </w:r>
          </w:p>
        </w:tc>
        <w:tc>
          <w:tcPr>
            <w:tcW w:w="976" w:type="dxa"/>
            <w:tcBorders>
              <w:top w:val="nil"/>
              <w:left w:val="nil"/>
              <w:bottom w:val="nil"/>
              <w:right w:val="nil"/>
            </w:tcBorders>
            <w:shd w:val="clear" w:color="auto" w:fill="auto"/>
            <w:noWrap/>
            <w:vAlign w:val="bottom"/>
            <w:hideMark/>
          </w:tcPr>
          <w:p w14:paraId="43C03B59"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43,999</w:t>
            </w:r>
          </w:p>
        </w:tc>
        <w:tc>
          <w:tcPr>
            <w:tcW w:w="976" w:type="dxa"/>
            <w:tcBorders>
              <w:top w:val="nil"/>
              <w:left w:val="nil"/>
              <w:bottom w:val="nil"/>
              <w:right w:val="nil"/>
            </w:tcBorders>
            <w:shd w:val="clear" w:color="auto" w:fill="auto"/>
            <w:noWrap/>
            <w:vAlign w:val="bottom"/>
            <w:hideMark/>
          </w:tcPr>
          <w:p w14:paraId="40B1A88A"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16,303</w:t>
            </w:r>
          </w:p>
        </w:tc>
      </w:tr>
      <w:tr w:rsidR="00115843" w:rsidRPr="005A19CC" w14:paraId="1C81B9A4" w14:textId="77777777" w:rsidTr="00436AC0">
        <w:trPr>
          <w:trHeight w:val="204"/>
        </w:trPr>
        <w:tc>
          <w:tcPr>
            <w:tcW w:w="2817" w:type="dxa"/>
            <w:tcBorders>
              <w:top w:val="nil"/>
              <w:left w:val="nil"/>
              <w:bottom w:val="nil"/>
              <w:right w:val="nil"/>
            </w:tcBorders>
            <w:shd w:val="clear" w:color="auto" w:fill="auto"/>
            <w:vAlign w:val="bottom"/>
            <w:hideMark/>
          </w:tcPr>
          <w:p w14:paraId="3A03B6C1" w14:textId="77777777" w:rsidR="00115843" w:rsidRPr="005A19CC" w:rsidRDefault="00115843" w:rsidP="00115843">
            <w:pPr>
              <w:pStyle w:val="ListParagraph"/>
              <w:numPr>
                <w:ilvl w:val="0"/>
                <w:numId w:val="256"/>
              </w:numPr>
              <w:spacing w:after="0" w:line="240" w:lineRule="auto"/>
              <w:ind w:left="302" w:hanging="189"/>
              <w:rPr>
                <w:rFonts w:ascii="Arial" w:hAnsi="Arial" w:cs="Arial"/>
                <w:sz w:val="16"/>
                <w:szCs w:val="16"/>
              </w:rPr>
            </w:pPr>
            <w:r w:rsidRPr="005A19CC">
              <w:rPr>
                <w:rFonts w:ascii="Arial" w:hAnsi="Arial" w:cs="Arial"/>
                <w:sz w:val="16"/>
                <w:szCs w:val="16"/>
              </w:rPr>
              <w:t>Roads to Recovery</w:t>
            </w:r>
          </w:p>
        </w:tc>
        <w:tc>
          <w:tcPr>
            <w:tcW w:w="998" w:type="dxa"/>
            <w:tcBorders>
              <w:top w:val="nil"/>
              <w:left w:val="nil"/>
              <w:bottom w:val="nil"/>
              <w:right w:val="nil"/>
            </w:tcBorders>
            <w:shd w:val="clear" w:color="auto" w:fill="auto"/>
            <w:noWrap/>
            <w:vAlign w:val="bottom"/>
            <w:hideMark/>
          </w:tcPr>
          <w:p w14:paraId="3B86E0F5"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501,941</w:t>
            </w:r>
          </w:p>
        </w:tc>
        <w:tc>
          <w:tcPr>
            <w:tcW w:w="977" w:type="dxa"/>
            <w:tcBorders>
              <w:top w:val="nil"/>
              <w:left w:val="nil"/>
              <w:bottom w:val="nil"/>
              <w:right w:val="nil"/>
            </w:tcBorders>
            <w:shd w:val="clear" w:color="auto" w:fill="E6E6E6"/>
            <w:noWrap/>
            <w:vAlign w:val="bottom"/>
            <w:hideMark/>
          </w:tcPr>
          <w:p w14:paraId="4070DE7C"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493,111</w:t>
            </w:r>
          </w:p>
        </w:tc>
        <w:tc>
          <w:tcPr>
            <w:tcW w:w="976" w:type="dxa"/>
            <w:tcBorders>
              <w:top w:val="nil"/>
              <w:left w:val="nil"/>
              <w:bottom w:val="nil"/>
              <w:right w:val="nil"/>
            </w:tcBorders>
            <w:shd w:val="clear" w:color="auto" w:fill="auto"/>
            <w:noWrap/>
            <w:vAlign w:val="bottom"/>
            <w:hideMark/>
          </w:tcPr>
          <w:p w14:paraId="45141FD3"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484,210</w:t>
            </w:r>
          </w:p>
        </w:tc>
        <w:tc>
          <w:tcPr>
            <w:tcW w:w="976" w:type="dxa"/>
            <w:tcBorders>
              <w:top w:val="nil"/>
              <w:left w:val="nil"/>
              <w:bottom w:val="nil"/>
              <w:right w:val="nil"/>
            </w:tcBorders>
            <w:shd w:val="clear" w:color="auto" w:fill="auto"/>
            <w:noWrap/>
            <w:vAlign w:val="bottom"/>
            <w:hideMark/>
          </w:tcPr>
          <w:p w14:paraId="3015C742"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500,000</w:t>
            </w:r>
          </w:p>
        </w:tc>
        <w:tc>
          <w:tcPr>
            <w:tcW w:w="976" w:type="dxa"/>
            <w:tcBorders>
              <w:top w:val="nil"/>
              <w:left w:val="nil"/>
              <w:bottom w:val="nil"/>
              <w:right w:val="nil"/>
            </w:tcBorders>
            <w:shd w:val="clear" w:color="auto" w:fill="auto"/>
            <w:noWrap/>
            <w:vAlign w:val="bottom"/>
            <w:hideMark/>
          </w:tcPr>
          <w:p w14:paraId="4E89EE24"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500,000</w:t>
            </w:r>
          </w:p>
        </w:tc>
      </w:tr>
      <w:tr w:rsidR="00115843" w:rsidRPr="005A19CC" w14:paraId="48C417D7" w14:textId="77777777" w:rsidTr="00436AC0">
        <w:trPr>
          <w:trHeight w:val="204"/>
        </w:trPr>
        <w:tc>
          <w:tcPr>
            <w:tcW w:w="2817" w:type="dxa"/>
            <w:tcBorders>
              <w:top w:val="nil"/>
              <w:left w:val="nil"/>
              <w:bottom w:val="nil"/>
              <w:right w:val="nil"/>
            </w:tcBorders>
            <w:shd w:val="clear" w:color="auto" w:fill="auto"/>
            <w:vAlign w:val="bottom"/>
            <w:hideMark/>
          </w:tcPr>
          <w:p w14:paraId="37BB84E5" w14:textId="77777777" w:rsidR="00115843" w:rsidRPr="005A19CC" w:rsidRDefault="00115843" w:rsidP="00FB0D02">
            <w:pPr>
              <w:spacing w:after="0" w:line="240" w:lineRule="auto"/>
              <w:ind w:left="113"/>
              <w:rPr>
                <w:rFonts w:ascii="Arial" w:hAnsi="Arial" w:cs="Arial"/>
                <w:sz w:val="16"/>
                <w:szCs w:val="16"/>
              </w:rPr>
            </w:pPr>
            <w:r w:rsidRPr="005A19CC">
              <w:rPr>
                <w:rFonts w:ascii="Arial" w:hAnsi="Arial" w:cs="Arial"/>
                <w:sz w:val="16"/>
                <w:szCs w:val="16"/>
              </w:rPr>
              <w:t>Regional Australia Level Crossing Program</w:t>
            </w:r>
          </w:p>
        </w:tc>
        <w:tc>
          <w:tcPr>
            <w:tcW w:w="998" w:type="dxa"/>
            <w:tcBorders>
              <w:top w:val="nil"/>
              <w:left w:val="nil"/>
              <w:bottom w:val="nil"/>
              <w:right w:val="nil"/>
            </w:tcBorders>
            <w:shd w:val="clear" w:color="auto" w:fill="auto"/>
            <w:noWrap/>
            <w:vAlign w:val="bottom"/>
            <w:hideMark/>
          </w:tcPr>
          <w:p w14:paraId="2FE62780"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1,200</w:t>
            </w:r>
          </w:p>
        </w:tc>
        <w:tc>
          <w:tcPr>
            <w:tcW w:w="977" w:type="dxa"/>
            <w:tcBorders>
              <w:top w:val="nil"/>
              <w:left w:val="nil"/>
              <w:bottom w:val="nil"/>
              <w:right w:val="nil"/>
            </w:tcBorders>
            <w:shd w:val="clear" w:color="auto" w:fill="E6E6E6"/>
            <w:noWrap/>
            <w:vAlign w:val="bottom"/>
            <w:hideMark/>
          </w:tcPr>
          <w:p w14:paraId="2B8618F7"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5,590</w:t>
            </w:r>
          </w:p>
        </w:tc>
        <w:tc>
          <w:tcPr>
            <w:tcW w:w="976" w:type="dxa"/>
            <w:tcBorders>
              <w:top w:val="nil"/>
              <w:left w:val="nil"/>
              <w:bottom w:val="nil"/>
              <w:right w:val="nil"/>
            </w:tcBorders>
            <w:shd w:val="clear" w:color="auto" w:fill="auto"/>
            <w:noWrap/>
            <w:vAlign w:val="bottom"/>
            <w:hideMark/>
          </w:tcPr>
          <w:p w14:paraId="52788FCD"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5,370</w:t>
            </w:r>
          </w:p>
        </w:tc>
        <w:tc>
          <w:tcPr>
            <w:tcW w:w="976" w:type="dxa"/>
            <w:tcBorders>
              <w:top w:val="nil"/>
              <w:left w:val="nil"/>
              <w:bottom w:val="nil"/>
              <w:right w:val="nil"/>
            </w:tcBorders>
            <w:shd w:val="clear" w:color="auto" w:fill="auto"/>
            <w:noWrap/>
            <w:vAlign w:val="bottom"/>
            <w:hideMark/>
          </w:tcPr>
          <w:p w14:paraId="76317DAA"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1,000</w:t>
            </w:r>
          </w:p>
        </w:tc>
        <w:tc>
          <w:tcPr>
            <w:tcW w:w="976" w:type="dxa"/>
            <w:tcBorders>
              <w:top w:val="nil"/>
              <w:left w:val="nil"/>
              <w:bottom w:val="nil"/>
              <w:right w:val="nil"/>
            </w:tcBorders>
            <w:shd w:val="clear" w:color="auto" w:fill="auto"/>
            <w:noWrap/>
            <w:vAlign w:val="bottom"/>
            <w:hideMark/>
          </w:tcPr>
          <w:p w14:paraId="63AEECEC"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1,500</w:t>
            </w:r>
          </w:p>
        </w:tc>
      </w:tr>
      <w:tr w:rsidR="00115843" w:rsidRPr="005A19CC" w14:paraId="085633FE" w14:textId="77777777" w:rsidTr="00436AC0">
        <w:trPr>
          <w:trHeight w:val="204"/>
        </w:trPr>
        <w:tc>
          <w:tcPr>
            <w:tcW w:w="2817" w:type="dxa"/>
            <w:tcBorders>
              <w:top w:val="nil"/>
              <w:left w:val="nil"/>
              <w:bottom w:val="nil"/>
              <w:right w:val="nil"/>
            </w:tcBorders>
            <w:shd w:val="clear" w:color="auto" w:fill="auto"/>
            <w:vAlign w:val="bottom"/>
            <w:hideMark/>
          </w:tcPr>
          <w:p w14:paraId="25D3617B" w14:textId="77777777" w:rsidR="00115843" w:rsidRPr="005A19CC" w:rsidRDefault="00115843" w:rsidP="00FB0D02">
            <w:pPr>
              <w:spacing w:after="0" w:line="240" w:lineRule="auto"/>
              <w:ind w:left="113"/>
              <w:rPr>
                <w:rFonts w:ascii="Arial" w:hAnsi="Arial" w:cs="Arial"/>
                <w:sz w:val="16"/>
                <w:szCs w:val="16"/>
              </w:rPr>
            </w:pPr>
            <w:r w:rsidRPr="005A19CC">
              <w:rPr>
                <w:rFonts w:ascii="Arial" w:hAnsi="Arial" w:cs="Arial"/>
                <w:sz w:val="16"/>
                <w:szCs w:val="16"/>
              </w:rPr>
              <w:t>Significant Projects Investment Delivery Office Specialised Advice</w:t>
            </w:r>
          </w:p>
        </w:tc>
        <w:tc>
          <w:tcPr>
            <w:tcW w:w="998" w:type="dxa"/>
            <w:tcBorders>
              <w:top w:val="nil"/>
              <w:left w:val="nil"/>
              <w:bottom w:val="nil"/>
              <w:right w:val="nil"/>
            </w:tcBorders>
            <w:shd w:val="clear" w:color="auto" w:fill="auto"/>
            <w:noWrap/>
            <w:vAlign w:val="bottom"/>
            <w:hideMark/>
          </w:tcPr>
          <w:p w14:paraId="394F8560"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7" w:type="dxa"/>
            <w:tcBorders>
              <w:top w:val="nil"/>
              <w:left w:val="nil"/>
              <w:bottom w:val="nil"/>
              <w:right w:val="nil"/>
            </w:tcBorders>
            <w:shd w:val="clear" w:color="auto" w:fill="E6E6E6"/>
            <w:noWrap/>
            <w:vAlign w:val="bottom"/>
            <w:hideMark/>
          </w:tcPr>
          <w:p w14:paraId="3ABC779C"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4,180</w:t>
            </w:r>
          </w:p>
        </w:tc>
        <w:tc>
          <w:tcPr>
            <w:tcW w:w="976" w:type="dxa"/>
            <w:tcBorders>
              <w:top w:val="nil"/>
              <w:left w:val="nil"/>
              <w:bottom w:val="nil"/>
              <w:right w:val="nil"/>
            </w:tcBorders>
            <w:shd w:val="clear" w:color="auto" w:fill="auto"/>
            <w:noWrap/>
            <w:vAlign w:val="bottom"/>
            <w:hideMark/>
          </w:tcPr>
          <w:p w14:paraId="6B457D4D"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63E4E6CF"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5F778C82"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r>
      <w:tr w:rsidR="00115843" w:rsidRPr="005A19CC" w14:paraId="5309CACD" w14:textId="77777777" w:rsidTr="00436AC0">
        <w:trPr>
          <w:trHeight w:val="204"/>
        </w:trPr>
        <w:tc>
          <w:tcPr>
            <w:tcW w:w="2817" w:type="dxa"/>
            <w:tcBorders>
              <w:top w:val="nil"/>
              <w:left w:val="nil"/>
              <w:bottom w:val="nil"/>
              <w:right w:val="nil"/>
            </w:tcBorders>
            <w:shd w:val="clear" w:color="auto" w:fill="auto"/>
            <w:vAlign w:val="bottom"/>
            <w:hideMark/>
          </w:tcPr>
          <w:p w14:paraId="6E1545CD" w14:textId="77777777" w:rsidR="00115843" w:rsidRPr="005A19CC" w:rsidRDefault="00115843" w:rsidP="00FB0D02">
            <w:pPr>
              <w:spacing w:after="0" w:line="240" w:lineRule="auto"/>
              <w:ind w:left="113"/>
              <w:rPr>
                <w:rFonts w:ascii="Arial" w:hAnsi="Arial" w:cs="Arial"/>
                <w:sz w:val="16"/>
                <w:szCs w:val="16"/>
              </w:rPr>
            </w:pPr>
            <w:r w:rsidRPr="005A19CC">
              <w:rPr>
                <w:rFonts w:ascii="Arial" w:hAnsi="Arial" w:cs="Arial"/>
                <w:sz w:val="16"/>
                <w:szCs w:val="16"/>
              </w:rPr>
              <w:t>Supporting National Freight and Supply Chain Priorities – Inland Rail Interface Improvement Program</w:t>
            </w:r>
          </w:p>
        </w:tc>
        <w:tc>
          <w:tcPr>
            <w:tcW w:w="998" w:type="dxa"/>
            <w:tcBorders>
              <w:top w:val="nil"/>
              <w:left w:val="nil"/>
              <w:bottom w:val="nil"/>
              <w:right w:val="nil"/>
            </w:tcBorders>
            <w:shd w:val="clear" w:color="auto" w:fill="auto"/>
            <w:noWrap/>
            <w:vAlign w:val="bottom"/>
            <w:hideMark/>
          </w:tcPr>
          <w:p w14:paraId="4123C1F5"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11,662</w:t>
            </w:r>
          </w:p>
        </w:tc>
        <w:tc>
          <w:tcPr>
            <w:tcW w:w="977" w:type="dxa"/>
            <w:tcBorders>
              <w:top w:val="nil"/>
              <w:left w:val="nil"/>
              <w:bottom w:val="nil"/>
              <w:right w:val="nil"/>
            </w:tcBorders>
            <w:shd w:val="clear" w:color="auto" w:fill="E6E6E6"/>
            <w:noWrap/>
            <w:vAlign w:val="bottom"/>
            <w:hideMark/>
          </w:tcPr>
          <w:p w14:paraId="13D4B0D8"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18,377</w:t>
            </w:r>
          </w:p>
        </w:tc>
        <w:tc>
          <w:tcPr>
            <w:tcW w:w="976" w:type="dxa"/>
            <w:tcBorders>
              <w:top w:val="nil"/>
              <w:left w:val="nil"/>
              <w:bottom w:val="nil"/>
              <w:right w:val="nil"/>
            </w:tcBorders>
            <w:shd w:val="clear" w:color="auto" w:fill="auto"/>
            <w:noWrap/>
            <w:vAlign w:val="bottom"/>
            <w:hideMark/>
          </w:tcPr>
          <w:p w14:paraId="619103F7"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13520F19"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c>
          <w:tcPr>
            <w:tcW w:w="976" w:type="dxa"/>
            <w:tcBorders>
              <w:top w:val="nil"/>
              <w:left w:val="nil"/>
              <w:bottom w:val="nil"/>
              <w:right w:val="nil"/>
            </w:tcBorders>
            <w:shd w:val="clear" w:color="auto" w:fill="auto"/>
            <w:noWrap/>
            <w:vAlign w:val="bottom"/>
            <w:hideMark/>
          </w:tcPr>
          <w:p w14:paraId="4E19E8EE"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w:t>
            </w:r>
          </w:p>
        </w:tc>
      </w:tr>
      <w:tr w:rsidR="00115843" w:rsidRPr="005A19CC" w14:paraId="4E103042" w14:textId="77777777" w:rsidTr="00436AC0">
        <w:trPr>
          <w:trHeight w:val="204"/>
        </w:trPr>
        <w:tc>
          <w:tcPr>
            <w:tcW w:w="2817" w:type="dxa"/>
            <w:tcBorders>
              <w:top w:val="nil"/>
              <w:left w:val="nil"/>
              <w:bottom w:val="nil"/>
              <w:right w:val="nil"/>
            </w:tcBorders>
            <w:shd w:val="clear" w:color="auto" w:fill="auto"/>
            <w:noWrap/>
            <w:vAlign w:val="bottom"/>
            <w:hideMark/>
          </w:tcPr>
          <w:p w14:paraId="39B5FA3B" w14:textId="77777777" w:rsidR="00115843" w:rsidRPr="005A19CC" w:rsidRDefault="00115843" w:rsidP="005B1890">
            <w:pPr>
              <w:spacing w:after="0" w:line="240" w:lineRule="auto"/>
              <w:rPr>
                <w:rFonts w:ascii="Arial" w:hAnsi="Arial" w:cs="Arial"/>
                <w:sz w:val="16"/>
                <w:szCs w:val="16"/>
              </w:rPr>
            </w:pPr>
            <w:r w:rsidRPr="005A19CC">
              <w:rPr>
                <w:rFonts w:ascii="Arial" w:hAnsi="Arial" w:cs="Arial"/>
                <w:sz w:val="16"/>
                <w:szCs w:val="16"/>
              </w:rPr>
              <w:t xml:space="preserve">Payments to corporate entities </w:t>
            </w:r>
            <w:r w:rsidRPr="005A19CC">
              <w:rPr>
                <w:rFonts w:ascii="Arial" w:hAnsi="Arial" w:cs="Arial"/>
                <w:sz w:val="16"/>
                <w:szCs w:val="16"/>
                <w:vertAlign w:val="superscript"/>
              </w:rPr>
              <w:t>(b)</w:t>
            </w:r>
          </w:p>
        </w:tc>
        <w:tc>
          <w:tcPr>
            <w:tcW w:w="998" w:type="dxa"/>
            <w:tcBorders>
              <w:top w:val="nil"/>
              <w:left w:val="nil"/>
              <w:bottom w:val="nil"/>
              <w:right w:val="nil"/>
            </w:tcBorders>
            <w:shd w:val="clear" w:color="auto" w:fill="auto"/>
            <w:noWrap/>
            <w:vAlign w:val="bottom"/>
            <w:hideMark/>
          </w:tcPr>
          <w:p w14:paraId="154D8885" w14:textId="77777777" w:rsidR="00115843" w:rsidRPr="005378E9" w:rsidRDefault="00115843" w:rsidP="00FB0D02">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5A7B1D0C" w14:textId="77777777" w:rsidR="00115843" w:rsidRPr="005378E9"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4016412E" w14:textId="77777777" w:rsidR="00115843" w:rsidRPr="005378E9"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30CF6A2A" w14:textId="77777777" w:rsidR="00115843" w:rsidRPr="005378E9" w:rsidRDefault="00115843" w:rsidP="00FB0D02">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bottom"/>
            <w:hideMark/>
          </w:tcPr>
          <w:p w14:paraId="202888AE" w14:textId="77777777" w:rsidR="00115843" w:rsidRPr="005378E9" w:rsidRDefault="00115843" w:rsidP="00FB0D02">
            <w:pPr>
              <w:spacing w:after="0" w:line="240" w:lineRule="auto"/>
              <w:jc w:val="right"/>
              <w:rPr>
                <w:rFonts w:ascii="Arial" w:hAnsi="Arial" w:cs="Arial"/>
                <w:sz w:val="16"/>
                <w:szCs w:val="16"/>
              </w:rPr>
            </w:pPr>
          </w:p>
        </w:tc>
      </w:tr>
      <w:tr w:rsidR="00115843" w:rsidRPr="005A19CC" w14:paraId="71AEBD56" w14:textId="77777777" w:rsidTr="00436AC0">
        <w:trPr>
          <w:trHeight w:val="204"/>
        </w:trPr>
        <w:tc>
          <w:tcPr>
            <w:tcW w:w="2817" w:type="dxa"/>
            <w:tcBorders>
              <w:top w:val="nil"/>
              <w:left w:val="nil"/>
              <w:bottom w:val="nil"/>
              <w:right w:val="nil"/>
            </w:tcBorders>
            <w:shd w:val="clear" w:color="auto" w:fill="auto"/>
            <w:noWrap/>
            <w:vAlign w:val="bottom"/>
            <w:hideMark/>
          </w:tcPr>
          <w:p w14:paraId="5E1844E4" w14:textId="77777777" w:rsidR="00115843" w:rsidRPr="005A19CC" w:rsidRDefault="00115843" w:rsidP="00115843">
            <w:pPr>
              <w:pStyle w:val="ListParagraph"/>
              <w:numPr>
                <w:ilvl w:val="0"/>
                <w:numId w:val="256"/>
              </w:numPr>
              <w:spacing w:after="0" w:line="240" w:lineRule="auto"/>
              <w:ind w:left="302" w:hanging="189"/>
              <w:rPr>
                <w:rFonts w:ascii="Arial" w:hAnsi="Arial" w:cs="Arial"/>
                <w:sz w:val="16"/>
                <w:szCs w:val="16"/>
              </w:rPr>
            </w:pPr>
            <w:r w:rsidRPr="005A19CC">
              <w:rPr>
                <w:rFonts w:ascii="Arial" w:hAnsi="Arial" w:cs="Arial"/>
                <w:sz w:val="16"/>
                <w:szCs w:val="16"/>
              </w:rPr>
              <w:t>Infrastructure Australia</w:t>
            </w:r>
          </w:p>
        </w:tc>
        <w:tc>
          <w:tcPr>
            <w:tcW w:w="998" w:type="dxa"/>
            <w:tcBorders>
              <w:top w:val="nil"/>
              <w:left w:val="nil"/>
              <w:bottom w:val="nil"/>
              <w:right w:val="nil"/>
            </w:tcBorders>
            <w:shd w:val="clear" w:color="auto" w:fill="auto"/>
            <w:noWrap/>
            <w:vAlign w:val="bottom"/>
            <w:hideMark/>
          </w:tcPr>
          <w:p w14:paraId="6417D4C3"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12,853</w:t>
            </w:r>
          </w:p>
        </w:tc>
        <w:tc>
          <w:tcPr>
            <w:tcW w:w="977" w:type="dxa"/>
            <w:tcBorders>
              <w:top w:val="nil"/>
              <w:left w:val="nil"/>
              <w:bottom w:val="nil"/>
              <w:right w:val="nil"/>
            </w:tcBorders>
            <w:shd w:val="clear" w:color="auto" w:fill="E6E6E6"/>
            <w:noWrap/>
            <w:vAlign w:val="bottom"/>
            <w:hideMark/>
          </w:tcPr>
          <w:p w14:paraId="014A394D"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12,733</w:t>
            </w:r>
          </w:p>
        </w:tc>
        <w:tc>
          <w:tcPr>
            <w:tcW w:w="976" w:type="dxa"/>
            <w:tcBorders>
              <w:top w:val="nil"/>
              <w:left w:val="nil"/>
              <w:bottom w:val="nil"/>
              <w:right w:val="nil"/>
            </w:tcBorders>
            <w:shd w:val="clear" w:color="auto" w:fill="auto"/>
            <w:noWrap/>
            <w:vAlign w:val="bottom"/>
            <w:hideMark/>
          </w:tcPr>
          <w:p w14:paraId="1784E723"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13,110</w:t>
            </w:r>
          </w:p>
        </w:tc>
        <w:tc>
          <w:tcPr>
            <w:tcW w:w="976" w:type="dxa"/>
            <w:tcBorders>
              <w:top w:val="nil"/>
              <w:left w:val="nil"/>
              <w:bottom w:val="nil"/>
              <w:right w:val="nil"/>
            </w:tcBorders>
            <w:shd w:val="clear" w:color="auto" w:fill="auto"/>
            <w:noWrap/>
            <w:vAlign w:val="bottom"/>
            <w:hideMark/>
          </w:tcPr>
          <w:p w14:paraId="60A3EAFA"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13,259</w:t>
            </w:r>
          </w:p>
        </w:tc>
        <w:tc>
          <w:tcPr>
            <w:tcW w:w="976" w:type="dxa"/>
            <w:tcBorders>
              <w:top w:val="nil"/>
              <w:left w:val="nil"/>
              <w:bottom w:val="nil"/>
              <w:right w:val="nil"/>
            </w:tcBorders>
            <w:shd w:val="clear" w:color="auto" w:fill="auto"/>
            <w:noWrap/>
            <w:vAlign w:val="bottom"/>
            <w:hideMark/>
          </w:tcPr>
          <w:p w14:paraId="0B7A662F" w14:textId="77777777" w:rsidR="00115843" w:rsidRPr="005378E9" w:rsidRDefault="00115843" w:rsidP="00FB0D02">
            <w:pPr>
              <w:spacing w:after="0" w:line="240" w:lineRule="auto"/>
              <w:jc w:val="right"/>
              <w:rPr>
                <w:rFonts w:ascii="Arial" w:hAnsi="Arial" w:cs="Arial"/>
                <w:sz w:val="16"/>
                <w:szCs w:val="16"/>
              </w:rPr>
            </w:pPr>
            <w:r w:rsidRPr="005378E9">
              <w:rPr>
                <w:rFonts w:ascii="Arial" w:hAnsi="Arial" w:cs="Arial"/>
                <w:sz w:val="16"/>
                <w:szCs w:val="16"/>
              </w:rPr>
              <w:t>13,368</w:t>
            </w:r>
          </w:p>
        </w:tc>
      </w:tr>
      <w:tr w:rsidR="00115843" w:rsidRPr="005A19CC" w14:paraId="3CDEA6F4" w14:textId="77777777" w:rsidTr="00436AC0">
        <w:trPr>
          <w:trHeight w:val="204"/>
        </w:trPr>
        <w:tc>
          <w:tcPr>
            <w:tcW w:w="2817" w:type="dxa"/>
            <w:tcBorders>
              <w:top w:val="nil"/>
              <w:left w:val="nil"/>
              <w:bottom w:val="single" w:sz="4" w:space="0" w:color="auto"/>
              <w:right w:val="nil"/>
            </w:tcBorders>
            <w:shd w:val="clear" w:color="auto" w:fill="auto"/>
            <w:noWrap/>
            <w:vAlign w:val="bottom"/>
            <w:hideMark/>
          </w:tcPr>
          <w:p w14:paraId="57A28926" w14:textId="77777777" w:rsidR="00115843" w:rsidRPr="005A19CC" w:rsidRDefault="00115843" w:rsidP="00FB0D02">
            <w:pPr>
              <w:spacing w:after="0" w:line="240" w:lineRule="auto"/>
              <w:rPr>
                <w:rFonts w:ascii="Arial" w:hAnsi="Arial" w:cs="Arial"/>
                <w:b/>
                <w:bCs/>
                <w:sz w:val="16"/>
                <w:szCs w:val="16"/>
              </w:rPr>
            </w:pPr>
            <w:r w:rsidRPr="005A19CC">
              <w:rPr>
                <w:rFonts w:ascii="Arial" w:hAnsi="Arial" w:cs="Arial"/>
                <w:b/>
                <w:bCs/>
                <w:sz w:val="16"/>
                <w:szCs w:val="16"/>
              </w:rPr>
              <w:t>Total expenses for Program 1.1</w:t>
            </w:r>
          </w:p>
        </w:tc>
        <w:tc>
          <w:tcPr>
            <w:tcW w:w="998" w:type="dxa"/>
            <w:tcBorders>
              <w:top w:val="single" w:sz="4" w:space="0" w:color="auto"/>
              <w:left w:val="nil"/>
              <w:bottom w:val="single" w:sz="4" w:space="0" w:color="auto"/>
              <w:right w:val="nil"/>
            </w:tcBorders>
            <w:shd w:val="clear" w:color="auto" w:fill="auto"/>
            <w:noWrap/>
            <w:vAlign w:val="bottom"/>
            <w:hideMark/>
          </w:tcPr>
          <w:p w14:paraId="117448DB" w14:textId="77777777" w:rsidR="00115843" w:rsidRPr="005378E9" w:rsidRDefault="00115843" w:rsidP="00FB0D02">
            <w:pPr>
              <w:spacing w:after="0" w:line="240" w:lineRule="auto"/>
              <w:jc w:val="right"/>
              <w:rPr>
                <w:rFonts w:ascii="Arial" w:hAnsi="Arial" w:cs="Arial"/>
                <w:b/>
                <w:bCs/>
                <w:sz w:val="16"/>
                <w:szCs w:val="16"/>
              </w:rPr>
            </w:pPr>
            <w:r w:rsidRPr="005378E9">
              <w:rPr>
                <w:rFonts w:ascii="Arial" w:hAnsi="Arial" w:cs="Arial"/>
                <w:b/>
                <w:bCs/>
                <w:sz w:val="16"/>
                <w:szCs w:val="16"/>
              </w:rPr>
              <w:t>930,981</w:t>
            </w:r>
          </w:p>
        </w:tc>
        <w:tc>
          <w:tcPr>
            <w:tcW w:w="977" w:type="dxa"/>
            <w:tcBorders>
              <w:top w:val="single" w:sz="4" w:space="0" w:color="auto"/>
              <w:left w:val="nil"/>
              <w:bottom w:val="single" w:sz="4" w:space="0" w:color="auto"/>
              <w:right w:val="nil"/>
            </w:tcBorders>
            <w:shd w:val="clear" w:color="auto" w:fill="E6E6E6"/>
            <w:noWrap/>
            <w:vAlign w:val="bottom"/>
            <w:hideMark/>
          </w:tcPr>
          <w:p w14:paraId="351BA910" w14:textId="77777777" w:rsidR="00115843" w:rsidRPr="005378E9" w:rsidRDefault="00115843" w:rsidP="00FB0D02">
            <w:pPr>
              <w:spacing w:after="0" w:line="240" w:lineRule="auto"/>
              <w:jc w:val="right"/>
              <w:rPr>
                <w:rFonts w:ascii="Arial" w:hAnsi="Arial" w:cs="Arial"/>
                <w:b/>
                <w:bCs/>
                <w:sz w:val="16"/>
                <w:szCs w:val="16"/>
              </w:rPr>
            </w:pPr>
            <w:r w:rsidRPr="005378E9">
              <w:rPr>
                <w:rFonts w:ascii="Arial" w:hAnsi="Arial" w:cs="Arial"/>
                <w:b/>
                <w:bCs/>
                <w:sz w:val="16"/>
                <w:szCs w:val="16"/>
              </w:rPr>
              <w:t>743,906</w:t>
            </w:r>
          </w:p>
        </w:tc>
        <w:tc>
          <w:tcPr>
            <w:tcW w:w="976" w:type="dxa"/>
            <w:tcBorders>
              <w:top w:val="single" w:sz="4" w:space="0" w:color="auto"/>
              <w:left w:val="nil"/>
              <w:bottom w:val="single" w:sz="4" w:space="0" w:color="auto"/>
              <w:right w:val="nil"/>
            </w:tcBorders>
            <w:shd w:val="clear" w:color="auto" w:fill="auto"/>
            <w:noWrap/>
            <w:vAlign w:val="bottom"/>
            <w:hideMark/>
          </w:tcPr>
          <w:p w14:paraId="0131AACD" w14:textId="77777777" w:rsidR="00115843" w:rsidRPr="005378E9" w:rsidRDefault="00115843" w:rsidP="00FB0D02">
            <w:pPr>
              <w:spacing w:after="0" w:line="240" w:lineRule="auto"/>
              <w:jc w:val="right"/>
              <w:rPr>
                <w:rFonts w:ascii="Arial" w:hAnsi="Arial" w:cs="Arial"/>
                <w:b/>
                <w:bCs/>
                <w:sz w:val="16"/>
                <w:szCs w:val="16"/>
              </w:rPr>
            </w:pPr>
            <w:r w:rsidRPr="005378E9">
              <w:rPr>
                <w:rFonts w:ascii="Arial" w:hAnsi="Arial" w:cs="Arial"/>
                <w:b/>
                <w:bCs/>
                <w:sz w:val="16"/>
                <w:szCs w:val="16"/>
              </w:rPr>
              <w:t>625,674</w:t>
            </w:r>
          </w:p>
        </w:tc>
        <w:tc>
          <w:tcPr>
            <w:tcW w:w="976" w:type="dxa"/>
            <w:tcBorders>
              <w:top w:val="single" w:sz="4" w:space="0" w:color="auto"/>
              <w:left w:val="nil"/>
              <w:bottom w:val="single" w:sz="4" w:space="0" w:color="auto"/>
              <w:right w:val="nil"/>
            </w:tcBorders>
            <w:shd w:val="clear" w:color="auto" w:fill="auto"/>
            <w:noWrap/>
            <w:vAlign w:val="bottom"/>
            <w:hideMark/>
          </w:tcPr>
          <w:p w14:paraId="697221BC" w14:textId="77777777" w:rsidR="00115843" w:rsidRPr="005378E9" w:rsidRDefault="00115843" w:rsidP="00FB0D02">
            <w:pPr>
              <w:spacing w:after="0" w:line="240" w:lineRule="auto"/>
              <w:jc w:val="right"/>
              <w:rPr>
                <w:rFonts w:ascii="Arial" w:hAnsi="Arial" w:cs="Arial"/>
                <w:b/>
                <w:bCs/>
                <w:sz w:val="16"/>
                <w:szCs w:val="16"/>
              </w:rPr>
            </w:pPr>
            <w:r w:rsidRPr="005378E9">
              <w:rPr>
                <w:rFonts w:ascii="Arial" w:hAnsi="Arial" w:cs="Arial"/>
                <w:b/>
                <w:bCs/>
                <w:sz w:val="16"/>
                <w:szCs w:val="16"/>
              </w:rPr>
              <w:t>562,317</w:t>
            </w:r>
          </w:p>
        </w:tc>
        <w:tc>
          <w:tcPr>
            <w:tcW w:w="976" w:type="dxa"/>
            <w:tcBorders>
              <w:top w:val="single" w:sz="4" w:space="0" w:color="auto"/>
              <w:left w:val="nil"/>
              <w:bottom w:val="single" w:sz="4" w:space="0" w:color="auto"/>
              <w:right w:val="nil"/>
            </w:tcBorders>
            <w:shd w:val="clear" w:color="auto" w:fill="auto"/>
            <w:noWrap/>
            <w:vAlign w:val="bottom"/>
            <w:hideMark/>
          </w:tcPr>
          <w:p w14:paraId="5A850A07" w14:textId="77777777" w:rsidR="00115843" w:rsidRPr="005378E9" w:rsidRDefault="00115843" w:rsidP="00FB0D02">
            <w:pPr>
              <w:spacing w:after="0" w:line="240" w:lineRule="auto"/>
              <w:jc w:val="right"/>
              <w:rPr>
                <w:rFonts w:ascii="Arial" w:hAnsi="Arial" w:cs="Arial"/>
                <w:b/>
                <w:bCs/>
                <w:sz w:val="16"/>
                <w:szCs w:val="16"/>
              </w:rPr>
            </w:pPr>
            <w:r w:rsidRPr="005378E9">
              <w:rPr>
                <w:rFonts w:ascii="Arial" w:hAnsi="Arial" w:cs="Arial"/>
                <w:b/>
                <w:bCs/>
                <w:sz w:val="16"/>
                <w:szCs w:val="16"/>
              </w:rPr>
              <w:t>535,266</w:t>
            </w:r>
          </w:p>
        </w:tc>
      </w:tr>
    </w:tbl>
    <w:p w14:paraId="44B7B482" w14:textId="77777777" w:rsidR="00115843" w:rsidRPr="00950281" w:rsidRDefault="00115843" w:rsidP="00115843">
      <w:pPr>
        <w:pStyle w:val="ChartandTableFootnoteAlpha"/>
        <w:numPr>
          <w:ilvl w:val="0"/>
          <w:numId w:val="258"/>
        </w:numPr>
        <w:spacing w:before="60"/>
        <w:ind w:left="426" w:hanging="426"/>
        <w:jc w:val="left"/>
      </w:pPr>
      <w:r w:rsidRPr="005A19CC">
        <w:t>Excludes expenses relating to payments made to and through the states and territories by the Treasury for the Infrastructure Investment Program (Black Spots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Urban Congestion Initiative) and Infrastructure Growth Package (New Investments and Western Sydney Infrastructure Plan) administered items.</w:t>
      </w:r>
    </w:p>
    <w:p w14:paraId="5694BF35" w14:textId="77777777" w:rsidR="00115843" w:rsidRPr="00446EE2" w:rsidRDefault="00115843" w:rsidP="00115843">
      <w:pPr>
        <w:pStyle w:val="ChartandTableFootnoteAlpha"/>
        <w:numPr>
          <w:ilvl w:val="0"/>
          <w:numId w:val="258"/>
        </w:numPr>
        <w:spacing w:before="30"/>
        <w:ind w:left="426" w:hanging="426"/>
        <w:jc w:val="left"/>
      </w:pPr>
      <w:r w:rsidRPr="005A19CC">
        <w:t xml:space="preserve">Relates to appropriation for corporate entities provided through the </w:t>
      </w:r>
      <w:r>
        <w:t>D</w:t>
      </w:r>
      <w:r w:rsidRPr="005A19CC">
        <w:t>epartment.</w:t>
      </w:r>
    </w:p>
    <w:p w14:paraId="2378483F" w14:textId="5812D0C9" w:rsidR="00115843" w:rsidRPr="00F71634" w:rsidRDefault="00115843" w:rsidP="00115843">
      <w:pPr>
        <w:pStyle w:val="TableHeading"/>
      </w:pPr>
      <w:r>
        <w:rPr>
          <w:highlight w:val="yellow"/>
        </w:rPr>
        <w:br w:type="page"/>
      </w:r>
      <w:r w:rsidRPr="00F71634">
        <w:lastRenderedPageBreak/>
        <w:t>Table 2.</w:t>
      </w:r>
      <w:r>
        <w:t>1</w:t>
      </w:r>
      <w:r w:rsidRPr="00F71634">
        <w:t xml:space="preserve">.3: Performance </w:t>
      </w:r>
      <w:r>
        <w:t>measure</w:t>
      </w:r>
      <w:r w:rsidRPr="00F71634">
        <w:t xml:space="preserve"> for Outcome </w:t>
      </w:r>
      <w:r>
        <w:t>1</w:t>
      </w:r>
    </w:p>
    <w:p w14:paraId="58785341" w14:textId="77777777" w:rsidR="00115843" w:rsidRPr="005A19CC" w:rsidRDefault="00115843" w:rsidP="00115843">
      <w:pPr>
        <w:spacing w:before="120"/>
      </w:pPr>
      <w:r w:rsidRPr="005A19CC">
        <w:t xml:space="preserve">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68"/>
        <w:gridCol w:w="3670"/>
      </w:tblGrid>
      <w:tr w:rsidR="00115843" w:rsidRPr="005C11A1" w14:paraId="085A38D7" w14:textId="77777777" w:rsidTr="00436AC0">
        <w:trPr>
          <w:trHeight w:val="569"/>
        </w:trPr>
        <w:tc>
          <w:tcPr>
            <w:tcW w:w="5000" w:type="pct"/>
            <w:gridSpan w:val="3"/>
            <w:shd w:val="clear" w:color="auto" w:fill="E6E6E6"/>
          </w:tcPr>
          <w:p w14:paraId="1B1ED190" w14:textId="77777777" w:rsidR="00115843" w:rsidRPr="005C11A1" w:rsidRDefault="00115843" w:rsidP="00FB0D02">
            <w:pPr>
              <w:pStyle w:val="TableColumnHeadingLeft"/>
              <w:rPr>
                <w:rFonts w:cs="Arial"/>
                <w:b w:val="0"/>
              </w:rPr>
            </w:pPr>
            <w:r w:rsidRPr="005C11A1">
              <w:rPr>
                <w:rStyle w:val="TableHeadingChar"/>
                <w:rFonts w:cs="Arial"/>
                <w:b/>
              </w:rPr>
              <w:t xml:space="preserve">Outcome </w:t>
            </w:r>
            <w:r w:rsidRPr="005C11A1">
              <w:rPr>
                <w:rStyle w:val="TableHeadingChar"/>
                <w:rFonts w:cs="Arial"/>
                <w:b/>
                <w:lang w:val="en-GB"/>
              </w:rPr>
              <w:t>1</w:t>
            </w:r>
            <w:r w:rsidRPr="005C11A1">
              <w:rPr>
                <w:rFonts w:cs="Arial"/>
                <w:b w:val="0"/>
              </w:rPr>
              <w:t xml:space="preserve"> – </w:t>
            </w:r>
            <w:r w:rsidRPr="005C11A1">
              <w:rPr>
                <w:rFonts w:eastAsia="Calibri" w:cs="Arial"/>
                <w:b w:val="0"/>
                <w:lang w:eastAsia="en-US"/>
              </w:rPr>
              <w:t>Improved infrastructure across Australia through investment in and coordination of transport and other infrastructure</w:t>
            </w:r>
          </w:p>
        </w:tc>
      </w:tr>
      <w:tr w:rsidR="00115843" w:rsidRPr="001B2F81" w14:paraId="25C4FE7F" w14:textId="77777777" w:rsidTr="00436AC0">
        <w:trPr>
          <w:trHeight w:val="522"/>
        </w:trPr>
        <w:tc>
          <w:tcPr>
            <w:tcW w:w="5000" w:type="pct"/>
            <w:gridSpan w:val="3"/>
            <w:shd w:val="clear" w:color="auto" w:fill="E6E6E6"/>
          </w:tcPr>
          <w:p w14:paraId="08433413" w14:textId="77777777" w:rsidR="00115843" w:rsidRPr="005334F2" w:rsidRDefault="00115843" w:rsidP="00FB0D02">
            <w:pPr>
              <w:pStyle w:val="TableTextLeft"/>
              <w:rPr>
                <w:b/>
              </w:rPr>
            </w:pPr>
            <w:bookmarkStart w:id="15" w:name="Infrastructureinvestment1_1"/>
            <w:r w:rsidRPr="005A19CC">
              <w:rPr>
                <w:b/>
              </w:rPr>
              <w:t>Program 1.1</w:t>
            </w:r>
            <w:r w:rsidRPr="005A19CC">
              <w:t xml:space="preserve"> – </w:t>
            </w:r>
            <w:r w:rsidRPr="005334F2">
              <w:rPr>
                <w:b/>
              </w:rPr>
              <w:t>Infrastructure Investment</w:t>
            </w:r>
            <w:bookmarkEnd w:id="15"/>
          </w:p>
          <w:p w14:paraId="15317793" w14:textId="77777777" w:rsidR="00115843" w:rsidRPr="005134E8" w:rsidRDefault="00115843" w:rsidP="00FB0D02">
            <w:pPr>
              <w:pStyle w:val="TableTextLeft"/>
              <w:rPr>
                <w:highlight w:val="yellow"/>
              </w:rPr>
            </w:pPr>
            <w:r w:rsidRPr="005A19CC">
              <w:t>The infrastructure investment program supports economic growth, makes travel safer, increases transport access and supports regional development. It increases the efficiency, productivity, sustainability and safety of Australia's land transport infrastructure through programs and policy to improve connectivity for communities and freight.</w:t>
            </w:r>
          </w:p>
        </w:tc>
      </w:tr>
      <w:tr w:rsidR="00115843" w:rsidRPr="001B2F81" w14:paraId="73EF51D2" w14:textId="77777777" w:rsidTr="00FB0D02">
        <w:trPr>
          <w:trHeight w:val="523"/>
        </w:trPr>
        <w:tc>
          <w:tcPr>
            <w:tcW w:w="1013" w:type="pct"/>
            <w:tcBorders>
              <w:bottom w:val="double" w:sz="4" w:space="0" w:color="auto"/>
            </w:tcBorders>
          </w:tcPr>
          <w:p w14:paraId="11641B8A"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r>
              <w:rPr>
                <w:rFonts w:ascii="Arial" w:eastAsia="Calibri" w:hAnsi="Arial" w:cs="Arial"/>
                <w:b/>
                <w:sz w:val="16"/>
                <w:szCs w:val="16"/>
              </w:rPr>
              <w:t> </w:t>
            </w:r>
            <w:r w:rsidRPr="008C723A">
              <w:rPr>
                <w:rFonts w:ascii="Arial" w:eastAsia="Calibri" w:hAnsi="Arial" w:cs="Arial"/>
                <w:b/>
                <w:sz w:val="16"/>
                <w:szCs w:val="16"/>
                <w:vertAlign w:val="superscript"/>
              </w:rPr>
              <w:t>(a)</w:t>
            </w:r>
          </w:p>
        </w:tc>
        <w:tc>
          <w:tcPr>
            <w:tcW w:w="3987" w:type="pct"/>
            <w:gridSpan w:val="2"/>
            <w:tcBorders>
              <w:bottom w:val="double" w:sz="4" w:space="0" w:color="auto"/>
            </w:tcBorders>
          </w:tcPr>
          <w:p w14:paraId="488148F6" w14:textId="77777777" w:rsidR="00115843" w:rsidRPr="0040251D" w:rsidRDefault="00115843" w:rsidP="00115843">
            <w:pPr>
              <w:numPr>
                <w:ilvl w:val="0"/>
                <w:numId w:val="13"/>
              </w:numPr>
              <w:spacing w:before="60" w:after="0" w:line="240" w:lineRule="auto"/>
              <w:ind w:left="321"/>
              <w:rPr>
                <w:rFonts w:ascii="Arial" w:eastAsia="Calibri" w:hAnsi="Arial" w:cs="Arial"/>
                <w:sz w:val="16"/>
                <w:szCs w:val="16"/>
              </w:rPr>
            </w:pPr>
            <w:r w:rsidRPr="0040251D">
              <w:rPr>
                <w:rFonts w:ascii="Arial" w:eastAsia="Calibri" w:hAnsi="Arial" w:cs="Arial"/>
                <w:sz w:val="16"/>
                <w:szCs w:val="16"/>
              </w:rPr>
              <w:t>Deliver and manage the Infrastructure Investment Program</w:t>
            </w:r>
          </w:p>
          <w:p w14:paraId="22D8D851" w14:textId="77777777" w:rsidR="00115843" w:rsidRPr="00160C23" w:rsidRDefault="00115843" w:rsidP="00115843">
            <w:pPr>
              <w:numPr>
                <w:ilvl w:val="0"/>
                <w:numId w:val="13"/>
              </w:numPr>
              <w:spacing w:after="60" w:line="240" w:lineRule="auto"/>
              <w:ind w:left="321"/>
              <w:rPr>
                <w:rFonts w:ascii="Arial" w:hAnsi="Arial" w:cs="Arial"/>
                <w:i/>
                <w:sz w:val="16"/>
                <w:szCs w:val="16"/>
              </w:rPr>
            </w:pPr>
            <w:r w:rsidRPr="0040251D">
              <w:rPr>
                <w:rFonts w:ascii="Arial" w:eastAsia="Calibri" w:hAnsi="Arial" w:cs="Arial"/>
                <w:sz w:val="16"/>
                <w:szCs w:val="16"/>
              </w:rPr>
              <w:t>Lead policy (with the Department of Finance) and shape the delivery of major transport infrastructure projects</w:t>
            </w:r>
            <w:r>
              <w:rPr>
                <w:rFonts w:ascii="Arial" w:eastAsia="Calibri" w:hAnsi="Arial" w:cs="Arial"/>
                <w:sz w:val="16"/>
                <w:szCs w:val="16"/>
                <w:vertAlign w:val="superscript"/>
              </w:rPr>
              <w:t xml:space="preserve"> (b)</w:t>
            </w:r>
          </w:p>
        </w:tc>
      </w:tr>
      <w:tr w:rsidR="00115843" w:rsidRPr="001B2F81" w14:paraId="7899E391" w14:textId="77777777" w:rsidTr="00FB0D02">
        <w:trPr>
          <w:trHeight w:val="258"/>
        </w:trPr>
        <w:tc>
          <w:tcPr>
            <w:tcW w:w="1013" w:type="pct"/>
            <w:tcBorders>
              <w:top w:val="double" w:sz="4" w:space="0" w:color="auto"/>
              <w:bottom w:val="single" w:sz="4" w:space="0" w:color="auto"/>
              <w:right w:val="single" w:sz="4" w:space="0" w:color="auto"/>
            </w:tcBorders>
          </w:tcPr>
          <w:p w14:paraId="3F22E08C" w14:textId="77777777" w:rsidR="00115843" w:rsidRPr="00707BCF" w:rsidRDefault="00115843" w:rsidP="00FB0D02">
            <w:pPr>
              <w:pStyle w:val="TableTextBase"/>
              <w:rPr>
                <w:b/>
                <w:sz w:val="16"/>
                <w:szCs w:val="16"/>
              </w:rPr>
            </w:pPr>
            <w:r w:rsidRPr="00707BCF">
              <w:rPr>
                <w:b/>
                <w:sz w:val="16"/>
                <w:szCs w:val="16"/>
              </w:rPr>
              <w:t>Year</w:t>
            </w:r>
          </w:p>
        </w:tc>
        <w:tc>
          <w:tcPr>
            <w:tcW w:w="1603" w:type="pct"/>
            <w:tcBorders>
              <w:top w:val="double" w:sz="4" w:space="0" w:color="auto"/>
              <w:left w:val="single" w:sz="4" w:space="0" w:color="auto"/>
              <w:bottom w:val="single" w:sz="4" w:space="0" w:color="auto"/>
              <w:right w:val="single" w:sz="4" w:space="0" w:color="auto"/>
            </w:tcBorders>
          </w:tcPr>
          <w:p w14:paraId="380D2D0E"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84" w:type="pct"/>
            <w:tcBorders>
              <w:top w:val="double" w:sz="4" w:space="0" w:color="auto"/>
              <w:left w:val="single" w:sz="4" w:space="0" w:color="auto"/>
              <w:bottom w:val="single" w:sz="4" w:space="0" w:color="auto"/>
            </w:tcBorders>
          </w:tcPr>
          <w:p w14:paraId="6C8655E3" w14:textId="77777777" w:rsidR="00115843" w:rsidRPr="00707BCF" w:rsidRDefault="00115843" w:rsidP="00FB0D02">
            <w:pPr>
              <w:pStyle w:val="TableTextBase"/>
              <w:rPr>
                <w:rFonts w:cs="Arial"/>
                <w:b/>
                <w:sz w:val="16"/>
                <w:szCs w:val="16"/>
              </w:rPr>
            </w:pPr>
            <w:r w:rsidRPr="00707BCF">
              <w:rPr>
                <w:rFonts w:cs="Arial"/>
                <w:b/>
                <w:sz w:val="16"/>
                <w:szCs w:val="16"/>
              </w:rPr>
              <w:t>Expected Performance Results</w:t>
            </w:r>
          </w:p>
        </w:tc>
      </w:tr>
      <w:tr w:rsidR="005B1890" w:rsidRPr="001B2F81" w14:paraId="6C0E7BE5" w14:textId="77777777" w:rsidTr="005B1890">
        <w:trPr>
          <w:cantSplit/>
          <w:trHeight w:val="1047"/>
        </w:trPr>
        <w:tc>
          <w:tcPr>
            <w:tcW w:w="1013" w:type="pct"/>
            <w:vMerge w:val="restart"/>
            <w:tcBorders>
              <w:top w:val="single" w:sz="4" w:space="0" w:color="auto"/>
              <w:right w:val="single" w:sz="4" w:space="0" w:color="auto"/>
            </w:tcBorders>
          </w:tcPr>
          <w:p w14:paraId="42BC267D" w14:textId="3B2D0F64" w:rsidR="005B1890" w:rsidRPr="00FD292C" w:rsidRDefault="005B1890" w:rsidP="00FB0D02">
            <w:pPr>
              <w:pStyle w:val="TableTextBase"/>
              <w:rPr>
                <w:sz w:val="16"/>
                <w:szCs w:val="16"/>
              </w:rPr>
            </w:pPr>
            <w:r w:rsidRPr="00FD292C">
              <w:rPr>
                <w:sz w:val="16"/>
                <w:szCs w:val="16"/>
              </w:rPr>
              <w:t xml:space="preserve">Prior year </w:t>
            </w:r>
            <w:r w:rsidRPr="00FD292C">
              <w:rPr>
                <w:sz w:val="16"/>
                <w:szCs w:val="16"/>
              </w:rPr>
              <w:br/>
              <w:t>2021–22</w:t>
            </w:r>
          </w:p>
        </w:tc>
        <w:tc>
          <w:tcPr>
            <w:tcW w:w="1603" w:type="pct"/>
            <w:tcBorders>
              <w:top w:val="single" w:sz="4" w:space="0" w:color="auto"/>
              <w:left w:val="single" w:sz="4" w:space="0" w:color="auto"/>
              <w:bottom w:val="single" w:sz="4" w:space="0" w:color="auto"/>
              <w:right w:val="single" w:sz="4" w:space="0" w:color="auto"/>
            </w:tcBorders>
          </w:tcPr>
          <w:p w14:paraId="471D6A24" w14:textId="77777777" w:rsidR="005B1890" w:rsidRPr="00FD292C" w:rsidRDefault="005B1890" w:rsidP="00FB0D02">
            <w:pPr>
              <w:spacing w:before="60" w:after="60" w:line="240" w:lineRule="auto"/>
              <w:rPr>
                <w:sz w:val="16"/>
                <w:szCs w:val="16"/>
                <w:lang w:val="en-US"/>
              </w:rPr>
            </w:pPr>
            <w:r w:rsidRPr="00FD292C">
              <w:rPr>
                <w:rFonts w:ascii="Arial" w:eastAsia="Calibri" w:hAnsi="Arial" w:cs="Arial"/>
                <w:sz w:val="16"/>
                <w:szCs w:val="16"/>
              </w:rPr>
              <w:t>Progress of land transport infrastructure investment projects up to $250 million</w:t>
            </w:r>
          </w:p>
        </w:tc>
        <w:tc>
          <w:tcPr>
            <w:tcW w:w="2384" w:type="pct"/>
            <w:tcBorders>
              <w:top w:val="single" w:sz="4" w:space="0" w:color="auto"/>
              <w:left w:val="single" w:sz="4" w:space="0" w:color="auto"/>
              <w:bottom w:val="single" w:sz="4" w:space="0" w:color="auto"/>
            </w:tcBorders>
          </w:tcPr>
          <w:p w14:paraId="4E7DD406" w14:textId="72A7CB23"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By June 2022, projects progressed in accordance with agreed timeframes</w:t>
            </w:r>
            <w:r w:rsidR="00436AC0">
              <w:rPr>
                <w:rFonts w:ascii="Arial" w:eastAsia="Calibri" w:hAnsi="Arial" w:cs="Arial"/>
                <w:sz w:val="16"/>
                <w:szCs w:val="16"/>
              </w:rPr>
              <w:t>.</w:t>
            </w:r>
            <w:r w:rsidRPr="00FD292C">
              <w:rPr>
                <w:rFonts w:ascii="Arial" w:eastAsia="Calibri" w:hAnsi="Arial" w:cs="Arial"/>
                <w:sz w:val="16"/>
                <w:szCs w:val="16"/>
              </w:rPr>
              <w:t xml:space="preserve"> </w:t>
            </w:r>
          </w:p>
          <w:p w14:paraId="4C3BC810" w14:textId="77777777"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2C76FE82" w14:textId="0AA9ABCE"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In 2021–22, of major projects up to $250</w:t>
            </w:r>
            <w:r>
              <w:rPr>
                <w:rFonts w:ascii="Arial" w:eastAsia="Calibri" w:hAnsi="Arial" w:cs="Arial"/>
                <w:sz w:val="16"/>
                <w:szCs w:val="16"/>
              </w:rPr>
              <w:t> </w:t>
            </w:r>
            <w:r w:rsidRPr="00FD292C">
              <w:rPr>
                <w:rFonts w:ascii="Arial" w:eastAsia="Calibri" w:hAnsi="Arial" w:cs="Arial"/>
                <w:sz w:val="16"/>
                <w:szCs w:val="16"/>
              </w:rPr>
              <w:t>million, 170 projects were started and 155 were completed</w:t>
            </w:r>
            <w:r>
              <w:rPr>
                <w:rFonts w:ascii="Arial" w:eastAsia="Calibri" w:hAnsi="Arial" w:cs="Arial"/>
                <w:sz w:val="16"/>
                <w:szCs w:val="16"/>
              </w:rPr>
              <w:t>.</w:t>
            </w:r>
          </w:p>
        </w:tc>
      </w:tr>
      <w:tr w:rsidR="005B1890" w:rsidRPr="001B2F81" w14:paraId="7D0D67D2" w14:textId="77777777" w:rsidTr="005B1890">
        <w:trPr>
          <w:cantSplit/>
          <w:trHeight w:val="991"/>
        </w:trPr>
        <w:tc>
          <w:tcPr>
            <w:tcW w:w="1013" w:type="pct"/>
            <w:vMerge/>
            <w:tcBorders>
              <w:right w:val="single" w:sz="4" w:space="0" w:color="auto"/>
            </w:tcBorders>
          </w:tcPr>
          <w:p w14:paraId="02B3E2A7" w14:textId="29E4F73D" w:rsidR="005B1890" w:rsidRPr="00FD292C" w:rsidRDefault="005B1890" w:rsidP="00FB0D02">
            <w:pPr>
              <w:pStyle w:val="TableTextBase"/>
              <w:rPr>
                <w:sz w:val="16"/>
                <w:szCs w:val="16"/>
              </w:rPr>
            </w:pPr>
          </w:p>
        </w:tc>
        <w:tc>
          <w:tcPr>
            <w:tcW w:w="1603" w:type="pct"/>
            <w:tcBorders>
              <w:top w:val="single" w:sz="4" w:space="0" w:color="auto"/>
              <w:left w:val="single" w:sz="4" w:space="0" w:color="auto"/>
              <w:bottom w:val="single" w:sz="4" w:space="0" w:color="auto"/>
              <w:right w:val="single" w:sz="4" w:space="0" w:color="auto"/>
            </w:tcBorders>
          </w:tcPr>
          <w:p w14:paraId="4A0AC7DB" w14:textId="77777777" w:rsidR="005B1890" w:rsidRPr="00FD292C" w:rsidRDefault="005B1890" w:rsidP="00FB0D02">
            <w:pPr>
              <w:spacing w:before="60" w:after="60" w:line="240" w:lineRule="auto"/>
              <w:rPr>
                <w:sz w:val="16"/>
                <w:szCs w:val="16"/>
                <w:lang w:val="en-US"/>
              </w:rPr>
            </w:pPr>
            <w:r w:rsidRPr="00FD292C">
              <w:rPr>
                <w:rFonts w:ascii="Arial" w:eastAsia="Calibri" w:hAnsi="Arial" w:cs="Arial"/>
                <w:sz w:val="16"/>
                <w:szCs w:val="16"/>
              </w:rPr>
              <w:t>Progress of land transport infrastructure investment projects over $250 million</w:t>
            </w:r>
          </w:p>
        </w:tc>
        <w:tc>
          <w:tcPr>
            <w:tcW w:w="2384" w:type="pct"/>
            <w:tcBorders>
              <w:top w:val="single" w:sz="4" w:space="0" w:color="auto"/>
              <w:left w:val="single" w:sz="4" w:space="0" w:color="auto"/>
              <w:bottom w:val="single" w:sz="4" w:space="0" w:color="auto"/>
            </w:tcBorders>
          </w:tcPr>
          <w:p w14:paraId="1AA1F654" w14:textId="407FAE65"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By June 2022, projects progressed in accordance with agreed timeframes</w:t>
            </w:r>
            <w:r w:rsidR="00436AC0">
              <w:rPr>
                <w:rFonts w:ascii="Arial" w:eastAsia="Calibri" w:hAnsi="Arial" w:cs="Arial"/>
                <w:sz w:val="16"/>
                <w:szCs w:val="16"/>
              </w:rPr>
              <w:t>.</w:t>
            </w:r>
            <w:r w:rsidRPr="00FD292C">
              <w:rPr>
                <w:rFonts w:ascii="Arial" w:eastAsia="Calibri" w:hAnsi="Arial" w:cs="Arial"/>
                <w:sz w:val="16"/>
                <w:szCs w:val="16"/>
              </w:rPr>
              <w:t xml:space="preserve"> </w:t>
            </w:r>
          </w:p>
          <w:p w14:paraId="5273AFDC" w14:textId="77777777"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3B2E5F5E" w14:textId="4DCE7A4E"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In 2021–22, of major projects over $250</w:t>
            </w:r>
            <w:r>
              <w:rPr>
                <w:rFonts w:ascii="Arial" w:eastAsia="Calibri" w:hAnsi="Arial" w:cs="Arial"/>
                <w:sz w:val="16"/>
                <w:szCs w:val="16"/>
              </w:rPr>
              <w:t> </w:t>
            </w:r>
            <w:r w:rsidRPr="00FD292C">
              <w:rPr>
                <w:rFonts w:ascii="Arial" w:eastAsia="Calibri" w:hAnsi="Arial" w:cs="Arial"/>
                <w:sz w:val="16"/>
                <w:szCs w:val="16"/>
              </w:rPr>
              <w:t>million, 15 projects were started and 9 projects were completed</w:t>
            </w:r>
            <w:r>
              <w:rPr>
                <w:rFonts w:ascii="Arial" w:eastAsia="Calibri" w:hAnsi="Arial" w:cs="Arial"/>
                <w:sz w:val="16"/>
                <w:szCs w:val="16"/>
              </w:rPr>
              <w:t>.</w:t>
            </w:r>
          </w:p>
        </w:tc>
      </w:tr>
      <w:tr w:rsidR="005B1890" w:rsidRPr="005A19CC" w14:paraId="0E9AB0E0" w14:textId="77777777" w:rsidTr="005B1890">
        <w:trPr>
          <w:cantSplit/>
          <w:trHeight w:val="991"/>
        </w:trPr>
        <w:tc>
          <w:tcPr>
            <w:tcW w:w="1013" w:type="pct"/>
            <w:vMerge/>
            <w:tcBorders>
              <w:right w:val="single" w:sz="4" w:space="0" w:color="auto"/>
            </w:tcBorders>
          </w:tcPr>
          <w:p w14:paraId="0654D8DB" w14:textId="391C368D" w:rsidR="005B1890" w:rsidRPr="00FD292C" w:rsidRDefault="005B1890" w:rsidP="00FB0D02">
            <w:pPr>
              <w:pStyle w:val="TableTextBase"/>
              <w:rPr>
                <w:sz w:val="16"/>
                <w:szCs w:val="16"/>
              </w:rPr>
            </w:pPr>
          </w:p>
        </w:tc>
        <w:tc>
          <w:tcPr>
            <w:tcW w:w="1603" w:type="pct"/>
            <w:tcBorders>
              <w:top w:val="single" w:sz="4" w:space="0" w:color="auto"/>
              <w:left w:val="single" w:sz="4" w:space="0" w:color="auto"/>
              <w:bottom w:val="single" w:sz="4" w:space="0" w:color="auto"/>
              <w:right w:val="single" w:sz="4" w:space="0" w:color="auto"/>
            </w:tcBorders>
          </w:tcPr>
          <w:p w14:paraId="000FFCE4" w14:textId="77777777"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Average time taken to prepare Infrastructure Investment Monthly Program of Works reports </w:t>
            </w:r>
            <w:r w:rsidRPr="00FD292C">
              <w:rPr>
                <w:rFonts w:ascii="Arial" w:eastAsia="Calibri" w:hAnsi="Arial" w:cs="Arial"/>
                <w:sz w:val="16"/>
                <w:szCs w:val="16"/>
                <w:vertAlign w:val="superscript"/>
              </w:rPr>
              <w:t>(c)</w:t>
            </w:r>
          </w:p>
        </w:tc>
        <w:tc>
          <w:tcPr>
            <w:tcW w:w="2384" w:type="pct"/>
            <w:tcBorders>
              <w:top w:val="single" w:sz="4" w:space="0" w:color="auto"/>
              <w:left w:val="single" w:sz="4" w:space="0" w:color="auto"/>
              <w:bottom w:val="single" w:sz="4" w:space="0" w:color="auto"/>
              <w:right w:val="single" w:sz="4" w:space="0" w:color="auto"/>
            </w:tcBorders>
          </w:tcPr>
          <w:p w14:paraId="00655434" w14:textId="766184A5"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At the end of 2021–22, 5% reduction in the average time taken to prepare reports compared to previous year</w:t>
            </w:r>
            <w:r>
              <w:rPr>
                <w:rFonts w:ascii="Arial" w:eastAsia="Calibri" w:hAnsi="Arial" w:cs="Arial"/>
                <w:sz w:val="16"/>
                <w:szCs w:val="16"/>
              </w:rPr>
              <w:t>.</w:t>
            </w:r>
          </w:p>
          <w:p w14:paraId="4A5C0A29" w14:textId="77777777"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47FEA207" w14:textId="0857E521"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While the Department continues to make improvements to its business and reporting processes in advance of delivery of the Reporting and Program Management System, it was not in place in 2021–22</w:t>
            </w:r>
            <w:r>
              <w:rPr>
                <w:rFonts w:ascii="Arial" w:eastAsia="Calibri" w:hAnsi="Arial" w:cs="Arial"/>
                <w:sz w:val="16"/>
                <w:szCs w:val="16"/>
              </w:rPr>
              <w:t>.</w:t>
            </w:r>
          </w:p>
        </w:tc>
      </w:tr>
      <w:tr w:rsidR="005B1890" w:rsidRPr="001B2F81" w14:paraId="5A6211D8" w14:textId="77777777" w:rsidTr="00FB0D02">
        <w:trPr>
          <w:cantSplit/>
          <w:trHeight w:val="991"/>
        </w:trPr>
        <w:tc>
          <w:tcPr>
            <w:tcW w:w="1013" w:type="pct"/>
            <w:vMerge/>
            <w:tcBorders>
              <w:bottom w:val="single" w:sz="4" w:space="0" w:color="auto"/>
              <w:right w:val="single" w:sz="4" w:space="0" w:color="auto"/>
            </w:tcBorders>
          </w:tcPr>
          <w:p w14:paraId="5F803C0B" w14:textId="220EF737" w:rsidR="005B1890" w:rsidRPr="00FD292C" w:rsidRDefault="005B1890" w:rsidP="00FB0D02">
            <w:pPr>
              <w:pStyle w:val="TableTextBase"/>
              <w:rPr>
                <w:sz w:val="16"/>
                <w:szCs w:val="16"/>
              </w:rPr>
            </w:pPr>
          </w:p>
        </w:tc>
        <w:tc>
          <w:tcPr>
            <w:tcW w:w="1603" w:type="pct"/>
            <w:tcBorders>
              <w:top w:val="single" w:sz="4" w:space="0" w:color="auto"/>
              <w:left w:val="single" w:sz="4" w:space="0" w:color="auto"/>
              <w:bottom w:val="single" w:sz="4" w:space="0" w:color="auto"/>
              <w:right w:val="single" w:sz="4" w:space="0" w:color="auto"/>
            </w:tcBorders>
          </w:tcPr>
          <w:p w14:paraId="558C5473" w14:textId="77777777" w:rsidR="005B1890" w:rsidRPr="00FD292C" w:rsidRDefault="005B1890" w:rsidP="00FB0D02">
            <w:pPr>
              <w:pStyle w:val="TableTextBase"/>
              <w:rPr>
                <w:sz w:val="16"/>
                <w:szCs w:val="16"/>
              </w:rPr>
            </w:pPr>
            <w:r w:rsidRPr="00FD292C">
              <w:rPr>
                <w:sz w:val="16"/>
                <w:szCs w:val="16"/>
              </w:rPr>
              <w:t>Implementation of Moorebank Intermodal Terminal</w:t>
            </w:r>
          </w:p>
        </w:tc>
        <w:tc>
          <w:tcPr>
            <w:tcW w:w="2384" w:type="pct"/>
            <w:tcBorders>
              <w:top w:val="single" w:sz="4" w:space="0" w:color="auto"/>
              <w:left w:val="single" w:sz="4" w:space="0" w:color="auto"/>
              <w:bottom w:val="single" w:sz="4" w:space="0" w:color="auto"/>
              <w:right w:val="single" w:sz="4" w:space="0" w:color="auto"/>
            </w:tcBorders>
          </w:tcPr>
          <w:p w14:paraId="0390B38C" w14:textId="20BC53D3"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Delivery milestones are met for 2021</w:t>
            </w:r>
            <w:r>
              <w:rPr>
                <w:rFonts w:ascii="Arial" w:eastAsia="Calibri" w:hAnsi="Arial" w:cs="Arial"/>
                <w:sz w:val="16"/>
                <w:szCs w:val="16"/>
              </w:rPr>
              <w:noBreakHyphen/>
            </w:r>
            <w:r w:rsidRPr="00FD292C">
              <w:rPr>
                <w:rFonts w:ascii="Arial" w:eastAsia="Calibri" w:hAnsi="Arial" w:cs="Arial"/>
                <w:sz w:val="16"/>
                <w:szCs w:val="16"/>
              </w:rPr>
              <w:t>22</w:t>
            </w:r>
            <w:r>
              <w:rPr>
                <w:rFonts w:ascii="Arial" w:eastAsia="Calibri" w:hAnsi="Arial" w:cs="Arial"/>
                <w:sz w:val="16"/>
                <w:szCs w:val="16"/>
              </w:rPr>
              <w:t>.</w:t>
            </w:r>
          </w:p>
          <w:p w14:paraId="6144A752" w14:textId="77777777"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21D3EE1A" w14:textId="5EF495C2" w:rsidR="005B1890" w:rsidRPr="00FD292C" w:rsidRDefault="005B1890"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51% of the precinct is completed</w:t>
            </w:r>
            <w:r>
              <w:rPr>
                <w:rFonts w:ascii="Arial" w:eastAsia="Calibri" w:hAnsi="Arial" w:cs="Arial"/>
                <w:sz w:val="16"/>
                <w:szCs w:val="16"/>
              </w:rPr>
              <w:t>.</w:t>
            </w:r>
          </w:p>
        </w:tc>
      </w:tr>
    </w:tbl>
    <w:p w14:paraId="3CA4A1E8" w14:textId="77777777" w:rsidR="00115843" w:rsidRDefault="00115843" w:rsidP="00115843">
      <w: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754"/>
        <w:gridCol w:w="3577"/>
        <w:gridCol w:w="15"/>
      </w:tblGrid>
      <w:tr w:rsidR="00115843" w:rsidRPr="005B1890" w14:paraId="3C4B8351" w14:textId="77777777" w:rsidTr="00FB0D02">
        <w:trPr>
          <w:gridAfter w:val="1"/>
          <w:wAfter w:w="10" w:type="pct"/>
          <w:trHeight w:val="258"/>
        </w:trPr>
        <w:tc>
          <w:tcPr>
            <w:tcW w:w="882" w:type="pct"/>
            <w:tcBorders>
              <w:top w:val="double" w:sz="4" w:space="0" w:color="auto"/>
              <w:bottom w:val="single" w:sz="4" w:space="0" w:color="auto"/>
              <w:right w:val="single" w:sz="4" w:space="0" w:color="auto"/>
            </w:tcBorders>
          </w:tcPr>
          <w:p w14:paraId="12E41E1F" w14:textId="77777777" w:rsidR="00115843" w:rsidRPr="005B1890" w:rsidRDefault="00115843" w:rsidP="00FB0D02">
            <w:pPr>
              <w:pStyle w:val="TableTextBase"/>
              <w:rPr>
                <w:rFonts w:cs="Arial"/>
                <w:b/>
                <w:sz w:val="16"/>
                <w:szCs w:val="16"/>
              </w:rPr>
            </w:pPr>
            <w:r w:rsidRPr="005B1890">
              <w:rPr>
                <w:rFonts w:cs="Arial"/>
                <w:b/>
                <w:sz w:val="16"/>
                <w:szCs w:val="16"/>
              </w:rPr>
              <w:lastRenderedPageBreak/>
              <w:t>Year</w:t>
            </w:r>
          </w:p>
        </w:tc>
        <w:tc>
          <w:tcPr>
            <w:tcW w:w="1787" w:type="pct"/>
            <w:tcBorders>
              <w:top w:val="double" w:sz="4" w:space="0" w:color="auto"/>
              <w:left w:val="single" w:sz="4" w:space="0" w:color="auto"/>
              <w:bottom w:val="single" w:sz="4" w:space="0" w:color="auto"/>
              <w:right w:val="single" w:sz="4" w:space="0" w:color="auto"/>
            </w:tcBorders>
          </w:tcPr>
          <w:p w14:paraId="546440C2" w14:textId="77777777" w:rsidR="00115843" w:rsidRPr="005B1890" w:rsidRDefault="00115843" w:rsidP="00FB0D02">
            <w:pPr>
              <w:pStyle w:val="TableTextBase"/>
              <w:rPr>
                <w:rFonts w:cs="Arial"/>
                <w:b/>
                <w:sz w:val="16"/>
                <w:szCs w:val="16"/>
              </w:rPr>
            </w:pPr>
            <w:r w:rsidRPr="005B1890">
              <w:rPr>
                <w:rFonts w:cs="Arial"/>
                <w:b/>
                <w:sz w:val="16"/>
                <w:szCs w:val="16"/>
              </w:rPr>
              <w:t>Performance measures</w:t>
            </w:r>
          </w:p>
        </w:tc>
        <w:tc>
          <w:tcPr>
            <w:tcW w:w="2321" w:type="pct"/>
            <w:tcBorders>
              <w:top w:val="double" w:sz="4" w:space="0" w:color="auto"/>
              <w:left w:val="single" w:sz="4" w:space="0" w:color="auto"/>
              <w:bottom w:val="single" w:sz="4" w:space="0" w:color="auto"/>
            </w:tcBorders>
          </w:tcPr>
          <w:p w14:paraId="251546D8" w14:textId="77777777" w:rsidR="00115843" w:rsidRPr="005B1890" w:rsidRDefault="00115843" w:rsidP="00FB0D02">
            <w:pPr>
              <w:pStyle w:val="TableTextBase"/>
              <w:rPr>
                <w:rFonts w:cs="Arial"/>
                <w:b/>
                <w:sz w:val="16"/>
                <w:szCs w:val="16"/>
              </w:rPr>
            </w:pPr>
            <w:r w:rsidRPr="005B1890">
              <w:rPr>
                <w:rFonts w:cs="Arial"/>
                <w:b/>
                <w:sz w:val="16"/>
                <w:szCs w:val="16"/>
              </w:rPr>
              <w:t>Expected Performance Results</w:t>
            </w:r>
          </w:p>
        </w:tc>
      </w:tr>
      <w:tr w:rsidR="00115843" w:rsidRPr="005B1890" w14:paraId="08AB1001" w14:textId="77777777" w:rsidTr="00FB0D02">
        <w:trPr>
          <w:cantSplit/>
          <w:trHeight w:val="1589"/>
        </w:trPr>
        <w:tc>
          <w:tcPr>
            <w:tcW w:w="882" w:type="pct"/>
            <w:tcBorders>
              <w:top w:val="nil"/>
              <w:bottom w:val="nil"/>
              <w:right w:val="single" w:sz="4" w:space="0" w:color="auto"/>
            </w:tcBorders>
          </w:tcPr>
          <w:p w14:paraId="37F992C4" w14:textId="77777777" w:rsidR="00115843" w:rsidRPr="005B1890" w:rsidRDefault="00115843" w:rsidP="00FB0D02">
            <w:pPr>
              <w:pStyle w:val="TableTextBase"/>
              <w:rPr>
                <w:rFonts w:cs="Arial"/>
                <w:sz w:val="16"/>
                <w:szCs w:val="16"/>
              </w:rPr>
            </w:pPr>
            <w:r w:rsidRPr="005B1890">
              <w:rPr>
                <w:rFonts w:cs="Arial"/>
                <w:sz w:val="16"/>
                <w:szCs w:val="16"/>
              </w:rPr>
              <w:t xml:space="preserve">Prior year </w:t>
            </w:r>
            <w:r w:rsidRPr="005B1890">
              <w:rPr>
                <w:rFonts w:cs="Arial"/>
                <w:sz w:val="16"/>
                <w:szCs w:val="16"/>
              </w:rPr>
              <w:br/>
              <w:t>2021–22 cont.</w:t>
            </w:r>
          </w:p>
        </w:tc>
        <w:tc>
          <w:tcPr>
            <w:tcW w:w="1787" w:type="pct"/>
            <w:tcBorders>
              <w:top w:val="single" w:sz="4" w:space="0" w:color="auto"/>
              <w:left w:val="single" w:sz="4" w:space="0" w:color="auto"/>
              <w:bottom w:val="single" w:sz="4" w:space="0" w:color="auto"/>
              <w:right w:val="single" w:sz="4" w:space="0" w:color="auto"/>
            </w:tcBorders>
          </w:tcPr>
          <w:p w14:paraId="7C8048F5" w14:textId="77777777"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Implementation of Intermodal Terminal Business Cases</w:t>
            </w:r>
            <w:r w:rsidRPr="005B1890">
              <w:rPr>
                <w:rFonts w:ascii="Arial" w:hAnsi="Arial" w:cs="Arial"/>
                <w:color w:val="FFFFFF" w:themeColor="background1"/>
                <w:sz w:val="16"/>
                <w:szCs w:val="16"/>
                <w:shd w:val="clear" w:color="auto" w:fill="7030A0"/>
                <w:lang w:val="en-US"/>
              </w:rPr>
              <w:t xml:space="preserve">                                               </w:t>
            </w:r>
          </w:p>
        </w:tc>
        <w:tc>
          <w:tcPr>
            <w:tcW w:w="2331" w:type="pct"/>
            <w:gridSpan w:val="2"/>
            <w:tcBorders>
              <w:top w:val="single" w:sz="4" w:space="0" w:color="auto"/>
              <w:left w:val="single" w:sz="4" w:space="0" w:color="auto"/>
              <w:bottom w:val="single" w:sz="4" w:space="0" w:color="auto"/>
            </w:tcBorders>
          </w:tcPr>
          <w:p w14:paraId="607BE473" w14:textId="77777777"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Target: Delivery milestones are met for 2021</w:t>
            </w:r>
            <w:r w:rsidRPr="005B1890">
              <w:rPr>
                <w:rFonts w:ascii="Arial" w:hAnsi="Arial" w:cs="Arial"/>
                <w:sz w:val="16"/>
                <w:szCs w:val="16"/>
              </w:rPr>
              <w:noBreakHyphen/>
              <w:t>22</w:t>
            </w:r>
          </w:p>
          <w:p w14:paraId="0BF7FCF4" w14:textId="77777777"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 xml:space="preserve">Target </w:t>
            </w:r>
            <w:r w:rsidRPr="005B1890">
              <w:rPr>
                <w:rFonts w:ascii="Arial" w:hAnsi="Arial" w:cs="Arial"/>
                <w:color w:val="000000" w:themeColor="text1"/>
                <w:sz w:val="16"/>
                <w:szCs w:val="16"/>
              </w:rPr>
              <w:t xml:space="preserve">not </w:t>
            </w:r>
            <w:r w:rsidRPr="005B1890">
              <w:rPr>
                <w:rFonts w:ascii="Arial" w:hAnsi="Arial" w:cs="Arial"/>
                <w:sz w:val="16"/>
                <w:szCs w:val="16"/>
              </w:rPr>
              <w:t>met</w:t>
            </w:r>
          </w:p>
          <w:p w14:paraId="43AFC2B4" w14:textId="2D501FAF"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Actual: Further work has been undertaken since the Victorian Government submitted the Draft Business Case, however, is yet to be finalised</w:t>
            </w:r>
            <w:r w:rsidR="005B1890" w:rsidRPr="005B1890">
              <w:rPr>
                <w:rFonts w:ascii="Arial" w:hAnsi="Arial" w:cs="Arial"/>
                <w:sz w:val="16"/>
                <w:szCs w:val="16"/>
              </w:rPr>
              <w:t>.</w:t>
            </w:r>
          </w:p>
          <w:p w14:paraId="48CD57B8" w14:textId="457D5656"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Work has progressed as expected on the Detailed Business Case for the Brisbane Inland Rail Intermodal Terminal</w:t>
            </w:r>
            <w:r w:rsidR="005B1890" w:rsidRPr="005B1890">
              <w:rPr>
                <w:rFonts w:ascii="Arial" w:hAnsi="Arial" w:cs="Arial"/>
                <w:sz w:val="16"/>
                <w:szCs w:val="16"/>
              </w:rPr>
              <w:t>.</w:t>
            </w:r>
          </w:p>
        </w:tc>
      </w:tr>
      <w:tr w:rsidR="00115843" w:rsidRPr="005B1890" w14:paraId="4AAF497B" w14:textId="77777777" w:rsidTr="00FB0D02">
        <w:trPr>
          <w:cantSplit/>
          <w:trHeight w:val="846"/>
        </w:trPr>
        <w:tc>
          <w:tcPr>
            <w:tcW w:w="882" w:type="pct"/>
            <w:vMerge w:val="restart"/>
            <w:tcBorders>
              <w:top w:val="nil"/>
              <w:right w:val="single" w:sz="4" w:space="0" w:color="auto"/>
            </w:tcBorders>
          </w:tcPr>
          <w:p w14:paraId="2591A7E5" w14:textId="77777777" w:rsidR="00115843" w:rsidRPr="005B1890" w:rsidRDefault="00115843" w:rsidP="00FB0D02">
            <w:pPr>
              <w:rPr>
                <w:rFonts w:ascii="Arial" w:hAnsi="Arial" w:cs="Arial"/>
                <w:sz w:val="16"/>
                <w:szCs w:val="16"/>
              </w:rPr>
            </w:pPr>
          </w:p>
        </w:tc>
        <w:tc>
          <w:tcPr>
            <w:tcW w:w="1787" w:type="pct"/>
            <w:tcBorders>
              <w:top w:val="single" w:sz="4" w:space="0" w:color="auto"/>
              <w:left w:val="single" w:sz="4" w:space="0" w:color="auto"/>
              <w:bottom w:val="single" w:sz="4" w:space="0" w:color="auto"/>
              <w:right w:val="single" w:sz="4" w:space="0" w:color="auto"/>
            </w:tcBorders>
          </w:tcPr>
          <w:p w14:paraId="5FE2B223" w14:textId="77777777" w:rsidR="00115843" w:rsidRPr="005B1890" w:rsidRDefault="00115843" w:rsidP="00FB0D02">
            <w:pPr>
              <w:spacing w:before="60" w:after="60" w:line="240" w:lineRule="auto"/>
              <w:rPr>
                <w:rFonts w:ascii="Arial" w:hAnsi="Arial" w:cs="Arial"/>
                <w:sz w:val="16"/>
                <w:szCs w:val="16"/>
                <w:vertAlign w:val="superscript"/>
              </w:rPr>
            </w:pPr>
            <w:r w:rsidRPr="005B1890">
              <w:rPr>
                <w:rFonts w:ascii="Arial" w:hAnsi="Arial" w:cs="Arial"/>
                <w:sz w:val="16"/>
                <w:szCs w:val="16"/>
              </w:rPr>
              <w:t xml:space="preserve">Implementation of Inland Rail </w:t>
            </w:r>
            <w:r w:rsidRPr="005B1890">
              <w:rPr>
                <w:rFonts w:ascii="Arial" w:hAnsi="Arial" w:cs="Arial"/>
                <w:sz w:val="16"/>
                <w:szCs w:val="16"/>
                <w:vertAlign w:val="superscript"/>
              </w:rPr>
              <w:t>(c)</w:t>
            </w:r>
            <w:r w:rsidRPr="005B1890">
              <w:rPr>
                <w:rFonts w:ascii="Arial" w:hAnsi="Arial" w:cs="Arial"/>
                <w:color w:val="FFFFFF" w:themeColor="background1"/>
                <w:sz w:val="16"/>
                <w:szCs w:val="16"/>
                <w:shd w:val="clear" w:color="auto" w:fill="000066"/>
                <w:lang w:val="en-US"/>
              </w:rPr>
              <w:t xml:space="preserve">                                                    </w:t>
            </w:r>
          </w:p>
        </w:tc>
        <w:tc>
          <w:tcPr>
            <w:tcW w:w="2331" w:type="pct"/>
            <w:gridSpan w:val="2"/>
            <w:tcBorders>
              <w:top w:val="single" w:sz="4" w:space="0" w:color="auto"/>
              <w:left w:val="single" w:sz="4" w:space="0" w:color="auto"/>
              <w:bottom w:val="single" w:sz="4" w:space="0" w:color="auto"/>
            </w:tcBorders>
          </w:tcPr>
          <w:p w14:paraId="16D8E087" w14:textId="77777777"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Target: Delivery milestones are met for 2021</w:t>
            </w:r>
            <w:r w:rsidRPr="005B1890">
              <w:rPr>
                <w:rFonts w:ascii="Arial" w:hAnsi="Arial" w:cs="Arial"/>
                <w:sz w:val="16"/>
                <w:szCs w:val="16"/>
              </w:rPr>
              <w:noBreakHyphen/>
              <w:t>22</w:t>
            </w:r>
          </w:p>
          <w:p w14:paraId="192A5F88" w14:textId="77777777"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Target not met</w:t>
            </w:r>
          </w:p>
          <w:p w14:paraId="099F98A3" w14:textId="2425ABC1" w:rsidR="00115843" w:rsidRPr="005B1890" w:rsidRDefault="00115843" w:rsidP="00FB0D02">
            <w:pPr>
              <w:spacing w:before="60" w:after="60" w:line="240" w:lineRule="auto"/>
              <w:rPr>
                <w:rFonts w:ascii="Arial" w:hAnsi="Arial" w:cs="Arial"/>
                <w:sz w:val="16"/>
                <w:szCs w:val="16"/>
              </w:rPr>
            </w:pPr>
            <w:r w:rsidRPr="005B1890">
              <w:rPr>
                <w:rFonts w:ascii="Arial" w:hAnsi="Arial" w:cs="Arial"/>
                <w:sz w:val="16"/>
                <w:szCs w:val="16"/>
              </w:rPr>
              <w:t>Actual: A total of 178km (more than 10%) of Inland Rail track has been constructed</w:t>
            </w:r>
            <w:r w:rsidR="005B1890" w:rsidRPr="005B1890">
              <w:rPr>
                <w:rFonts w:ascii="Arial" w:hAnsi="Arial" w:cs="Arial"/>
                <w:sz w:val="16"/>
                <w:szCs w:val="16"/>
              </w:rPr>
              <w:t>.</w:t>
            </w:r>
          </w:p>
        </w:tc>
      </w:tr>
      <w:tr w:rsidR="00115843" w:rsidRPr="005B1890" w14:paraId="42C5D368" w14:textId="77777777" w:rsidTr="00FB0D02">
        <w:trPr>
          <w:cantSplit/>
          <w:trHeight w:val="2120"/>
        </w:trPr>
        <w:tc>
          <w:tcPr>
            <w:tcW w:w="882" w:type="pct"/>
            <w:vMerge/>
            <w:tcBorders>
              <w:right w:val="single" w:sz="4" w:space="0" w:color="auto"/>
            </w:tcBorders>
          </w:tcPr>
          <w:p w14:paraId="41A2CA3A" w14:textId="77777777" w:rsidR="00115843" w:rsidRPr="005B1890" w:rsidRDefault="00115843" w:rsidP="00FB0D02">
            <w:pPr>
              <w:pStyle w:val="TableTextBase"/>
              <w:rPr>
                <w:rFonts w:cs="Arial"/>
                <w:sz w:val="16"/>
                <w:szCs w:val="16"/>
              </w:rPr>
            </w:pPr>
          </w:p>
        </w:tc>
        <w:tc>
          <w:tcPr>
            <w:tcW w:w="1787" w:type="pct"/>
            <w:tcBorders>
              <w:top w:val="single" w:sz="4" w:space="0" w:color="auto"/>
              <w:left w:val="single" w:sz="4" w:space="0" w:color="auto"/>
              <w:bottom w:val="single" w:sz="4" w:space="0" w:color="auto"/>
              <w:right w:val="single" w:sz="4" w:space="0" w:color="auto"/>
            </w:tcBorders>
          </w:tcPr>
          <w:p w14:paraId="1D34E50B" w14:textId="77777777" w:rsidR="00115843" w:rsidRPr="005B1890" w:rsidRDefault="00115843" w:rsidP="00FB0D02">
            <w:pPr>
              <w:spacing w:before="60" w:after="60" w:line="240" w:lineRule="auto"/>
              <w:rPr>
                <w:rFonts w:ascii="Arial" w:hAnsi="Arial" w:cs="Arial"/>
                <w:sz w:val="16"/>
                <w:szCs w:val="16"/>
                <w:vertAlign w:val="superscript"/>
              </w:rPr>
            </w:pPr>
            <w:r w:rsidRPr="005B1890">
              <w:rPr>
                <w:rFonts w:ascii="Arial" w:eastAsia="Calibri" w:hAnsi="Arial" w:cs="Arial"/>
                <w:sz w:val="16"/>
                <w:szCs w:val="16"/>
              </w:rPr>
              <w:t>Implementation of Inland Rail Interface Improvement Program</w:t>
            </w:r>
            <w:r w:rsidRPr="005B1890">
              <w:rPr>
                <w:rFonts w:ascii="Arial" w:hAnsi="Arial" w:cs="Arial"/>
                <w:sz w:val="16"/>
                <w:szCs w:val="16"/>
              </w:rPr>
              <w:t xml:space="preserve"> </w:t>
            </w:r>
            <w:r w:rsidRPr="005B1890">
              <w:rPr>
                <w:rFonts w:ascii="Arial" w:hAnsi="Arial" w:cs="Arial"/>
                <w:sz w:val="16"/>
                <w:szCs w:val="16"/>
                <w:vertAlign w:val="superscript"/>
              </w:rPr>
              <w:t>(c)</w:t>
            </w:r>
            <w:r w:rsidRPr="005B1890">
              <w:rPr>
                <w:rFonts w:ascii="Arial" w:hAnsi="Arial" w:cs="Arial"/>
                <w:color w:val="FFFFFF" w:themeColor="background1"/>
                <w:sz w:val="16"/>
                <w:szCs w:val="16"/>
                <w:shd w:val="clear" w:color="auto" w:fill="000066"/>
                <w:lang w:val="en-US"/>
              </w:rPr>
              <w:t xml:space="preserve">                                                </w:t>
            </w:r>
          </w:p>
          <w:p w14:paraId="1143A5E6" w14:textId="77777777" w:rsidR="00115843" w:rsidRPr="005B1890" w:rsidRDefault="00115843" w:rsidP="00FB0D02">
            <w:pPr>
              <w:spacing w:before="60" w:after="60" w:line="240" w:lineRule="auto"/>
              <w:rPr>
                <w:rFonts w:ascii="Arial" w:hAnsi="Arial" w:cs="Arial"/>
                <w:sz w:val="16"/>
                <w:szCs w:val="16"/>
              </w:rPr>
            </w:pPr>
          </w:p>
        </w:tc>
        <w:tc>
          <w:tcPr>
            <w:tcW w:w="2331" w:type="pct"/>
            <w:gridSpan w:val="2"/>
            <w:tcBorders>
              <w:top w:val="single" w:sz="4" w:space="0" w:color="auto"/>
              <w:left w:val="single" w:sz="4" w:space="0" w:color="auto"/>
              <w:bottom w:val="single" w:sz="4" w:space="0" w:color="auto"/>
            </w:tcBorders>
          </w:tcPr>
          <w:p w14:paraId="6B40264B" w14:textId="77777777" w:rsidR="00115843" w:rsidRPr="005B1890" w:rsidRDefault="00115843" w:rsidP="00FB0D02">
            <w:pPr>
              <w:spacing w:before="60" w:after="60" w:line="240" w:lineRule="auto"/>
              <w:ind w:right="-12"/>
              <w:rPr>
                <w:rFonts w:ascii="Arial" w:eastAsia="Calibri" w:hAnsi="Arial" w:cs="Arial"/>
                <w:sz w:val="16"/>
                <w:szCs w:val="16"/>
              </w:rPr>
            </w:pPr>
            <w:r w:rsidRPr="005B1890">
              <w:rPr>
                <w:rFonts w:ascii="Arial" w:eastAsia="Calibri" w:hAnsi="Arial" w:cs="Arial"/>
                <w:sz w:val="16"/>
                <w:szCs w:val="16"/>
              </w:rPr>
              <w:t>Target: Completion by June 2022</w:t>
            </w:r>
          </w:p>
          <w:p w14:paraId="1709FEDD" w14:textId="77777777" w:rsidR="00115843" w:rsidRPr="005B1890" w:rsidRDefault="00115843" w:rsidP="00FB0D02">
            <w:pPr>
              <w:spacing w:before="60" w:after="60" w:line="240" w:lineRule="auto"/>
              <w:rPr>
                <w:rFonts w:ascii="Arial" w:eastAsia="Calibri" w:hAnsi="Arial" w:cs="Arial"/>
                <w:sz w:val="16"/>
                <w:szCs w:val="16"/>
              </w:rPr>
            </w:pPr>
            <w:r w:rsidRPr="005B1890">
              <w:rPr>
                <w:rFonts w:ascii="Arial" w:eastAsia="Calibri" w:hAnsi="Arial" w:cs="Arial"/>
                <w:sz w:val="16"/>
                <w:szCs w:val="16"/>
              </w:rPr>
              <w:t>Target not met</w:t>
            </w:r>
          </w:p>
          <w:p w14:paraId="7583223F" w14:textId="40593F1A" w:rsidR="00115843" w:rsidRPr="005B1890" w:rsidRDefault="00115843" w:rsidP="00FB0D02">
            <w:pPr>
              <w:pStyle w:val="TableTextPortrait"/>
              <w:spacing w:before="60" w:after="60"/>
              <w:rPr>
                <w:rFonts w:ascii="Arial" w:hAnsi="Arial" w:cs="Arial"/>
                <w:sz w:val="16"/>
                <w:szCs w:val="16"/>
              </w:rPr>
            </w:pPr>
            <w:r w:rsidRPr="005B1890">
              <w:rPr>
                <w:rFonts w:ascii="Arial" w:eastAsia="Calibri" w:hAnsi="Arial" w:cs="Arial"/>
                <w:sz w:val="16"/>
                <w:szCs w:val="16"/>
              </w:rPr>
              <w:t xml:space="preserve">Actual: </w:t>
            </w:r>
            <w:r w:rsidRPr="005B1890">
              <w:rPr>
                <w:rFonts w:ascii="Arial" w:eastAsiaTheme="minorHAnsi" w:hAnsi="Arial" w:cs="Arial"/>
                <w:sz w:val="16"/>
                <w:szCs w:val="16"/>
              </w:rPr>
              <w:t>There were 38 proposals that have received support to progress through the program. Of these 38, 12 proposals were finalised by 30 June 2022. Five proposals were finalised as a pre-feasibility study, one proposal was finalised as a feasibility study and 6 proposals were finalised as a Strategic Business Case. The remaining 26 proposals are still in development</w:t>
            </w:r>
            <w:r w:rsidR="005B1890" w:rsidRPr="005B1890">
              <w:rPr>
                <w:rFonts w:ascii="Arial" w:eastAsiaTheme="minorHAnsi" w:hAnsi="Arial" w:cs="Arial"/>
                <w:sz w:val="16"/>
                <w:szCs w:val="16"/>
              </w:rPr>
              <w:t>.</w:t>
            </w:r>
          </w:p>
        </w:tc>
      </w:tr>
      <w:tr w:rsidR="00115843" w:rsidRPr="005B1890" w14:paraId="1A4B6A12" w14:textId="77777777" w:rsidTr="00FB0D02">
        <w:trPr>
          <w:trHeight w:val="258"/>
        </w:trPr>
        <w:tc>
          <w:tcPr>
            <w:tcW w:w="882" w:type="pct"/>
            <w:vMerge/>
            <w:tcBorders>
              <w:right w:val="single" w:sz="4" w:space="0" w:color="auto"/>
            </w:tcBorders>
          </w:tcPr>
          <w:p w14:paraId="3A4C14D3" w14:textId="77777777" w:rsidR="00115843" w:rsidRPr="005B1890" w:rsidRDefault="00115843" w:rsidP="00FB0D02">
            <w:pPr>
              <w:pStyle w:val="TableTextBase"/>
              <w:rPr>
                <w:rFonts w:cs="Arial"/>
                <w:sz w:val="16"/>
                <w:szCs w:val="16"/>
              </w:rPr>
            </w:pPr>
          </w:p>
        </w:tc>
        <w:tc>
          <w:tcPr>
            <w:tcW w:w="1787" w:type="pct"/>
            <w:tcBorders>
              <w:top w:val="single" w:sz="4" w:space="0" w:color="auto"/>
              <w:left w:val="single" w:sz="4" w:space="0" w:color="auto"/>
              <w:bottom w:val="single" w:sz="4" w:space="0" w:color="auto"/>
              <w:right w:val="single" w:sz="4" w:space="0" w:color="auto"/>
            </w:tcBorders>
          </w:tcPr>
          <w:p w14:paraId="13C7A68A" w14:textId="77777777" w:rsidR="00115843" w:rsidRPr="005B1890" w:rsidRDefault="00115843" w:rsidP="00FB0D02">
            <w:pPr>
              <w:pStyle w:val="TableTextBase"/>
              <w:rPr>
                <w:rFonts w:cs="Arial"/>
                <w:sz w:val="16"/>
                <w:szCs w:val="16"/>
              </w:rPr>
            </w:pPr>
            <w:r w:rsidRPr="005B1890">
              <w:rPr>
                <w:rFonts w:cs="Arial"/>
                <w:sz w:val="16"/>
                <w:szCs w:val="16"/>
              </w:rPr>
              <w:t xml:space="preserve">Number of Significant Projects Investment Delivery Office (SPIDO) Priority Projects available to the Australian Government for further consideration </w:t>
            </w:r>
            <w:r w:rsidRPr="005B1890">
              <w:rPr>
                <w:rFonts w:cs="Arial"/>
                <w:sz w:val="16"/>
                <w:szCs w:val="16"/>
                <w:vertAlign w:val="superscript"/>
              </w:rPr>
              <w:t>(c)</w:t>
            </w:r>
          </w:p>
        </w:tc>
        <w:tc>
          <w:tcPr>
            <w:tcW w:w="2331" w:type="pct"/>
            <w:gridSpan w:val="2"/>
            <w:tcBorders>
              <w:top w:val="single" w:sz="4" w:space="0" w:color="auto"/>
              <w:left w:val="single" w:sz="4" w:space="0" w:color="auto"/>
              <w:bottom w:val="single" w:sz="4" w:space="0" w:color="auto"/>
              <w:right w:val="single" w:sz="4" w:space="0" w:color="auto"/>
            </w:tcBorders>
          </w:tcPr>
          <w:p w14:paraId="6D4CC556" w14:textId="429246E0" w:rsidR="00115843" w:rsidRPr="005B1890" w:rsidRDefault="00115843" w:rsidP="00FB0D02">
            <w:pPr>
              <w:pStyle w:val="TableTextBase"/>
              <w:rPr>
                <w:rFonts w:cs="Arial"/>
                <w:sz w:val="16"/>
                <w:szCs w:val="16"/>
              </w:rPr>
            </w:pPr>
            <w:r w:rsidRPr="005B1890">
              <w:rPr>
                <w:rFonts w:cs="Arial"/>
                <w:sz w:val="16"/>
                <w:szCs w:val="16"/>
              </w:rPr>
              <w:t>Target: By June 2022, the Australian Government has options available for consideration</w:t>
            </w:r>
          </w:p>
          <w:p w14:paraId="353B5FD7" w14:textId="77777777" w:rsidR="00115843" w:rsidRPr="005B1890" w:rsidRDefault="00115843" w:rsidP="00FB0D02">
            <w:pPr>
              <w:pStyle w:val="TableTextBase"/>
              <w:rPr>
                <w:rFonts w:cs="Arial"/>
                <w:sz w:val="16"/>
                <w:szCs w:val="16"/>
              </w:rPr>
            </w:pPr>
            <w:r w:rsidRPr="005B1890">
              <w:rPr>
                <w:rFonts w:cs="Arial"/>
                <w:sz w:val="16"/>
                <w:szCs w:val="16"/>
              </w:rPr>
              <w:t>Target met</w:t>
            </w:r>
          </w:p>
          <w:p w14:paraId="41D88EA7" w14:textId="262150CC" w:rsidR="00115843" w:rsidRPr="005B1890" w:rsidRDefault="00115843" w:rsidP="00FB0D02">
            <w:pPr>
              <w:pStyle w:val="TableTextBase"/>
              <w:rPr>
                <w:rFonts w:cs="Arial"/>
                <w:sz w:val="16"/>
                <w:szCs w:val="16"/>
              </w:rPr>
            </w:pPr>
            <w:r w:rsidRPr="005B1890">
              <w:rPr>
                <w:rFonts w:cs="Arial"/>
                <w:sz w:val="16"/>
                <w:szCs w:val="16"/>
              </w:rPr>
              <w:t>Actual: The Department supported the Australian Government’s $10 million business case for the Toowoomba to Gladstone Inland Rail extension, which will unlock economic opportunities in regional Queensland, announced in September 2021. It also supported the commitment to funding and governance for critical non-transport infrastructure for the 2032 Brisbane Olympic and Paralympic Games in partnership with the Queensland Government</w:t>
            </w:r>
            <w:r w:rsidR="005B1890" w:rsidRPr="005B1890">
              <w:rPr>
                <w:rFonts w:cs="Arial"/>
                <w:sz w:val="16"/>
                <w:szCs w:val="16"/>
              </w:rPr>
              <w:t>.</w:t>
            </w:r>
          </w:p>
          <w:p w14:paraId="2BE56473" w14:textId="1ED06A52" w:rsidR="00115843" w:rsidRPr="005B1890" w:rsidRDefault="00115843" w:rsidP="00FB0D02">
            <w:pPr>
              <w:pStyle w:val="TableTextBase"/>
              <w:rPr>
                <w:rFonts w:cs="Arial"/>
                <w:sz w:val="16"/>
                <w:szCs w:val="16"/>
              </w:rPr>
            </w:pPr>
            <w:r w:rsidRPr="005B1890">
              <w:rPr>
                <w:rFonts w:cs="Arial"/>
                <w:sz w:val="16"/>
                <w:szCs w:val="16"/>
              </w:rPr>
              <w:t>The Department provided advice to government on key investment opportunities which have been considered through decision-making and budget processes including the Energy Security and Regional Development Plan, analysing projects in the Pilbara, Burdekin and Middle Arm in Darwin</w:t>
            </w:r>
            <w:r w:rsidR="005B1890" w:rsidRPr="005B1890">
              <w:rPr>
                <w:rFonts w:cs="Arial"/>
                <w:sz w:val="16"/>
                <w:szCs w:val="16"/>
              </w:rPr>
              <w:t>.</w:t>
            </w:r>
          </w:p>
        </w:tc>
      </w:tr>
    </w:tbl>
    <w:p w14:paraId="5A30E34B" w14:textId="77777777" w:rsidR="00115843" w:rsidRDefault="00115843" w:rsidP="00115843">
      <w: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754"/>
        <w:gridCol w:w="3577"/>
        <w:gridCol w:w="15"/>
      </w:tblGrid>
      <w:tr w:rsidR="00115843" w:rsidRPr="00194538" w14:paraId="308655B8" w14:textId="77777777" w:rsidTr="00FB0D02">
        <w:trPr>
          <w:gridAfter w:val="1"/>
          <w:wAfter w:w="10" w:type="pct"/>
          <w:trHeight w:val="258"/>
        </w:trPr>
        <w:tc>
          <w:tcPr>
            <w:tcW w:w="882" w:type="pct"/>
            <w:tcBorders>
              <w:top w:val="double" w:sz="4" w:space="0" w:color="auto"/>
              <w:bottom w:val="single" w:sz="4" w:space="0" w:color="auto"/>
              <w:right w:val="single" w:sz="4" w:space="0" w:color="auto"/>
            </w:tcBorders>
          </w:tcPr>
          <w:p w14:paraId="208C9B46" w14:textId="77777777" w:rsidR="00115843" w:rsidRPr="00194538" w:rsidRDefault="00115843" w:rsidP="00FB0D02">
            <w:pPr>
              <w:pStyle w:val="TableTextBase"/>
              <w:rPr>
                <w:rFonts w:cs="Arial"/>
                <w:b/>
                <w:sz w:val="16"/>
                <w:szCs w:val="16"/>
              </w:rPr>
            </w:pPr>
            <w:r w:rsidRPr="00194538">
              <w:rPr>
                <w:rFonts w:cs="Arial"/>
                <w:b/>
                <w:sz w:val="16"/>
                <w:szCs w:val="16"/>
              </w:rPr>
              <w:lastRenderedPageBreak/>
              <w:t>Year</w:t>
            </w:r>
          </w:p>
        </w:tc>
        <w:tc>
          <w:tcPr>
            <w:tcW w:w="1787" w:type="pct"/>
            <w:tcBorders>
              <w:top w:val="double" w:sz="4" w:space="0" w:color="auto"/>
              <w:left w:val="single" w:sz="4" w:space="0" w:color="auto"/>
              <w:bottom w:val="single" w:sz="4" w:space="0" w:color="auto"/>
              <w:right w:val="single" w:sz="4" w:space="0" w:color="auto"/>
            </w:tcBorders>
          </w:tcPr>
          <w:p w14:paraId="4D2D9CE7" w14:textId="77777777" w:rsidR="00115843" w:rsidRPr="00194538" w:rsidRDefault="00115843" w:rsidP="00FB0D02">
            <w:pPr>
              <w:pStyle w:val="TableTextBase"/>
              <w:rPr>
                <w:rFonts w:cs="Arial"/>
                <w:b/>
                <w:sz w:val="16"/>
                <w:szCs w:val="16"/>
              </w:rPr>
            </w:pPr>
            <w:r w:rsidRPr="00194538">
              <w:rPr>
                <w:rFonts w:cs="Arial"/>
                <w:b/>
                <w:sz w:val="16"/>
                <w:szCs w:val="16"/>
              </w:rPr>
              <w:t>Performance measures</w:t>
            </w:r>
          </w:p>
        </w:tc>
        <w:tc>
          <w:tcPr>
            <w:tcW w:w="2321" w:type="pct"/>
            <w:tcBorders>
              <w:top w:val="double" w:sz="4" w:space="0" w:color="auto"/>
              <w:left w:val="single" w:sz="4" w:space="0" w:color="auto"/>
              <w:bottom w:val="single" w:sz="4" w:space="0" w:color="auto"/>
            </w:tcBorders>
          </w:tcPr>
          <w:p w14:paraId="69E926E7" w14:textId="77777777" w:rsidR="00115843" w:rsidRPr="00194538" w:rsidRDefault="00115843" w:rsidP="00FB0D02">
            <w:pPr>
              <w:pStyle w:val="TableTextBase"/>
              <w:rPr>
                <w:rFonts w:cs="Arial"/>
                <w:b/>
                <w:sz w:val="16"/>
                <w:szCs w:val="16"/>
              </w:rPr>
            </w:pPr>
            <w:r w:rsidRPr="00194538">
              <w:rPr>
                <w:rFonts w:cs="Arial"/>
                <w:b/>
                <w:sz w:val="16"/>
                <w:szCs w:val="16"/>
              </w:rPr>
              <w:t>Expected Performance Results</w:t>
            </w:r>
          </w:p>
        </w:tc>
      </w:tr>
      <w:tr w:rsidR="00115843" w:rsidRPr="00194538" w14:paraId="3FAB5917" w14:textId="77777777" w:rsidTr="00FB0D02">
        <w:trPr>
          <w:trHeight w:val="258"/>
        </w:trPr>
        <w:tc>
          <w:tcPr>
            <w:tcW w:w="882" w:type="pct"/>
            <w:vMerge w:val="restart"/>
            <w:tcBorders>
              <w:right w:val="single" w:sz="4" w:space="0" w:color="auto"/>
            </w:tcBorders>
          </w:tcPr>
          <w:p w14:paraId="2C93399A" w14:textId="77777777" w:rsidR="00115843" w:rsidRPr="00194538" w:rsidRDefault="00115843" w:rsidP="00FB0D02">
            <w:pPr>
              <w:pStyle w:val="TableTextBase"/>
              <w:rPr>
                <w:rFonts w:cs="Arial"/>
                <w:sz w:val="16"/>
                <w:szCs w:val="16"/>
              </w:rPr>
            </w:pPr>
            <w:r w:rsidRPr="00194538">
              <w:rPr>
                <w:rFonts w:cs="Arial"/>
                <w:sz w:val="16"/>
                <w:szCs w:val="16"/>
              </w:rPr>
              <w:t xml:space="preserve">Prior year </w:t>
            </w:r>
            <w:r w:rsidRPr="00194538">
              <w:rPr>
                <w:rFonts w:cs="Arial"/>
                <w:sz w:val="16"/>
                <w:szCs w:val="16"/>
              </w:rPr>
              <w:br/>
              <w:t>2021–22 cont.</w:t>
            </w:r>
          </w:p>
        </w:tc>
        <w:tc>
          <w:tcPr>
            <w:tcW w:w="1787" w:type="pct"/>
            <w:tcBorders>
              <w:top w:val="single" w:sz="4" w:space="0" w:color="auto"/>
              <w:left w:val="single" w:sz="4" w:space="0" w:color="auto"/>
              <w:bottom w:val="single" w:sz="4" w:space="0" w:color="auto"/>
              <w:right w:val="single" w:sz="4" w:space="0" w:color="auto"/>
            </w:tcBorders>
          </w:tcPr>
          <w:p w14:paraId="2715A6E8" w14:textId="77777777" w:rsidR="00115843" w:rsidRPr="00194538" w:rsidRDefault="00115843" w:rsidP="00FB0D02">
            <w:pPr>
              <w:pStyle w:val="TableTextBase"/>
              <w:rPr>
                <w:rFonts w:cs="Arial"/>
                <w:sz w:val="16"/>
                <w:szCs w:val="16"/>
              </w:rPr>
            </w:pPr>
            <w:r w:rsidRPr="00194538">
              <w:rPr>
                <w:rFonts w:cs="Arial"/>
                <w:sz w:val="16"/>
                <w:szCs w:val="16"/>
              </w:rPr>
              <w:t>Expected travel time savings arising from infrastructure projects in the Infrastructure Investment Program receiving $250 million or more in Australian Government funding </w:t>
            </w:r>
            <w:r w:rsidRPr="00194538">
              <w:rPr>
                <w:rFonts w:cs="Arial"/>
                <w:sz w:val="16"/>
                <w:szCs w:val="16"/>
                <w:vertAlign w:val="superscript"/>
              </w:rPr>
              <w:t>(c)</w:t>
            </w:r>
          </w:p>
        </w:tc>
        <w:tc>
          <w:tcPr>
            <w:tcW w:w="2331" w:type="pct"/>
            <w:gridSpan w:val="2"/>
            <w:tcBorders>
              <w:top w:val="single" w:sz="4" w:space="0" w:color="auto"/>
              <w:left w:val="single" w:sz="4" w:space="0" w:color="auto"/>
              <w:bottom w:val="single" w:sz="4" w:space="0" w:color="auto"/>
              <w:right w:val="single" w:sz="4" w:space="0" w:color="auto"/>
            </w:tcBorders>
          </w:tcPr>
          <w:p w14:paraId="04B0E395" w14:textId="11BD7D8A" w:rsidR="00115843" w:rsidRPr="00194538" w:rsidRDefault="00115843" w:rsidP="00FB0D02">
            <w:pPr>
              <w:pStyle w:val="TableTextBase"/>
              <w:rPr>
                <w:rFonts w:cs="Arial"/>
                <w:sz w:val="16"/>
                <w:szCs w:val="16"/>
              </w:rPr>
            </w:pPr>
            <w:r w:rsidRPr="00194538">
              <w:rPr>
                <w:rFonts w:cs="Arial"/>
                <w:sz w:val="16"/>
                <w:szCs w:val="16"/>
              </w:rPr>
              <w:t>Target: 100% of projects for which travel time savings are a significant planned benefit</w:t>
            </w:r>
          </w:p>
          <w:p w14:paraId="111781AE" w14:textId="77777777" w:rsidR="00115843" w:rsidRPr="00194538" w:rsidRDefault="00115843" w:rsidP="00FB0D02">
            <w:pPr>
              <w:pStyle w:val="TableTextBase"/>
              <w:rPr>
                <w:rFonts w:cs="Arial"/>
                <w:sz w:val="16"/>
                <w:szCs w:val="16"/>
              </w:rPr>
            </w:pPr>
            <w:r w:rsidRPr="00194538">
              <w:rPr>
                <w:rFonts w:cs="Arial"/>
                <w:sz w:val="16"/>
                <w:szCs w:val="16"/>
              </w:rPr>
              <w:t>Target met</w:t>
            </w:r>
          </w:p>
          <w:p w14:paraId="4DD6ACAD" w14:textId="5FAA5CEA" w:rsidR="00115843" w:rsidRPr="00194538" w:rsidRDefault="00115843" w:rsidP="00FB0D02">
            <w:pPr>
              <w:pStyle w:val="TableTextBase"/>
              <w:rPr>
                <w:rFonts w:cs="Arial"/>
                <w:sz w:val="16"/>
                <w:szCs w:val="16"/>
              </w:rPr>
            </w:pPr>
            <w:r w:rsidRPr="00194538">
              <w:rPr>
                <w:rFonts w:cs="Arial"/>
                <w:sz w:val="16"/>
                <w:szCs w:val="16"/>
              </w:rPr>
              <w:t>Actual: Reduced travel times were achieved. Large road projects under construction in 2021–22 are estimated to provide over $68</w:t>
            </w:r>
            <w:r w:rsidR="00194538" w:rsidRPr="00194538">
              <w:rPr>
                <w:rFonts w:cs="Arial"/>
                <w:sz w:val="16"/>
                <w:szCs w:val="16"/>
              </w:rPr>
              <w:t> </w:t>
            </w:r>
            <w:r w:rsidRPr="00194538">
              <w:rPr>
                <w:rFonts w:cs="Arial"/>
                <w:sz w:val="16"/>
                <w:szCs w:val="16"/>
              </w:rPr>
              <w:t>billion in total travel time savings across the life of the projects</w:t>
            </w:r>
            <w:r w:rsidR="00194538" w:rsidRPr="00194538">
              <w:rPr>
                <w:rFonts w:cs="Arial"/>
                <w:sz w:val="16"/>
                <w:szCs w:val="16"/>
              </w:rPr>
              <w:t>.</w:t>
            </w:r>
          </w:p>
        </w:tc>
      </w:tr>
      <w:tr w:rsidR="00115843" w:rsidRPr="00194538" w14:paraId="26F2171F" w14:textId="77777777" w:rsidTr="00FB0D02">
        <w:trPr>
          <w:trHeight w:val="258"/>
        </w:trPr>
        <w:tc>
          <w:tcPr>
            <w:tcW w:w="882" w:type="pct"/>
            <w:vMerge/>
            <w:tcBorders>
              <w:bottom w:val="double" w:sz="4" w:space="0" w:color="auto"/>
              <w:right w:val="single" w:sz="4" w:space="0" w:color="auto"/>
            </w:tcBorders>
          </w:tcPr>
          <w:p w14:paraId="2B85A4F1" w14:textId="77777777" w:rsidR="00115843" w:rsidRPr="00194538" w:rsidRDefault="00115843" w:rsidP="00FB0D02">
            <w:pPr>
              <w:pStyle w:val="TableTextBase"/>
              <w:rPr>
                <w:rFonts w:cs="Arial"/>
                <w:sz w:val="16"/>
                <w:szCs w:val="16"/>
              </w:rPr>
            </w:pPr>
          </w:p>
        </w:tc>
        <w:tc>
          <w:tcPr>
            <w:tcW w:w="1787" w:type="pct"/>
            <w:tcBorders>
              <w:top w:val="single" w:sz="4" w:space="0" w:color="auto"/>
              <w:left w:val="single" w:sz="4" w:space="0" w:color="auto"/>
              <w:bottom w:val="double" w:sz="4" w:space="0" w:color="auto"/>
              <w:right w:val="single" w:sz="4" w:space="0" w:color="auto"/>
            </w:tcBorders>
          </w:tcPr>
          <w:p w14:paraId="4115865F" w14:textId="77777777" w:rsidR="00115843" w:rsidRPr="00194538" w:rsidRDefault="00115843" w:rsidP="00FB0D02">
            <w:pPr>
              <w:pStyle w:val="TableTextBase"/>
              <w:rPr>
                <w:rFonts w:cs="Arial"/>
                <w:sz w:val="16"/>
                <w:szCs w:val="16"/>
              </w:rPr>
            </w:pPr>
            <w:r w:rsidRPr="00194538">
              <w:rPr>
                <w:rFonts w:cs="Arial"/>
                <w:sz w:val="16"/>
                <w:szCs w:val="16"/>
              </w:rPr>
              <w:t xml:space="preserve">Estimated number of jobs supported over the life of the projects, from infrastructure investment projects underway during the financial year </w:t>
            </w:r>
            <w:r w:rsidRPr="00194538">
              <w:rPr>
                <w:rFonts w:cs="Arial"/>
                <w:sz w:val="16"/>
                <w:szCs w:val="16"/>
                <w:vertAlign w:val="superscript"/>
              </w:rPr>
              <w:t>(c)</w:t>
            </w:r>
          </w:p>
        </w:tc>
        <w:tc>
          <w:tcPr>
            <w:tcW w:w="2331" w:type="pct"/>
            <w:gridSpan w:val="2"/>
            <w:tcBorders>
              <w:top w:val="single" w:sz="4" w:space="0" w:color="auto"/>
              <w:left w:val="single" w:sz="4" w:space="0" w:color="auto"/>
              <w:bottom w:val="double" w:sz="4" w:space="0" w:color="auto"/>
              <w:right w:val="single" w:sz="4" w:space="0" w:color="auto"/>
            </w:tcBorders>
          </w:tcPr>
          <w:p w14:paraId="71D0B5A9" w14:textId="3D904CC3" w:rsidR="00115843" w:rsidRPr="00194538" w:rsidRDefault="00115843" w:rsidP="00FB0D02">
            <w:pPr>
              <w:pStyle w:val="TableTextBase"/>
              <w:rPr>
                <w:rFonts w:cs="Arial"/>
                <w:sz w:val="16"/>
                <w:szCs w:val="16"/>
              </w:rPr>
            </w:pPr>
            <w:r w:rsidRPr="00194538">
              <w:rPr>
                <w:rFonts w:cs="Arial"/>
                <w:sz w:val="16"/>
                <w:szCs w:val="16"/>
              </w:rPr>
              <w:t>Investments support a work plan in which work requirements fluctuate. While it is appropriate to monitor employment impacts, annual targets are not appropriate</w:t>
            </w:r>
            <w:r w:rsidR="00194538" w:rsidRPr="00194538">
              <w:rPr>
                <w:rFonts w:cs="Arial"/>
                <w:sz w:val="16"/>
                <w:szCs w:val="16"/>
              </w:rPr>
              <w:t>.</w:t>
            </w:r>
          </w:p>
          <w:p w14:paraId="6ED61BB6" w14:textId="1BE1678A" w:rsidR="00115843" w:rsidRPr="00194538" w:rsidRDefault="00115843" w:rsidP="00FB0D02">
            <w:pPr>
              <w:pStyle w:val="TableTextBase"/>
              <w:rPr>
                <w:rFonts w:cs="Arial"/>
                <w:sz w:val="16"/>
                <w:szCs w:val="16"/>
              </w:rPr>
            </w:pPr>
            <w:r w:rsidRPr="00194538">
              <w:rPr>
                <w:rFonts w:cs="Arial"/>
                <w:sz w:val="16"/>
                <w:szCs w:val="16"/>
              </w:rPr>
              <w:t>Major land transport infrastructure projects underway in 2021–22 are expected to support over 120,000 direct and indirect jobs over the life of the project</w:t>
            </w:r>
            <w:r w:rsidR="00194538" w:rsidRPr="00194538">
              <w:rPr>
                <w:rFonts w:cs="Arial"/>
                <w:sz w:val="16"/>
                <w:szCs w:val="16"/>
              </w:rPr>
              <w:t>.</w:t>
            </w:r>
          </w:p>
        </w:tc>
      </w:tr>
      <w:tr w:rsidR="00115843" w:rsidRPr="00194538" w14:paraId="782C35C6" w14:textId="77777777" w:rsidTr="00FB0D02">
        <w:trPr>
          <w:trHeight w:val="258"/>
        </w:trPr>
        <w:tc>
          <w:tcPr>
            <w:tcW w:w="882" w:type="pct"/>
            <w:tcBorders>
              <w:top w:val="double" w:sz="4" w:space="0" w:color="auto"/>
              <w:left w:val="single" w:sz="4" w:space="0" w:color="auto"/>
              <w:bottom w:val="single" w:sz="4" w:space="0" w:color="auto"/>
              <w:right w:val="single" w:sz="4" w:space="0" w:color="auto"/>
            </w:tcBorders>
          </w:tcPr>
          <w:p w14:paraId="306DB96F" w14:textId="77777777" w:rsidR="00115843" w:rsidRPr="00194538" w:rsidRDefault="00115843" w:rsidP="00FB0D02">
            <w:pPr>
              <w:pStyle w:val="TableTextBase"/>
              <w:rPr>
                <w:rFonts w:cs="Arial"/>
                <w:b/>
                <w:sz w:val="16"/>
                <w:szCs w:val="16"/>
              </w:rPr>
            </w:pPr>
            <w:r w:rsidRPr="00194538">
              <w:rPr>
                <w:rFonts w:cs="Arial"/>
                <w:b/>
                <w:sz w:val="16"/>
                <w:szCs w:val="16"/>
              </w:rPr>
              <w:t>Year</w:t>
            </w:r>
          </w:p>
        </w:tc>
        <w:tc>
          <w:tcPr>
            <w:tcW w:w="1787" w:type="pct"/>
            <w:tcBorders>
              <w:top w:val="double" w:sz="4" w:space="0" w:color="auto"/>
              <w:left w:val="single" w:sz="4" w:space="0" w:color="auto"/>
              <w:bottom w:val="single" w:sz="4" w:space="0" w:color="auto"/>
              <w:right w:val="single" w:sz="4" w:space="0" w:color="auto"/>
            </w:tcBorders>
          </w:tcPr>
          <w:p w14:paraId="7C6FA180" w14:textId="77777777" w:rsidR="00115843" w:rsidRPr="00194538" w:rsidRDefault="00115843" w:rsidP="00FB0D02">
            <w:pPr>
              <w:pStyle w:val="TableTextBase"/>
              <w:rPr>
                <w:rFonts w:cs="Arial"/>
                <w:b/>
                <w:sz w:val="16"/>
                <w:szCs w:val="16"/>
              </w:rPr>
            </w:pPr>
            <w:r w:rsidRPr="00194538">
              <w:rPr>
                <w:rFonts w:cs="Arial"/>
                <w:b/>
                <w:sz w:val="16"/>
                <w:szCs w:val="16"/>
              </w:rPr>
              <w:t>Performance measures</w:t>
            </w:r>
          </w:p>
        </w:tc>
        <w:tc>
          <w:tcPr>
            <w:tcW w:w="2331" w:type="pct"/>
            <w:gridSpan w:val="2"/>
            <w:tcBorders>
              <w:top w:val="double" w:sz="4" w:space="0" w:color="auto"/>
              <w:left w:val="single" w:sz="4" w:space="0" w:color="auto"/>
              <w:bottom w:val="single" w:sz="4" w:space="0" w:color="auto"/>
              <w:right w:val="single" w:sz="4" w:space="0" w:color="auto"/>
            </w:tcBorders>
          </w:tcPr>
          <w:p w14:paraId="6193A4F5" w14:textId="77777777" w:rsidR="00115843" w:rsidRPr="00194538" w:rsidRDefault="00115843" w:rsidP="00FB0D02">
            <w:pPr>
              <w:pStyle w:val="TableTextBase"/>
              <w:rPr>
                <w:rFonts w:cs="Arial"/>
                <w:b/>
                <w:sz w:val="16"/>
                <w:szCs w:val="16"/>
              </w:rPr>
            </w:pPr>
            <w:r w:rsidRPr="00194538">
              <w:rPr>
                <w:rFonts w:cs="Arial"/>
                <w:b/>
                <w:sz w:val="16"/>
                <w:szCs w:val="16"/>
              </w:rPr>
              <w:t>Planned Performance Results</w:t>
            </w:r>
          </w:p>
        </w:tc>
      </w:tr>
      <w:tr w:rsidR="00115843" w:rsidRPr="00194538" w14:paraId="202F6C70" w14:textId="77777777" w:rsidTr="00FB0D02">
        <w:trPr>
          <w:trHeight w:val="258"/>
        </w:trPr>
        <w:tc>
          <w:tcPr>
            <w:tcW w:w="882" w:type="pct"/>
            <w:vMerge w:val="restart"/>
            <w:tcBorders>
              <w:top w:val="single" w:sz="4" w:space="0" w:color="auto"/>
              <w:left w:val="single" w:sz="4" w:space="0" w:color="auto"/>
              <w:right w:val="single" w:sz="4" w:space="0" w:color="auto"/>
            </w:tcBorders>
          </w:tcPr>
          <w:p w14:paraId="5317E6E9" w14:textId="77777777" w:rsidR="00115843" w:rsidRPr="00194538" w:rsidRDefault="00115843" w:rsidP="00FB0D02">
            <w:pPr>
              <w:pStyle w:val="TableTextBase"/>
              <w:rPr>
                <w:rFonts w:cs="Arial"/>
                <w:sz w:val="16"/>
                <w:szCs w:val="16"/>
              </w:rPr>
            </w:pPr>
            <w:r w:rsidRPr="00194538">
              <w:rPr>
                <w:rFonts w:cs="Arial"/>
                <w:sz w:val="16"/>
                <w:szCs w:val="16"/>
              </w:rPr>
              <w:t>Budget year</w:t>
            </w:r>
            <w:r w:rsidRPr="00194538">
              <w:rPr>
                <w:rFonts w:cs="Arial"/>
                <w:sz w:val="16"/>
                <w:szCs w:val="16"/>
              </w:rPr>
              <w:br/>
              <w:t xml:space="preserve">2022–23 </w:t>
            </w:r>
          </w:p>
        </w:tc>
        <w:tc>
          <w:tcPr>
            <w:tcW w:w="1787" w:type="pct"/>
            <w:tcBorders>
              <w:top w:val="single" w:sz="4" w:space="0" w:color="auto"/>
              <w:left w:val="single" w:sz="4" w:space="0" w:color="auto"/>
              <w:bottom w:val="single" w:sz="4" w:space="0" w:color="auto"/>
              <w:right w:val="single" w:sz="4" w:space="0" w:color="auto"/>
            </w:tcBorders>
          </w:tcPr>
          <w:p w14:paraId="57026DC2" w14:textId="77777777" w:rsidR="00115843" w:rsidRPr="00194538" w:rsidRDefault="00115843" w:rsidP="00FB0D02">
            <w:pPr>
              <w:pStyle w:val="TableTextBase"/>
              <w:rPr>
                <w:rFonts w:cs="Arial"/>
                <w:sz w:val="16"/>
                <w:szCs w:val="16"/>
              </w:rPr>
            </w:pPr>
            <w:r w:rsidRPr="00194538">
              <w:rPr>
                <w:rFonts w:cs="Arial"/>
                <w:sz w:val="16"/>
                <w:szCs w:val="16"/>
              </w:rPr>
              <w:t>Progress of land transport infrastructure investment projects </w:t>
            </w:r>
            <w:r w:rsidRPr="00194538">
              <w:rPr>
                <w:rFonts w:cs="Arial"/>
                <w:sz w:val="16"/>
                <w:szCs w:val="16"/>
                <w:vertAlign w:val="superscript"/>
              </w:rPr>
              <w:t>(d)</w:t>
            </w:r>
          </w:p>
        </w:tc>
        <w:tc>
          <w:tcPr>
            <w:tcW w:w="2331" w:type="pct"/>
            <w:gridSpan w:val="2"/>
            <w:tcBorders>
              <w:top w:val="single" w:sz="4" w:space="0" w:color="auto"/>
              <w:left w:val="single" w:sz="4" w:space="0" w:color="auto"/>
              <w:bottom w:val="single" w:sz="4" w:space="0" w:color="auto"/>
              <w:right w:val="single" w:sz="4" w:space="0" w:color="auto"/>
            </w:tcBorders>
          </w:tcPr>
          <w:p w14:paraId="133981A6" w14:textId="24052C0A" w:rsidR="00115843" w:rsidRPr="00194538" w:rsidRDefault="00115843" w:rsidP="00FB0D02">
            <w:pPr>
              <w:pStyle w:val="TableTextBase"/>
              <w:rPr>
                <w:rFonts w:cs="Arial"/>
                <w:sz w:val="16"/>
                <w:szCs w:val="16"/>
              </w:rPr>
            </w:pPr>
            <w:r w:rsidRPr="00194538">
              <w:rPr>
                <w:rFonts w:cs="Arial"/>
                <w:sz w:val="16"/>
                <w:szCs w:val="16"/>
              </w:rPr>
              <w:t>By June 2023, projects progressed in accordance with agreed timeframes</w:t>
            </w:r>
            <w:r w:rsidR="00194538" w:rsidRPr="00194538">
              <w:rPr>
                <w:rFonts w:cs="Arial"/>
                <w:sz w:val="16"/>
                <w:szCs w:val="16"/>
              </w:rPr>
              <w:t>.</w:t>
            </w:r>
          </w:p>
        </w:tc>
      </w:tr>
      <w:tr w:rsidR="00115843" w:rsidRPr="00194538" w14:paraId="39FF0E94" w14:textId="77777777" w:rsidTr="00FB0D02">
        <w:trPr>
          <w:trHeight w:val="258"/>
        </w:trPr>
        <w:tc>
          <w:tcPr>
            <w:tcW w:w="882" w:type="pct"/>
            <w:vMerge/>
            <w:tcBorders>
              <w:left w:val="single" w:sz="4" w:space="0" w:color="auto"/>
              <w:bottom w:val="single" w:sz="4" w:space="0" w:color="auto"/>
              <w:right w:val="single" w:sz="4" w:space="0" w:color="auto"/>
            </w:tcBorders>
          </w:tcPr>
          <w:p w14:paraId="565FC1D4" w14:textId="77777777" w:rsidR="00115843" w:rsidRPr="00194538" w:rsidRDefault="00115843" w:rsidP="00FB0D02">
            <w:pPr>
              <w:pStyle w:val="TableTextBase"/>
              <w:rPr>
                <w:rFonts w:cs="Arial"/>
                <w:sz w:val="16"/>
                <w:szCs w:val="16"/>
              </w:rPr>
            </w:pPr>
          </w:p>
        </w:tc>
        <w:tc>
          <w:tcPr>
            <w:tcW w:w="1787" w:type="pct"/>
            <w:tcBorders>
              <w:top w:val="single" w:sz="4" w:space="0" w:color="auto"/>
              <w:left w:val="single" w:sz="4" w:space="0" w:color="auto"/>
              <w:bottom w:val="single" w:sz="4" w:space="0" w:color="auto"/>
              <w:right w:val="single" w:sz="4" w:space="0" w:color="auto"/>
            </w:tcBorders>
          </w:tcPr>
          <w:p w14:paraId="329BC43F" w14:textId="77777777" w:rsidR="00115843" w:rsidRPr="00194538" w:rsidRDefault="00115843" w:rsidP="00FB0D02">
            <w:pPr>
              <w:pStyle w:val="TableTextBase"/>
              <w:rPr>
                <w:rFonts w:cs="Arial"/>
                <w:sz w:val="16"/>
                <w:szCs w:val="16"/>
              </w:rPr>
            </w:pPr>
            <w:r w:rsidRPr="00194538">
              <w:rPr>
                <w:rFonts w:cs="Arial"/>
                <w:sz w:val="16"/>
                <w:szCs w:val="16"/>
              </w:rPr>
              <w:t xml:space="preserve">Implementation of investment in intermodal terminals </w:t>
            </w:r>
            <w:r w:rsidRPr="00194538">
              <w:rPr>
                <w:rFonts w:cs="Arial"/>
                <w:sz w:val="16"/>
                <w:szCs w:val="16"/>
                <w:vertAlign w:val="superscript"/>
              </w:rPr>
              <w:t>(d)</w:t>
            </w:r>
          </w:p>
        </w:tc>
        <w:tc>
          <w:tcPr>
            <w:tcW w:w="2331" w:type="pct"/>
            <w:gridSpan w:val="2"/>
            <w:tcBorders>
              <w:top w:val="single" w:sz="4" w:space="0" w:color="auto"/>
              <w:left w:val="single" w:sz="4" w:space="0" w:color="auto"/>
              <w:bottom w:val="single" w:sz="4" w:space="0" w:color="auto"/>
              <w:right w:val="single" w:sz="4" w:space="0" w:color="auto"/>
            </w:tcBorders>
          </w:tcPr>
          <w:p w14:paraId="1CC483C0" w14:textId="59BF1806" w:rsidR="00115843" w:rsidRPr="00194538" w:rsidRDefault="00115843" w:rsidP="00FB0D02">
            <w:pPr>
              <w:pStyle w:val="TableTextBase"/>
              <w:rPr>
                <w:rFonts w:cs="Arial"/>
                <w:sz w:val="16"/>
                <w:szCs w:val="16"/>
              </w:rPr>
            </w:pPr>
            <w:r w:rsidRPr="00194538">
              <w:rPr>
                <w:rFonts w:cs="Arial"/>
                <w:sz w:val="16"/>
                <w:szCs w:val="16"/>
              </w:rPr>
              <w:t>Delivery milestones are met for each financial year</w:t>
            </w:r>
            <w:r w:rsidR="00194538" w:rsidRPr="00194538">
              <w:rPr>
                <w:rFonts w:cs="Arial"/>
                <w:sz w:val="16"/>
                <w:szCs w:val="16"/>
              </w:rPr>
              <w:t>.</w:t>
            </w:r>
          </w:p>
        </w:tc>
      </w:tr>
      <w:tr w:rsidR="00115843" w:rsidRPr="00194538" w14:paraId="4C1E2C43" w14:textId="77777777" w:rsidTr="00FB0D02">
        <w:trPr>
          <w:trHeight w:val="258"/>
        </w:trPr>
        <w:tc>
          <w:tcPr>
            <w:tcW w:w="882" w:type="pct"/>
            <w:vMerge w:val="restart"/>
            <w:tcBorders>
              <w:top w:val="single" w:sz="4" w:space="0" w:color="auto"/>
              <w:left w:val="single" w:sz="4" w:space="0" w:color="auto"/>
              <w:right w:val="single" w:sz="4" w:space="0" w:color="auto"/>
            </w:tcBorders>
          </w:tcPr>
          <w:p w14:paraId="08DF1597" w14:textId="77777777" w:rsidR="00115843" w:rsidRPr="00194538" w:rsidRDefault="00115843" w:rsidP="00FB0D02">
            <w:pPr>
              <w:pStyle w:val="TableTextBase"/>
              <w:rPr>
                <w:rFonts w:cs="Arial"/>
                <w:sz w:val="16"/>
                <w:szCs w:val="16"/>
              </w:rPr>
            </w:pPr>
            <w:r w:rsidRPr="00194538">
              <w:rPr>
                <w:rFonts w:cs="Arial"/>
                <w:sz w:val="16"/>
                <w:szCs w:val="16"/>
              </w:rPr>
              <w:t>Forward Estimates 2023–26</w:t>
            </w:r>
          </w:p>
        </w:tc>
        <w:tc>
          <w:tcPr>
            <w:tcW w:w="1787" w:type="pct"/>
            <w:tcBorders>
              <w:top w:val="single" w:sz="4" w:space="0" w:color="auto"/>
              <w:left w:val="single" w:sz="4" w:space="0" w:color="auto"/>
              <w:bottom w:val="single" w:sz="4" w:space="0" w:color="auto"/>
              <w:right w:val="single" w:sz="4" w:space="0" w:color="auto"/>
            </w:tcBorders>
          </w:tcPr>
          <w:p w14:paraId="714C02D1" w14:textId="77777777" w:rsidR="00115843" w:rsidRPr="00194538" w:rsidRDefault="00115843" w:rsidP="00FB0D02">
            <w:pPr>
              <w:pStyle w:val="TableTextBase"/>
              <w:rPr>
                <w:rFonts w:cs="Arial"/>
                <w:sz w:val="16"/>
                <w:szCs w:val="16"/>
              </w:rPr>
            </w:pPr>
            <w:r w:rsidRPr="00194538">
              <w:rPr>
                <w:rFonts w:cs="Arial"/>
                <w:sz w:val="16"/>
                <w:szCs w:val="16"/>
              </w:rPr>
              <w:t>Progress of land transport infrastructure investment projects </w:t>
            </w:r>
            <w:r w:rsidRPr="00194538">
              <w:rPr>
                <w:rFonts w:cs="Arial"/>
                <w:sz w:val="16"/>
                <w:szCs w:val="16"/>
                <w:vertAlign w:val="superscript"/>
              </w:rPr>
              <w:t>(d)</w:t>
            </w:r>
          </w:p>
        </w:tc>
        <w:tc>
          <w:tcPr>
            <w:tcW w:w="2331" w:type="pct"/>
            <w:gridSpan w:val="2"/>
            <w:tcBorders>
              <w:top w:val="single" w:sz="4" w:space="0" w:color="auto"/>
              <w:left w:val="single" w:sz="4" w:space="0" w:color="auto"/>
              <w:bottom w:val="single" w:sz="4" w:space="0" w:color="auto"/>
              <w:right w:val="single" w:sz="4" w:space="0" w:color="auto"/>
            </w:tcBorders>
          </w:tcPr>
          <w:p w14:paraId="0C14F847" w14:textId="77777777" w:rsidR="00115843" w:rsidRPr="00194538" w:rsidRDefault="00115843" w:rsidP="00FB0D02">
            <w:pPr>
              <w:pStyle w:val="TableTextBase"/>
              <w:rPr>
                <w:rFonts w:cs="Arial"/>
                <w:sz w:val="16"/>
                <w:szCs w:val="16"/>
              </w:rPr>
            </w:pPr>
            <w:r w:rsidRPr="00194538">
              <w:rPr>
                <w:rFonts w:cs="Arial"/>
                <w:sz w:val="16"/>
                <w:szCs w:val="16"/>
              </w:rPr>
              <w:t xml:space="preserve">By June 2026, National Partnership Agreement projects, land transport infrastructure projects schedules agreed with jurisdictions following the October 2022 Budget: </w:t>
            </w:r>
          </w:p>
          <w:p w14:paraId="1B856215" w14:textId="77777777" w:rsidR="00115843" w:rsidRPr="00194538" w:rsidRDefault="00115843" w:rsidP="00FB0D02">
            <w:pPr>
              <w:pStyle w:val="TableTextBase"/>
              <w:rPr>
                <w:rFonts w:cs="Arial"/>
                <w:sz w:val="16"/>
                <w:szCs w:val="16"/>
              </w:rPr>
            </w:pPr>
            <w:r w:rsidRPr="00194538">
              <w:rPr>
                <w:rFonts w:cs="Arial"/>
                <w:sz w:val="16"/>
                <w:szCs w:val="16"/>
              </w:rPr>
              <w:t xml:space="preserve">• Planning commenced on 100% of projects; </w:t>
            </w:r>
          </w:p>
          <w:p w14:paraId="6710927F" w14:textId="77777777" w:rsidR="00115843" w:rsidRPr="00194538" w:rsidRDefault="00115843" w:rsidP="00FB0D02">
            <w:pPr>
              <w:pStyle w:val="TableTextBase"/>
              <w:rPr>
                <w:rFonts w:cs="Arial"/>
                <w:sz w:val="16"/>
                <w:szCs w:val="16"/>
              </w:rPr>
            </w:pPr>
            <w:r w:rsidRPr="00194538">
              <w:rPr>
                <w:rFonts w:cs="Arial"/>
                <w:sz w:val="16"/>
                <w:szCs w:val="16"/>
              </w:rPr>
              <w:t xml:space="preserve">• more than 70% are under construction; </w:t>
            </w:r>
          </w:p>
          <w:p w14:paraId="01D10E4C" w14:textId="77777777" w:rsidR="00115843" w:rsidRPr="00194538" w:rsidDel="008E1A6E" w:rsidRDefault="00115843" w:rsidP="00FB0D02">
            <w:pPr>
              <w:pStyle w:val="TableTextBase"/>
              <w:rPr>
                <w:rFonts w:cs="Arial"/>
                <w:sz w:val="16"/>
                <w:szCs w:val="16"/>
              </w:rPr>
            </w:pPr>
            <w:r w:rsidRPr="00194538">
              <w:rPr>
                <w:rFonts w:cs="Arial"/>
                <w:sz w:val="16"/>
                <w:szCs w:val="16"/>
              </w:rPr>
              <w:t>• more than 50% have construction completed</w:t>
            </w:r>
          </w:p>
        </w:tc>
      </w:tr>
      <w:tr w:rsidR="00115843" w:rsidRPr="00194538" w14:paraId="1C62B309" w14:textId="77777777" w:rsidTr="00FB0D02">
        <w:trPr>
          <w:trHeight w:val="258"/>
        </w:trPr>
        <w:tc>
          <w:tcPr>
            <w:tcW w:w="882" w:type="pct"/>
            <w:vMerge/>
            <w:tcBorders>
              <w:left w:val="single" w:sz="4" w:space="0" w:color="auto"/>
              <w:bottom w:val="single" w:sz="4" w:space="0" w:color="auto"/>
              <w:right w:val="single" w:sz="4" w:space="0" w:color="auto"/>
            </w:tcBorders>
          </w:tcPr>
          <w:p w14:paraId="3C94D817" w14:textId="77777777" w:rsidR="00115843" w:rsidRPr="00194538" w:rsidRDefault="00115843" w:rsidP="00FB0D02">
            <w:pPr>
              <w:pStyle w:val="TableTextBase"/>
              <w:rPr>
                <w:rFonts w:cs="Arial"/>
                <w:sz w:val="16"/>
                <w:szCs w:val="16"/>
              </w:rPr>
            </w:pPr>
          </w:p>
        </w:tc>
        <w:tc>
          <w:tcPr>
            <w:tcW w:w="1787" w:type="pct"/>
            <w:tcBorders>
              <w:top w:val="single" w:sz="4" w:space="0" w:color="auto"/>
              <w:left w:val="single" w:sz="4" w:space="0" w:color="auto"/>
              <w:bottom w:val="single" w:sz="4" w:space="0" w:color="auto"/>
              <w:right w:val="single" w:sz="4" w:space="0" w:color="auto"/>
            </w:tcBorders>
          </w:tcPr>
          <w:p w14:paraId="3532BB5B" w14:textId="77777777" w:rsidR="00115843" w:rsidRPr="00194538" w:rsidRDefault="00115843" w:rsidP="00FB0D02">
            <w:pPr>
              <w:pStyle w:val="TableTextBase"/>
              <w:rPr>
                <w:rFonts w:cs="Arial"/>
                <w:sz w:val="16"/>
                <w:szCs w:val="16"/>
              </w:rPr>
            </w:pPr>
            <w:r w:rsidRPr="00194538">
              <w:rPr>
                <w:rFonts w:cs="Arial"/>
                <w:sz w:val="16"/>
                <w:szCs w:val="16"/>
              </w:rPr>
              <w:t xml:space="preserve">Implementation of investment in intermodal terminals </w:t>
            </w:r>
            <w:r w:rsidRPr="00194538">
              <w:rPr>
                <w:rFonts w:cs="Arial"/>
                <w:sz w:val="16"/>
                <w:szCs w:val="16"/>
                <w:vertAlign w:val="superscript"/>
              </w:rPr>
              <w:t>(d)</w:t>
            </w:r>
          </w:p>
        </w:tc>
        <w:tc>
          <w:tcPr>
            <w:tcW w:w="2331" w:type="pct"/>
            <w:gridSpan w:val="2"/>
            <w:tcBorders>
              <w:top w:val="single" w:sz="4" w:space="0" w:color="auto"/>
              <w:left w:val="single" w:sz="4" w:space="0" w:color="auto"/>
              <w:bottom w:val="single" w:sz="4" w:space="0" w:color="auto"/>
              <w:right w:val="single" w:sz="4" w:space="0" w:color="auto"/>
            </w:tcBorders>
          </w:tcPr>
          <w:p w14:paraId="764A5318" w14:textId="5FC61610" w:rsidR="00115843" w:rsidRPr="00194538" w:rsidDel="008E1A6E" w:rsidRDefault="00115843" w:rsidP="00FB0D02">
            <w:pPr>
              <w:pStyle w:val="TableTextBase"/>
              <w:rPr>
                <w:rFonts w:cs="Arial"/>
                <w:sz w:val="16"/>
                <w:szCs w:val="16"/>
              </w:rPr>
            </w:pPr>
            <w:r w:rsidRPr="00194538">
              <w:rPr>
                <w:rFonts w:cs="Arial"/>
                <w:sz w:val="16"/>
                <w:szCs w:val="16"/>
              </w:rPr>
              <w:t>Delivery milestones are met for each financial year</w:t>
            </w:r>
            <w:r w:rsidR="00194538" w:rsidRPr="00194538">
              <w:rPr>
                <w:rFonts w:cs="Arial"/>
                <w:sz w:val="16"/>
                <w:szCs w:val="16"/>
              </w:rPr>
              <w:t>.</w:t>
            </w:r>
          </w:p>
        </w:tc>
      </w:tr>
    </w:tbl>
    <w:p w14:paraId="117B28BA" w14:textId="77777777" w:rsidR="00115843" w:rsidRPr="007E0BF8" w:rsidRDefault="00115843" w:rsidP="00115843">
      <w:pPr>
        <w:pStyle w:val="ListParagraph"/>
        <w:numPr>
          <w:ilvl w:val="0"/>
          <w:numId w:val="257"/>
        </w:numPr>
        <w:spacing w:before="60" w:after="0" w:line="240" w:lineRule="auto"/>
        <w:ind w:left="426" w:hanging="426"/>
        <w:rPr>
          <w:rFonts w:ascii="Arial" w:hAnsi="Arial" w:cs="Arial"/>
          <w:sz w:val="16"/>
          <w:szCs w:val="16"/>
        </w:rPr>
      </w:pPr>
      <w:r w:rsidRPr="007E0BF8">
        <w:rPr>
          <w:rFonts w:ascii="Arial" w:hAnsi="Arial" w:cs="Arial"/>
          <w:sz w:val="16"/>
          <w:szCs w:val="16"/>
        </w:rPr>
        <w:t>2021–22 key activity ‘Deliver major project business cases’ referenced in the 2021–22 Corporate Plan, deleted</w:t>
      </w:r>
      <w:r>
        <w:rPr>
          <w:rFonts w:ascii="Arial" w:hAnsi="Arial" w:cs="Arial"/>
          <w:sz w:val="16"/>
          <w:szCs w:val="16"/>
        </w:rPr>
        <w:t>.</w:t>
      </w:r>
    </w:p>
    <w:p w14:paraId="3CD633D9" w14:textId="77777777" w:rsidR="00115843" w:rsidRPr="007E0BF8" w:rsidRDefault="00115843" w:rsidP="00115843">
      <w:pPr>
        <w:pStyle w:val="ListParagraph"/>
        <w:numPr>
          <w:ilvl w:val="0"/>
          <w:numId w:val="257"/>
        </w:numPr>
        <w:spacing w:after="0" w:line="240" w:lineRule="auto"/>
        <w:ind w:left="426" w:hanging="426"/>
        <w:rPr>
          <w:rFonts w:ascii="Arial" w:hAnsi="Arial" w:cs="Arial"/>
          <w:sz w:val="16"/>
          <w:szCs w:val="16"/>
        </w:rPr>
      </w:pPr>
      <w:r w:rsidRPr="007E0BF8">
        <w:rPr>
          <w:rFonts w:ascii="Arial" w:hAnsi="Arial" w:cs="Arial"/>
          <w:sz w:val="16"/>
          <w:szCs w:val="16"/>
        </w:rPr>
        <w:t>Refers to updated key activity that is reflected in the 2022–23 Corporate Plan</w:t>
      </w:r>
      <w:r>
        <w:rPr>
          <w:rFonts w:ascii="Arial" w:hAnsi="Arial" w:cs="Arial"/>
          <w:sz w:val="16"/>
          <w:szCs w:val="16"/>
        </w:rPr>
        <w:t>.</w:t>
      </w:r>
    </w:p>
    <w:p w14:paraId="008FE23B" w14:textId="77777777" w:rsidR="00115843" w:rsidRPr="007E0BF8" w:rsidRDefault="00115843" w:rsidP="00115843">
      <w:pPr>
        <w:pStyle w:val="ListParagraph"/>
        <w:numPr>
          <w:ilvl w:val="0"/>
          <w:numId w:val="257"/>
        </w:numPr>
        <w:spacing w:after="0" w:line="240" w:lineRule="auto"/>
        <w:ind w:left="426" w:hanging="426"/>
        <w:rPr>
          <w:rFonts w:ascii="Arial" w:hAnsi="Arial" w:cs="Arial"/>
          <w:sz w:val="16"/>
          <w:szCs w:val="16"/>
        </w:rPr>
      </w:pPr>
      <w:r w:rsidRPr="007E0BF8">
        <w:rPr>
          <w:rFonts w:ascii="Arial" w:hAnsi="Arial" w:cs="Arial"/>
          <w:sz w:val="16"/>
          <w:szCs w:val="16"/>
        </w:rPr>
        <w:t>Final reporting period for this measure. Further details are included in the 2022–23 Corporate Plan</w:t>
      </w:r>
      <w:r>
        <w:rPr>
          <w:rFonts w:ascii="Arial" w:hAnsi="Arial" w:cs="Arial"/>
          <w:sz w:val="16"/>
          <w:szCs w:val="16"/>
        </w:rPr>
        <w:t>.</w:t>
      </w:r>
    </w:p>
    <w:p w14:paraId="2AE68F1B" w14:textId="77777777" w:rsidR="00115843" w:rsidRDefault="00115843" w:rsidP="00115843">
      <w:pPr>
        <w:pStyle w:val="ListParagraph"/>
        <w:numPr>
          <w:ilvl w:val="0"/>
          <w:numId w:val="257"/>
        </w:numPr>
        <w:spacing w:after="0" w:line="240" w:lineRule="auto"/>
        <w:ind w:left="426" w:hanging="426"/>
        <w:rPr>
          <w:rFonts w:ascii="Arial" w:hAnsi="Arial" w:cs="Arial"/>
          <w:sz w:val="16"/>
          <w:szCs w:val="16"/>
        </w:rPr>
      </w:pPr>
      <w:r w:rsidRPr="007E0BF8">
        <w:rPr>
          <w:rFonts w:ascii="Arial" w:hAnsi="Arial" w:cs="Arial"/>
          <w:sz w:val="16"/>
          <w:szCs w:val="16"/>
        </w:rPr>
        <w:t>This 2022–23 measure combines two 2021–22 measures</w:t>
      </w:r>
      <w:bookmarkStart w:id="16" w:name="_Performance_information:_Outcome_1"/>
      <w:bookmarkEnd w:id="16"/>
      <w:r w:rsidRPr="007E0BF8">
        <w:rPr>
          <w:rFonts w:ascii="Arial" w:hAnsi="Arial" w:cs="Arial"/>
          <w:sz w:val="16"/>
          <w:szCs w:val="16"/>
        </w:rPr>
        <w:t>.</w:t>
      </w:r>
    </w:p>
    <w:p w14:paraId="6A0CD5F3" w14:textId="77777777" w:rsidR="00115843" w:rsidRPr="007E0BF8" w:rsidRDefault="00115843" w:rsidP="00115843">
      <w:pPr>
        <w:pStyle w:val="ListParagraph"/>
        <w:numPr>
          <w:ilvl w:val="0"/>
          <w:numId w:val="183"/>
        </w:numPr>
        <w:spacing w:after="0" w:line="240" w:lineRule="auto"/>
        <w:ind w:left="425" w:hanging="425"/>
        <w:rPr>
          <w:rFonts w:ascii="Arial" w:hAnsi="Arial" w:cs="Arial"/>
          <w:sz w:val="16"/>
          <w:szCs w:val="16"/>
        </w:rPr>
      </w:pPr>
      <w:r w:rsidRPr="007E0BF8">
        <w:rPr>
          <w:rFonts w:ascii="Arial" w:hAnsi="Arial" w:cs="Arial"/>
          <w:sz w:val="16"/>
          <w:szCs w:val="16"/>
        </w:rPr>
        <w:br w:type="page"/>
      </w:r>
    </w:p>
    <w:p w14:paraId="0978BA23" w14:textId="77777777" w:rsidR="00115843" w:rsidRPr="00C000B8" w:rsidRDefault="00115843" w:rsidP="00115843">
      <w:pPr>
        <w:pStyle w:val="Heading3-ITRDCA"/>
      </w:pPr>
      <w:bookmarkStart w:id="17" w:name="_Toc99101436"/>
      <w:bookmarkStart w:id="18" w:name="_Toc117242348"/>
      <w:r w:rsidRPr="00C000B8">
        <w:lastRenderedPageBreak/>
        <w:t xml:space="preserve">2.2 </w:t>
      </w:r>
      <w:r w:rsidRPr="00C000B8">
        <w:tab/>
        <w:t>Budgeted expenses and performance for Outcome 2</w:t>
      </w:r>
      <w:bookmarkEnd w:id="17"/>
      <w:bookmarkEnd w:id="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FC696C" w14:paraId="72FCEDD2" w14:textId="77777777" w:rsidTr="00707BCF">
        <w:trPr>
          <w:trHeight w:val="193"/>
        </w:trPr>
        <w:tc>
          <w:tcPr>
            <w:tcW w:w="5000" w:type="pct"/>
            <w:shd w:val="clear" w:color="auto" w:fill="E6E6E6"/>
          </w:tcPr>
          <w:p w14:paraId="77898D41" w14:textId="77777777" w:rsidR="00115843" w:rsidRPr="00707BCF" w:rsidRDefault="00115843" w:rsidP="00FB0D02">
            <w:pPr>
              <w:spacing w:before="60" w:after="60" w:line="240" w:lineRule="auto"/>
              <w:rPr>
                <w:rFonts w:ascii="Arial" w:hAnsi="Arial"/>
                <w:b/>
              </w:rPr>
            </w:pPr>
            <w:r w:rsidRPr="00707BCF">
              <w:rPr>
                <w:rFonts w:ascii="Arial" w:hAnsi="Arial"/>
                <w:b/>
              </w:rPr>
              <w:t>Outcome 2: An efficient, sustainable, competitive, safe and secure transport system for all transport users through regulation, financial assistance and safety investigations</w:t>
            </w:r>
          </w:p>
        </w:tc>
      </w:tr>
    </w:tbl>
    <w:p w14:paraId="6C3C9130" w14:textId="77777777" w:rsidR="00115843" w:rsidRPr="005E6F2B" w:rsidRDefault="00115843" w:rsidP="00115843">
      <w:pPr>
        <w:pStyle w:val="NoSpacing"/>
      </w:pPr>
    </w:p>
    <w:p w14:paraId="6A9AE109" w14:textId="77777777" w:rsidR="00115843" w:rsidRDefault="00115843" w:rsidP="00115843">
      <w:pPr>
        <w:pStyle w:val="Heading4"/>
      </w:pPr>
      <w:r w:rsidRPr="005E6F2B">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15843" w:rsidRPr="00A26263" w14:paraId="78F88C02" w14:textId="77777777" w:rsidTr="00FB0D02">
        <w:trPr>
          <w:cantSplit/>
          <w:trHeight w:val="113"/>
        </w:trPr>
        <w:tc>
          <w:tcPr>
            <w:tcW w:w="5000" w:type="pct"/>
            <w:tcBorders>
              <w:top w:val="single" w:sz="4" w:space="0" w:color="auto"/>
              <w:left w:val="single" w:sz="4" w:space="0" w:color="auto"/>
              <w:bottom w:val="nil"/>
              <w:right w:val="single" w:sz="4" w:space="0" w:color="auto"/>
            </w:tcBorders>
          </w:tcPr>
          <w:p w14:paraId="52B80730" w14:textId="77777777" w:rsidR="00115843" w:rsidRPr="00A26263" w:rsidRDefault="00115843" w:rsidP="00FB0D02">
            <w:pPr>
              <w:spacing w:before="60" w:after="60" w:line="240" w:lineRule="auto"/>
              <w:rPr>
                <w:b/>
                <w:highlight w:val="yellow"/>
              </w:rPr>
            </w:pPr>
            <w:r w:rsidRPr="00A26263">
              <w:rPr>
                <w:b/>
                <w:lang w:val="x-none" w:eastAsia="x-none"/>
              </w:rPr>
              <w:t>Australian Trade and Investment Commission</w:t>
            </w:r>
          </w:p>
        </w:tc>
      </w:tr>
      <w:tr w:rsidR="00115843" w:rsidRPr="00A26263" w14:paraId="47F624A5" w14:textId="77777777" w:rsidTr="00FB0D02">
        <w:trPr>
          <w:cantSplit/>
          <w:trHeight w:val="113"/>
        </w:trPr>
        <w:tc>
          <w:tcPr>
            <w:tcW w:w="5000" w:type="pct"/>
            <w:tcBorders>
              <w:top w:val="nil"/>
              <w:left w:val="single" w:sz="4" w:space="0" w:color="auto"/>
              <w:bottom w:val="single" w:sz="4" w:space="0" w:color="auto"/>
              <w:right w:val="single" w:sz="4" w:space="0" w:color="auto"/>
            </w:tcBorders>
          </w:tcPr>
          <w:p w14:paraId="7220252E" w14:textId="77777777" w:rsidR="00115843" w:rsidRPr="00A26263" w:rsidRDefault="00115843" w:rsidP="00FB0D02">
            <w:pPr>
              <w:spacing w:before="60" w:after="60"/>
              <w:rPr>
                <w:b/>
                <w:lang w:val="x-none" w:eastAsia="x-none"/>
              </w:rPr>
            </w:pPr>
            <w:r w:rsidRPr="00A26263">
              <w:rPr>
                <w:b/>
                <w:lang w:val="x-none" w:eastAsia="x-none"/>
              </w:rPr>
              <w:t>Programs</w:t>
            </w:r>
          </w:p>
          <w:p w14:paraId="563F4AAC" w14:textId="77777777" w:rsidR="00115843" w:rsidRPr="00A26263" w:rsidRDefault="00115843" w:rsidP="00115843">
            <w:pPr>
              <w:numPr>
                <w:ilvl w:val="0"/>
                <w:numId w:val="88"/>
              </w:numPr>
              <w:spacing w:before="60" w:after="60" w:line="240" w:lineRule="auto"/>
              <w:ind w:left="357" w:hanging="357"/>
              <w:rPr>
                <w:rFonts w:eastAsia="Calibri"/>
              </w:rPr>
            </w:pPr>
            <w:r w:rsidRPr="00A26263">
              <w:rPr>
                <w:lang w:val="en-US"/>
              </w:rPr>
              <w:t>Program</w:t>
            </w:r>
            <w:r w:rsidRPr="00A26263">
              <w:rPr>
                <w:rFonts w:eastAsia="Calibri"/>
              </w:rPr>
              <w:t xml:space="preserve"> 1.2: Programs to Promote Australia’s Exports and Other International Economic Interests</w:t>
            </w:r>
          </w:p>
          <w:p w14:paraId="55209727" w14:textId="77777777" w:rsidR="00115843" w:rsidRPr="00A26263" w:rsidRDefault="00115843" w:rsidP="00FB0D02">
            <w:pPr>
              <w:spacing w:before="60" w:after="60" w:line="240" w:lineRule="auto"/>
              <w:rPr>
                <w:rFonts w:eastAsiaTheme="minorHAnsi"/>
                <w:b/>
                <w:lang w:val="x-none" w:eastAsia="x-none"/>
              </w:rPr>
            </w:pPr>
            <w:r w:rsidRPr="00A26263">
              <w:rPr>
                <w:rFonts w:eastAsiaTheme="minorHAnsi"/>
                <w:b/>
                <w:lang w:val="x-none" w:eastAsia="x-none"/>
              </w:rPr>
              <w:t>Contribution to Outcome 2 made by linked programs</w:t>
            </w:r>
          </w:p>
          <w:p w14:paraId="5E5397DF" w14:textId="0607397F" w:rsidR="00115843" w:rsidRPr="00A26263" w:rsidRDefault="00115843" w:rsidP="00FB0D02">
            <w:pPr>
              <w:spacing w:after="60" w:line="240" w:lineRule="auto"/>
              <w:rPr>
                <w:rFonts w:eastAsiaTheme="minorHAnsi"/>
                <w:b/>
              </w:rPr>
            </w:pPr>
            <w:r w:rsidRPr="00A26263">
              <w:rPr>
                <w:rFonts w:eastAsiaTheme="minorHAnsi"/>
                <w:lang w:val="x-none" w:eastAsia="x-none"/>
              </w:rPr>
              <w:t>The Department of Infrastructure, Transport, Regional Development</w:t>
            </w:r>
            <w:r w:rsidRPr="00A26263">
              <w:rPr>
                <w:rFonts w:eastAsiaTheme="minorHAnsi"/>
                <w:lang w:val="en-US" w:eastAsia="x-none"/>
              </w:rPr>
              <w:t xml:space="preserve">, </w:t>
            </w:r>
            <w:r w:rsidRPr="00A26263">
              <w:rPr>
                <w:rFonts w:eastAsiaTheme="minorHAnsi"/>
                <w:lang w:val="x-none" w:eastAsia="x-none"/>
              </w:rPr>
              <w:t>Communications an</w:t>
            </w:r>
            <w:r w:rsidRPr="00A26263">
              <w:rPr>
                <w:rFonts w:eastAsiaTheme="minorHAnsi"/>
                <w:lang w:val="en-US" w:eastAsia="x-none"/>
              </w:rPr>
              <w:t xml:space="preserve">d the Arts </w:t>
            </w:r>
            <w:r w:rsidRPr="00A26263">
              <w:rPr>
                <w:rFonts w:eastAsiaTheme="minorHAnsi"/>
                <w:lang w:val="x-none" w:eastAsia="x-none"/>
              </w:rPr>
              <w:t xml:space="preserve">works closely with the Australian Trade and Investment Commission (Austrade) </w:t>
            </w:r>
            <w:r w:rsidRPr="00A26263">
              <w:rPr>
                <w:rFonts w:eastAsiaTheme="minorHAnsi"/>
                <w:lang w:eastAsia="x-none"/>
              </w:rPr>
              <w:t>to support tourism demand-driving infrastructure in Australia’s regions through regional grants programs.</w:t>
            </w:r>
            <w:r w:rsidRPr="00A26263">
              <w:rPr>
                <w:rFonts w:eastAsiaTheme="minorHAnsi"/>
                <w:lang w:val="x-none" w:eastAsia="x-none"/>
              </w:rPr>
              <w:t xml:space="preserve"> </w:t>
            </w:r>
            <w:r w:rsidRPr="00A26263">
              <w:rPr>
                <w:rFonts w:ascii="Times New Roman" w:eastAsiaTheme="minorHAnsi" w:hAnsi="Times New Roman"/>
                <w:szCs w:val="24"/>
              </w:rPr>
              <w:t xml:space="preserve"> </w:t>
            </w:r>
          </w:p>
        </w:tc>
      </w:tr>
      <w:tr w:rsidR="00115843" w:rsidRPr="00A26263" w14:paraId="362F4E6C" w14:textId="77777777" w:rsidTr="00FB0D02">
        <w:trPr>
          <w:trHeight w:val="2156"/>
          <w:tblHeader/>
        </w:trPr>
        <w:tc>
          <w:tcPr>
            <w:tcW w:w="5000" w:type="pct"/>
          </w:tcPr>
          <w:p w14:paraId="48E8B797" w14:textId="77777777" w:rsidR="00115843" w:rsidRPr="00A26263" w:rsidRDefault="00115843" w:rsidP="00FB0D02">
            <w:pPr>
              <w:spacing w:before="60" w:after="60" w:line="240" w:lineRule="auto"/>
              <w:rPr>
                <w:b/>
              </w:rPr>
            </w:pPr>
            <w:r w:rsidRPr="00A26263">
              <w:rPr>
                <w:b/>
              </w:rPr>
              <w:t>Services Australia</w:t>
            </w:r>
          </w:p>
          <w:p w14:paraId="22D7FA0B" w14:textId="77777777" w:rsidR="00115843" w:rsidRPr="00A26263" w:rsidRDefault="00115843" w:rsidP="00FB0D02">
            <w:pPr>
              <w:spacing w:before="60" w:after="60" w:line="240" w:lineRule="auto"/>
              <w:rPr>
                <w:b/>
              </w:rPr>
            </w:pPr>
            <w:r w:rsidRPr="00A26263">
              <w:rPr>
                <w:b/>
              </w:rPr>
              <w:t>Programs</w:t>
            </w:r>
          </w:p>
          <w:p w14:paraId="52A037D6" w14:textId="77777777" w:rsidR="00115843" w:rsidRPr="00A26263" w:rsidRDefault="00115843" w:rsidP="00115843">
            <w:pPr>
              <w:numPr>
                <w:ilvl w:val="0"/>
                <w:numId w:val="88"/>
              </w:numPr>
              <w:spacing w:before="60" w:after="60" w:line="240" w:lineRule="auto"/>
              <w:ind w:left="357" w:hanging="357"/>
            </w:pPr>
            <w:r w:rsidRPr="00A26263">
              <w:rPr>
                <w:lang w:val="en-US"/>
              </w:rPr>
              <w:t>Program</w:t>
            </w:r>
            <w:r w:rsidRPr="00A26263">
              <w:t xml:space="preserve"> </w:t>
            </w:r>
            <w:r w:rsidRPr="00A26263">
              <w:rPr>
                <w:lang w:val="en-US"/>
              </w:rPr>
              <w:t>1.1: Services to the Community – Social Security and Welfare</w:t>
            </w:r>
          </w:p>
          <w:p w14:paraId="678ADD4A" w14:textId="77777777" w:rsidR="00115843" w:rsidRPr="00A26263" w:rsidRDefault="00115843" w:rsidP="00FB0D02">
            <w:pPr>
              <w:spacing w:before="60" w:after="60" w:line="240" w:lineRule="auto"/>
              <w:rPr>
                <w:b/>
                <w:i/>
              </w:rPr>
            </w:pPr>
            <w:r w:rsidRPr="00A26263">
              <w:rPr>
                <w:b/>
                <w:lang w:val="en-US"/>
              </w:rPr>
              <w:t>Contribution to Outcome 2 made by linked programs</w:t>
            </w:r>
          </w:p>
          <w:p w14:paraId="555843D6" w14:textId="77777777" w:rsidR="00115843" w:rsidRPr="00A26263" w:rsidRDefault="00115843" w:rsidP="00FB0D02">
            <w:pPr>
              <w:spacing w:before="60" w:after="60" w:line="240" w:lineRule="auto"/>
            </w:pPr>
            <w:r w:rsidRPr="00A26263">
              <w:t>The above linkage relates to payments made by Services Australia on behalf of the Department for the Tasmanian Freight Equalisation Scheme and the Bass Strait Passenger Vehicle Equalisation Scheme.</w:t>
            </w:r>
          </w:p>
        </w:tc>
      </w:tr>
    </w:tbl>
    <w:p w14:paraId="4FE04B5E" w14:textId="77777777" w:rsidR="00115843" w:rsidRDefault="00115843" w:rsidP="00115843">
      <w:pPr>
        <w:rPr>
          <w:rFonts w:ascii="Arial Bold" w:hAnsi="Arial Bold"/>
        </w:rPr>
      </w:pPr>
      <w:r>
        <w:br w:type="page"/>
      </w:r>
    </w:p>
    <w:p w14:paraId="6AB82F96" w14:textId="77777777" w:rsidR="00115843" w:rsidRDefault="00115843" w:rsidP="00115843">
      <w:pPr>
        <w:pStyle w:val="Heading4"/>
      </w:pPr>
      <w:r w:rsidRPr="00446612">
        <w:lastRenderedPageBreak/>
        <w:t xml:space="preserve">Budgeted expenses for Outcome </w:t>
      </w:r>
      <w:r>
        <w:t>2</w:t>
      </w:r>
    </w:p>
    <w:p w14:paraId="3706708C" w14:textId="77777777" w:rsidR="00115843" w:rsidRPr="00541FB4" w:rsidRDefault="00115843" w:rsidP="00115843">
      <w:r w:rsidRPr="00541FB4">
        <w:t xml:space="preserve">This table shows how much the </w:t>
      </w:r>
      <w:r>
        <w:t>Department</w:t>
      </w:r>
      <w:r w:rsidRPr="00541FB4">
        <w:t xml:space="preserve"> intends to spend (on an accrual basis) on achieving the outcome, broken down by program, as well as by </w:t>
      </w:r>
      <w:r>
        <w:t>a</w:t>
      </w:r>
      <w:r w:rsidRPr="00541FB4">
        <w:t xml:space="preserve">dministered and </w:t>
      </w:r>
      <w:r>
        <w:t>d</w:t>
      </w:r>
      <w:r w:rsidRPr="00541FB4">
        <w:t>epartmental funding sources.</w:t>
      </w:r>
    </w:p>
    <w:p w14:paraId="0D1889A6" w14:textId="77777777" w:rsidR="00115843" w:rsidRDefault="00115843" w:rsidP="00115843">
      <w:pPr>
        <w:pStyle w:val="TableHeadingcontinued"/>
      </w:pPr>
      <w:r w:rsidRPr="00AD42E2">
        <w:t>Table 2.</w:t>
      </w:r>
      <w:r>
        <w:t>2</w:t>
      </w:r>
      <w:r w:rsidRPr="00AD42E2">
        <w:t>.</w:t>
      </w:r>
      <w:r>
        <w:t>1</w:t>
      </w:r>
      <w:r w:rsidRPr="00AD42E2">
        <w:t xml:space="preserve">: Budgeted expenses for Outcome </w:t>
      </w:r>
      <w:r>
        <w:t xml:space="preserve">2 </w:t>
      </w:r>
    </w:p>
    <w:tbl>
      <w:tblPr>
        <w:tblW w:w="4969" w:type="pct"/>
        <w:tblLayout w:type="fixed"/>
        <w:tblLook w:val="04A0" w:firstRow="1" w:lastRow="0" w:firstColumn="1" w:lastColumn="0" w:noHBand="0" w:noVBand="1"/>
      </w:tblPr>
      <w:tblGrid>
        <w:gridCol w:w="3258"/>
        <w:gridCol w:w="40"/>
        <w:gridCol w:w="929"/>
        <w:gridCol w:w="23"/>
        <w:gridCol w:w="818"/>
        <w:gridCol w:w="14"/>
        <w:gridCol w:w="29"/>
        <w:gridCol w:w="843"/>
        <w:gridCol w:w="51"/>
        <w:gridCol w:w="757"/>
        <w:gridCol w:w="32"/>
        <w:gridCol w:w="11"/>
        <w:gridCol w:w="57"/>
        <w:gridCol w:w="800"/>
      </w:tblGrid>
      <w:tr w:rsidR="00115843" w:rsidRPr="00C8650F" w14:paraId="4DD62E15" w14:textId="77777777" w:rsidTr="00436AC0">
        <w:trPr>
          <w:trHeight w:val="204"/>
        </w:trPr>
        <w:tc>
          <w:tcPr>
            <w:tcW w:w="2153" w:type="pct"/>
            <w:gridSpan w:val="2"/>
            <w:tcBorders>
              <w:top w:val="single" w:sz="4" w:space="0" w:color="auto"/>
              <w:left w:val="nil"/>
              <w:bottom w:val="single" w:sz="4" w:space="0" w:color="auto"/>
              <w:right w:val="nil"/>
            </w:tcBorders>
            <w:shd w:val="clear" w:color="auto" w:fill="auto"/>
            <w:noWrap/>
            <w:vAlign w:val="bottom"/>
            <w:hideMark/>
          </w:tcPr>
          <w:p w14:paraId="0165502B" w14:textId="77777777" w:rsidR="00115843" w:rsidRPr="00C8650F" w:rsidRDefault="00115843" w:rsidP="00194538">
            <w:pPr>
              <w:spacing w:after="0" w:line="240" w:lineRule="auto"/>
              <w:rPr>
                <w:rFonts w:ascii="Arial" w:hAnsi="Arial" w:cs="Arial"/>
                <w:sz w:val="16"/>
                <w:szCs w:val="16"/>
              </w:rPr>
            </w:pPr>
            <w:r w:rsidRPr="00C8650F">
              <w:rPr>
                <w:rFonts w:ascii="Arial" w:hAnsi="Arial" w:cs="Arial"/>
                <w:sz w:val="16"/>
                <w:szCs w:val="16"/>
              </w:rPr>
              <w:t> </w:t>
            </w:r>
          </w:p>
        </w:tc>
        <w:tc>
          <w:tcPr>
            <w:tcW w:w="606" w:type="pct"/>
            <w:tcBorders>
              <w:top w:val="single" w:sz="4" w:space="0" w:color="auto"/>
              <w:left w:val="nil"/>
              <w:bottom w:val="single" w:sz="4" w:space="0" w:color="auto"/>
              <w:right w:val="nil"/>
            </w:tcBorders>
            <w:shd w:val="clear" w:color="auto" w:fill="auto"/>
            <w:vAlign w:val="bottom"/>
            <w:hideMark/>
          </w:tcPr>
          <w:p w14:paraId="26C13134" w14:textId="77777777" w:rsidR="00115843" w:rsidRPr="00C8650F" w:rsidRDefault="00115843" w:rsidP="00194538">
            <w:pPr>
              <w:spacing w:after="0" w:line="240" w:lineRule="auto"/>
              <w:jc w:val="right"/>
              <w:rPr>
                <w:rFonts w:ascii="Arial" w:hAnsi="Arial" w:cs="Arial"/>
                <w:sz w:val="16"/>
                <w:szCs w:val="16"/>
              </w:rPr>
            </w:pPr>
            <w:r w:rsidRPr="00C8650F">
              <w:rPr>
                <w:rFonts w:ascii="Arial" w:hAnsi="Arial" w:cs="Arial"/>
                <w:sz w:val="16"/>
                <w:szCs w:val="16"/>
              </w:rPr>
              <w:t>2021-22</w:t>
            </w:r>
            <w:r w:rsidRPr="00C8650F">
              <w:rPr>
                <w:rFonts w:ascii="Arial" w:hAnsi="Arial" w:cs="Arial"/>
                <w:sz w:val="16"/>
                <w:szCs w:val="16"/>
              </w:rPr>
              <w:br/>
              <w:t>Estimated  actual</w:t>
            </w:r>
            <w:r w:rsidRPr="00C8650F">
              <w:rPr>
                <w:rFonts w:ascii="Arial" w:hAnsi="Arial" w:cs="Arial"/>
                <w:sz w:val="16"/>
                <w:szCs w:val="16"/>
              </w:rPr>
              <w:br/>
              <w:t>$'000</w:t>
            </w:r>
          </w:p>
        </w:tc>
        <w:tc>
          <w:tcPr>
            <w:tcW w:w="549" w:type="pct"/>
            <w:gridSpan w:val="2"/>
            <w:tcBorders>
              <w:top w:val="single" w:sz="4" w:space="0" w:color="auto"/>
              <w:left w:val="nil"/>
              <w:bottom w:val="single" w:sz="4" w:space="0" w:color="auto"/>
              <w:right w:val="nil"/>
            </w:tcBorders>
            <w:shd w:val="clear" w:color="auto" w:fill="E6E6E6"/>
            <w:vAlign w:val="bottom"/>
            <w:hideMark/>
          </w:tcPr>
          <w:p w14:paraId="5C89587B" w14:textId="77777777" w:rsidR="00115843" w:rsidRPr="00C8650F" w:rsidRDefault="00115843" w:rsidP="00194538">
            <w:pPr>
              <w:spacing w:after="0" w:line="240" w:lineRule="auto"/>
              <w:jc w:val="right"/>
              <w:rPr>
                <w:rFonts w:ascii="Arial" w:hAnsi="Arial" w:cs="Arial"/>
                <w:sz w:val="16"/>
                <w:szCs w:val="16"/>
              </w:rPr>
            </w:pPr>
            <w:r w:rsidRPr="00C8650F">
              <w:rPr>
                <w:rFonts w:ascii="Arial" w:hAnsi="Arial" w:cs="Arial"/>
                <w:sz w:val="16"/>
                <w:szCs w:val="16"/>
              </w:rPr>
              <w:t>2022-23</w:t>
            </w:r>
            <w:r w:rsidRPr="00C8650F">
              <w:rPr>
                <w:rFonts w:ascii="Arial" w:hAnsi="Arial" w:cs="Arial"/>
                <w:sz w:val="16"/>
                <w:szCs w:val="16"/>
              </w:rPr>
              <w:br/>
              <w:t xml:space="preserve"> Budget</w:t>
            </w:r>
            <w:r w:rsidRPr="00C8650F">
              <w:rPr>
                <w:rFonts w:ascii="Arial" w:hAnsi="Arial" w:cs="Arial"/>
                <w:sz w:val="16"/>
                <w:szCs w:val="16"/>
              </w:rPr>
              <w:br/>
              <w:t xml:space="preserve">                                      $'000</w:t>
            </w:r>
          </w:p>
        </w:tc>
        <w:tc>
          <w:tcPr>
            <w:tcW w:w="578" w:type="pct"/>
            <w:gridSpan w:val="3"/>
            <w:tcBorders>
              <w:top w:val="single" w:sz="4" w:space="0" w:color="auto"/>
              <w:left w:val="nil"/>
              <w:bottom w:val="single" w:sz="4" w:space="0" w:color="auto"/>
              <w:right w:val="nil"/>
            </w:tcBorders>
            <w:shd w:val="clear" w:color="auto" w:fill="auto"/>
            <w:vAlign w:val="bottom"/>
            <w:hideMark/>
          </w:tcPr>
          <w:p w14:paraId="1C143BB1" w14:textId="77777777" w:rsidR="00115843" w:rsidRPr="00C8650F" w:rsidRDefault="00115843" w:rsidP="00194538">
            <w:pPr>
              <w:spacing w:after="0" w:line="240" w:lineRule="auto"/>
              <w:jc w:val="right"/>
              <w:rPr>
                <w:rFonts w:ascii="Arial" w:hAnsi="Arial" w:cs="Arial"/>
                <w:sz w:val="16"/>
                <w:szCs w:val="16"/>
              </w:rPr>
            </w:pPr>
            <w:r w:rsidRPr="00C8650F">
              <w:rPr>
                <w:rFonts w:ascii="Arial" w:hAnsi="Arial" w:cs="Arial"/>
                <w:sz w:val="16"/>
                <w:szCs w:val="16"/>
              </w:rPr>
              <w:t>2023-24</w:t>
            </w:r>
            <w:r w:rsidRPr="00C8650F">
              <w:rPr>
                <w:rFonts w:ascii="Arial" w:hAnsi="Arial" w:cs="Arial"/>
                <w:sz w:val="16"/>
                <w:szCs w:val="16"/>
              </w:rPr>
              <w:br/>
              <w:t>Forward estimate</w:t>
            </w:r>
            <w:r w:rsidRPr="00C8650F">
              <w:rPr>
                <w:rFonts w:ascii="Arial" w:hAnsi="Arial" w:cs="Arial"/>
                <w:sz w:val="16"/>
                <w:szCs w:val="16"/>
              </w:rPr>
              <w:br/>
              <w:t>$'000</w:t>
            </w:r>
          </w:p>
        </w:tc>
        <w:tc>
          <w:tcPr>
            <w:tcW w:w="548" w:type="pct"/>
            <w:gridSpan w:val="3"/>
            <w:tcBorders>
              <w:top w:val="single" w:sz="4" w:space="0" w:color="auto"/>
              <w:left w:val="nil"/>
              <w:bottom w:val="single" w:sz="4" w:space="0" w:color="auto"/>
              <w:right w:val="nil"/>
            </w:tcBorders>
            <w:shd w:val="clear" w:color="auto" w:fill="auto"/>
            <w:vAlign w:val="bottom"/>
            <w:hideMark/>
          </w:tcPr>
          <w:p w14:paraId="4F42BEBB" w14:textId="77777777" w:rsidR="00115843" w:rsidRPr="00C8650F" w:rsidRDefault="00115843" w:rsidP="00194538">
            <w:pPr>
              <w:spacing w:after="0" w:line="240" w:lineRule="auto"/>
              <w:jc w:val="right"/>
              <w:rPr>
                <w:rFonts w:ascii="Arial" w:hAnsi="Arial" w:cs="Arial"/>
                <w:sz w:val="16"/>
                <w:szCs w:val="16"/>
              </w:rPr>
            </w:pPr>
            <w:r w:rsidRPr="00C8650F">
              <w:rPr>
                <w:rFonts w:ascii="Arial" w:hAnsi="Arial" w:cs="Arial"/>
                <w:sz w:val="16"/>
                <w:szCs w:val="16"/>
              </w:rPr>
              <w:t>2024-25</w:t>
            </w:r>
            <w:r w:rsidRPr="00C8650F">
              <w:rPr>
                <w:rFonts w:ascii="Arial" w:hAnsi="Arial" w:cs="Arial"/>
                <w:sz w:val="16"/>
                <w:szCs w:val="16"/>
              </w:rPr>
              <w:br/>
              <w:t>Forward estimate</w:t>
            </w:r>
            <w:r w:rsidRPr="00C8650F">
              <w:rPr>
                <w:rFonts w:ascii="Arial" w:hAnsi="Arial" w:cs="Arial"/>
                <w:sz w:val="16"/>
                <w:szCs w:val="16"/>
              </w:rPr>
              <w:br/>
              <w:t>$'000</w:t>
            </w:r>
          </w:p>
        </w:tc>
        <w:tc>
          <w:tcPr>
            <w:tcW w:w="565" w:type="pct"/>
            <w:gridSpan w:val="3"/>
            <w:tcBorders>
              <w:top w:val="single" w:sz="4" w:space="0" w:color="auto"/>
              <w:left w:val="nil"/>
              <w:bottom w:val="single" w:sz="4" w:space="0" w:color="auto"/>
              <w:right w:val="nil"/>
            </w:tcBorders>
            <w:shd w:val="clear" w:color="auto" w:fill="auto"/>
            <w:vAlign w:val="bottom"/>
            <w:hideMark/>
          </w:tcPr>
          <w:p w14:paraId="4E9BE612" w14:textId="77777777" w:rsidR="00115843" w:rsidRPr="00C8650F" w:rsidRDefault="00115843" w:rsidP="00194538">
            <w:pPr>
              <w:spacing w:after="0" w:line="240" w:lineRule="auto"/>
              <w:jc w:val="right"/>
              <w:rPr>
                <w:rFonts w:ascii="Arial" w:hAnsi="Arial" w:cs="Arial"/>
                <w:sz w:val="16"/>
                <w:szCs w:val="16"/>
              </w:rPr>
            </w:pPr>
            <w:r w:rsidRPr="00C8650F">
              <w:rPr>
                <w:rFonts w:ascii="Arial" w:hAnsi="Arial" w:cs="Arial"/>
                <w:sz w:val="16"/>
                <w:szCs w:val="16"/>
              </w:rPr>
              <w:t>2025-26</w:t>
            </w:r>
            <w:r w:rsidRPr="00C8650F">
              <w:rPr>
                <w:rFonts w:ascii="Arial" w:hAnsi="Arial" w:cs="Arial"/>
                <w:sz w:val="16"/>
                <w:szCs w:val="16"/>
              </w:rPr>
              <w:br/>
              <w:t>Forward estimate</w:t>
            </w:r>
            <w:r w:rsidRPr="00C8650F">
              <w:rPr>
                <w:rFonts w:ascii="Arial" w:hAnsi="Arial" w:cs="Arial"/>
                <w:sz w:val="16"/>
                <w:szCs w:val="16"/>
              </w:rPr>
              <w:br/>
              <w:t>$'000</w:t>
            </w:r>
          </w:p>
        </w:tc>
      </w:tr>
      <w:tr w:rsidR="00115843" w:rsidRPr="00C8650F" w14:paraId="621EA947" w14:textId="77777777" w:rsidTr="00436AC0">
        <w:trPr>
          <w:trHeight w:val="204"/>
        </w:trPr>
        <w:tc>
          <w:tcPr>
            <w:tcW w:w="5000" w:type="pct"/>
            <w:gridSpan w:val="14"/>
            <w:tcBorders>
              <w:top w:val="nil"/>
              <w:left w:val="nil"/>
              <w:bottom w:val="single" w:sz="4" w:space="0" w:color="auto"/>
              <w:right w:val="nil"/>
            </w:tcBorders>
            <w:shd w:val="clear" w:color="auto" w:fill="E6E6E6"/>
            <w:noWrap/>
            <w:vAlign w:val="bottom"/>
            <w:hideMark/>
          </w:tcPr>
          <w:p w14:paraId="2CB2CAE6" w14:textId="77777777" w:rsidR="00115843" w:rsidRPr="00C8650F" w:rsidRDefault="00115843" w:rsidP="00194538">
            <w:pPr>
              <w:spacing w:after="0" w:line="240" w:lineRule="auto"/>
              <w:rPr>
                <w:rFonts w:ascii="Arial" w:hAnsi="Arial" w:cs="Arial"/>
                <w:sz w:val="16"/>
                <w:szCs w:val="16"/>
              </w:rPr>
            </w:pPr>
            <w:r w:rsidRPr="00C8650F">
              <w:rPr>
                <w:rFonts w:ascii="Arial" w:hAnsi="Arial" w:cs="Arial"/>
                <w:b/>
                <w:bCs/>
                <w:sz w:val="16"/>
                <w:szCs w:val="16"/>
              </w:rPr>
              <w:t xml:space="preserve">Program 2.1: Surface Transport </w:t>
            </w:r>
          </w:p>
        </w:tc>
      </w:tr>
      <w:tr w:rsidR="00115843" w:rsidRPr="005D0C2F" w14:paraId="2A0CDF13" w14:textId="77777777" w:rsidTr="00436AC0">
        <w:trPr>
          <w:trHeight w:val="204"/>
        </w:trPr>
        <w:tc>
          <w:tcPr>
            <w:tcW w:w="2153" w:type="pct"/>
            <w:gridSpan w:val="2"/>
            <w:tcBorders>
              <w:top w:val="nil"/>
              <w:left w:val="nil"/>
              <w:bottom w:val="nil"/>
              <w:right w:val="nil"/>
            </w:tcBorders>
            <w:shd w:val="clear" w:color="auto" w:fill="auto"/>
            <w:noWrap/>
            <w:vAlign w:val="bottom"/>
            <w:hideMark/>
          </w:tcPr>
          <w:p w14:paraId="4D50ECD2" w14:textId="77777777" w:rsidR="00115843" w:rsidRPr="005D0C2F" w:rsidRDefault="00115843" w:rsidP="00194538">
            <w:pPr>
              <w:spacing w:after="0" w:line="240" w:lineRule="auto"/>
              <w:rPr>
                <w:rFonts w:ascii="Arial" w:hAnsi="Arial" w:cs="Arial"/>
                <w:sz w:val="16"/>
                <w:szCs w:val="16"/>
              </w:rPr>
            </w:pPr>
            <w:r w:rsidRPr="005D0C2F">
              <w:rPr>
                <w:rFonts w:ascii="Arial" w:hAnsi="Arial" w:cs="Arial"/>
                <w:sz w:val="16"/>
                <w:szCs w:val="16"/>
              </w:rPr>
              <w:t>Administered expenses</w:t>
            </w:r>
          </w:p>
        </w:tc>
        <w:tc>
          <w:tcPr>
            <w:tcW w:w="606" w:type="pct"/>
            <w:tcBorders>
              <w:top w:val="nil"/>
              <w:left w:val="nil"/>
              <w:bottom w:val="nil"/>
              <w:right w:val="nil"/>
            </w:tcBorders>
            <w:shd w:val="clear" w:color="auto" w:fill="auto"/>
            <w:noWrap/>
            <w:vAlign w:val="bottom"/>
            <w:hideMark/>
          </w:tcPr>
          <w:p w14:paraId="349A20F0" w14:textId="77777777" w:rsidR="00115843" w:rsidRPr="005D0C2F" w:rsidRDefault="00115843" w:rsidP="00194538">
            <w:pPr>
              <w:spacing w:after="0" w:line="240" w:lineRule="auto"/>
              <w:jc w:val="right"/>
              <w:rPr>
                <w:rFonts w:ascii="Arial" w:hAnsi="Arial" w:cs="Arial"/>
                <w:sz w:val="16"/>
                <w:szCs w:val="16"/>
              </w:rPr>
            </w:pPr>
          </w:p>
        </w:tc>
        <w:tc>
          <w:tcPr>
            <w:tcW w:w="549" w:type="pct"/>
            <w:gridSpan w:val="2"/>
            <w:tcBorders>
              <w:top w:val="nil"/>
              <w:left w:val="nil"/>
              <w:bottom w:val="nil"/>
              <w:right w:val="nil"/>
            </w:tcBorders>
            <w:shd w:val="clear" w:color="auto" w:fill="E6E6E6"/>
            <w:noWrap/>
            <w:vAlign w:val="bottom"/>
            <w:hideMark/>
          </w:tcPr>
          <w:p w14:paraId="17EE5934" w14:textId="77777777" w:rsidR="00115843" w:rsidRPr="005D0C2F" w:rsidRDefault="00115843" w:rsidP="00194538">
            <w:pPr>
              <w:spacing w:after="0" w:line="240" w:lineRule="auto"/>
              <w:jc w:val="right"/>
              <w:rPr>
                <w:rFonts w:ascii="Arial" w:hAnsi="Arial" w:cs="Arial"/>
                <w:sz w:val="16"/>
                <w:szCs w:val="16"/>
              </w:rPr>
            </w:pPr>
          </w:p>
        </w:tc>
        <w:tc>
          <w:tcPr>
            <w:tcW w:w="578" w:type="pct"/>
            <w:gridSpan w:val="3"/>
            <w:tcBorders>
              <w:top w:val="nil"/>
              <w:left w:val="nil"/>
              <w:bottom w:val="nil"/>
              <w:right w:val="nil"/>
            </w:tcBorders>
            <w:shd w:val="clear" w:color="auto" w:fill="auto"/>
            <w:noWrap/>
            <w:vAlign w:val="bottom"/>
            <w:hideMark/>
          </w:tcPr>
          <w:p w14:paraId="2DE0D458" w14:textId="77777777" w:rsidR="00115843" w:rsidRPr="005D0C2F" w:rsidRDefault="00115843" w:rsidP="00194538">
            <w:pPr>
              <w:spacing w:after="0" w:line="240" w:lineRule="auto"/>
              <w:jc w:val="right"/>
              <w:rPr>
                <w:rFonts w:ascii="Arial" w:hAnsi="Arial" w:cs="Arial"/>
                <w:sz w:val="16"/>
                <w:szCs w:val="16"/>
              </w:rPr>
            </w:pPr>
          </w:p>
        </w:tc>
        <w:tc>
          <w:tcPr>
            <w:tcW w:w="548" w:type="pct"/>
            <w:gridSpan w:val="3"/>
            <w:tcBorders>
              <w:top w:val="nil"/>
              <w:left w:val="nil"/>
              <w:bottom w:val="nil"/>
              <w:right w:val="nil"/>
            </w:tcBorders>
            <w:shd w:val="clear" w:color="auto" w:fill="auto"/>
            <w:noWrap/>
            <w:vAlign w:val="bottom"/>
            <w:hideMark/>
          </w:tcPr>
          <w:p w14:paraId="253EED24" w14:textId="77777777" w:rsidR="00115843" w:rsidRPr="005D0C2F" w:rsidRDefault="00115843" w:rsidP="00194538">
            <w:pPr>
              <w:spacing w:after="0" w:line="240" w:lineRule="auto"/>
              <w:jc w:val="right"/>
              <w:rPr>
                <w:rFonts w:ascii="Arial" w:hAnsi="Arial" w:cs="Arial"/>
                <w:sz w:val="16"/>
                <w:szCs w:val="16"/>
              </w:rPr>
            </w:pPr>
          </w:p>
        </w:tc>
        <w:tc>
          <w:tcPr>
            <w:tcW w:w="565" w:type="pct"/>
            <w:gridSpan w:val="3"/>
            <w:tcBorders>
              <w:top w:val="nil"/>
              <w:left w:val="nil"/>
              <w:bottom w:val="nil"/>
              <w:right w:val="nil"/>
            </w:tcBorders>
            <w:shd w:val="clear" w:color="auto" w:fill="auto"/>
            <w:noWrap/>
            <w:vAlign w:val="bottom"/>
            <w:hideMark/>
          </w:tcPr>
          <w:p w14:paraId="7A1C4841" w14:textId="77777777" w:rsidR="00115843" w:rsidRPr="005D0C2F" w:rsidRDefault="00115843" w:rsidP="00194538">
            <w:pPr>
              <w:spacing w:after="0" w:line="240" w:lineRule="auto"/>
              <w:jc w:val="right"/>
              <w:rPr>
                <w:rFonts w:ascii="Arial" w:hAnsi="Arial" w:cs="Arial"/>
                <w:sz w:val="16"/>
                <w:szCs w:val="16"/>
              </w:rPr>
            </w:pPr>
          </w:p>
        </w:tc>
      </w:tr>
      <w:tr w:rsidR="00115843" w:rsidRPr="005D0C2F" w14:paraId="40FC7BA0" w14:textId="77777777" w:rsidTr="00436AC0">
        <w:trPr>
          <w:trHeight w:val="204"/>
        </w:trPr>
        <w:tc>
          <w:tcPr>
            <w:tcW w:w="2153" w:type="pct"/>
            <w:gridSpan w:val="2"/>
            <w:tcBorders>
              <w:top w:val="nil"/>
              <w:left w:val="nil"/>
              <w:bottom w:val="nil"/>
              <w:right w:val="nil"/>
            </w:tcBorders>
            <w:shd w:val="clear" w:color="auto" w:fill="auto"/>
            <w:vAlign w:val="bottom"/>
            <w:hideMark/>
          </w:tcPr>
          <w:p w14:paraId="4AD6A050"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Ordinary Annual Services (Appropriation Act No. 1 and Bill No. 3) </w:t>
            </w:r>
            <w:r w:rsidRPr="005D0C2F">
              <w:rPr>
                <w:rFonts w:ascii="Arial" w:hAnsi="Arial" w:cs="Arial"/>
                <w:iCs/>
                <w:sz w:val="16"/>
                <w:szCs w:val="16"/>
                <w:vertAlign w:val="superscript"/>
              </w:rPr>
              <w:t>(a)</w:t>
            </w:r>
          </w:p>
        </w:tc>
        <w:tc>
          <w:tcPr>
            <w:tcW w:w="606" w:type="pct"/>
            <w:tcBorders>
              <w:top w:val="nil"/>
              <w:left w:val="nil"/>
              <w:bottom w:val="nil"/>
              <w:right w:val="nil"/>
            </w:tcBorders>
            <w:shd w:val="clear" w:color="auto" w:fill="auto"/>
            <w:noWrap/>
            <w:vAlign w:val="bottom"/>
            <w:hideMark/>
          </w:tcPr>
          <w:p w14:paraId="26D0F0AF"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238,971</w:t>
            </w:r>
          </w:p>
        </w:tc>
        <w:tc>
          <w:tcPr>
            <w:tcW w:w="549" w:type="pct"/>
            <w:gridSpan w:val="2"/>
            <w:tcBorders>
              <w:top w:val="nil"/>
              <w:left w:val="nil"/>
              <w:bottom w:val="nil"/>
              <w:right w:val="nil"/>
            </w:tcBorders>
            <w:shd w:val="clear" w:color="auto" w:fill="E6E6E6"/>
            <w:noWrap/>
            <w:vAlign w:val="bottom"/>
            <w:hideMark/>
          </w:tcPr>
          <w:p w14:paraId="38AE385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248,012</w:t>
            </w:r>
          </w:p>
        </w:tc>
        <w:tc>
          <w:tcPr>
            <w:tcW w:w="578" w:type="pct"/>
            <w:gridSpan w:val="3"/>
            <w:tcBorders>
              <w:top w:val="nil"/>
              <w:left w:val="nil"/>
              <w:bottom w:val="nil"/>
              <w:right w:val="nil"/>
            </w:tcBorders>
            <w:shd w:val="clear" w:color="auto" w:fill="auto"/>
            <w:noWrap/>
            <w:vAlign w:val="bottom"/>
            <w:hideMark/>
          </w:tcPr>
          <w:p w14:paraId="0EB39E5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254,540</w:t>
            </w:r>
          </w:p>
        </w:tc>
        <w:tc>
          <w:tcPr>
            <w:tcW w:w="548" w:type="pct"/>
            <w:gridSpan w:val="3"/>
            <w:tcBorders>
              <w:top w:val="nil"/>
              <w:left w:val="nil"/>
              <w:bottom w:val="nil"/>
              <w:right w:val="nil"/>
            </w:tcBorders>
            <w:shd w:val="clear" w:color="auto" w:fill="auto"/>
            <w:noWrap/>
            <w:vAlign w:val="bottom"/>
            <w:hideMark/>
          </w:tcPr>
          <w:p w14:paraId="1BCD8549"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252,311</w:t>
            </w:r>
          </w:p>
        </w:tc>
        <w:tc>
          <w:tcPr>
            <w:tcW w:w="565" w:type="pct"/>
            <w:gridSpan w:val="3"/>
            <w:tcBorders>
              <w:top w:val="nil"/>
              <w:left w:val="nil"/>
              <w:bottom w:val="nil"/>
              <w:right w:val="nil"/>
            </w:tcBorders>
            <w:shd w:val="clear" w:color="auto" w:fill="auto"/>
            <w:noWrap/>
            <w:vAlign w:val="bottom"/>
            <w:hideMark/>
          </w:tcPr>
          <w:p w14:paraId="367EFEA9"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254,022</w:t>
            </w:r>
          </w:p>
        </w:tc>
      </w:tr>
      <w:tr w:rsidR="00115843" w:rsidRPr="005D0C2F" w14:paraId="2710CCB8" w14:textId="77777777" w:rsidTr="00436AC0">
        <w:trPr>
          <w:trHeight w:val="204"/>
        </w:trPr>
        <w:tc>
          <w:tcPr>
            <w:tcW w:w="2153" w:type="pct"/>
            <w:gridSpan w:val="2"/>
            <w:tcBorders>
              <w:top w:val="nil"/>
              <w:left w:val="nil"/>
              <w:bottom w:val="nil"/>
              <w:right w:val="nil"/>
            </w:tcBorders>
            <w:shd w:val="clear" w:color="auto" w:fill="auto"/>
            <w:vAlign w:val="bottom"/>
            <w:hideMark/>
          </w:tcPr>
          <w:p w14:paraId="311F87FC"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Special Appropriations</w:t>
            </w:r>
          </w:p>
        </w:tc>
        <w:tc>
          <w:tcPr>
            <w:tcW w:w="606" w:type="pct"/>
            <w:tcBorders>
              <w:top w:val="nil"/>
              <w:left w:val="nil"/>
              <w:bottom w:val="nil"/>
              <w:right w:val="nil"/>
            </w:tcBorders>
            <w:shd w:val="clear" w:color="auto" w:fill="auto"/>
            <w:noWrap/>
            <w:vAlign w:val="bottom"/>
            <w:hideMark/>
          </w:tcPr>
          <w:p w14:paraId="21B0A6BD" w14:textId="77777777" w:rsidR="00115843" w:rsidRPr="005D0C2F" w:rsidRDefault="00115843" w:rsidP="00194538">
            <w:pPr>
              <w:spacing w:after="0" w:line="240" w:lineRule="auto"/>
              <w:ind w:firstLineChars="100" w:firstLine="160"/>
              <w:jc w:val="right"/>
              <w:rPr>
                <w:rFonts w:ascii="Arial" w:hAnsi="Arial" w:cs="Arial"/>
                <w:sz w:val="16"/>
                <w:szCs w:val="16"/>
              </w:rPr>
            </w:pPr>
          </w:p>
        </w:tc>
        <w:tc>
          <w:tcPr>
            <w:tcW w:w="549" w:type="pct"/>
            <w:gridSpan w:val="2"/>
            <w:tcBorders>
              <w:top w:val="nil"/>
              <w:left w:val="nil"/>
              <w:bottom w:val="nil"/>
              <w:right w:val="nil"/>
            </w:tcBorders>
            <w:shd w:val="clear" w:color="auto" w:fill="E6E6E6"/>
            <w:noWrap/>
            <w:vAlign w:val="bottom"/>
            <w:hideMark/>
          </w:tcPr>
          <w:p w14:paraId="10F9727C" w14:textId="77777777" w:rsidR="00115843" w:rsidRPr="005D0C2F" w:rsidRDefault="00115843" w:rsidP="00194538">
            <w:pPr>
              <w:spacing w:after="0" w:line="240" w:lineRule="auto"/>
              <w:jc w:val="right"/>
              <w:rPr>
                <w:rFonts w:ascii="Arial" w:hAnsi="Arial" w:cs="Arial"/>
                <w:sz w:val="16"/>
                <w:szCs w:val="16"/>
              </w:rPr>
            </w:pPr>
          </w:p>
        </w:tc>
        <w:tc>
          <w:tcPr>
            <w:tcW w:w="578" w:type="pct"/>
            <w:gridSpan w:val="3"/>
            <w:tcBorders>
              <w:top w:val="nil"/>
              <w:left w:val="nil"/>
              <w:bottom w:val="nil"/>
              <w:right w:val="nil"/>
            </w:tcBorders>
            <w:shd w:val="clear" w:color="auto" w:fill="auto"/>
            <w:noWrap/>
            <w:vAlign w:val="bottom"/>
            <w:hideMark/>
          </w:tcPr>
          <w:p w14:paraId="4CA9C002" w14:textId="77777777" w:rsidR="00115843" w:rsidRPr="005D0C2F" w:rsidRDefault="00115843" w:rsidP="00194538">
            <w:pPr>
              <w:spacing w:after="0" w:line="240" w:lineRule="auto"/>
              <w:jc w:val="right"/>
              <w:rPr>
                <w:rFonts w:ascii="Arial" w:hAnsi="Arial" w:cs="Arial"/>
                <w:sz w:val="16"/>
                <w:szCs w:val="16"/>
              </w:rPr>
            </w:pPr>
          </w:p>
        </w:tc>
        <w:tc>
          <w:tcPr>
            <w:tcW w:w="548" w:type="pct"/>
            <w:gridSpan w:val="3"/>
            <w:tcBorders>
              <w:top w:val="nil"/>
              <w:left w:val="nil"/>
              <w:bottom w:val="nil"/>
              <w:right w:val="nil"/>
            </w:tcBorders>
            <w:shd w:val="clear" w:color="auto" w:fill="auto"/>
            <w:noWrap/>
            <w:vAlign w:val="bottom"/>
            <w:hideMark/>
          </w:tcPr>
          <w:p w14:paraId="2737F913" w14:textId="77777777" w:rsidR="00115843" w:rsidRPr="005D0C2F" w:rsidRDefault="00115843" w:rsidP="00194538">
            <w:pPr>
              <w:spacing w:after="0" w:line="240" w:lineRule="auto"/>
              <w:jc w:val="right"/>
              <w:rPr>
                <w:rFonts w:ascii="Arial" w:hAnsi="Arial" w:cs="Arial"/>
                <w:sz w:val="16"/>
                <w:szCs w:val="16"/>
              </w:rPr>
            </w:pPr>
          </w:p>
        </w:tc>
        <w:tc>
          <w:tcPr>
            <w:tcW w:w="565" w:type="pct"/>
            <w:gridSpan w:val="3"/>
            <w:tcBorders>
              <w:top w:val="nil"/>
              <w:left w:val="nil"/>
              <w:bottom w:val="nil"/>
              <w:right w:val="nil"/>
            </w:tcBorders>
            <w:shd w:val="clear" w:color="auto" w:fill="auto"/>
            <w:noWrap/>
            <w:vAlign w:val="bottom"/>
            <w:hideMark/>
          </w:tcPr>
          <w:p w14:paraId="295B1A68" w14:textId="77777777" w:rsidR="00115843" w:rsidRPr="005D0C2F" w:rsidRDefault="00115843" w:rsidP="00194538">
            <w:pPr>
              <w:spacing w:after="0" w:line="240" w:lineRule="auto"/>
              <w:jc w:val="right"/>
              <w:rPr>
                <w:rFonts w:ascii="Arial" w:hAnsi="Arial" w:cs="Arial"/>
                <w:sz w:val="16"/>
                <w:szCs w:val="16"/>
              </w:rPr>
            </w:pPr>
          </w:p>
        </w:tc>
      </w:tr>
      <w:tr w:rsidR="00115843" w:rsidRPr="005D0C2F" w14:paraId="3C5D61E8" w14:textId="77777777" w:rsidTr="00436AC0">
        <w:trPr>
          <w:trHeight w:val="204"/>
        </w:trPr>
        <w:tc>
          <w:tcPr>
            <w:tcW w:w="2153" w:type="pct"/>
            <w:gridSpan w:val="2"/>
            <w:tcBorders>
              <w:top w:val="nil"/>
              <w:left w:val="nil"/>
              <w:bottom w:val="nil"/>
              <w:right w:val="nil"/>
            </w:tcBorders>
            <w:shd w:val="clear" w:color="auto" w:fill="auto"/>
            <w:vAlign w:val="bottom"/>
            <w:hideMark/>
          </w:tcPr>
          <w:p w14:paraId="4A8A6684" w14:textId="77777777" w:rsidR="00115843" w:rsidRPr="005D0C2F" w:rsidRDefault="00115843" w:rsidP="00194538">
            <w:pPr>
              <w:spacing w:after="0" w:line="240" w:lineRule="auto"/>
              <w:ind w:left="227"/>
              <w:rPr>
                <w:rFonts w:ascii="Arial" w:hAnsi="Arial" w:cs="Arial"/>
                <w:i/>
                <w:iCs/>
                <w:sz w:val="16"/>
                <w:szCs w:val="16"/>
              </w:rPr>
            </w:pPr>
            <w:r w:rsidRPr="005D0C2F">
              <w:rPr>
                <w:rFonts w:ascii="Arial" w:hAnsi="Arial" w:cs="Arial"/>
                <w:i/>
                <w:iCs/>
                <w:sz w:val="16"/>
                <w:szCs w:val="16"/>
              </w:rPr>
              <w:t>Australian Maritime Safety Authority Act 1990 </w:t>
            </w:r>
            <w:r w:rsidRPr="005D0C2F">
              <w:rPr>
                <w:rFonts w:ascii="Arial" w:hAnsi="Arial" w:cs="Arial"/>
                <w:iCs/>
                <w:sz w:val="16"/>
                <w:szCs w:val="16"/>
                <w:vertAlign w:val="superscript"/>
              </w:rPr>
              <w:t>(b)</w:t>
            </w:r>
          </w:p>
        </w:tc>
        <w:tc>
          <w:tcPr>
            <w:tcW w:w="606" w:type="pct"/>
            <w:tcBorders>
              <w:top w:val="nil"/>
              <w:left w:val="nil"/>
              <w:bottom w:val="nil"/>
              <w:right w:val="nil"/>
            </w:tcBorders>
            <w:shd w:val="clear" w:color="auto" w:fill="auto"/>
            <w:noWrap/>
            <w:vAlign w:val="bottom"/>
            <w:hideMark/>
          </w:tcPr>
          <w:p w14:paraId="3A8BAE38"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134,689</w:t>
            </w:r>
          </w:p>
        </w:tc>
        <w:tc>
          <w:tcPr>
            <w:tcW w:w="549" w:type="pct"/>
            <w:gridSpan w:val="2"/>
            <w:tcBorders>
              <w:top w:val="nil"/>
              <w:left w:val="nil"/>
              <w:bottom w:val="nil"/>
              <w:right w:val="nil"/>
            </w:tcBorders>
            <w:shd w:val="clear" w:color="auto" w:fill="E6E6E6"/>
            <w:noWrap/>
            <w:vAlign w:val="bottom"/>
            <w:hideMark/>
          </w:tcPr>
          <w:p w14:paraId="1BA7732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136,059</w:t>
            </w:r>
          </w:p>
        </w:tc>
        <w:tc>
          <w:tcPr>
            <w:tcW w:w="578" w:type="pct"/>
            <w:gridSpan w:val="3"/>
            <w:tcBorders>
              <w:top w:val="nil"/>
              <w:left w:val="nil"/>
              <w:bottom w:val="nil"/>
              <w:right w:val="nil"/>
            </w:tcBorders>
            <w:shd w:val="clear" w:color="auto" w:fill="auto"/>
            <w:noWrap/>
            <w:vAlign w:val="bottom"/>
            <w:hideMark/>
          </w:tcPr>
          <w:p w14:paraId="01F8C290"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154,055</w:t>
            </w:r>
          </w:p>
        </w:tc>
        <w:tc>
          <w:tcPr>
            <w:tcW w:w="548" w:type="pct"/>
            <w:gridSpan w:val="3"/>
            <w:tcBorders>
              <w:top w:val="nil"/>
              <w:left w:val="nil"/>
              <w:bottom w:val="nil"/>
              <w:right w:val="nil"/>
            </w:tcBorders>
            <w:shd w:val="clear" w:color="auto" w:fill="auto"/>
            <w:noWrap/>
            <w:vAlign w:val="bottom"/>
            <w:hideMark/>
          </w:tcPr>
          <w:p w14:paraId="3F4CAE4F"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157,161</w:t>
            </w:r>
          </w:p>
        </w:tc>
        <w:tc>
          <w:tcPr>
            <w:tcW w:w="565" w:type="pct"/>
            <w:gridSpan w:val="3"/>
            <w:tcBorders>
              <w:top w:val="nil"/>
              <w:left w:val="nil"/>
              <w:bottom w:val="nil"/>
              <w:right w:val="nil"/>
            </w:tcBorders>
            <w:shd w:val="clear" w:color="auto" w:fill="auto"/>
            <w:noWrap/>
            <w:vAlign w:val="bottom"/>
            <w:hideMark/>
          </w:tcPr>
          <w:p w14:paraId="7BC7D5AE"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160,325</w:t>
            </w:r>
          </w:p>
        </w:tc>
      </w:tr>
      <w:tr w:rsidR="00115843" w:rsidRPr="005D0C2F" w14:paraId="67679818" w14:textId="77777777" w:rsidTr="00436AC0">
        <w:trPr>
          <w:trHeight w:val="204"/>
        </w:trPr>
        <w:tc>
          <w:tcPr>
            <w:tcW w:w="2153" w:type="pct"/>
            <w:gridSpan w:val="2"/>
            <w:tcBorders>
              <w:top w:val="nil"/>
              <w:left w:val="nil"/>
              <w:bottom w:val="nil"/>
              <w:right w:val="nil"/>
            </w:tcBorders>
            <w:shd w:val="clear" w:color="auto" w:fill="auto"/>
            <w:vAlign w:val="bottom"/>
            <w:hideMark/>
          </w:tcPr>
          <w:p w14:paraId="6581D81F" w14:textId="77777777" w:rsidR="00115843" w:rsidRPr="005D0C2F" w:rsidRDefault="00115843" w:rsidP="00194538">
            <w:pPr>
              <w:spacing w:after="0" w:line="240" w:lineRule="auto"/>
              <w:ind w:left="227"/>
              <w:rPr>
                <w:rFonts w:ascii="Arial" w:hAnsi="Arial" w:cs="Arial"/>
                <w:i/>
                <w:iCs/>
                <w:sz w:val="16"/>
                <w:szCs w:val="16"/>
              </w:rPr>
            </w:pPr>
            <w:r w:rsidRPr="005D0C2F">
              <w:rPr>
                <w:rFonts w:ascii="Arial" w:hAnsi="Arial" w:cs="Arial"/>
                <w:i/>
                <w:iCs/>
                <w:sz w:val="16"/>
                <w:szCs w:val="16"/>
              </w:rPr>
              <w:t>Protection of the Sea (Oil Pollution Compensation Funds) Act 1993</w:t>
            </w:r>
          </w:p>
        </w:tc>
        <w:tc>
          <w:tcPr>
            <w:tcW w:w="606" w:type="pct"/>
            <w:tcBorders>
              <w:top w:val="nil"/>
              <w:left w:val="nil"/>
              <w:bottom w:val="nil"/>
              <w:right w:val="nil"/>
            </w:tcBorders>
            <w:shd w:val="clear" w:color="auto" w:fill="auto"/>
            <w:noWrap/>
            <w:vAlign w:val="bottom"/>
            <w:hideMark/>
          </w:tcPr>
          <w:p w14:paraId="414D0B1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358</w:t>
            </w:r>
          </w:p>
        </w:tc>
        <w:tc>
          <w:tcPr>
            <w:tcW w:w="549" w:type="pct"/>
            <w:gridSpan w:val="2"/>
            <w:tcBorders>
              <w:top w:val="nil"/>
              <w:left w:val="nil"/>
              <w:bottom w:val="nil"/>
              <w:right w:val="nil"/>
            </w:tcBorders>
            <w:shd w:val="clear" w:color="auto" w:fill="E6E6E6"/>
            <w:noWrap/>
            <w:vAlign w:val="bottom"/>
            <w:hideMark/>
          </w:tcPr>
          <w:p w14:paraId="43AFEF96"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600</w:t>
            </w:r>
          </w:p>
        </w:tc>
        <w:tc>
          <w:tcPr>
            <w:tcW w:w="578" w:type="pct"/>
            <w:gridSpan w:val="3"/>
            <w:tcBorders>
              <w:top w:val="nil"/>
              <w:left w:val="nil"/>
              <w:bottom w:val="nil"/>
              <w:right w:val="nil"/>
            </w:tcBorders>
            <w:shd w:val="clear" w:color="auto" w:fill="auto"/>
            <w:noWrap/>
            <w:vAlign w:val="bottom"/>
            <w:hideMark/>
          </w:tcPr>
          <w:p w14:paraId="4F873318"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600</w:t>
            </w:r>
          </w:p>
        </w:tc>
        <w:tc>
          <w:tcPr>
            <w:tcW w:w="548" w:type="pct"/>
            <w:gridSpan w:val="3"/>
            <w:tcBorders>
              <w:top w:val="nil"/>
              <w:left w:val="nil"/>
              <w:bottom w:val="nil"/>
              <w:right w:val="nil"/>
            </w:tcBorders>
            <w:shd w:val="clear" w:color="auto" w:fill="auto"/>
            <w:noWrap/>
            <w:vAlign w:val="bottom"/>
            <w:hideMark/>
          </w:tcPr>
          <w:p w14:paraId="10C00540"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600</w:t>
            </w:r>
          </w:p>
        </w:tc>
        <w:tc>
          <w:tcPr>
            <w:tcW w:w="565" w:type="pct"/>
            <w:gridSpan w:val="3"/>
            <w:tcBorders>
              <w:top w:val="nil"/>
              <w:left w:val="nil"/>
              <w:bottom w:val="nil"/>
              <w:right w:val="nil"/>
            </w:tcBorders>
            <w:shd w:val="clear" w:color="auto" w:fill="auto"/>
            <w:noWrap/>
            <w:vAlign w:val="bottom"/>
            <w:hideMark/>
          </w:tcPr>
          <w:p w14:paraId="3196207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600</w:t>
            </w:r>
          </w:p>
        </w:tc>
      </w:tr>
      <w:tr w:rsidR="00115843" w:rsidRPr="005D0C2F" w14:paraId="73F65211" w14:textId="77777777" w:rsidTr="00436AC0">
        <w:trPr>
          <w:trHeight w:val="204"/>
        </w:trPr>
        <w:tc>
          <w:tcPr>
            <w:tcW w:w="2153" w:type="pct"/>
            <w:gridSpan w:val="2"/>
            <w:tcBorders>
              <w:top w:val="nil"/>
              <w:left w:val="nil"/>
              <w:bottom w:val="nil"/>
              <w:right w:val="nil"/>
            </w:tcBorders>
            <w:shd w:val="clear" w:color="auto" w:fill="auto"/>
            <w:vAlign w:val="bottom"/>
            <w:hideMark/>
          </w:tcPr>
          <w:p w14:paraId="0C42B307"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Payments to corporate entities </w:t>
            </w:r>
            <w:r w:rsidRPr="005D0C2F">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75DAD301"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92,266</w:t>
            </w:r>
          </w:p>
        </w:tc>
        <w:tc>
          <w:tcPr>
            <w:tcW w:w="549" w:type="pct"/>
            <w:gridSpan w:val="2"/>
            <w:tcBorders>
              <w:top w:val="nil"/>
              <w:left w:val="nil"/>
              <w:bottom w:val="nil"/>
              <w:right w:val="nil"/>
            </w:tcBorders>
            <w:shd w:val="clear" w:color="auto" w:fill="E6E6E6"/>
            <w:noWrap/>
            <w:vAlign w:val="bottom"/>
            <w:hideMark/>
          </w:tcPr>
          <w:p w14:paraId="66DDC7C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97,320</w:t>
            </w:r>
          </w:p>
        </w:tc>
        <w:tc>
          <w:tcPr>
            <w:tcW w:w="578" w:type="pct"/>
            <w:gridSpan w:val="3"/>
            <w:tcBorders>
              <w:top w:val="nil"/>
              <w:left w:val="nil"/>
              <w:bottom w:val="nil"/>
              <w:right w:val="nil"/>
            </w:tcBorders>
            <w:shd w:val="clear" w:color="auto" w:fill="auto"/>
            <w:noWrap/>
            <w:vAlign w:val="bottom"/>
            <w:hideMark/>
          </w:tcPr>
          <w:p w14:paraId="6546AF74"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88,290</w:t>
            </w:r>
          </w:p>
        </w:tc>
        <w:tc>
          <w:tcPr>
            <w:tcW w:w="548" w:type="pct"/>
            <w:gridSpan w:val="3"/>
            <w:tcBorders>
              <w:top w:val="nil"/>
              <w:left w:val="nil"/>
              <w:bottom w:val="nil"/>
              <w:right w:val="nil"/>
            </w:tcBorders>
            <w:shd w:val="clear" w:color="auto" w:fill="auto"/>
            <w:noWrap/>
            <w:vAlign w:val="bottom"/>
            <w:hideMark/>
          </w:tcPr>
          <w:p w14:paraId="63C5E6E1"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89,372</w:t>
            </w:r>
          </w:p>
        </w:tc>
        <w:tc>
          <w:tcPr>
            <w:tcW w:w="565" w:type="pct"/>
            <w:gridSpan w:val="3"/>
            <w:tcBorders>
              <w:top w:val="nil"/>
              <w:left w:val="nil"/>
              <w:bottom w:val="nil"/>
              <w:right w:val="nil"/>
            </w:tcBorders>
            <w:shd w:val="clear" w:color="auto" w:fill="auto"/>
            <w:noWrap/>
            <w:vAlign w:val="bottom"/>
            <w:hideMark/>
          </w:tcPr>
          <w:p w14:paraId="3A373B9A"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90,534</w:t>
            </w:r>
          </w:p>
        </w:tc>
      </w:tr>
      <w:tr w:rsidR="00115843" w:rsidRPr="005D0C2F" w14:paraId="53EC7BCC" w14:textId="77777777" w:rsidTr="00436AC0">
        <w:trPr>
          <w:trHeight w:val="204"/>
        </w:trPr>
        <w:tc>
          <w:tcPr>
            <w:tcW w:w="2153" w:type="pct"/>
            <w:gridSpan w:val="2"/>
            <w:tcBorders>
              <w:top w:val="nil"/>
              <w:left w:val="nil"/>
              <w:bottom w:val="nil"/>
              <w:right w:val="nil"/>
            </w:tcBorders>
            <w:shd w:val="clear" w:color="auto" w:fill="auto"/>
            <w:vAlign w:val="bottom"/>
            <w:hideMark/>
          </w:tcPr>
          <w:p w14:paraId="4BB74F2F"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Expenses not requiring appropriation in the Budget year </w:t>
            </w:r>
            <w:r w:rsidRPr="005D0C2F">
              <w:rPr>
                <w:rFonts w:ascii="Arial" w:hAnsi="Arial" w:cs="Arial"/>
                <w:iCs/>
                <w:sz w:val="16"/>
                <w:szCs w:val="16"/>
                <w:vertAlign w:val="superscript"/>
              </w:rPr>
              <w:t>(c)</w:t>
            </w:r>
          </w:p>
        </w:tc>
        <w:tc>
          <w:tcPr>
            <w:tcW w:w="606" w:type="pct"/>
            <w:tcBorders>
              <w:top w:val="nil"/>
              <w:left w:val="nil"/>
              <w:bottom w:val="nil"/>
              <w:right w:val="nil"/>
            </w:tcBorders>
            <w:shd w:val="clear" w:color="auto" w:fill="auto"/>
            <w:noWrap/>
            <w:vAlign w:val="bottom"/>
            <w:hideMark/>
          </w:tcPr>
          <w:p w14:paraId="5265A566"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(16,276)</w:t>
            </w:r>
          </w:p>
        </w:tc>
        <w:tc>
          <w:tcPr>
            <w:tcW w:w="549" w:type="pct"/>
            <w:gridSpan w:val="2"/>
            <w:tcBorders>
              <w:top w:val="nil"/>
              <w:left w:val="nil"/>
              <w:bottom w:val="nil"/>
              <w:right w:val="nil"/>
            </w:tcBorders>
            <w:shd w:val="clear" w:color="auto" w:fill="E6E6E6"/>
            <w:noWrap/>
            <w:vAlign w:val="bottom"/>
            <w:hideMark/>
          </w:tcPr>
          <w:p w14:paraId="20872667"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w:t>
            </w:r>
          </w:p>
        </w:tc>
        <w:tc>
          <w:tcPr>
            <w:tcW w:w="578" w:type="pct"/>
            <w:gridSpan w:val="3"/>
            <w:tcBorders>
              <w:top w:val="nil"/>
              <w:left w:val="nil"/>
              <w:bottom w:val="nil"/>
              <w:right w:val="nil"/>
            </w:tcBorders>
            <w:shd w:val="clear" w:color="auto" w:fill="auto"/>
            <w:noWrap/>
            <w:vAlign w:val="bottom"/>
            <w:hideMark/>
          </w:tcPr>
          <w:p w14:paraId="7BD909E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w:t>
            </w:r>
          </w:p>
        </w:tc>
        <w:tc>
          <w:tcPr>
            <w:tcW w:w="548" w:type="pct"/>
            <w:gridSpan w:val="3"/>
            <w:tcBorders>
              <w:top w:val="nil"/>
              <w:left w:val="nil"/>
              <w:bottom w:val="nil"/>
              <w:right w:val="nil"/>
            </w:tcBorders>
            <w:shd w:val="clear" w:color="auto" w:fill="auto"/>
            <w:noWrap/>
            <w:vAlign w:val="bottom"/>
            <w:hideMark/>
          </w:tcPr>
          <w:p w14:paraId="505E67A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w:t>
            </w:r>
          </w:p>
        </w:tc>
        <w:tc>
          <w:tcPr>
            <w:tcW w:w="565" w:type="pct"/>
            <w:gridSpan w:val="3"/>
            <w:tcBorders>
              <w:top w:val="nil"/>
              <w:left w:val="nil"/>
              <w:bottom w:val="nil"/>
              <w:right w:val="nil"/>
            </w:tcBorders>
            <w:shd w:val="clear" w:color="auto" w:fill="auto"/>
            <w:noWrap/>
            <w:vAlign w:val="bottom"/>
            <w:hideMark/>
          </w:tcPr>
          <w:p w14:paraId="50BBE928"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w:t>
            </w:r>
          </w:p>
        </w:tc>
      </w:tr>
      <w:tr w:rsidR="00115843" w:rsidRPr="005D0C2F" w14:paraId="753DAED0" w14:textId="77777777" w:rsidTr="00436AC0">
        <w:trPr>
          <w:trHeight w:val="204"/>
        </w:trPr>
        <w:tc>
          <w:tcPr>
            <w:tcW w:w="2153" w:type="pct"/>
            <w:gridSpan w:val="2"/>
            <w:tcBorders>
              <w:top w:val="nil"/>
              <w:left w:val="nil"/>
              <w:bottom w:val="nil"/>
              <w:right w:val="nil"/>
            </w:tcBorders>
            <w:shd w:val="clear" w:color="auto" w:fill="auto"/>
            <w:noWrap/>
            <w:vAlign w:val="bottom"/>
            <w:hideMark/>
          </w:tcPr>
          <w:p w14:paraId="325619E7" w14:textId="77777777" w:rsidR="00115843" w:rsidRPr="005D0C2F" w:rsidRDefault="00115843" w:rsidP="00194538">
            <w:pPr>
              <w:spacing w:after="0" w:line="240" w:lineRule="auto"/>
              <w:rPr>
                <w:rFonts w:ascii="Arial" w:hAnsi="Arial" w:cs="Arial"/>
                <w:b/>
                <w:bCs/>
                <w:sz w:val="16"/>
                <w:szCs w:val="16"/>
              </w:rPr>
            </w:pPr>
            <w:r w:rsidRPr="005D0C2F">
              <w:rPr>
                <w:rFonts w:ascii="Arial" w:hAnsi="Arial" w:cs="Arial"/>
                <w:b/>
                <w:bCs/>
                <w:sz w:val="16"/>
                <w:szCs w:val="16"/>
              </w:rPr>
              <w:t>Total expenses for Program 2.1</w:t>
            </w:r>
          </w:p>
        </w:tc>
        <w:tc>
          <w:tcPr>
            <w:tcW w:w="606" w:type="pct"/>
            <w:tcBorders>
              <w:top w:val="single" w:sz="4" w:space="0" w:color="auto"/>
              <w:left w:val="nil"/>
              <w:bottom w:val="single" w:sz="4" w:space="0" w:color="auto"/>
              <w:right w:val="nil"/>
            </w:tcBorders>
            <w:shd w:val="clear" w:color="auto" w:fill="auto"/>
            <w:noWrap/>
            <w:vAlign w:val="bottom"/>
            <w:hideMark/>
          </w:tcPr>
          <w:p w14:paraId="2C2C6FC3"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450,008</w:t>
            </w:r>
          </w:p>
        </w:tc>
        <w:tc>
          <w:tcPr>
            <w:tcW w:w="549" w:type="pct"/>
            <w:gridSpan w:val="2"/>
            <w:tcBorders>
              <w:top w:val="single" w:sz="4" w:space="0" w:color="auto"/>
              <w:left w:val="nil"/>
              <w:bottom w:val="single" w:sz="4" w:space="0" w:color="auto"/>
              <w:right w:val="nil"/>
            </w:tcBorders>
            <w:shd w:val="clear" w:color="auto" w:fill="E6E6E6"/>
            <w:noWrap/>
            <w:vAlign w:val="bottom"/>
            <w:hideMark/>
          </w:tcPr>
          <w:p w14:paraId="3FC85233"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481,991</w:t>
            </w:r>
          </w:p>
        </w:tc>
        <w:tc>
          <w:tcPr>
            <w:tcW w:w="578" w:type="pct"/>
            <w:gridSpan w:val="3"/>
            <w:tcBorders>
              <w:top w:val="single" w:sz="4" w:space="0" w:color="auto"/>
              <w:left w:val="nil"/>
              <w:bottom w:val="single" w:sz="4" w:space="0" w:color="auto"/>
              <w:right w:val="nil"/>
            </w:tcBorders>
            <w:shd w:val="clear" w:color="auto" w:fill="auto"/>
            <w:noWrap/>
            <w:vAlign w:val="bottom"/>
            <w:hideMark/>
          </w:tcPr>
          <w:p w14:paraId="03063783"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497,485</w:t>
            </w:r>
          </w:p>
        </w:tc>
        <w:tc>
          <w:tcPr>
            <w:tcW w:w="548" w:type="pct"/>
            <w:gridSpan w:val="3"/>
            <w:tcBorders>
              <w:top w:val="single" w:sz="4" w:space="0" w:color="auto"/>
              <w:left w:val="nil"/>
              <w:bottom w:val="single" w:sz="4" w:space="0" w:color="auto"/>
              <w:right w:val="nil"/>
            </w:tcBorders>
            <w:shd w:val="clear" w:color="auto" w:fill="auto"/>
            <w:noWrap/>
            <w:vAlign w:val="bottom"/>
            <w:hideMark/>
          </w:tcPr>
          <w:p w14:paraId="208C4CEC"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499,444</w:t>
            </w:r>
          </w:p>
        </w:tc>
        <w:tc>
          <w:tcPr>
            <w:tcW w:w="565" w:type="pct"/>
            <w:gridSpan w:val="3"/>
            <w:tcBorders>
              <w:top w:val="single" w:sz="4" w:space="0" w:color="auto"/>
              <w:left w:val="nil"/>
              <w:bottom w:val="single" w:sz="4" w:space="0" w:color="auto"/>
              <w:right w:val="nil"/>
            </w:tcBorders>
            <w:shd w:val="clear" w:color="auto" w:fill="auto"/>
            <w:noWrap/>
            <w:vAlign w:val="bottom"/>
            <w:hideMark/>
          </w:tcPr>
          <w:p w14:paraId="416FB348"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505,481</w:t>
            </w:r>
          </w:p>
        </w:tc>
      </w:tr>
      <w:tr w:rsidR="00115843" w:rsidRPr="005D0C2F" w14:paraId="71C62A96" w14:textId="77777777" w:rsidTr="00436AC0">
        <w:trPr>
          <w:trHeight w:val="204"/>
        </w:trPr>
        <w:tc>
          <w:tcPr>
            <w:tcW w:w="5000" w:type="pct"/>
            <w:gridSpan w:val="14"/>
            <w:tcBorders>
              <w:top w:val="single" w:sz="4" w:space="0" w:color="auto"/>
              <w:left w:val="nil"/>
              <w:bottom w:val="single" w:sz="4" w:space="0" w:color="auto"/>
              <w:right w:val="nil"/>
            </w:tcBorders>
            <w:shd w:val="clear" w:color="auto" w:fill="E6E6E6"/>
            <w:noWrap/>
            <w:vAlign w:val="bottom"/>
            <w:hideMark/>
          </w:tcPr>
          <w:p w14:paraId="5A6863B6" w14:textId="77777777" w:rsidR="00115843" w:rsidRPr="005D0C2F" w:rsidRDefault="00115843" w:rsidP="00194538">
            <w:pPr>
              <w:spacing w:after="0" w:line="240" w:lineRule="auto"/>
              <w:rPr>
                <w:rFonts w:ascii="Arial" w:hAnsi="Arial" w:cs="Arial"/>
                <w:sz w:val="16"/>
                <w:szCs w:val="16"/>
              </w:rPr>
            </w:pPr>
            <w:r w:rsidRPr="005D0C2F">
              <w:rPr>
                <w:rFonts w:ascii="Arial" w:hAnsi="Arial" w:cs="Arial"/>
                <w:b/>
                <w:bCs/>
                <w:sz w:val="16"/>
                <w:szCs w:val="16"/>
              </w:rPr>
              <w:t xml:space="preserve">Program 2.2: Road Safety </w:t>
            </w:r>
            <w:r w:rsidRPr="005D0C2F">
              <w:rPr>
                <w:rFonts w:ascii="Arial" w:hAnsi="Arial" w:cs="Arial"/>
                <w:sz w:val="16"/>
                <w:szCs w:val="16"/>
              </w:rPr>
              <w:t> </w:t>
            </w:r>
          </w:p>
        </w:tc>
      </w:tr>
      <w:tr w:rsidR="00115843" w:rsidRPr="005D0C2F" w14:paraId="59D0A45B" w14:textId="77777777" w:rsidTr="00436AC0">
        <w:trPr>
          <w:trHeight w:val="204"/>
        </w:trPr>
        <w:tc>
          <w:tcPr>
            <w:tcW w:w="2153" w:type="pct"/>
            <w:gridSpan w:val="2"/>
            <w:tcBorders>
              <w:top w:val="nil"/>
              <w:left w:val="nil"/>
              <w:bottom w:val="nil"/>
              <w:right w:val="nil"/>
            </w:tcBorders>
            <w:shd w:val="clear" w:color="auto" w:fill="auto"/>
            <w:noWrap/>
            <w:vAlign w:val="bottom"/>
            <w:hideMark/>
          </w:tcPr>
          <w:p w14:paraId="5A5CA4CB" w14:textId="77777777" w:rsidR="00115843" w:rsidRPr="005D0C2F" w:rsidRDefault="00115843" w:rsidP="00194538">
            <w:pPr>
              <w:spacing w:after="0" w:line="240" w:lineRule="auto"/>
              <w:rPr>
                <w:rFonts w:ascii="Arial" w:hAnsi="Arial" w:cs="Arial"/>
                <w:sz w:val="16"/>
                <w:szCs w:val="16"/>
              </w:rPr>
            </w:pPr>
            <w:r w:rsidRPr="005D0C2F">
              <w:rPr>
                <w:rFonts w:ascii="Arial" w:hAnsi="Arial" w:cs="Arial"/>
                <w:sz w:val="16"/>
                <w:szCs w:val="16"/>
              </w:rPr>
              <w:t>Administered expenses</w:t>
            </w:r>
          </w:p>
        </w:tc>
        <w:tc>
          <w:tcPr>
            <w:tcW w:w="621" w:type="pct"/>
            <w:gridSpan w:val="2"/>
            <w:tcBorders>
              <w:top w:val="nil"/>
              <w:left w:val="nil"/>
              <w:bottom w:val="nil"/>
              <w:right w:val="nil"/>
            </w:tcBorders>
            <w:shd w:val="clear" w:color="auto" w:fill="auto"/>
            <w:noWrap/>
            <w:vAlign w:val="bottom"/>
            <w:hideMark/>
          </w:tcPr>
          <w:p w14:paraId="2F2AD398" w14:textId="77777777" w:rsidR="00115843" w:rsidRPr="005D0C2F" w:rsidRDefault="00115843" w:rsidP="00194538">
            <w:pPr>
              <w:spacing w:after="0" w:line="240" w:lineRule="auto"/>
              <w:jc w:val="right"/>
              <w:rPr>
                <w:rFonts w:ascii="Arial" w:hAnsi="Arial" w:cs="Arial"/>
                <w:sz w:val="16"/>
                <w:szCs w:val="16"/>
              </w:rPr>
            </w:pPr>
          </w:p>
        </w:tc>
        <w:tc>
          <w:tcPr>
            <w:tcW w:w="562" w:type="pct"/>
            <w:gridSpan w:val="3"/>
            <w:tcBorders>
              <w:top w:val="nil"/>
              <w:left w:val="nil"/>
              <w:bottom w:val="nil"/>
              <w:right w:val="nil"/>
            </w:tcBorders>
            <w:shd w:val="clear" w:color="auto" w:fill="E6E6E6"/>
            <w:noWrap/>
            <w:vAlign w:val="bottom"/>
            <w:hideMark/>
          </w:tcPr>
          <w:p w14:paraId="19042B83" w14:textId="77777777" w:rsidR="00115843" w:rsidRPr="005D0C2F" w:rsidRDefault="00115843" w:rsidP="00194538">
            <w:pPr>
              <w:spacing w:after="0" w:line="240" w:lineRule="auto"/>
              <w:jc w:val="right"/>
              <w:rPr>
                <w:rFonts w:ascii="Arial" w:hAnsi="Arial" w:cs="Arial"/>
                <w:sz w:val="16"/>
                <w:szCs w:val="16"/>
              </w:rPr>
            </w:pPr>
          </w:p>
        </w:tc>
        <w:tc>
          <w:tcPr>
            <w:tcW w:w="583" w:type="pct"/>
            <w:gridSpan w:val="2"/>
            <w:tcBorders>
              <w:top w:val="nil"/>
              <w:left w:val="nil"/>
              <w:bottom w:val="nil"/>
              <w:right w:val="nil"/>
            </w:tcBorders>
            <w:shd w:val="clear" w:color="auto" w:fill="auto"/>
            <w:noWrap/>
            <w:vAlign w:val="bottom"/>
            <w:hideMark/>
          </w:tcPr>
          <w:p w14:paraId="50060A65" w14:textId="77777777" w:rsidR="00115843" w:rsidRPr="005D0C2F" w:rsidRDefault="00115843" w:rsidP="00194538">
            <w:pPr>
              <w:spacing w:after="0" w:line="240" w:lineRule="auto"/>
              <w:jc w:val="right"/>
              <w:rPr>
                <w:rFonts w:ascii="Arial" w:hAnsi="Arial" w:cs="Arial"/>
                <w:sz w:val="16"/>
                <w:szCs w:val="16"/>
              </w:rPr>
            </w:pPr>
          </w:p>
        </w:tc>
        <w:tc>
          <w:tcPr>
            <w:tcW w:w="559" w:type="pct"/>
            <w:gridSpan w:val="4"/>
            <w:tcBorders>
              <w:top w:val="nil"/>
              <w:left w:val="nil"/>
              <w:bottom w:val="nil"/>
              <w:right w:val="nil"/>
            </w:tcBorders>
            <w:shd w:val="clear" w:color="auto" w:fill="auto"/>
            <w:noWrap/>
            <w:vAlign w:val="bottom"/>
            <w:hideMark/>
          </w:tcPr>
          <w:p w14:paraId="12C99B50" w14:textId="77777777" w:rsidR="00115843" w:rsidRPr="005D0C2F" w:rsidRDefault="00115843" w:rsidP="00194538">
            <w:pPr>
              <w:spacing w:after="0" w:line="240" w:lineRule="auto"/>
              <w:jc w:val="right"/>
              <w:rPr>
                <w:rFonts w:ascii="Arial" w:hAnsi="Arial" w:cs="Arial"/>
                <w:sz w:val="16"/>
                <w:szCs w:val="16"/>
              </w:rPr>
            </w:pPr>
          </w:p>
        </w:tc>
        <w:tc>
          <w:tcPr>
            <w:tcW w:w="521" w:type="pct"/>
            <w:tcBorders>
              <w:top w:val="nil"/>
              <w:left w:val="nil"/>
              <w:bottom w:val="nil"/>
              <w:right w:val="nil"/>
            </w:tcBorders>
            <w:shd w:val="clear" w:color="auto" w:fill="auto"/>
            <w:noWrap/>
            <w:vAlign w:val="bottom"/>
            <w:hideMark/>
          </w:tcPr>
          <w:p w14:paraId="5B57FEA3" w14:textId="77777777" w:rsidR="00115843" w:rsidRPr="005D0C2F" w:rsidRDefault="00115843" w:rsidP="00194538">
            <w:pPr>
              <w:spacing w:after="0" w:line="240" w:lineRule="auto"/>
              <w:jc w:val="right"/>
              <w:rPr>
                <w:rFonts w:ascii="Arial" w:hAnsi="Arial" w:cs="Arial"/>
                <w:sz w:val="16"/>
                <w:szCs w:val="16"/>
              </w:rPr>
            </w:pPr>
          </w:p>
        </w:tc>
      </w:tr>
      <w:tr w:rsidR="00BF5A1E" w:rsidRPr="005D0C2F" w14:paraId="652AF86B" w14:textId="77777777" w:rsidTr="00436AC0">
        <w:trPr>
          <w:trHeight w:val="204"/>
        </w:trPr>
        <w:tc>
          <w:tcPr>
            <w:tcW w:w="2153" w:type="pct"/>
            <w:gridSpan w:val="2"/>
            <w:tcBorders>
              <w:top w:val="nil"/>
              <w:left w:val="nil"/>
              <w:bottom w:val="nil"/>
              <w:right w:val="nil"/>
            </w:tcBorders>
            <w:shd w:val="clear" w:color="auto" w:fill="auto"/>
            <w:vAlign w:val="bottom"/>
            <w:hideMark/>
          </w:tcPr>
          <w:p w14:paraId="343E1B8A"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Ordinary Annual Services (Appropriation Act No. 1 and Bill No. 3)</w:t>
            </w:r>
          </w:p>
        </w:tc>
        <w:tc>
          <w:tcPr>
            <w:tcW w:w="621" w:type="pct"/>
            <w:gridSpan w:val="2"/>
            <w:tcBorders>
              <w:top w:val="nil"/>
              <w:left w:val="nil"/>
              <w:bottom w:val="nil"/>
              <w:right w:val="nil"/>
            </w:tcBorders>
            <w:shd w:val="clear" w:color="auto" w:fill="auto"/>
            <w:noWrap/>
            <w:vAlign w:val="bottom"/>
            <w:hideMark/>
          </w:tcPr>
          <w:p w14:paraId="4DB346DD" w14:textId="78A6A4AA"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6,487 </w:t>
            </w:r>
          </w:p>
        </w:tc>
        <w:tc>
          <w:tcPr>
            <w:tcW w:w="562" w:type="pct"/>
            <w:gridSpan w:val="3"/>
            <w:tcBorders>
              <w:top w:val="nil"/>
              <w:left w:val="nil"/>
              <w:bottom w:val="nil"/>
              <w:right w:val="nil"/>
            </w:tcBorders>
            <w:shd w:val="clear" w:color="auto" w:fill="E6E6E6"/>
            <w:noWrap/>
            <w:vAlign w:val="bottom"/>
            <w:hideMark/>
          </w:tcPr>
          <w:p w14:paraId="71B25BEE" w14:textId="4A0CBF22"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19,095 </w:t>
            </w:r>
          </w:p>
        </w:tc>
        <w:tc>
          <w:tcPr>
            <w:tcW w:w="583" w:type="pct"/>
            <w:gridSpan w:val="2"/>
            <w:tcBorders>
              <w:top w:val="nil"/>
              <w:left w:val="nil"/>
              <w:bottom w:val="nil"/>
              <w:right w:val="nil"/>
            </w:tcBorders>
            <w:shd w:val="clear" w:color="auto" w:fill="auto"/>
            <w:noWrap/>
            <w:vAlign w:val="bottom"/>
            <w:hideMark/>
          </w:tcPr>
          <w:p w14:paraId="627DBCE2" w14:textId="2A365734"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12,500 </w:t>
            </w:r>
          </w:p>
        </w:tc>
        <w:tc>
          <w:tcPr>
            <w:tcW w:w="522" w:type="pct"/>
            <w:gridSpan w:val="3"/>
            <w:tcBorders>
              <w:top w:val="nil"/>
              <w:left w:val="nil"/>
              <w:bottom w:val="nil"/>
              <w:right w:val="nil"/>
            </w:tcBorders>
            <w:shd w:val="clear" w:color="auto" w:fill="auto"/>
            <w:noWrap/>
            <w:vAlign w:val="bottom"/>
            <w:hideMark/>
          </w:tcPr>
          <w:p w14:paraId="0CC41B06" w14:textId="2DCBDBC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11,500 </w:t>
            </w:r>
          </w:p>
        </w:tc>
        <w:tc>
          <w:tcPr>
            <w:tcW w:w="558" w:type="pct"/>
            <w:gridSpan w:val="2"/>
            <w:tcBorders>
              <w:top w:val="nil"/>
              <w:left w:val="nil"/>
              <w:bottom w:val="nil"/>
              <w:right w:val="nil"/>
            </w:tcBorders>
            <w:shd w:val="clear" w:color="auto" w:fill="auto"/>
            <w:noWrap/>
            <w:vAlign w:val="bottom"/>
            <w:hideMark/>
          </w:tcPr>
          <w:p w14:paraId="5A4D5E64" w14:textId="1E16D76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 </w:t>
            </w:r>
          </w:p>
        </w:tc>
      </w:tr>
      <w:tr w:rsidR="00BF5A1E" w:rsidRPr="005D0C2F" w14:paraId="4050FC2F" w14:textId="77777777" w:rsidTr="00436AC0">
        <w:trPr>
          <w:trHeight w:val="204"/>
        </w:trPr>
        <w:tc>
          <w:tcPr>
            <w:tcW w:w="2153" w:type="pct"/>
            <w:gridSpan w:val="2"/>
            <w:tcBorders>
              <w:top w:val="nil"/>
              <w:left w:val="nil"/>
              <w:bottom w:val="nil"/>
              <w:right w:val="nil"/>
            </w:tcBorders>
            <w:shd w:val="clear" w:color="auto" w:fill="auto"/>
            <w:vAlign w:val="bottom"/>
            <w:hideMark/>
          </w:tcPr>
          <w:p w14:paraId="3C8915C2"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 xml:space="preserve">Expenses not requiring appropriation in the Budget year </w:t>
            </w:r>
            <w:r w:rsidRPr="005D0C2F">
              <w:rPr>
                <w:rFonts w:ascii="Arial" w:hAnsi="Arial" w:cs="Arial"/>
                <w:sz w:val="16"/>
                <w:szCs w:val="16"/>
                <w:vertAlign w:val="superscript"/>
              </w:rPr>
              <w:t>(c)</w:t>
            </w:r>
          </w:p>
        </w:tc>
        <w:tc>
          <w:tcPr>
            <w:tcW w:w="621" w:type="pct"/>
            <w:gridSpan w:val="2"/>
            <w:tcBorders>
              <w:top w:val="nil"/>
              <w:left w:val="nil"/>
              <w:bottom w:val="nil"/>
              <w:right w:val="nil"/>
            </w:tcBorders>
            <w:shd w:val="clear" w:color="auto" w:fill="auto"/>
            <w:noWrap/>
            <w:vAlign w:val="bottom"/>
            <w:hideMark/>
          </w:tcPr>
          <w:p w14:paraId="72149B1A" w14:textId="3662F6E7"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1,531 </w:t>
            </w:r>
          </w:p>
        </w:tc>
        <w:tc>
          <w:tcPr>
            <w:tcW w:w="562" w:type="pct"/>
            <w:gridSpan w:val="3"/>
            <w:tcBorders>
              <w:top w:val="nil"/>
              <w:left w:val="nil"/>
              <w:bottom w:val="nil"/>
              <w:right w:val="nil"/>
            </w:tcBorders>
            <w:shd w:val="clear" w:color="auto" w:fill="E6E6E6"/>
            <w:noWrap/>
            <w:vAlign w:val="bottom"/>
            <w:hideMark/>
          </w:tcPr>
          <w:p w14:paraId="1B8F164E" w14:textId="551B3CD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 </w:t>
            </w:r>
          </w:p>
        </w:tc>
        <w:tc>
          <w:tcPr>
            <w:tcW w:w="583" w:type="pct"/>
            <w:gridSpan w:val="2"/>
            <w:tcBorders>
              <w:top w:val="nil"/>
              <w:left w:val="nil"/>
              <w:bottom w:val="nil"/>
              <w:right w:val="nil"/>
            </w:tcBorders>
            <w:shd w:val="clear" w:color="auto" w:fill="auto"/>
            <w:noWrap/>
            <w:vAlign w:val="bottom"/>
            <w:hideMark/>
          </w:tcPr>
          <w:p w14:paraId="5B576A81" w14:textId="0B69055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 </w:t>
            </w:r>
          </w:p>
        </w:tc>
        <w:tc>
          <w:tcPr>
            <w:tcW w:w="522" w:type="pct"/>
            <w:gridSpan w:val="3"/>
            <w:tcBorders>
              <w:top w:val="nil"/>
              <w:left w:val="nil"/>
              <w:bottom w:val="nil"/>
              <w:right w:val="nil"/>
            </w:tcBorders>
            <w:shd w:val="clear" w:color="auto" w:fill="auto"/>
            <w:noWrap/>
            <w:vAlign w:val="bottom"/>
            <w:hideMark/>
          </w:tcPr>
          <w:p w14:paraId="439DAB3C" w14:textId="2B370B9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 </w:t>
            </w:r>
          </w:p>
        </w:tc>
        <w:tc>
          <w:tcPr>
            <w:tcW w:w="558" w:type="pct"/>
            <w:gridSpan w:val="2"/>
            <w:tcBorders>
              <w:top w:val="nil"/>
              <w:left w:val="nil"/>
              <w:bottom w:val="nil"/>
              <w:right w:val="nil"/>
            </w:tcBorders>
            <w:shd w:val="clear" w:color="auto" w:fill="auto"/>
            <w:noWrap/>
            <w:vAlign w:val="bottom"/>
            <w:hideMark/>
          </w:tcPr>
          <w:p w14:paraId="12BEE482" w14:textId="2B81CF66"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 </w:t>
            </w:r>
          </w:p>
        </w:tc>
      </w:tr>
      <w:tr w:rsidR="00BF5A1E" w:rsidRPr="005D0C2F" w14:paraId="35E5B062" w14:textId="77777777" w:rsidTr="00436AC0">
        <w:trPr>
          <w:trHeight w:val="204"/>
        </w:trPr>
        <w:tc>
          <w:tcPr>
            <w:tcW w:w="2153" w:type="pct"/>
            <w:gridSpan w:val="2"/>
            <w:tcBorders>
              <w:top w:val="nil"/>
              <w:left w:val="nil"/>
              <w:bottom w:val="nil"/>
              <w:right w:val="nil"/>
            </w:tcBorders>
            <w:shd w:val="clear" w:color="auto" w:fill="auto"/>
            <w:noWrap/>
            <w:vAlign w:val="bottom"/>
            <w:hideMark/>
          </w:tcPr>
          <w:p w14:paraId="7DE7704F" w14:textId="77777777" w:rsidR="00BF5A1E" w:rsidRPr="005D0C2F" w:rsidRDefault="00BF5A1E" w:rsidP="00BF5A1E">
            <w:pPr>
              <w:spacing w:after="0" w:line="240" w:lineRule="auto"/>
              <w:rPr>
                <w:rFonts w:ascii="Arial" w:hAnsi="Arial" w:cs="Arial"/>
                <w:b/>
                <w:bCs/>
                <w:sz w:val="16"/>
                <w:szCs w:val="16"/>
              </w:rPr>
            </w:pPr>
            <w:r w:rsidRPr="005D0C2F">
              <w:rPr>
                <w:rFonts w:ascii="Arial" w:hAnsi="Arial" w:cs="Arial"/>
                <w:b/>
                <w:bCs/>
                <w:sz w:val="16"/>
                <w:szCs w:val="16"/>
              </w:rPr>
              <w:t>Total expenses for Program 2.2</w:t>
            </w:r>
          </w:p>
        </w:tc>
        <w:tc>
          <w:tcPr>
            <w:tcW w:w="621" w:type="pct"/>
            <w:gridSpan w:val="2"/>
            <w:tcBorders>
              <w:top w:val="single" w:sz="4" w:space="0" w:color="auto"/>
              <w:left w:val="nil"/>
              <w:bottom w:val="single" w:sz="4" w:space="0" w:color="auto"/>
              <w:right w:val="nil"/>
            </w:tcBorders>
            <w:shd w:val="clear" w:color="auto" w:fill="auto"/>
            <w:noWrap/>
            <w:vAlign w:val="bottom"/>
            <w:hideMark/>
          </w:tcPr>
          <w:p w14:paraId="32CC93B7" w14:textId="114902D5"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8,018 </w:t>
            </w:r>
          </w:p>
        </w:tc>
        <w:tc>
          <w:tcPr>
            <w:tcW w:w="562" w:type="pct"/>
            <w:gridSpan w:val="3"/>
            <w:tcBorders>
              <w:top w:val="single" w:sz="4" w:space="0" w:color="auto"/>
              <w:left w:val="nil"/>
              <w:bottom w:val="single" w:sz="4" w:space="0" w:color="auto"/>
              <w:right w:val="nil"/>
            </w:tcBorders>
            <w:shd w:val="clear" w:color="auto" w:fill="E6E6E6"/>
            <w:noWrap/>
            <w:vAlign w:val="bottom"/>
            <w:hideMark/>
          </w:tcPr>
          <w:p w14:paraId="6D4BA79F" w14:textId="116152B3"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19,095 </w:t>
            </w:r>
          </w:p>
        </w:tc>
        <w:tc>
          <w:tcPr>
            <w:tcW w:w="583" w:type="pct"/>
            <w:gridSpan w:val="2"/>
            <w:tcBorders>
              <w:top w:val="single" w:sz="4" w:space="0" w:color="auto"/>
              <w:left w:val="nil"/>
              <w:bottom w:val="single" w:sz="4" w:space="0" w:color="auto"/>
              <w:right w:val="nil"/>
            </w:tcBorders>
            <w:shd w:val="clear" w:color="auto" w:fill="auto"/>
            <w:noWrap/>
            <w:vAlign w:val="bottom"/>
            <w:hideMark/>
          </w:tcPr>
          <w:p w14:paraId="0A6A7E4B" w14:textId="02BDBD44"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12,500 </w:t>
            </w:r>
          </w:p>
        </w:tc>
        <w:tc>
          <w:tcPr>
            <w:tcW w:w="522" w:type="pct"/>
            <w:gridSpan w:val="3"/>
            <w:tcBorders>
              <w:top w:val="single" w:sz="4" w:space="0" w:color="auto"/>
              <w:left w:val="nil"/>
              <w:bottom w:val="single" w:sz="4" w:space="0" w:color="auto"/>
              <w:right w:val="nil"/>
            </w:tcBorders>
            <w:shd w:val="clear" w:color="auto" w:fill="auto"/>
            <w:noWrap/>
            <w:vAlign w:val="bottom"/>
            <w:hideMark/>
          </w:tcPr>
          <w:p w14:paraId="327BBCB8" w14:textId="144C4B95"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11,500 </w:t>
            </w:r>
          </w:p>
        </w:tc>
        <w:tc>
          <w:tcPr>
            <w:tcW w:w="558" w:type="pct"/>
            <w:gridSpan w:val="2"/>
            <w:tcBorders>
              <w:top w:val="single" w:sz="4" w:space="0" w:color="auto"/>
              <w:left w:val="nil"/>
              <w:bottom w:val="single" w:sz="4" w:space="0" w:color="auto"/>
              <w:right w:val="nil"/>
            </w:tcBorders>
            <w:shd w:val="clear" w:color="auto" w:fill="auto"/>
            <w:noWrap/>
            <w:vAlign w:val="bottom"/>
            <w:hideMark/>
          </w:tcPr>
          <w:p w14:paraId="50039E88" w14:textId="62361997"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115843" w:rsidRPr="005D0C2F" w14:paraId="3BBC3841" w14:textId="77777777" w:rsidTr="00436AC0">
        <w:trPr>
          <w:trHeight w:val="204"/>
        </w:trPr>
        <w:tc>
          <w:tcPr>
            <w:tcW w:w="5000" w:type="pct"/>
            <w:gridSpan w:val="14"/>
            <w:tcBorders>
              <w:top w:val="single" w:sz="4" w:space="0" w:color="auto"/>
              <w:left w:val="nil"/>
              <w:bottom w:val="single" w:sz="4" w:space="0" w:color="auto"/>
              <w:right w:val="nil"/>
            </w:tcBorders>
            <w:shd w:val="clear" w:color="auto" w:fill="E6E6E6"/>
            <w:noWrap/>
            <w:vAlign w:val="bottom"/>
            <w:hideMark/>
          </w:tcPr>
          <w:p w14:paraId="47AC656F" w14:textId="77777777" w:rsidR="00115843" w:rsidRPr="005D0C2F" w:rsidRDefault="00115843" w:rsidP="00194538">
            <w:pPr>
              <w:spacing w:after="0" w:line="240" w:lineRule="auto"/>
              <w:rPr>
                <w:rFonts w:ascii="Arial" w:hAnsi="Arial" w:cs="Arial"/>
                <w:sz w:val="16"/>
                <w:szCs w:val="16"/>
              </w:rPr>
            </w:pPr>
            <w:r w:rsidRPr="005D0C2F">
              <w:rPr>
                <w:rFonts w:ascii="Arial" w:hAnsi="Arial" w:cs="Arial"/>
                <w:b/>
                <w:bCs/>
                <w:sz w:val="16"/>
                <w:szCs w:val="16"/>
              </w:rPr>
              <w:t xml:space="preserve">Program 2.3: Air Transport </w:t>
            </w:r>
            <w:r w:rsidRPr="005D0C2F">
              <w:rPr>
                <w:rFonts w:ascii="Arial" w:hAnsi="Arial" w:cs="Arial"/>
                <w:sz w:val="16"/>
                <w:szCs w:val="16"/>
              </w:rPr>
              <w:t> </w:t>
            </w:r>
          </w:p>
        </w:tc>
      </w:tr>
      <w:tr w:rsidR="00115843" w:rsidRPr="005D0C2F" w14:paraId="065FD079" w14:textId="77777777" w:rsidTr="00436AC0">
        <w:trPr>
          <w:trHeight w:val="204"/>
        </w:trPr>
        <w:tc>
          <w:tcPr>
            <w:tcW w:w="2153" w:type="pct"/>
            <w:gridSpan w:val="2"/>
            <w:tcBorders>
              <w:top w:val="nil"/>
              <w:left w:val="nil"/>
              <w:bottom w:val="nil"/>
              <w:right w:val="nil"/>
            </w:tcBorders>
            <w:shd w:val="clear" w:color="auto" w:fill="auto"/>
            <w:noWrap/>
            <w:vAlign w:val="bottom"/>
            <w:hideMark/>
          </w:tcPr>
          <w:p w14:paraId="3EC6E2CA" w14:textId="77777777" w:rsidR="00115843" w:rsidRPr="005D0C2F" w:rsidRDefault="00115843" w:rsidP="00194538">
            <w:pPr>
              <w:spacing w:after="0" w:line="240" w:lineRule="auto"/>
              <w:rPr>
                <w:rFonts w:ascii="Arial" w:hAnsi="Arial" w:cs="Arial"/>
                <w:sz w:val="16"/>
                <w:szCs w:val="16"/>
              </w:rPr>
            </w:pPr>
            <w:r w:rsidRPr="005D0C2F">
              <w:rPr>
                <w:rFonts w:ascii="Arial" w:hAnsi="Arial" w:cs="Arial"/>
                <w:sz w:val="16"/>
                <w:szCs w:val="16"/>
              </w:rPr>
              <w:t>Administered expenses</w:t>
            </w:r>
          </w:p>
        </w:tc>
        <w:tc>
          <w:tcPr>
            <w:tcW w:w="621" w:type="pct"/>
            <w:gridSpan w:val="2"/>
            <w:tcBorders>
              <w:top w:val="nil"/>
              <w:left w:val="nil"/>
              <w:bottom w:val="nil"/>
              <w:right w:val="nil"/>
            </w:tcBorders>
            <w:shd w:val="clear" w:color="auto" w:fill="auto"/>
            <w:noWrap/>
            <w:vAlign w:val="bottom"/>
            <w:hideMark/>
          </w:tcPr>
          <w:p w14:paraId="6EF73CAA" w14:textId="77777777" w:rsidR="00115843" w:rsidRPr="005D0C2F" w:rsidRDefault="00115843" w:rsidP="00194538">
            <w:pPr>
              <w:spacing w:after="0" w:line="240" w:lineRule="auto"/>
              <w:jc w:val="right"/>
              <w:rPr>
                <w:rFonts w:ascii="Arial" w:hAnsi="Arial" w:cs="Arial"/>
                <w:sz w:val="16"/>
                <w:szCs w:val="16"/>
              </w:rPr>
            </w:pPr>
          </w:p>
        </w:tc>
        <w:tc>
          <w:tcPr>
            <w:tcW w:w="562" w:type="pct"/>
            <w:gridSpan w:val="3"/>
            <w:tcBorders>
              <w:top w:val="nil"/>
              <w:left w:val="nil"/>
              <w:bottom w:val="nil"/>
              <w:right w:val="nil"/>
            </w:tcBorders>
            <w:shd w:val="clear" w:color="auto" w:fill="E6E6E6"/>
            <w:noWrap/>
            <w:vAlign w:val="bottom"/>
            <w:hideMark/>
          </w:tcPr>
          <w:p w14:paraId="1DDF4B6F" w14:textId="77777777" w:rsidR="00115843" w:rsidRPr="005D0C2F" w:rsidRDefault="00115843" w:rsidP="00194538">
            <w:pPr>
              <w:spacing w:after="0" w:line="240" w:lineRule="auto"/>
              <w:jc w:val="right"/>
              <w:rPr>
                <w:rFonts w:ascii="Arial" w:hAnsi="Arial" w:cs="Arial"/>
                <w:sz w:val="16"/>
                <w:szCs w:val="16"/>
              </w:rPr>
            </w:pPr>
          </w:p>
        </w:tc>
        <w:tc>
          <w:tcPr>
            <w:tcW w:w="583" w:type="pct"/>
            <w:gridSpan w:val="2"/>
            <w:tcBorders>
              <w:top w:val="nil"/>
              <w:left w:val="nil"/>
              <w:bottom w:val="nil"/>
              <w:right w:val="nil"/>
            </w:tcBorders>
            <w:shd w:val="clear" w:color="auto" w:fill="auto"/>
            <w:noWrap/>
            <w:vAlign w:val="bottom"/>
            <w:hideMark/>
          </w:tcPr>
          <w:p w14:paraId="1A5D969A" w14:textId="77777777" w:rsidR="00115843" w:rsidRPr="005D0C2F" w:rsidRDefault="00115843" w:rsidP="00194538">
            <w:pPr>
              <w:spacing w:after="0" w:line="240" w:lineRule="auto"/>
              <w:jc w:val="right"/>
              <w:rPr>
                <w:rFonts w:ascii="Arial" w:hAnsi="Arial" w:cs="Arial"/>
                <w:sz w:val="16"/>
                <w:szCs w:val="16"/>
              </w:rPr>
            </w:pPr>
          </w:p>
        </w:tc>
        <w:tc>
          <w:tcPr>
            <w:tcW w:w="559" w:type="pct"/>
            <w:gridSpan w:val="4"/>
            <w:tcBorders>
              <w:top w:val="nil"/>
              <w:left w:val="nil"/>
              <w:bottom w:val="nil"/>
              <w:right w:val="nil"/>
            </w:tcBorders>
            <w:shd w:val="clear" w:color="auto" w:fill="auto"/>
            <w:noWrap/>
            <w:vAlign w:val="bottom"/>
            <w:hideMark/>
          </w:tcPr>
          <w:p w14:paraId="13674B0B" w14:textId="77777777" w:rsidR="00115843" w:rsidRPr="005D0C2F" w:rsidRDefault="00115843" w:rsidP="00194538">
            <w:pPr>
              <w:spacing w:after="0" w:line="240" w:lineRule="auto"/>
              <w:jc w:val="right"/>
              <w:rPr>
                <w:rFonts w:ascii="Arial" w:hAnsi="Arial" w:cs="Arial"/>
                <w:sz w:val="16"/>
                <w:szCs w:val="16"/>
              </w:rPr>
            </w:pPr>
          </w:p>
        </w:tc>
        <w:tc>
          <w:tcPr>
            <w:tcW w:w="521" w:type="pct"/>
            <w:tcBorders>
              <w:top w:val="nil"/>
              <w:left w:val="nil"/>
              <w:bottom w:val="nil"/>
              <w:right w:val="nil"/>
            </w:tcBorders>
            <w:shd w:val="clear" w:color="auto" w:fill="auto"/>
            <w:noWrap/>
            <w:vAlign w:val="bottom"/>
            <w:hideMark/>
          </w:tcPr>
          <w:p w14:paraId="7CB6A834" w14:textId="77777777" w:rsidR="00115843" w:rsidRPr="005D0C2F" w:rsidRDefault="00115843" w:rsidP="00194538">
            <w:pPr>
              <w:spacing w:after="0" w:line="240" w:lineRule="auto"/>
              <w:jc w:val="right"/>
              <w:rPr>
                <w:rFonts w:ascii="Arial" w:hAnsi="Arial" w:cs="Arial"/>
                <w:sz w:val="16"/>
                <w:szCs w:val="16"/>
              </w:rPr>
            </w:pPr>
          </w:p>
        </w:tc>
      </w:tr>
      <w:tr w:rsidR="00115843" w:rsidRPr="005D0C2F" w14:paraId="045EFC2A" w14:textId="77777777" w:rsidTr="00436AC0">
        <w:trPr>
          <w:trHeight w:val="204"/>
        </w:trPr>
        <w:tc>
          <w:tcPr>
            <w:tcW w:w="2153" w:type="pct"/>
            <w:gridSpan w:val="2"/>
            <w:tcBorders>
              <w:top w:val="nil"/>
              <w:left w:val="nil"/>
              <w:bottom w:val="nil"/>
              <w:right w:val="nil"/>
            </w:tcBorders>
            <w:shd w:val="clear" w:color="auto" w:fill="auto"/>
            <w:vAlign w:val="bottom"/>
            <w:hideMark/>
          </w:tcPr>
          <w:p w14:paraId="24CD75EB"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Ordinary Annual Services (Appropriation Act No. 1 and Bill No. 3)</w:t>
            </w:r>
          </w:p>
        </w:tc>
        <w:tc>
          <w:tcPr>
            <w:tcW w:w="621" w:type="pct"/>
            <w:gridSpan w:val="2"/>
            <w:tcBorders>
              <w:top w:val="nil"/>
              <w:left w:val="nil"/>
              <w:bottom w:val="nil"/>
              <w:right w:val="nil"/>
            </w:tcBorders>
            <w:shd w:val="clear" w:color="auto" w:fill="auto"/>
            <w:noWrap/>
            <w:vAlign w:val="bottom"/>
            <w:hideMark/>
          </w:tcPr>
          <w:p w14:paraId="7931888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1,192,887</w:t>
            </w:r>
          </w:p>
        </w:tc>
        <w:tc>
          <w:tcPr>
            <w:tcW w:w="562" w:type="pct"/>
            <w:gridSpan w:val="3"/>
            <w:tcBorders>
              <w:top w:val="nil"/>
              <w:left w:val="nil"/>
              <w:bottom w:val="nil"/>
              <w:right w:val="nil"/>
            </w:tcBorders>
            <w:shd w:val="clear" w:color="auto" w:fill="E6E6E6"/>
            <w:noWrap/>
            <w:vAlign w:val="bottom"/>
            <w:hideMark/>
          </w:tcPr>
          <w:p w14:paraId="7C5023F8"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117,700</w:t>
            </w:r>
          </w:p>
        </w:tc>
        <w:tc>
          <w:tcPr>
            <w:tcW w:w="583" w:type="pct"/>
            <w:gridSpan w:val="2"/>
            <w:tcBorders>
              <w:top w:val="nil"/>
              <w:left w:val="nil"/>
              <w:bottom w:val="nil"/>
              <w:right w:val="nil"/>
            </w:tcBorders>
            <w:shd w:val="clear" w:color="auto" w:fill="auto"/>
            <w:noWrap/>
            <w:vAlign w:val="bottom"/>
            <w:hideMark/>
          </w:tcPr>
          <w:p w14:paraId="2980DB74"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145,556</w:t>
            </w:r>
          </w:p>
        </w:tc>
        <w:tc>
          <w:tcPr>
            <w:tcW w:w="559" w:type="pct"/>
            <w:gridSpan w:val="4"/>
            <w:tcBorders>
              <w:top w:val="nil"/>
              <w:left w:val="nil"/>
              <w:bottom w:val="nil"/>
              <w:right w:val="nil"/>
            </w:tcBorders>
            <w:shd w:val="clear" w:color="auto" w:fill="auto"/>
            <w:noWrap/>
            <w:vAlign w:val="bottom"/>
            <w:hideMark/>
          </w:tcPr>
          <w:p w14:paraId="4F6FBC71"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107,680</w:t>
            </w:r>
          </w:p>
        </w:tc>
        <w:tc>
          <w:tcPr>
            <w:tcW w:w="521" w:type="pct"/>
            <w:tcBorders>
              <w:top w:val="nil"/>
              <w:left w:val="nil"/>
              <w:bottom w:val="nil"/>
              <w:right w:val="nil"/>
            </w:tcBorders>
            <w:shd w:val="clear" w:color="auto" w:fill="auto"/>
            <w:noWrap/>
            <w:vAlign w:val="bottom"/>
            <w:hideMark/>
          </w:tcPr>
          <w:p w14:paraId="0C9D29F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51,591</w:t>
            </w:r>
          </w:p>
        </w:tc>
      </w:tr>
      <w:tr w:rsidR="00115843" w:rsidRPr="005D0C2F" w14:paraId="03B744C0" w14:textId="77777777" w:rsidTr="00436AC0">
        <w:trPr>
          <w:trHeight w:val="204"/>
        </w:trPr>
        <w:tc>
          <w:tcPr>
            <w:tcW w:w="2153" w:type="pct"/>
            <w:gridSpan w:val="2"/>
            <w:tcBorders>
              <w:top w:val="nil"/>
              <w:left w:val="nil"/>
              <w:bottom w:val="nil"/>
              <w:right w:val="nil"/>
            </w:tcBorders>
            <w:shd w:val="clear" w:color="auto" w:fill="auto"/>
            <w:vAlign w:val="bottom"/>
            <w:hideMark/>
          </w:tcPr>
          <w:p w14:paraId="4AFC832A"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Payments to corporate entities </w:t>
            </w:r>
            <w:r w:rsidRPr="005D0C2F">
              <w:rPr>
                <w:rFonts w:ascii="Arial" w:hAnsi="Arial" w:cs="Arial"/>
                <w:sz w:val="16"/>
                <w:szCs w:val="16"/>
                <w:vertAlign w:val="superscript"/>
              </w:rPr>
              <w:t>(b)</w:t>
            </w:r>
          </w:p>
        </w:tc>
        <w:tc>
          <w:tcPr>
            <w:tcW w:w="621" w:type="pct"/>
            <w:gridSpan w:val="2"/>
            <w:tcBorders>
              <w:top w:val="nil"/>
              <w:left w:val="nil"/>
              <w:bottom w:val="nil"/>
              <w:right w:val="nil"/>
            </w:tcBorders>
            <w:shd w:val="clear" w:color="auto" w:fill="auto"/>
            <w:noWrap/>
            <w:vAlign w:val="bottom"/>
            <w:hideMark/>
          </w:tcPr>
          <w:p w14:paraId="5440CD08"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122,082</w:t>
            </w:r>
          </w:p>
        </w:tc>
        <w:tc>
          <w:tcPr>
            <w:tcW w:w="562" w:type="pct"/>
            <w:gridSpan w:val="3"/>
            <w:tcBorders>
              <w:top w:val="nil"/>
              <w:left w:val="nil"/>
              <w:bottom w:val="nil"/>
              <w:right w:val="nil"/>
            </w:tcBorders>
            <w:shd w:val="clear" w:color="auto" w:fill="E6E6E6"/>
            <w:noWrap/>
            <w:vAlign w:val="bottom"/>
            <w:hideMark/>
          </w:tcPr>
          <w:p w14:paraId="55067F86"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92,445</w:t>
            </w:r>
          </w:p>
        </w:tc>
        <w:tc>
          <w:tcPr>
            <w:tcW w:w="583" w:type="pct"/>
            <w:gridSpan w:val="2"/>
            <w:tcBorders>
              <w:top w:val="nil"/>
              <w:left w:val="nil"/>
              <w:bottom w:val="nil"/>
              <w:right w:val="nil"/>
            </w:tcBorders>
            <w:shd w:val="clear" w:color="auto" w:fill="auto"/>
            <w:noWrap/>
            <w:vAlign w:val="bottom"/>
            <w:hideMark/>
          </w:tcPr>
          <w:p w14:paraId="75572CCA"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73,950</w:t>
            </w:r>
          </w:p>
        </w:tc>
        <w:tc>
          <w:tcPr>
            <w:tcW w:w="559" w:type="pct"/>
            <w:gridSpan w:val="4"/>
            <w:tcBorders>
              <w:top w:val="nil"/>
              <w:left w:val="nil"/>
              <w:bottom w:val="nil"/>
              <w:right w:val="nil"/>
            </w:tcBorders>
            <w:shd w:val="clear" w:color="auto" w:fill="auto"/>
            <w:noWrap/>
            <w:vAlign w:val="bottom"/>
            <w:hideMark/>
          </w:tcPr>
          <w:p w14:paraId="2C5E3DEA"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41,794</w:t>
            </w:r>
          </w:p>
        </w:tc>
        <w:tc>
          <w:tcPr>
            <w:tcW w:w="521" w:type="pct"/>
            <w:tcBorders>
              <w:top w:val="nil"/>
              <w:left w:val="nil"/>
              <w:bottom w:val="nil"/>
              <w:right w:val="nil"/>
            </w:tcBorders>
            <w:shd w:val="clear" w:color="auto" w:fill="auto"/>
            <w:noWrap/>
            <w:vAlign w:val="bottom"/>
            <w:hideMark/>
          </w:tcPr>
          <w:p w14:paraId="367A0FA7"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42,080</w:t>
            </w:r>
          </w:p>
        </w:tc>
      </w:tr>
      <w:tr w:rsidR="00115843" w:rsidRPr="005D0C2F" w14:paraId="0AAF1339" w14:textId="77777777" w:rsidTr="00436AC0">
        <w:trPr>
          <w:trHeight w:val="204"/>
        </w:trPr>
        <w:tc>
          <w:tcPr>
            <w:tcW w:w="2153" w:type="pct"/>
            <w:gridSpan w:val="2"/>
            <w:tcBorders>
              <w:top w:val="nil"/>
              <w:left w:val="nil"/>
              <w:bottom w:val="nil"/>
              <w:right w:val="nil"/>
            </w:tcBorders>
            <w:shd w:val="clear" w:color="auto" w:fill="auto"/>
            <w:noWrap/>
            <w:vAlign w:val="bottom"/>
            <w:hideMark/>
          </w:tcPr>
          <w:p w14:paraId="28D52D61"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Special Appropriations</w:t>
            </w:r>
          </w:p>
        </w:tc>
        <w:tc>
          <w:tcPr>
            <w:tcW w:w="621" w:type="pct"/>
            <w:gridSpan w:val="2"/>
            <w:tcBorders>
              <w:top w:val="nil"/>
              <w:left w:val="nil"/>
              <w:bottom w:val="nil"/>
              <w:right w:val="nil"/>
            </w:tcBorders>
            <w:shd w:val="clear" w:color="auto" w:fill="auto"/>
            <w:noWrap/>
            <w:vAlign w:val="bottom"/>
            <w:hideMark/>
          </w:tcPr>
          <w:p w14:paraId="153A9B7D" w14:textId="77777777" w:rsidR="00115843" w:rsidRPr="005D0C2F" w:rsidRDefault="00115843" w:rsidP="00194538">
            <w:pPr>
              <w:spacing w:after="0" w:line="240" w:lineRule="auto"/>
              <w:ind w:firstLineChars="100" w:firstLine="160"/>
              <w:jc w:val="right"/>
              <w:rPr>
                <w:rFonts w:ascii="Arial" w:hAnsi="Arial" w:cs="Arial"/>
                <w:sz w:val="16"/>
                <w:szCs w:val="16"/>
              </w:rPr>
            </w:pPr>
          </w:p>
        </w:tc>
        <w:tc>
          <w:tcPr>
            <w:tcW w:w="562" w:type="pct"/>
            <w:gridSpan w:val="3"/>
            <w:tcBorders>
              <w:top w:val="nil"/>
              <w:left w:val="nil"/>
              <w:bottom w:val="nil"/>
              <w:right w:val="nil"/>
            </w:tcBorders>
            <w:shd w:val="clear" w:color="auto" w:fill="E6E6E6"/>
            <w:noWrap/>
            <w:vAlign w:val="bottom"/>
            <w:hideMark/>
          </w:tcPr>
          <w:p w14:paraId="046BB533" w14:textId="77777777" w:rsidR="00115843" w:rsidRPr="005D0C2F" w:rsidRDefault="00115843" w:rsidP="00194538">
            <w:pPr>
              <w:spacing w:after="0" w:line="240" w:lineRule="auto"/>
              <w:jc w:val="right"/>
              <w:rPr>
                <w:rFonts w:ascii="Arial" w:hAnsi="Arial" w:cs="Arial"/>
                <w:sz w:val="16"/>
                <w:szCs w:val="16"/>
              </w:rPr>
            </w:pPr>
          </w:p>
        </w:tc>
        <w:tc>
          <w:tcPr>
            <w:tcW w:w="583" w:type="pct"/>
            <w:gridSpan w:val="2"/>
            <w:tcBorders>
              <w:top w:val="nil"/>
              <w:left w:val="nil"/>
              <w:bottom w:val="nil"/>
              <w:right w:val="nil"/>
            </w:tcBorders>
            <w:shd w:val="clear" w:color="auto" w:fill="auto"/>
            <w:noWrap/>
            <w:vAlign w:val="bottom"/>
            <w:hideMark/>
          </w:tcPr>
          <w:p w14:paraId="33130E24" w14:textId="77777777" w:rsidR="00115843" w:rsidRPr="005D0C2F" w:rsidRDefault="00115843" w:rsidP="00194538">
            <w:pPr>
              <w:spacing w:after="0" w:line="240" w:lineRule="auto"/>
              <w:jc w:val="right"/>
              <w:rPr>
                <w:rFonts w:ascii="Arial" w:hAnsi="Arial" w:cs="Arial"/>
                <w:sz w:val="16"/>
                <w:szCs w:val="16"/>
              </w:rPr>
            </w:pPr>
          </w:p>
        </w:tc>
        <w:tc>
          <w:tcPr>
            <w:tcW w:w="559" w:type="pct"/>
            <w:gridSpan w:val="4"/>
            <w:tcBorders>
              <w:top w:val="nil"/>
              <w:left w:val="nil"/>
              <w:bottom w:val="nil"/>
              <w:right w:val="nil"/>
            </w:tcBorders>
            <w:shd w:val="clear" w:color="auto" w:fill="auto"/>
            <w:noWrap/>
            <w:vAlign w:val="bottom"/>
            <w:hideMark/>
          </w:tcPr>
          <w:p w14:paraId="7D123FC9" w14:textId="77777777" w:rsidR="00115843" w:rsidRPr="005D0C2F" w:rsidRDefault="00115843" w:rsidP="00194538">
            <w:pPr>
              <w:spacing w:after="0" w:line="240" w:lineRule="auto"/>
              <w:jc w:val="right"/>
              <w:rPr>
                <w:rFonts w:ascii="Arial" w:hAnsi="Arial" w:cs="Arial"/>
                <w:sz w:val="16"/>
                <w:szCs w:val="16"/>
              </w:rPr>
            </w:pPr>
          </w:p>
        </w:tc>
        <w:tc>
          <w:tcPr>
            <w:tcW w:w="521" w:type="pct"/>
            <w:tcBorders>
              <w:top w:val="nil"/>
              <w:left w:val="nil"/>
              <w:bottom w:val="nil"/>
              <w:right w:val="nil"/>
            </w:tcBorders>
            <w:shd w:val="clear" w:color="auto" w:fill="auto"/>
            <w:noWrap/>
            <w:vAlign w:val="bottom"/>
            <w:hideMark/>
          </w:tcPr>
          <w:p w14:paraId="4025F183" w14:textId="77777777" w:rsidR="00115843" w:rsidRPr="005D0C2F" w:rsidRDefault="00115843" w:rsidP="00194538">
            <w:pPr>
              <w:spacing w:after="0" w:line="240" w:lineRule="auto"/>
              <w:jc w:val="right"/>
              <w:rPr>
                <w:rFonts w:ascii="Arial" w:hAnsi="Arial" w:cs="Arial"/>
                <w:sz w:val="16"/>
                <w:szCs w:val="16"/>
              </w:rPr>
            </w:pPr>
          </w:p>
        </w:tc>
      </w:tr>
      <w:tr w:rsidR="00115843" w:rsidRPr="005D0C2F" w14:paraId="5257ECB9" w14:textId="77777777" w:rsidTr="00436AC0">
        <w:trPr>
          <w:trHeight w:val="204"/>
        </w:trPr>
        <w:tc>
          <w:tcPr>
            <w:tcW w:w="2153" w:type="pct"/>
            <w:gridSpan w:val="2"/>
            <w:tcBorders>
              <w:top w:val="nil"/>
              <w:left w:val="nil"/>
              <w:bottom w:val="nil"/>
              <w:right w:val="nil"/>
            </w:tcBorders>
            <w:shd w:val="clear" w:color="auto" w:fill="auto"/>
            <w:vAlign w:val="bottom"/>
            <w:hideMark/>
          </w:tcPr>
          <w:p w14:paraId="79812302" w14:textId="77777777" w:rsidR="00115843" w:rsidRPr="005D0C2F" w:rsidRDefault="00115843" w:rsidP="00194538">
            <w:pPr>
              <w:spacing w:after="0" w:line="240" w:lineRule="auto"/>
              <w:ind w:left="227"/>
              <w:rPr>
                <w:rFonts w:ascii="Arial" w:hAnsi="Arial" w:cs="Arial"/>
                <w:i/>
                <w:iCs/>
                <w:sz w:val="16"/>
                <w:szCs w:val="16"/>
              </w:rPr>
            </w:pPr>
            <w:r w:rsidRPr="005D0C2F">
              <w:rPr>
                <w:rFonts w:ascii="Arial" w:hAnsi="Arial" w:cs="Arial"/>
                <w:i/>
                <w:iCs/>
                <w:sz w:val="16"/>
                <w:szCs w:val="16"/>
              </w:rPr>
              <w:t xml:space="preserve">Aviation Fuel Revenues (Special Appropriation) Act 1988 </w:t>
            </w:r>
            <w:r w:rsidRPr="005D0C2F">
              <w:rPr>
                <w:rFonts w:ascii="Arial" w:hAnsi="Arial" w:cs="Arial"/>
                <w:iCs/>
                <w:sz w:val="16"/>
                <w:szCs w:val="16"/>
                <w:vertAlign w:val="superscript"/>
              </w:rPr>
              <w:t>(b)</w:t>
            </w:r>
          </w:p>
        </w:tc>
        <w:tc>
          <w:tcPr>
            <w:tcW w:w="621" w:type="pct"/>
            <w:gridSpan w:val="2"/>
            <w:tcBorders>
              <w:top w:val="nil"/>
              <w:left w:val="nil"/>
              <w:bottom w:val="nil"/>
              <w:right w:val="nil"/>
            </w:tcBorders>
            <w:shd w:val="clear" w:color="auto" w:fill="auto"/>
            <w:noWrap/>
            <w:vAlign w:val="bottom"/>
            <w:hideMark/>
          </w:tcPr>
          <w:p w14:paraId="6A28F17F"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85,281</w:t>
            </w:r>
          </w:p>
        </w:tc>
        <w:tc>
          <w:tcPr>
            <w:tcW w:w="562" w:type="pct"/>
            <w:gridSpan w:val="3"/>
            <w:tcBorders>
              <w:top w:val="nil"/>
              <w:left w:val="nil"/>
              <w:bottom w:val="nil"/>
              <w:right w:val="nil"/>
            </w:tcBorders>
            <w:shd w:val="clear" w:color="auto" w:fill="E6E6E6"/>
            <w:noWrap/>
            <w:vAlign w:val="bottom"/>
            <w:hideMark/>
          </w:tcPr>
          <w:p w14:paraId="3FC57306"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90,132</w:t>
            </w:r>
          </w:p>
        </w:tc>
        <w:tc>
          <w:tcPr>
            <w:tcW w:w="583" w:type="pct"/>
            <w:gridSpan w:val="2"/>
            <w:tcBorders>
              <w:top w:val="nil"/>
              <w:left w:val="nil"/>
              <w:bottom w:val="nil"/>
              <w:right w:val="nil"/>
            </w:tcBorders>
            <w:shd w:val="clear" w:color="auto" w:fill="auto"/>
            <w:noWrap/>
            <w:vAlign w:val="bottom"/>
            <w:hideMark/>
          </w:tcPr>
          <w:p w14:paraId="14DA778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116,670</w:t>
            </w:r>
          </w:p>
        </w:tc>
        <w:tc>
          <w:tcPr>
            <w:tcW w:w="559" w:type="pct"/>
            <w:gridSpan w:val="4"/>
            <w:tcBorders>
              <w:top w:val="nil"/>
              <w:left w:val="nil"/>
              <w:bottom w:val="nil"/>
              <w:right w:val="nil"/>
            </w:tcBorders>
            <w:shd w:val="clear" w:color="auto" w:fill="auto"/>
            <w:noWrap/>
            <w:vAlign w:val="bottom"/>
            <w:hideMark/>
          </w:tcPr>
          <w:p w14:paraId="1C27974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122,690</w:t>
            </w:r>
          </w:p>
        </w:tc>
        <w:tc>
          <w:tcPr>
            <w:tcW w:w="521" w:type="pct"/>
            <w:tcBorders>
              <w:top w:val="nil"/>
              <w:left w:val="nil"/>
              <w:bottom w:val="nil"/>
              <w:right w:val="nil"/>
            </w:tcBorders>
            <w:shd w:val="clear" w:color="auto" w:fill="auto"/>
            <w:noWrap/>
            <w:vAlign w:val="bottom"/>
            <w:hideMark/>
          </w:tcPr>
          <w:p w14:paraId="35E2A16F"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122,690</w:t>
            </w:r>
          </w:p>
        </w:tc>
      </w:tr>
      <w:tr w:rsidR="00115843" w:rsidRPr="005D0C2F" w14:paraId="63E1729D" w14:textId="77777777" w:rsidTr="00436AC0">
        <w:trPr>
          <w:trHeight w:val="204"/>
        </w:trPr>
        <w:tc>
          <w:tcPr>
            <w:tcW w:w="2153" w:type="pct"/>
            <w:gridSpan w:val="2"/>
            <w:tcBorders>
              <w:top w:val="nil"/>
              <w:left w:val="nil"/>
              <w:bottom w:val="nil"/>
              <w:right w:val="nil"/>
            </w:tcBorders>
            <w:shd w:val="clear" w:color="auto" w:fill="auto"/>
            <w:vAlign w:val="bottom"/>
            <w:hideMark/>
          </w:tcPr>
          <w:p w14:paraId="12216767"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Expenses not requiring appropriation in the Budget year </w:t>
            </w:r>
            <w:r w:rsidRPr="005D0C2F">
              <w:rPr>
                <w:rFonts w:ascii="Arial" w:hAnsi="Arial" w:cs="Arial"/>
                <w:iCs/>
                <w:sz w:val="16"/>
                <w:szCs w:val="16"/>
                <w:vertAlign w:val="superscript"/>
              </w:rPr>
              <w:t>(c)</w:t>
            </w:r>
          </w:p>
        </w:tc>
        <w:tc>
          <w:tcPr>
            <w:tcW w:w="621" w:type="pct"/>
            <w:gridSpan w:val="2"/>
            <w:tcBorders>
              <w:top w:val="nil"/>
              <w:left w:val="nil"/>
              <w:bottom w:val="nil"/>
              <w:right w:val="nil"/>
            </w:tcBorders>
            <w:shd w:val="clear" w:color="auto" w:fill="auto"/>
            <w:noWrap/>
            <w:vAlign w:val="bottom"/>
            <w:hideMark/>
          </w:tcPr>
          <w:p w14:paraId="26888701"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(475,168)</w:t>
            </w:r>
          </w:p>
        </w:tc>
        <w:tc>
          <w:tcPr>
            <w:tcW w:w="562" w:type="pct"/>
            <w:gridSpan w:val="3"/>
            <w:tcBorders>
              <w:top w:val="nil"/>
              <w:left w:val="nil"/>
              <w:bottom w:val="nil"/>
              <w:right w:val="nil"/>
            </w:tcBorders>
            <w:shd w:val="clear" w:color="auto" w:fill="E6E6E6"/>
            <w:noWrap/>
            <w:vAlign w:val="bottom"/>
            <w:hideMark/>
          </w:tcPr>
          <w:p w14:paraId="5EAFE7C2"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128,037</w:t>
            </w:r>
          </w:p>
        </w:tc>
        <w:tc>
          <w:tcPr>
            <w:tcW w:w="583" w:type="pct"/>
            <w:gridSpan w:val="2"/>
            <w:tcBorders>
              <w:top w:val="nil"/>
              <w:left w:val="nil"/>
              <w:bottom w:val="nil"/>
              <w:right w:val="nil"/>
            </w:tcBorders>
            <w:shd w:val="clear" w:color="auto" w:fill="auto"/>
            <w:noWrap/>
            <w:vAlign w:val="bottom"/>
            <w:hideMark/>
          </w:tcPr>
          <w:p w14:paraId="1D5AF8BC"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(3,943)</w:t>
            </w:r>
          </w:p>
        </w:tc>
        <w:tc>
          <w:tcPr>
            <w:tcW w:w="559" w:type="pct"/>
            <w:gridSpan w:val="4"/>
            <w:tcBorders>
              <w:top w:val="nil"/>
              <w:left w:val="nil"/>
              <w:bottom w:val="nil"/>
              <w:right w:val="nil"/>
            </w:tcBorders>
            <w:shd w:val="clear" w:color="auto" w:fill="auto"/>
            <w:noWrap/>
            <w:vAlign w:val="bottom"/>
            <w:hideMark/>
          </w:tcPr>
          <w:p w14:paraId="4605166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11,481</w:t>
            </w:r>
          </w:p>
        </w:tc>
        <w:tc>
          <w:tcPr>
            <w:tcW w:w="521" w:type="pct"/>
            <w:tcBorders>
              <w:top w:val="nil"/>
              <w:left w:val="nil"/>
              <w:bottom w:val="nil"/>
              <w:right w:val="nil"/>
            </w:tcBorders>
            <w:shd w:val="clear" w:color="auto" w:fill="auto"/>
            <w:noWrap/>
            <w:vAlign w:val="bottom"/>
            <w:hideMark/>
          </w:tcPr>
          <w:p w14:paraId="4C39E3B5"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97,911</w:t>
            </w:r>
          </w:p>
        </w:tc>
      </w:tr>
      <w:tr w:rsidR="00115843" w:rsidRPr="005D0C2F" w14:paraId="2BD48ECD" w14:textId="77777777" w:rsidTr="00436AC0">
        <w:trPr>
          <w:trHeight w:val="204"/>
        </w:trPr>
        <w:tc>
          <w:tcPr>
            <w:tcW w:w="2153" w:type="pct"/>
            <w:gridSpan w:val="2"/>
            <w:tcBorders>
              <w:top w:val="nil"/>
              <w:left w:val="nil"/>
              <w:bottom w:val="single" w:sz="4" w:space="0" w:color="auto"/>
              <w:right w:val="nil"/>
            </w:tcBorders>
            <w:shd w:val="clear" w:color="auto" w:fill="auto"/>
            <w:noWrap/>
            <w:vAlign w:val="bottom"/>
            <w:hideMark/>
          </w:tcPr>
          <w:p w14:paraId="5AF6E566" w14:textId="77777777" w:rsidR="00115843" w:rsidRPr="005D0C2F" w:rsidRDefault="00115843" w:rsidP="00194538">
            <w:pPr>
              <w:spacing w:after="0" w:line="240" w:lineRule="auto"/>
              <w:rPr>
                <w:rFonts w:ascii="Arial" w:hAnsi="Arial" w:cs="Arial"/>
                <w:b/>
                <w:bCs/>
                <w:sz w:val="16"/>
                <w:szCs w:val="16"/>
              </w:rPr>
            </w:pPr>
            <w:r w:rsidRPr="005D0C2F">
              <w:rPr>
                <w:rFonts w:ascii="Arial" w:hAnsi="Arial" w:cs="Arial"/>
                <w:b/>
                <w:bCs/>
                <w:sz w:val="16"/>
                <w:szCs w:val="16"/>
              </w:rPr>
              <w:t>Total expenses for Program 2.3</w:t>
            </w:r>
          </w:p>
        </w:tc>
        <w:tc>
          <w:tcPr>
            <w:tcW w:w="621" w:type="pct"/>
            <w:gridSpan w:val="2"/>
            <w:tcBorders>
              <w:top w:val="single" w:sz="4" w:space="0" w:color="auto"/>
              <w:left w:val="nil"/>
              <w:bottom w:val="single" w:sz="4" w:space="0" w:color="auto"/>
              <w:right w:val="nil"/>
            </w:tcBorders>
            <w:shd w:val="clear" w:color="auto" w:fill="auto"/>
            <w:noWrap/>
            <w:vAlign w:val="bottom"/>
            <w:hideMark/>
          </w:tcPr>
          <w:p w14:paraId="4CCB5744"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925,082</w:t>
            </w:r>
          </w:p>
        </w:tc>
        <w:tc>
          <w:tcPr>
            <w:tcW w:w="562" w:type="pct"/>
            <w:gridSpan w:val="3"/>
            <w:tcBorders>
              <w:top w:val="single" w:sz="4" w:space="0" w:color="auto"/>
              <w:left w:val="nil"/>
              <w:bottom w:val="single" w:sz="4" w:space="0" w:color="auto"/>
              <w:right w:val="nil"/>
            </w:tcBorders>
            <w:shd w:val="clear" w:color="auto" w:fill="E6E6E6"/>
            <w:noWrap/>
            <w:vAlign w:val="bottom"/>
            <w:hideMark/>
          </w:tcPr>
          <w:p w14:paraId="2FDFA40B"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428,314</w:t>
            </w:r>
          </w:p>
        </w:tc>
        <w:tc>
          <w:tcPr>
            <w:tcW w:w="583" w:type="pct"/>
            <w:gridSpan w:val="2"/>
            <w:tcBorders>
              <w:top w:val="single" w:sz="4" w:space="0" w:color="auto"/>
              <w:left w:val="nil"/>
              <w:bottom w:val="single" w:sz="4" w:space="0" w:color="auto"/>
              <w:right w:val="nil"/>
            </w:tcBorders>
            <w:shd w:val="clear" w:color="auto" w:fill="auto"/>
            <w:noWrap/>
            <w:vAlign w:val="bottom"/>
            <w:hideMark/>
          </w:tcPr>
          <w:p w14:paraId="31A519C1"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332,233</w:t>
            </w:r>
          </w:p>
        </w:tc>
        <w:tc>
          <w:tcPr>
            <w:tcW w:w="559" w:type="pct"/>
            <w:gridSpan w:val="4"/>
            <w:tcBorders>
              <w:top w:val="single" w:sz="4" w:space="0" w:color="auto"/>
              <w:left w:val="nil"/>
              <w:bottom w:val="single" w:sz="4" w:space="0" w:color="auto"/>
              <w:right w:val="nil"/>
            </w:tcBorders>
            <w:shd w:val="clear" w:color="auto" w:fill="auto"/>
            <w:noWrap/>
            <w:vAlign w:val="bottom"/>
            <w:hideMark/>
          </w:tcPr>
          <w:p w14:paraId="25D9E033"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283,645</w:t>
            </w:r>
          </w:p>
        </w:tc>
        <w:tc>
          <w:tcPr>
            <w:tcW w:w="521" w:type="pct"/>
            <w:tcBorders>
              <w:top w:val="single" w:sz="4" w:space="0" w:color="auto"/>
              <w:left w:val="nil"/>
              <w:bottom w:val="single" w:sz="4" w:space="0" w:color="auto"/>
              <w:right w:val="nil"/>
            </w:tcBorders>
            <w:shd w:val="clear" w:color="auto" w:fill="auto"/>
            <w:noWrap/>
            <w:vAlign w:val="bottom"/>
            <w:hideMark/>
          </w:tcPr>
          <w:p w14:paraId="327ACB43"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314,272</w:t>
            </w:r>
          </w:p>
        </w:tc>
      </w:tr>
      <w:tr w:rsidR="00115843" w:rsidRPr="005D0C2F" w14:paraId="36C31FBB" w14:textId="77777777" w:rsidTr="00436AC0">
        <w:trPr>
          <w:trHeight w:val="204"/>
        </w:trPr>
        <w:tc>
          <w:tcPr>
            <w:tcW w:w="5000" w:type="pct"/>
            <w:gridSpan w:val="14"/>
            <w:tcBorders>
              <w:top w:val="single" w:sz="4" w:space="0" w:color="auto"/>
              <w:left w:val="nil"/>
              <w:bottom w:val="single" w:sz="4" w:space="0" w:color="auto"/>
              <w:right w:val="nil"/>
            </w:tcBorders>
            <w:shd w:val="clear" w:color="auto" w:fill="E6E6E6"/>
            <w:noWrap/>
            <w:vAlign w:val="bottom"/>
            <w:hideMark/>
          </w:tcPr>
          <w:p w14:paraId="14771090" w14:textId="6670B28C" w:rsidR="00115843" w:rsidRPr="005D0C2F" w:rsidRDefault="00115843" w:rsidP="00194538">
            <w:pPr>
              <w:spacing w:after="0" w:line="240" w:lineRule="auto"/>
              <w:rPr>
                <w:rFonts w:ascii="Arial" w:hAnsi="Arial" w:cs="Arial"/>
                <w:b/>
                <w:bCs/>
                <w:sz w:val="16"/>
                <w:szCs w:val="16"/>
              </w:rPr>
            </w:pPr>
            <w:r w:rsidRPr="005D0C2F">
              <w:rPr>
                <w:rFonts w:ascii="Arial" w:hAnsi="Arial" w:cs="Arial"/>
                <w:b/>
                <w:bCs/>
                <w:sz w:val="16"/>
                <w:szCs w:val="16"/>
              </w:rPr>
              <w:t>Program 2.4</w:t>
            </w:r>
            <w:r w:rsidR="00194538">
              <w:rPr>
                <w:rFonts w:ascii="Arial" w:hAnsi="Arial" w:cs="Arial"/>
                <w:b/>
                <w:bCs/>
                <w:sz w:val="16"/>
                <w:szCs w:val="16"/>
              </w:rPr>
              <w:t>:</w:t>
            </w:r>
            <w:r w:rsidRPr="005D0C2F">
              <w:rPr>
                <w:rFonts w:ascii="Arial" w:hAnsi="Arial" w:cs="Arial"/>
                <w:b/>
                <w:bCs/>
                <w:sz w:val="16"/>
                <w:szCs w:val="16"/>
              </w:rPr>
              <w:t xml:space="preserve"> Program Support for Outcome 2</w:t>
            </w:r>
          </w:p>
        </w:tc>
      </w:tr>
      <w:tr w:rsidR="00115843" w:rsidRPr="005D0C2F" w14:paraId="6666E831" w14:textId="77777777" w:rsidTr="00436AC0">
        <w:trPr>
          <w:trHeight w:val="204"/>
        </w:trPr>
        <w:tc>
          <w:tcPr>
            <w:tcW w:w="2127" w:type="pct"/>
            <w:tcBorders>
              <w:top w:val="nil"/>
              <w:left w:val="nil"/>
              <w:bottom w:val="nil"/>
              <w:right w:val="nil"/>
            </w:tcBorders>
            <w:shd w:val="clear" w:color="auto" w:fill="auto"/>
            <w:noWrap/>
            <w:vAlign w:val="bottom"/>
            <w:hideMark/>
          </w:tcPr>
          <w:p w14:paraId="76A52458" w14:textId="77777777" w:rsidR="00115843" w:rsidRPr="005D0C2F" w:rsidRDefault="00115843" w:rsidP="00194538">
            <w:pPr>
              <w:spacing w:after="0" w:line="240" w:lineRule="auto"/>
              <w:rPr>
                <w:rFonts w:ascii="Arial" w:hAnsi="Arial" w:cs="Arial"/>
                <w:sz w:val="16"/>
                <w:szCs w:val="16"/>
              </w:rPr>
            </w:pPr>
            <w:r w:rsidRPr="005D0C2F">
              <w:rPr>
                <w:rFonts w:ascii="Arial" w:hAnsi="Arial" w:cs="Arial"/>
                <w:sz w:val="16"/>
                <w:szCs w:val="16"/>
              </w:rPr>
              <w:t>Departmental expenses</w:t>
            </w:r>
          </w:p>
        </w:tc>
        <w:tc>
          <w:tcPr>
            <w:tcW w:w="647" w:type="pct"/>
            <w:gridSpan w:val="3"/>
            <w:tcBorders>
              <w:top w:val="nil"/>
              <w:left w:val="nil"/>
              <w:bottom w:val="nil"/>
              <w:right w:val="nil"/>
            </w:tcBorders>
            <w:shd w:val="clear" w:color="auto" w:fill="auto"/>
            <w:noWrap/>
            <w:vAlign w:val="bottom"/>
            <w:hideMark/>
          </w:tcPr>
          <w:p w14:paraId="387034E3" w14:textId="77777777" w:rsidR="00115843" w:rsidRPr="005D0C2F" w:rsidRDefault="00115843" w:rsidP="00194538">
            <w:pPr>
              <w:spacing w:after="0" w:line="240" w:lineRule="auto"/>
              <w:jc w:val="right"/>
              <w:rPr>
                <w:rFonts w:ascii="Arial" w:hAnsi="Arial" w:cs="Arial"/>
                <w:sz w:val="16"/>
                <w:szCs w:val="16"/>
              </w:rPr>
            </w:pPr>
          </w:p>
        </w:tc>
        <w:tc>
          <w:tcPr>
            <w:tcW w:w="543" w:type="pct"/>
            <w:gridSpan w:val="2"/>
            <w:tcBorders>
              <w:top w:val="nil"/>
              <w:left w:val="nil"/>
              <w:bottom w:val="nil"/>
              <w:right w:val="nil"/>
            </w:tcBorders>
            <w:shd w:val="clear" w:color="auto" w:fill="E6E6E6"/>
            <w:noWrap/>
            <w:vAlign w:val="bottom"/>
            <w:hideMark/>
          </w:tcPr>
          <w:p w14:paraId="43A9B81D" w14:textId="77777777" w:rsidR="00115843" w:rsidRPr="005D0C2F" w:rsidRDefault="00115843" w:rsidP="00194538">
            <w:pPr>
              <w:spacing w:after="0" w:line="240" w:lineRule="auto"/>
              <w:jc w:val="right"/>
              <w:rPr>
                <w:rFonts w:ascii="Arial" w:hAnsi="Arial" w:cs="Arial"/>
                <w:sz w:val="16"/>
                <w:szCs w:val="16"/>
              </w:rPr>
            </w:pPr>
          </w:p>
        </w:tc>
        <w:tc>
          <w:tcPr>
            <w:tcW w:w="569" w:type="pct"/>
            <w:gridSpan w:val="2"/>
            <w:tcBorders>
              <w:top w:val="nil"/>
              <w:left w:val="nil"/>
              <w:bottom w:val="nil"/>
              <w:right w:val="nil"/>
            </w:tcBorders>
            <w:shd w:val="clear" w:color="auto" w:fill="auto"/>
            <w:noWrap/>
            <w:vAlign w:val="bottom"/>
            <w:hideMark/>
          </w:tcPr>
          <w:p w14:paraId="61090D98" w14:textId="77777777" w:rsidR="00115843" w:rsidRPr="005D0C2F" w:rsidRDefault="00115843" w:rsidP="00194538">
            <w:pPr>
              <w:spacing w:after="0" w:line="240" w:lineRule="auto"/>
              <w:jc w:val="right"/>
              <w:rPr>
                <w:rFonts w:ascii="Arial" w:hAnsi="Arial" w:cs="Arial"/>
                <w:sz w:val="16"/>
                <w:szCs w:val="16"/>
              </w:rPr>
            </w:pPr>
          </w:p>
        </w:tc>
        <w:tc>
          <w:tcPr>
            <w:tcW w:w="527" w:type="pct"/>
            <w:gridSpan w:val="2"/>
            <w:tcBorders>
              <w:top w:val="nil"/>
              <w:left w:val="nil"/>
              <w:bottom w:val="nil"/>
              <w:right w:val="nil"/>
            </w:tcBorders>
            <w:shd w:val="clear" w:color="auto" w:fill="auto"/>
            <w:noWrap/>
            <w:vAlign w:val="bottom"/>
            <w:hideMark/>
          </w:tcPr>
          <w:p w14:paraId="335B70FD" w14:textId="77777777" w:rsidR="00115843" w:rsidRPr="005D0C2F" w:rsidRDefault="00115843" w:rsidP="00194538">
            <w:pPr>
              <w:spacing w:after="0" w:line="240" w:lineRule="auto"/>
              <w:jc w:val="right"/>
              <w:rPr>
                <w:rFonts w:ascii="Arial" w:hAnsi="Arial" w:cs="Arial"/>
                <w:sz w:val="16"/>
                <w:szCs w:val="16"/>
              </w:rPr>
            </w:pPr>
          </w:p>
        </w:tc>
        <w:tc>
          <w:tcPr>
            <w:tcW w:w="586" w:type="pct"/>
            <w:gridSpan w:val="4"/>
            <w:tcBorders>
              <w:top w:val="nil"/>
              <w:left w:val="nil"/>
              <w:bottom w:val="nil"/>
              <w:right w:val="nil"/>
            </w:tcBorders>
            <w:shd w:val="clear" w:color="auto" w:fill="auto"/>
            <w:noWrap/>
            <w:vAlign w:val="bottom"/>
            <w:hideMark/>
          </w:tcPr>
          <w:p w14:paraId="560A5B8C" w14:textId="77777777" w:rsidR="00115843" w:rsidRPr="005D0C2F" w:rsidRDefault="00115843" w:rsidP="00194538">
            <w:pPr>
              <w:spacing w:after="0" w:line="240" w:lineRule="auto"/>
              <w:jc w:val="right"/>
              <w:rPr>
                <w:rFonts w:ascii="Arial" w:hAnsi="Arial" w:cs="Arial"/>
                <w:sz w:val="16"/>
                <w:szCs w:val="16"/>
              </w:rPr>
            </w:pPr>
          </w:p>
        </w:tc>
      </w:tr>
      <w:tr w:rsidR="00115843" w:rsidRPr="005D0C2F" w14:paraId="1CD19F7A" w14:textId="77777777" w:rsidTr="00436AC0">
        <w:trPr>
          <w:trHeight w:val="204"/>
        </w:trPr>
        <w:tc>
          <w:tcPr>
            <w:tcW w:w="2127" w:type="pct"/>
            <w:tcBorders>
              <w:top w:val="nil"/>
              <w:left w:val="nil"/>
              <w:bottom w:val="nil"/>
              <w:right w:val="nil"/>
            </w:tcBorders>
            <w:shd w:val="clear" w:color="auto" w:fill="auto"/>
            <w:vAlign w:val="bottom"/>
            <w:hideMark/>
          </w:tcPr>
          <w:p w14:paraId="14E693F1"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Departmental appropriation</w:t>
            </w:r>
          </w:p>
        </w:tc>
        <w:tc>
          <w:tcPr>
            <w:tcW w:w="647" w:type="pct"/>
            <w:gridSpan w:val="3"/>
            <w:tcBorders>
              <w:top w:val="nil"/>
              <w:left w:val="nil"/>
              <w:bottom w:val="nil"/>
              <w:right w:val="nil"/>
            </w:tcBorders>
            <w:shd w:val="clear" w:color="auto" w:fill="auto"/>
            <w:vAlign w:val="bottom"/>
            <w:hideMark/>
          </w:tcPr>
          <w:p w14:paraId="6CC64CD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116,200</w:t>
            </w:r>
          </w:p>
        </w:tc>
        <w:tc>
          <w:tcPr>
            <w:tcW w:w="543" w:type="pct"/>
            <w:gridSpan w:val="2"/>
            <w:tcBorders>
              <w:top w:val="nil"/>
              <w:left w:val="nil"/>
              <w:bottom w:val="nil"/>
              <w:right w:val="nil"/>
            </w:tcBorders>
            <w:shd w:val="clear" w:color="auto" w:fill="E6E6E6"/>
            <w:vAlign w:val="bottom"/>
            <w:hideMark/>
          </w:tcPr>
          <w:p w14:paraId="0E7F5244"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94,698</w:t>
            </w:r>
          </w:p>
        </w:tc>
        <w:tc>
          <w:tcPr>
            <w:tcW w:w="569" w:type="pct"/>
            <w:gridSpan w:val="2"/>
            <w:tcBorders>
              <w:top w:val="nil"/>
              <w:left w:val="nil"/>
              <w:bottom w:val="nil"/>
              <w:right w:val="nil"/>
            </w:tcBorders>
            <w:shd w:val="clear" w:color="auto" w:fill="auto"/>
            <w:vAlign w:val="bottom"/>
            <w:hideMark/>
          </w:tcPr>
          <w:p w14:paraId="4583B2F9"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112,115</w:t>
            </w:r>
          </w:p>
        </w:tc>
        <w:tc>
          <w:tcPr>
            <w:tcW w:w="527" w:type="pct"/>
            <w:gridSpan w:val="2"/>
            <w:tcBorders>
              <w:top w:val="nil"/>
              <w:left w:val="nil"/>
              <w:bottom w:val="nil"/>
              <w:right w:val="nil"/>
            </w:tcBorders>
            <w:shd w:val="clear" w:color="auto" w:fill="auto"/>
            <w:vAlign w:val="bottom"/>
            <w:hideMark/>
          </w:tcPr>
          <w:p w14:paraId="6875E41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103,816</w:t>
            </w:r>
          </w:p>
        </w:tc>
        <w:tc>
          <w:tcPr>
            <w:tcW w:w="586" w:type="pct"/>
            <w:gridSpan w:val="4"/>
            <w:tcBorders>
              <w:top w:val="nil"/>
              <w:left w:val="nil"/>
              <w:bottom w:val="nil"/>
              <w:right w:val="nil"/>
            </w:tcBorders>
            <w:shd w:val="clear" w:color="auto" w:fill="auto"/>
            <w:vAlign w:val="bottom"/>
            <w:hideMark/>
          </w:tcPr>
          <w:p w14:paraId="0DBCBDFF"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104,498</w:t>
            </w:r>
          </w:p>
        </w:tc>
      </w:tr>
      <w:tr w:rsidR="00115843" w:rsidRPr="005D0C2F" w14:paraId="7821A63E" w14:textId="77777777" w:rsidTr="00436AC0">
        <w:trPr>
          <w:trHeight w:val="204"/>
        </w:trPr>
        <w:tc>
          <w:tcPr>
            <w:tcW w:w="2127" w:type="pct"/>
            <w:tcBorders>
              <w:top w:val="nil"/>
              <w:left w:val="nil"/>
              <w:bottom w:val="nil"/>
              <w:right w:val="nil"/>
            </w:tcBorders>
            <w:shd w:val="clear" w:color="auto" w:fill="auto"/>
            <w:vAlign w:val="bottom"/>
            <w:hideMark/>
          </w:tcPr>
          <w:p w14:paraId="30DFDBDF"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s74 external revenues </w:t>
            </w:r>
            <w:r w:rsidRPr="005D0C2F">
              <w:rPr>
                <w:rFonts w:ascii="Arial" w:hAnsi="Arial" w:cs="Arial"/>
                <w:sz w:val="16"/>
                <w:szCs w:val="16"/>
                <w:vertAlign w:val="superscript"/>
              </w:rPr>
              <w:t>(d)</w:t>
            </w:r>
          </w:p>
        </w:tc>
        <w:tc>
          <w:tcPr>
            <w:tcW w:w="647" w:type="pct"/>
            <w:gridSpan w:val="3"/>
            <w:tcBorders>
              <w:top w:val="nil"/>
              <w:left w:val="nil"/>
              <w:bottom w:val="nil"/>
              <w:right w:val="nil"/>
            </w:tcBorders>
            <w:shd w:val="clear" w:color="auto" w:fill="auto"/>
            <w:vAlign w:val="bottom"/>
            <w:hideMark/>
          </w:tcPr>
          <w:p w14:paraId="1702B79B"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3,545</w:t>
            </w:r>
          </w:p>
        </w:tc>
        <w:tc>
          <w:tcPr>
            <w:tcW w:w="543" w:type="pct"/>
            <w:gridSpan w:val="2"/>
            <w:tcBorders>
              <w:top w:val="nil"/>
              <w:left w:val="nil"/>
              <w:bottom w:val="nil"/>
              <w:right w:val="nil"/>
            </w:tcBorders>
            <w:shd w:val="clear" w:color="auto" w:fill="E6E6E6"/>
            <w:vAlign w:val="bottom"/>
            <w:hideMark/>
          </w:tcPr>
          <w:p w14:paraId="5E4A749F"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4,155</w:t>
            </w:r>
          </w:p>
        </w:tc>
        <w:tc>
          <w:tcPr>
            <w:tcW w:w="569" w:type="pct"/>
            <w:gridSpan w:val="2"/>
            <w:tcBorders>
              <w:top w:val="nil"/>
              <w:left w:val="nil"/>
              <w:bottom w:val="nil"/>
              <w:right w:val="nil"/>
            </w:tcBorders>
            <w:shd w:val="clear" w:color="auto" w:fill="auto"/>
            <w:vAlign w:val="bottom"/>
            <w:hideMark/>
          </w:tcPr>
          <w:p w14:paraId="6968E441"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4,182</w:t>
            </w:r>
          </w:p>
        </w:tc>
        <w:tc>
          <w:tcPr>
            <w:tcW w:w="527" w:type="pct"/>
            <w:gridSpan w:val="2"/>
            <w:tcBorders>
              <w:top w:val="nil"/>
              <w:left w:val="nil"/>
              <w:bottom w:val="nil"/>
              <w:right w:val="nil"/>
            </w:tcBorders>
            <w:shd w:val="clear" w:color="auto" w:fill="auto"/>
            <w:vAlign w:val="bottom"/>
            <w:hideMark/>
          </w:tcPr>
          <w:p w14:paraId="78099269"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4,182</w:t>
            </w:r>
          </w:p>
        </w:tc>
        <w:tc>
          <w:tcPr>
            <w:tcW w:w="586" w:type="pct"/>
            <w:gridSpan w:val="4"/>
            <w:tcBorders>
              <w:top w:val="nil"/>
              <w:left w:val="nil"/>
              <w:bottom w:val="nil"/>
              <w:right w:val="nil"/>
            </w:tcBorders>
            <w:shd w:val="clear" w:color="auto" w:fill="auto"/>
            <w:vAlign w:val="bottom"/>
            <w:hideMark/>
          </w:tcPr>
          <w:p w14:paraId="2242CF91"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4,182</w:t>
            </w:r>
          </w:p>
        </w:tc>
      </w:tr>
      <w:tr w:rsidR="00115843" w:rsidRPr="005D0C2F" w14:paraId="572A4D14" w14:textId="77777777" w:rsidTr="00436AC0">
        <w:trPr>
          <w:trHeight w:val="204"/>
        </w:trPr>
        <w:tc>
          <w:tcPr>
            <w:tcW w:w="2127" w:type="pct"/>
            <w:tcBorders>
              <w:top w:val="nil"/>
              <w:left w:val="nil"/>
              <w:bottom w:val="nil"/>
              <w:right w:val="nil"/>
            </w:tcBorders>
            <w:shd w:val="clear" w:color="auto" w:fill="auto"/>
            <w:vAlign w:val="bottom"/>
            <w:hideMark/>
          </w:tcPr>
          <w:p w14:paraId="3DF39E0C" w14:textId="77777777" w:rsidR="00115843" w:rsidRPr="005D0C2F" w:rsidRDefault="00115843" w:rsidP="00194538">
            <w:pPr>
              <w:spacing w:after="0" w:line="240" w:lineRule="auto"/>
              <w:ind w:left="113"/>
              <w:rPr>
                <w:rFonts w:ascii="Arial" w:hAnsi="Arial" w:cs="Arial"/>
                <w:sz w:val="16"/>
                <w:szCs w:val="16"/>
              </w:rPr>
            </w:pPr>
            <w:r w:rsidRPr="005D0C2F">
              <w:rPr>
                <w:rFonts w:ascii="Arial" w:hAnsi="Arial" w:cs="Arial"/>
                <w:sz w:val="16"/>
                <w:szCs w:val="16"/>
              </w:rPr>
              <w:t xml:space="preserve">Expenses not requiring appropriation in the Budget year </w:t>
            </w:r>
            <w:r w:rsidRPr="005D0C2F">
              <w:rPr>
                <w:rFonts w:ascii="Arial" w:hAnsi="Arial" w:cs="Arial"/>
                <w:sz w:val="16"/>
                <w:szCs w:val="16"/>
                <w:vertAlign w:val="superscript"/>
              </w:rPr>
              <w:t>(e)</w:t>
            </w:r>
          </w:p>
        </w:tc>
        <w:tc>
          <w:tcPr>
            <w:tcW w:w="647" w:type="pct"/>
            <w:gridSpan w:val="3"/>
            <w:tcBorders>
              <w:top w:val="nil"/>
              <w:left w:val="nil"/>
              <w:bottom w:val="nil"/>
              <w:right w:val="nil"/>
            </w:tcBorders>
            <w:shd w:val="clear" w:color="auto" w:fill="auto"/>
            <w:vAlign w:val="bottom"/>
            <w:hideMark/>
          </w:tcPr>
          <w:p w14:paraId="46030036"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4,311</w:t>
            </w:r>
          </w:p>
        </w:tc>
        <w:tc>
          <w:tcPr>
            <w:tcW w:w="543" w:type="pct"/>
            <w:gridSpan w:val="2"/>
            <w:tcBorders>
              <w:top w:val="nil"/>
              <w:left w:val="nil"/>
              <w:bottom w:val="nil"/>
              <w:right w:val="nil"/>
            </w:tcBorders>
            <w:shd w:val="clear" w:color="auto" w:fill="E6E6E6"/>
            <w:vAlign w:val="bottom"/>
            <w:hideMark/>
          </w:tcPr>
          <w:p w14:paraId="7C2BE6E3"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10,551</w:t>
            </w:r>
          </w:p>
        </w:tc>
        <w:tc>
          <w:tcPr>
            <w:tcW w:w="569" w:type="pct"/>
            <w:gridSpan w:val="2"/>
            <w:tcBorders>
              <w:top w:val="nil"/>
              <w:left w:val="nil"/>
              <w:bottom w:val="nil"/>
              <w:right w:val="nil"/>
            </w:tcBorders>
            <w:shd w:val="clear" w:color="auto" w:fill="auto"/>
            <w:vAlign w:val="bottom"/>
            <w:hideMark/>
          </w:tcPr>
          <w:p w14:paraId="3B459969"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10,469</w:t>
            </w:r>
          </w:p>
        </w:tc>
        <w:tc>
          <w:tcPr>
            <w:tcW w:w="527" w:type="pct"/>
            <w:gridSpan w:val="2"/>
            <w:tcBorders>
              <w:top w:val="nil"/>
              <w:left w:val="nil"/>
              <w:bottom w:val="nil"/>
              <w:right w:val="nil"/>
            </w:tcBorders>
            <w:shd w:val="clear" w:color="auto" w:fill="auto"/>
            <w:vAlign w:val="bottom"/>
            <w:hideMark/>
          </w:tcPr>
          <w:p w14:paraId="781B303A"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10,469</w:t>
            </w:r>
          </w:p>
        </w:tc>
        <w:tc>
          <w:tcPr>
            <w:tcW w:w="586" w:type="pct"/>
            <w:gridSpan w:val="4"/>
            <w:tcBorders>
              <w:top w:val="nil"/>
              <w:left w:val="nil"/>
              <w:bottom w:val="nil"/>
              <w:right w:val="nil"/>
            </w:tcBorders>
            <w:shd w:val="clear" w:color="auto" w:fill="auto"/>
            <w:vAlign w:val="bottom"/>
            <w:hideMark/>
          </w:tcPr>
          <w:p w14:paraId="46160E2A" w14:textId="77777777" w:rsidR="00115843" w:rsidRPr="005D0C2F" w:rsidRDefault="00115843" w:rsidP="00194538">
            <w:pPr>
              <w:spacing w:after="0" w:line="240" w:lineRule="auto"/>
              <w:jc w:val="right"/>
              <w:rPr>
                <w:rFonts w:ascii="Arial" w:hAnsi="Arial" w:cs="Arial"/>
                <w:sz w:val="16"/>
                <w:szCs w:val="16"/>
              </w:rPr>
            </w:pPr>
            <w:r>
              <w:rPr>
                <w:rFonts w:ascii="Arial" w:hAnsi="Arial" w:cs="Arial"/>
                <w:sz w:val="16"/>
                <w:szCs w:val="16"/>
              </w:rPr>
              <w:t>10,469</w:t>
            </w:r>
          </w:p>
        </w:tc>
      </w:tr>
      <w:tr w:rsidR="00115843" w:rsidRPr="005D0C2F" w14:paraId="768DA75D" w14:textId="77777777" w:rsidTr="00436AC0">
        <w:trPr>
          <w:trHeight w:val="204"/>
        </w:trPr>
        <w:tc>
          <w:tcPr>
            <w:tcW w:w="2127" w:type="pct"/>
            <w:tcBorders>
              <w:top w:val="nil"/>
              <w:left w:val="nil"/>
              <w:bottom w:val="single" w:sz="4" w:space="0" w:color="auto"/>
              <w:right w:val="nil"/>
            </w:tcBorders>
            <w:shd w:val="clear" w:color="auto" w:fill="auto"/>
            <w:noWrap/>
            <w:vAlign w:val="bottom"/>
            <w:hideMark/>
          </w:tcPr>
          <w:p w14:paraId="0CDBE0B8" w14:textId="77777777" w:rsidR="00115843" w:rsidRPr="005D0C2F" w:rsidRDefault="00115843" w:rsidP="00194538">
            <w:pPr>
              <w:spacing w:after="0" w:line="240" w:lineRule="auto"/>
              <w:rPr>
                <w:rFonts w:ascii="Arial" w:hAnsi="Arial" w:cs="Arial"/>
                <w:b/>
                <w:bCs/>
                <w:sz w:val="16"/>
                <w:szCs w:val="16"/>
              </w:rPr>
            </w:pPr>
            <w:r w:rsidRPr="005D0C2F">
              <w:rPr>
                <w:rFonts w:ascii="Arial" w:hAnsi="Arial" w:cs="Arial"/>
                <w:b/>
                <w:bCs/>
                <w:sz w:val="16"/>
                <w:szCs w:val="16"/>
              </w:rPr>
              <w:t>Total expenses for Program 2.4</w:t>
            </w:r>
          </w:p>
        </w:tc>
        <w:tc>
          <w:tcPr>
            <w:tcW w:w="647" w:type="pct"/>
            <w:gridSpan w:val="3"/>
            <w:tcBorders>
              <w:top w:val="single" w:sz="4" w:space="0" w:color="auto"/>
              <w:left w:val="nil"/>
              <w:bottom w:val="single" w:sz="4" w:space="0" w:color="auto"/>
              <w:right w:val="nil"/>
            </w:tcBorders>
            <w:shd w:val="clear" w:color="auto" w:fill="auto"/>
            <w:noWrap/>
            <w:vAlign w:val="bottom"/>
            <w:hideMark/>
          </w:tcPr>
          <w:p w14:paraId="6A48AE42"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124,056</w:t>
            </w:r>
          </w:p>
        </w:tc>
        <w:tc>
          <w:tcPr>
            <w:tcW w:w="543" w:type="pct"/>
            <w:gridSpan w:val="2"/>
            <w:tcBorders>
              <w:top w:val="single" w:sz="4" w:space="0" w:color="auto"/>
              <w:left w:val="nil"/>
              <w:bottom w:val="single" w:sz="4" w:space="0" w:color="auto"/>
              <w:right w:val="nil"/>
            </w:tcBorders>
            <w:shd w:val="clear" w:color="auto" w:fill="E6E6E6"/>
            <w:noWrap/>
            <w:vAlign w:val="bottom"/>
            <w:hideMark/>
          </w:tcPr>
          <w:p w14:paraId="01521BC2"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109,404</w:t>
            </w:r>
          </w:p>
        </w:tc>
        <w:tc>
          <w:tcPr>
            <w:tcW w:w="569" w:type="pct"/>
            <w:gridSpan w:val="2"/>
            <w:tcBorders>
              <w:top w:val="single" w:sz="4" w:space="0" w:color="auto"/>
              <w:left w:val="nil"/>
              <w:bottom w:val="single" w:sz="4" w:space="0" w:color="auto"/>
              <w:right w:val="nil"/>
            </w:tcBorders>
            <w:shd w:val="clear" w:color="auto" w:fill="auto"/>
            <w:noWrap/>
            <w:vAlign w:val="bottom"/>
            <w:hideMark/>
          </w:tcPr>
          <w:p w14:paraId="45FF85AB"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126,766</w:t>
            </w:r>
          </w:p>
        </w:tc>
        <w:tc>
          <w:tcPr>
            <w:tcW w:w="527" w:type="pct"/>
            <w:gridSpan w:val="2"/>
            <w:tcBorders>
              <w:top w:val="single" w:sz="4" w:space="0" w:color="auto"/>
              <w:left w:val="nil"/>
              <w:bottom w:val="single" w:sz="4" w:space="0" w:color="auto"/>
              <w:right w:val="nil"/>
            </w:tcBorders>
            <w:shd w:val="clear" w:color="auto" w:fill="auto"/>
            <w:noWrap/>
            <w:vAlign w:val="bottom"/>
            <w:hideMark/>
          </w:tcPr>
          <w:p w14:paraId="76B7C0B1"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118,467</w:t>
            </w:r>
          </w:p>
        </w:tc>
        <w:tc>
          <w:tcPr>
            <w:tcW w:w="586" w:type="pct"/>
            <w:gridSpan w:val="4"/>
            <w:tcBorders>
              <w:top w:val="single" w:sz="4" w:space="0" w:color="auto"/>
              <w:left w:val="nil"/>
              <w:bottom w:val="single" w:sz="4" w:space="0" w:color="auto"/>
              <w:right w:val="nil"/>
            </w:tcBorders>
            <w:shd w:val="clear" w:color="auto" w:fill="auto"/>
            <w:noWrap/>
            <w:vAlign w:val="bottom"/>
            <w:hideMark/>
          </w:tcPr>
          <w:p w14:paraId="02684E3A" w14:textId="77777777" w:rsidR="00115843" w:rsidRPr="005D0C2F" w:rsidRDefault="00115843" w:rsidP="00194538">
            <w:pPr>
              <w:spacing w:after="0" w:line="240" w:lineRule="auto"/>
              <w:jc w:val="right"/>
              <w:rPr>
                <w:rFonts w:ascii="Arial" w:hAnsi="Arial" w:cs="Arial"/>
                <w:b/>
                <w:bCs/>
                <w:sz w:val="16"/>
                <w:szCs w:val="16"/>
              </w:rPr>
            </w:pPr>
            <w:r>
              <w:rPr>
                <w:rFonts w:ascii="Arial" w:hAnsi="Arial" w:cs="Arial"/>
                <w:b/>
                <w:bCs/>
                <w:sz w:val="16"/>
                <w:szCs w:val="16"/>
              </w:rPr>
              <w:t>119,149</w:t>
            </w:r>
          </w:p>
        </w:tc>
      </w:tr>
    </w:tbl>
    <w:p w14:paraId="335A7FA4" w14:textId="77777777" w:rsidR="00115843" w:rsidRDefault="00115843" w:rsidP="00115843">
      <w:pPr>
        <w:spacing w:after="0" w:line="240" w:lineRule="auto"/>
      </w:pPr>
      <w:r>
        <w:br w:type="page"/>
      </w:r>
    </w:p>
    <w:p w14:paraId="31DF93DD" w14:textId="77777777" w:rsidR="00115843" w:rsidRDefault="00115843" w:rsidP="00115843">
      <w:pPr>
        <w:pStyle w:val="TableHeadingcontinued"/>
      </w:pPr>
      <w:r w:rsidRPr="00AD42E2">
        <w:lastRenderedPageBreak/>
        <w:t>Table 2.</w:t>
      </w:r>
      <w:r>
        <w:t>2</w:t>
      </w:r>
      <w:r w:rsidRPr="00AD42E2">
        <w:t>.</w:t>
      </w:r>
      <w:r>
        <w:t>1</w:t>
      </w:r>
      <w:r w:rsidRPr="00AD42E2">
        <w:t xml:space="preserve">: Budgeted expenses for Outcome </w:t>
      </w:r>
      <w:r>
        <w:t>2 (continued)</w:t>
      </w:r>
    </w:p>
    <w:tbl>
      <w:tblPr>
        <w:tblW w:w="5000" w:type="pct"/>
        <w:tblLook w:val="04A0" w:firstRow="1" w:lastRow="0" w:firstColumn="1" w:lastColumn="0" w:noHBand="0" w:noVBand="1"/>
      </w:tblPr>
      <w:tblGrid>
        <w:gridCol w:w="2957"/>
        <w:gridCol w:w="1027"/>
        <w:gridCol w:w="1029"/>
        <w:gridCol w:w="925"/>
        <w:gridCol w:w="885"/>
        <w:gridCol w:w="887"/>
      </w:tblGrid>
      <w:tr w:rsidR="00115843" w:rsidRPr="006F2DFB" w14:paraId="44291DA5" w14:textId="77777777" w:rsidTr="00436AC0">
        <w:trPr>
          <w:trHeight w:val="204"/>
        </w:trPr>
        <w:tc>
          <w:tcPr>
            <w:tcW w:w="1918" w:type="pct"/>
            <w:tcBorders>
              <w:top w:val="single" w:sz="4" w:space="0" w:color="auto"/>
              <w:left w:val="nil"/>
              <w:bottom w:val="single" w:sz="4" w:space="0" w:color="auto"/>
              <w:right w:val="nil"/>
            </w:tcBorders>
            <w:shd w:val="clear" w:color="auto" w:fill="auto"/>
            <w:noWrap/>
            <w:vAlign w:val="bottom"/>
            <w:hideMark/>
          </w:tcPr>
          <w:p w14:paraId="69386497" w14:textId="77777777" w:rsidR="00115843" w:rsidRPr="006F2DFB" w:rsidRDefault="00115843" w:rsidP="00FB0D02">
            <w:pPr>
              <w:spacing w:after="0" w:line="240" w:lineRule="auto"/>
              <w:rPr>
                <w:rFonts w:ascii="Arial" w:hAnsi="Arial" w:cs="Arial"/>
                <w:sz w:val="16"/>
                <w:szCs w:val="16"/>
              </w:rPr>
            </w:pPr>
            <w:r w:rsidRPr="006F2DFB">
              <w:rPr>
                <w:rFonts w:ascii="Arial" w:hAnsi="Arial" w:cs="Arial"/>
                <w:sz w:val="16"/>
                <w:szCs w:val="16"/>
              </w:rPr>
              <w:t> </w:t>
            </w:r>
          </w:p>
        </w:tc>
        <w:tc>
          <w:tcPr>
            <w:tcW w:w="666" w:type="pct"/>
            <w:tcBorders>
              <w:top w:val="single" w:sz="4" w:space="0" w:color="auto"/>
              <w:left w:val="nil"/>
              <w:bottom w:val="single" w:sz="4" w:space="0" w:color="auto"/>
              <w:right w:val="nil"/>
            </w:tcBorders>
            <w:shd w:val="clear" w:color="auto" w:fill="auto"/>
            <w:vAlign w:val="bottom"/>
            <w:hideMark/>
          </w:tcPr>
          <w:p w14:paraId="3377F6DB"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2021-22</w:t>
            </w:r>
            <w:r w:rsidRPr="006F2DFB">
              <w:rPr>
                <w:rFonts w:ascii="Arial" w:hAnsi="Arial" w:cs="Arial"/>
                <w:sz w:val="16"/>
                <w:szCs w:val="16"/>
              </w:rPr>
              <w:br/>
              <w:t>Estimated  actual</w:t>
            </w:r>
            <w:r w:rsidRPr="006F2DFB">
              <w:rPr>
                <w:rFonts w:ascii="Arial" w:hAnsi="Arial" w:cs="Arial"/>
                <w:sz w:val="16"/>
                <w:szCs w:val="16"/>
              </w:rPr>
              <w:br/>
              <w:t>$'000</w:t>
            </w:r>
          </w:p>
        </w:tc>
        <w:tc>
          <w:tcPr>
            <w:tcW w:w="667" w:type="pct"/>
            <w:tcBorders>
              <w:top w:val="single" w:sz="4" w:space="0" w:color="auto"/>
              <w:left w:val="nil"/>
              <w:bottom w:val="single" w:sz="4" w:space="0" w:color="auto"/>
              <w:right w:val="nil"/>
            </w:tcBorders>
            <w:shd w:val="clear" w:color="auto" w:fill="E6E6E6"/>
            <w:vAlign w:val="bottom"/>
            <w:hideMark/>
          </w:tcPr>
          <w:p w14:paraId="1C460F05"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2022-23</w:t>
            </w:r>
            <w:r w:rsidRPr="006F2DFB">
              <w:rPr>
                <w:rFonts w:ascii="Arial" w:hAnsi="Arial" w:cs="Arial"/>
                <w:sz w:val="16"/>
                <w:szCs w:val="16"/>
              </w:rPr>
              <w:br/>
              <w:t xml:space="preserve"> Budget</w:t>
            </w:r>
            <w:r w:rsidRPr="006F2DFB">
              <w:rPr>
                <w:rFonts w:ascii="Arial" w:hAnsi="Arial" w:cs="Arial"/>
                <w:sz w:val="16"/>
                <w:szCs w:val="16"/>
              </w:rPr>
              <w:br/>
              <w:t xml:space="preserve">                                      $'000</w:t>
            </w:r>
          </w:p>
        </w:tc>
        <w:tc>
          <w:tcPr>
            <w:tcW w:w="600" w:type="pct"/>
            <w:tcBorders>
              <w:top w:val="single" w:sz="4" w:space="0" w:color="auto"/>
              <w:left w:val="nil"/>
              <w:bottom w:val="single" w:sz="4" w:space="0" w:color="auto"/>
              <w:right w:val="nil"/>
            </w:tcBorders>
            <w:shd w:val="clear" w:color="auto" w:fill="auto"/>
            <w:vAlign w:val="bottom"/>
            <w:hideMark/>
          </w:tcPr>
          <w:p w14:paraId="46BAF607"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2023-24</w:t>
            </w:r>
            <w:r w:rsidRPr="006F2DFB">
              <w:rPr>
                <w:rFonts w:ascii="Arial" w:hAnsi="Arial" w:cs="Arial"/>
                <w:sz w:val="16"/>
                <w:szCs w:val="16"/>
              </w:rPr>
              <w:br/>
              <w:t>Forward estimate</w:t>
            </w:r>
            <w:r w:rsidRPr="006F2DF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D7D41C3"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2024-25</w:t>
            </w:r>
            <w:r w:rsidRPr="006F2DFB">
              <w:rPr>
                <w:rFonts w:ascii="Arial" w:hAnsi="Arial" w:cs="Arial"/>
                <w:sz w:val="16"/>
                <w:szCs w:val="16"/>
              </w:rPr>
              <w:br/>
              <w:t>Forward estimate</w:t>
            </w:r>
            <w:r w:rsidRPr="006F2DFB">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195099CD"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2025-26</w:t>
            </w:r>
            <w:r w:rsidRPr="006F2DFB">
              <w:rPr>
                <w:rFonts w:ascii="Arial" w:hAnsi="Arial" w:cs="Arial"/>
                <w:sz w:val="16"/>
                <w:szCs w:val="16"/>
              </w:rPr>
              <w:br/>
              <w:t>Forward estimate</w:t>
            </w:r>
            <w:r w:rsidRPr="006F2DFB">
              <w:rPr>
                <w:rFonts w:ascii="Arial" w:hAnsi="Arial" w:cs="Arial"/>
                <w:sz w:val="16"/>
                <w:szCs w:val="16"/>
              </w:rPr>
              <w:br/>
              <w:t>$'000</w:t>
            </w:r>
          </w:p>
        </w:tc>
      </w:tr>
      <w:tr w:rsidR="00115843" w:rsidRPr="006F2DFB" w14:paraId="0F5F1ECB" w14:textId="77777777" w:rsidTr="00436AC0">
        <w:trPr>
          <w:trHeight w:val="204"/>
        </w:trPr>
        <w:tc>
          <w:tcPr>
            <w:tcW w:w="5000" w:type="pct"/>
            <w:gridSpan w:val="6"/>
            <w:tcBorders>
              <w:top w:val="nil"/>
              <w:left w:val="nil"/>
              <w:bottom w:val="single" w:sz="4" w:space="0" w:color="auto"/>
              <w:right w:val="nil"/>
            </w:tcBorders>
            <w:shd w:val="clear" w:color="auto" w:fill="E6E6E6"/>
            <w:noWrap/>
            <w:vAlign w:val="bottom"/>
            <w:hideMark/>
          </w:tcPr>
          <w:p w14:paraId="78632A6A" w14:textId="77777777" w:rsidR="00115843" w:rsidRPr="006F2DFB" w:rsidRDefault="00115843" w:rsidP="00FB0D02">
            <w:pPr>
              <w:spacing w:after="0" w:line="240" w:lineRule="auto"/>
              <w:rPr>
                <w:rFonts w:ascii="Arial" w:hAnsi="Arial" w:cs="Arial"/>
                <w:sz w:val="16"/>
                <w:szCs w:val="16"/>
              </w:rPr>
            </w:pPr>
            <w:r w:rsidRPr="006F2DFB">
              <w:rPr>
                <w:rFonts w:ascii="Arial" w:hAnsi="Arial" w:cs="Arial"/>
                <w:b/>
                <w:bCs/>
                <w:sz w:val="16"/>
                <w:szCs w:val="16"/>
              </w:rPr>
              <w:t>Outcome 2 Totals by appropriation type</w:t>
            </w:r>
            <w:r w:rsidRPr="006F2DFB">
              <w:rPr>
                <w:rFonts w:ascii="Arial" w:hAnsi="Arial" w:cs="Arial"/>
                <w:sz w:val="16"/>
                <w:szCs w:val="16"/>
              </w:rPr>
              <w:t> </w:t>
            </w:r>
          </w:p>
        </w:tc>
      </w:tr>
      <w:tr w:rsidR="00115843" w:rsidRPr="005D0C2F" w14:paraId="503EDD48" w14:textId="77777777" w:rsidTr="00436AC0">
        <w:trPr>
          <w:trHeight w:val="204"/>
        </w:trPr>
        <w:tc>
          <w:tcPr>
            <w:tcW w:w="1918" w:type="pct"/>
            <w:tcBorders>
              <w:top w:val="nil"/>
              <w:left w:val="nil"/>
              <w:bottom w:val="nil"/>
              <w:right w:val="nil"/>
            </w:tcBorders>
            <w:shd w:val="clear" w:color="auto" w:fill="auto"/>
            <w:noWrap/>
            <w:vAlign w:val="bottom"/>
            <w:hideMark/>
          </w:tcPr>
          <w:p w14:paraId="4F2D1601" w14:textId="77777777" w:rsidR="00115843" w:rsidRPr="005D0C2F" w:rsidRDefault="00115843" w:rsidP="00FB0D02">
            <w:pPr>
              <w:spacing w:after="0" w:line="240" w:lineRule="auto"/>
              <w:rPr>
                <w:rFonts w:ascii="Arial" w:hAnsi="Arial" w:cs="Arial"/>
                <w:sz w:val="16"/>
                <w:szCs w:val="16"/>
              </w:rPr>
            </w:pPr>
            <w:r w:rsidRPr="005D0C2F">
              <w:rPr>
                <w:rFonts w:ascii="Arial" w:hAnsi="Arial" w:cs="Arial"/>
                <w:sz w:val="16"/>
                <w:szCs w:val="16"/>
              </w:rPr>
              <w:t>Administered expenses</w:t>
            </w:r>
          </w:p>
        </w:tc>
        <w:tc>
          <w:tcPr>
            <w:tcW w:w="666" w:type="pct"/>
            <w:tcBorders>
              <w:top w:val="nil"/>
              <w:left w:val="nil"/>
              <w:bottom w:val="nil"/>
              <w:right w:val="nil"/>
            </w:tcBorders>
            <w:shd w:val="clear" w:color="auto" w:fill="auto"/>
            <w:noWrap/>
            <w:vAlign w:val="bottom"/>
            <w:hideMark/>
          </w:tcPr>
          <w:p w14:paraId="0FB2106A" w14:textId="77777777" w:rsidR="00115843" w:rsidRPr="005D0C2F" w:rsidRDefault="00115843" w:rsidP="00FB0D02">
            <w:pPr>
              <w:spacing w:after="0" w:line="240" w:lineRule="auto"/>
              <w:jc w:val="right"/>
              <w:rPr>
                <w:rFonts w:ascii="Arial" w:hAnsi="Arial" w:cs="Arial"/>
                <w:sz w:val="16"/>
                <w:szCs w:val="16"/>
              </w:rPr>
            </w:pPr>
          </w:p>
        </w:tc>
        <w:tc>
          <w:tcPr>
            <w:tcW w:w="667" w:type="pct"/>
            <w:tcBorders>
              <w:top w:val="nil"/>
              <w:left w:val="nil"/>
              <w:bottom w:val="nil"/>
              <w:right w:val="nil"/>
            </w:tcBorders>
            <w:shd w:val="clear" w:color="auto" w:fill="E6E6E6"/>
            <w:noWrap/>
            <w:vAlign w:val="bottom"/>
            <w:hideMark/>
          </w:tcPr>
          <w:p w14:paraId="3D2C6323" w14:textId="77777777" w:rsidR="00115843" w:rsidRPr="005D0C2F" w:rsidRDefault="00115843" w:rsidP="00FB0D02">
            <w:pPr>
              <w:spacing w:after="0" w:line="240" w:lineRule="auto"/>
              <w:jc w:val="right"/>
              <w:rPr>
                <w:rFonts w:ascii="Arial" w:hAnsi="Arial" w:cs="Arial"/>
                <w:sz w:val="16"/>
                <w:szCs w:val="16"/>
              </w:rPr>
            </w:pPr>
          </w:p>
        </w:tc>
        <w:tc>
          <w:tcPr>
            <w:tcW w:w="600" w:type="pct"/>
            <w:tcBorders>
              <w:top w:val="nil"/>
              <w:left w:val="nil"/>
              <w:bottom w:val="nil"/>
              <w:right w:val="nil"/>
            </w:tcBorders>
            <w:shd w:val="clear" w:color="auto" w:fill="auto"/>
            <w:noWrap/>
            <w:vAlign w:val="bottom"/>
            <w:hideMark/>
          </w:tcPr>
          <w:p w14:paraId="6AE40B21" w14:textId="77777777" w:rsidR="00115843" w:rsidRPr="005D0C2F" w:rsidRDefault="00115843" w:rsidP="00FB0D02">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98BF3E3" w14:textId="77777777" w:rsidR="00115843" w:rsidRPr="005D0C2F" w:rsidRDefault="00115843" w:rsidP="00FB0D02">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191831E5" w14:textId="77777777" w:rsidR="00115843" w:rsidRPr="005D0C2F" w:rsidRDefault="00115843" w:rsidP="00FB0D02">
            <w:pPr>
              <w:spacing w:after="0" w:line="240" w:lineRule="auto"/>
              <w:jc w:val="right"/>
              <w:rPr>
                <w:rFonts w:ascii="Arial" w:hAnsi="Arial" w:cs="Arial"/>
                <w:sz w:val="16"/>
                <w:szCs w:val="16"/>
              </w:rPr>
            </w:pPr>
          </w:p>
        </w:tc>
      </w:tr>
      <w:tr w:rsidR="00BF5A1E" w:rsidRPr="005D0C2F" w14:paraId="7CC8E6E3" w14:textId="77777777" w:rsidTr="00436AC0">
        <w:trPr>
          <w:trHeight w:val="204"/>
        </w:trPr>
        <w:tc>
          <w:tcPr>
            <w:tcW w:w="1918" w:type="pct"/>
            <w:tcBorders>
              <w:top w:val="nil"/>
              <w:left w:val="nil"/>
              <w:bottom w:val="nil"/>
              <w:right w:val="nil"/>
            </w:tcBorders>
            <w:shd w:val="clear" w:color="auto" w:fill="auto"/>
            <w:vAlign w:val="bottom"/>
            <w:hideMark/>
          </w:tcPr>
          <w:p w14:paraId="16BBEAC0"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Ordinary Annual Services (Appropriation Act No. 1 and Bill No. 3)</w:t>
            </w:r>
          </w:p>
        </w:tc>
        <w:tc>
          <w:tcPr>
            <w:tcW w:w="666" w:type="pct"/>
            <w:tcBorders>
              <w:top w:val="nil"/>
              <w:left w:val="nil"/>
              <w:bottom w:val="nil"/>
              <w:right w:val="nil"/>
            </w:tcBorders>
            <w:shd w:val="clear" w:color="auto" w:fill="auto"/>
            <w:noWrap/>
            <w:vAlign w:val="bottom"/>
            <w:hideMark/>
          </w:tcPr>
          <w:p w14:paraId="42298830" w14:textId="6667CEE9"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1,438,345 </w:t>
            </w:r>
          </w:p>
        </w:tc>
        <w:tc>
          <w:tcPr>
            <w:tcW w:w="667" w:type="pct"/>
            <w:tcBorders>
              <w:top w:val="nil"/>
              <w:left w:val="nil"/>
              <w:bottom w:val="nil"/>
              <w:right w:val="nil"/>
            </w:tcBorders>
            <w:shd w:val="clear" w:color="auto" w:fill="E6E6E6"/>
            <w:noWrap/>
            <w:vAlign w:val="bottom"/>
            <w:hideMark/>
          </w:tcPr>
          <w:p w14:paraId="4E5A7B5E" w14:textId="54A039BC"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384,807 </w:t>
            </w:r>
          </w:p>
        </w:tc>
        <w:tc>
          <w:tcPr>
            <w:tcW w:w="600" w:type="pct"/>
            <w:tcBorders>
              <w:top w:val="nil"/>
              <w:left w:val="nil"/>
              <w:bottom w:val="nil"/>
              <w:right w:val="nil"/>
            </w:tcBorders>
            <w:shd w:val="clear" w:color="auto" w:fill="auto"/>
            <w:noWrap/>
            <w:vAlign w:val="bottom"/>
            <w:hideMark/>
          </w:tcPr>
          <w:p w14:paraId="003BAE80" w14:textId="569EB2C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412,596 </w:t>
            </w:r>
          </w:p>
        </w:tc>
        <w:tc>
          <w:tcPr>
            <w:tcW w:w="574" w:type="pct"/>
            <w:tcBorders>
              <w:top w:val="nil"/>
              <w:left w:val="nil"/>
              <w:bottom w:val="nil"/>
              <w:right w:val="nil"/>
            </w:tcBorders>
            <w:shd w:val="clear" w:color="auto" w:fill="auto"/>
            <w:noWrap/>
            <w:vAlign w:val="bottom"/>
            <w:hideMark/>
          </w:tcPr>
          <w:p w14:paraId="0CA226D1" w14:textId="3D34513D"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371,491 </w:t>
            </w:r>
          </w:p>
        </w:tc>
        <w:tc>
          <w:tcPr>
            <w:tcW w:w="575" w:type="pct"/>
            <w:tcBorders>
              <w:top w:val="nil"/>
              <w:left w:val="nil"/>
              <w:bottom w:val="nil"/>
              <w:right w:val="nil"/>
            </w:tcBorders>
            <w:shd w:val="clear" w:color="auto" w:fill="auto"/>
            <w:noWrap/>
            <w:vAlign w:val="bottom"/>
            <w:hideMark/>
          </w:tcPr>
          <w:p w14:paraId="43B7C9E3" w14:textId="52681321"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305,613 </w:t>
            </w:r>
          </w:p>
        </w:tc>
      </w:tr>
      <w:tr w:rsidR="00BF5A1E" w:rsidRPr="005D0C2F" w14:paraId="75C31940" w14:textId="77777777" w:rsidTr="00436AC0">
        <w:trPr>
          <w:trHeight w:val="204"/>
        </w:trPr>
        <w:tc>
          <w:tcPr>
            <w:tcW w:w="1918" w:type="pct"/>
            <w:tcBorders>
              <w:top w:val="nil"/>
              <w:left w:val="nil"/>
              <w:bottom w:val="nil"/>
              <w:right w:val="nil"/>
            </w:tcBorders>
            <w:shd w:val="clear" w:color="auto" w:fill="auto"/>
            <w:vAlign w:val="bottom"/>
            <w:hideMark/>
          </w:tcPr>
          <w:p w14:paraId="424E96CA"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Special Appropriation</w:t>
            </w:r>
          </w:p>
        </w:tc>
        <w:tc>
          <w:tcPr>
            <w:tcW w:w="666" w:type="pct"/>
            <w:tcBorders>
              <w:top w:val="nil"/>
              <w:left w:val="nil"/>
              <w:bottom w:val="nil"/>
              <w:right w:val="nil"/>
            </w:tcBorders>
            <w:shd w:val="clear" w:color="auto" w:fill="auto"/>
            <w:noWrap/>
            <w:vAlign w:val="bottom"/>
            <w:hideMark/>
          </w:tcPr>
          <w:p w14:paraId="5BFB94D4" w14:textId="4BAE5EB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220,328 </w:t>
            </w:r>
          </w:p>
        </w:tc>
        <w:tc>
          <w:tcPr>
            <w:tcW w:w="667" w:type="pct"/>
            <w:tcBorders>
              <w:top w:val="nil"/>
              <w:left w:val="nil"/>
              <w:bottom w:val="nil"/>
              <w:right w:val="nil"/>
            </w:tcBorders>
            <w:shd w:val="clear" w:color="auto" w:fill="E6E6E6"/>
            <w:noWrap/>
            <w:vAlign w:val="bottom"/>
            <w:hideMark/>
          </w:tcPr>
          <w:p w14:paraId="5D8973DD" w14:textId="6C97ECA7"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226,791 </w:t>
            </w:r>
          </w:p>
        </w:tc>
        <w:tc>
          <w:tcPr>
            <w:tcW w:w="600" w:type="pct"/>
            <w:tcBorders>
              <w:top w:val="nil"/>
              <w:left w:val="nil"/>
              <w:bottom w:val="nil"/>
              <w:right w:val="nil"/>
            </w:tcBorders>
            <w:shd w:val="clear" w:color="auto" w:fill="auto"/>
            <w:noWrap/>
            <w:vAlign w:val="bottom"/>
            <w:hideMark/>
          </w:tcPr>
          <w:p w14:paraId="7D2EBFDF" w14:textId="18816F26"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271,325 </w:t>
            </w:r>
          </w:p>
        </w:tc>
        <w:tc>
          <w:tcPr>
            <w:tcW w:w="574" w:type="pct"/>
            <w:tcBorders>
              <w:top w:val="nil"/>
              <w:left w:val="nil"/>
              <w:bottom w:val="nil"/>
              <w:right w:val="nil"/>
            </w:tcBorders>
            <w:shd w:val="clear" w:color="auto" w:fill="auto"/>
            <w:noWrap/>
            <w:vAlign w:val="bottom"/>
            <w:hideMark/>
          </w:tcPr>
          <w:p w14:paraId="0583BF02" w14:textId="49601371"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280,451 </w:t>
            </w:r>
          </w:p>
        </w:tc>
        <w:tc>
          <w:tcPr>
            <w:tcW w:w="575" w:type="pct"/>
            <w:tcBorders>
              <w:top w:val="nil"/>
              <w:left w:val="nil"/>
              <w:bottom w:val="nil"/>
              <w:right w:val="nil"/>
            </w:tcBorders>
            <w:shd w:val="clear" w:color="auto" w:fill="auto"/>
            <w:noWrap/>
            <w:vAlign w:val="bottom"/>
            <w:hideMark/>
          </w:tcPr>
          <w:p w14:paraId="2A435FE8" w14:textId="163B059E"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283,615 </w:t>
            </w:r>
          </w:p>
        </w:tc>
      </w:tr>
      <w:tr w:rsidR="00BF5A1E" w:rsidRPr="005D0C2F" w14:paraId="2DE935D2" w14:textId="77777777" w:rsidTr="00436AC0">
        <w:trPr>
          <w:trHeight w:val="204"/>
        </w:trPr>
        <w:tc>
          <w:tcPr>
            <w:tcW w:w="1918" w:type="pct"/>
            <w:tcBorders>
              <w:top w:val="nil"/>
              <w:left w:val="nil"/>
              <w:bottom w:val="nil"/>
              <w:right w:val="nil"/>
            </w:tcBorders>
            <w:shd w:val="clear" w:color="auto" w:fill="auto"/>
            <w:vAlign w:val="bottom"/>
            <w:hideMark/>
          </w:tcPr>
          <w:p w14:paraId="58ACA183"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 xml:space="preserve">Payments to corporate entities </w:t>
            </w:r>
            <w:r w:rsidRPr="005D0C2F">
              <w:rPr>
                <w:rFonts w:ascii="Arial" w:hAnsi="Arial" w:cs="Arial"/>
                <w:sz w:val="16"/>
                <w:szCs w:val="16"/>
                <w:vertAlign w:val="superscript"/>
              </w:rPr>
              <w:t>(b)</w:t>
            </w:r>
          </w:p>
        </w:tc>
        <w:tc>
          <w:tcPr>
            <w:tcW w:w="666" w:type="pct"/>
            <w:tcBorders>
              <w:top w:val="nil"/>
              <w:left w:val="nil"/>
              <w:bottom w:val="nil"/>
              <w:right w:val="nil"/>
            </w:tcBorders>
            <w:shd w:val="clear" w:color="auto" w:fill="auto"/>
            <w:noWrap/>
            <w:vAlign w:val="bottom"/>
            <w:hideMark/>
          </w:tcPr>
          <w:p w14:paraId="71BD02C4" w14:textId="21BB3862"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214,348 </w:t>
            </w:r>
          </w:p>
        </w:tc>
        <w:tc>
          <w:tcPr>
            <w:tcW w:w="667" w:type="pct"/>
            <w:tcBorders>
              <w:top w:val="nil"/>
              <w:left w:val="nil"/>
              <w:bottom w:val="nil"/>
              <w:right w:val="nil"/>
            </w:tcBorders>
            <w:shd w:val="clear" w:color="auto" w:fill="E6E6E6"/>
            <w:noWrap/>
            <w:vAlign w:val="bottom"/>
            <w:hideMark/>
          </w:tcPr>
          <w:p w14:paraId="7B2013C8" w14:textId="02F469F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189,765 </w:t>
            </w:r>
          </w:p>
        </w:tc>
        <w:tc>
          <w:tcPr>
            <w:tcW w:w="600" w:type="pct"/>
            <w:tcBorders>
              <w:top w:val="nil"/>
              <w:left w:val="nil"/>
              <w:bottom w:val="nil"/>
              <w:right w:val="nil"/>
            </w:tcBorders>
            <w:shd w:val="clear" w:color="auto" w:fill="auto"/>
            <w:noWrap/>
            <w:vAlign w:val="bottom"/>
            <w:hideMark/>
          </w:tcPr>
          <w:p w14:paraId="18A3E628" w14:textId="6AA7C576"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162,240 </w:t>
            </w:r>
          </w:p>
        </w:tc>
        <w:tc>
          <w:tcPr>
            <w:tcW w:w="574" w:type="pct"/>
            <w:tcBorders>
              <w:top w:val="nil"/>
              <w:left w:val="nil"/>
              <w:bottom w:val="nil"/>
              <w:right w:val="nil"/>
            </w:tcBorders>
            <w:shd w:val="clear" w:color="auto" w:fill="auto"/>
            <w:noWrap/>
            <w:vAlign w:val="bottom"/>
            <w:hideMark/>
          </w:tcPr>
          <w:p w14:paraId="62C141CE" w14:textId="16379CC9"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131,166 </w:t>
            </w:r>
          </w:p>
        </w:tc>
        <w:tc>
          <w:tcPr>
            <w:tcW w:w="575" w:type="pct"/>
            <w:tcBorders>
              <w:top w:val="nil"/>
              <w:left w:val="nil"/>
              <w:bottom w:val="nil"/>
              <w:right w:val="nil"/>
            </w:tcBorders>
            <w:shd w:val="clear" w:color="auto" w:fill="auto"/>
            <w:noWrap/>
            <w:vAlign w:val="bottom"/>
            <w:hideMark/>
          </w:tcPr>
          <w:p w14:paraId="2B065B4C" w14:textId="3AFA056D"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132,614 </w:t>
            </w:r>
          </w:p>
        </w:tc>
      </w:tr>
      <w:tr w:rsidR="00BF5A1E" w:rsidRPr="005D0C2F" w14:paraId="381F6983" w14:textId="77777777" w:rsidTr="00436AC0">
        <w:trPr>
          <w:trHeight w:val="204"/>
        </w:trPr>
        <w:tc>
          <w:tcPr>
            <w:tcW w:w="1918" w:type="pct"/>
            <w:tcBorders>
              <w:top w:val="nil"/>
              <w:left w:val="nil"/>
              <w:bottom w:val="nil"/>
              <w:right w:val="nil"/>
            </w:tcBorders>
            <w:shd w:val="clear" w:color="auto" w:fill="auto"/>
            <w:vAlign w:val="bottom"/>
            <w:hideMark/>
          </w:tcPr>
          <w:p w14:paraId="66C29081"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 xml:space="preserve">Expenses not requiring appropriation in the Budget year </w:t>
            </w:r>
            <w:r w:rsidRPr="005D0C2F">
              <w:rPr>
                <w:rFonts w:ascii="Arial" w:hAnsi="Arial" w:cs="Arial"/>
                <w:sz w:val="16"/>
                <w:szCs w:val="16"/>
                <w:vertAlign w:val="superscript"/>
              </w:rPr>
              <w:t>(c)</w:t>
            </w:r>
            <w:r w:rsidRPr="005D0C2F">
              <w:rPr>
                <w:rFonts w:ascii="Arial" w:hAnsi="Arial" w:cs="Arial"/>
                <w:sz w:val="16"/>
                <w:szCs w:val="16"/>
              </w:rPr>
              <w:t xml:space="preserve"> </w:t>
            </w:r>
          </w:p>
        </w:tc>
        <w:tc>
          <w:tcPr>
            <w:tcW w:w="666" w:type="pct"/>
            <w:tcBorders>
              <w:top w:val="nil"/>
              <w:left w:val="nil"/>
              <w:bottom w:val="nil"/>
              <w:right w:val="nil"/>
            </w:tcBorders>
            <w:shd w:val="clear" w:color="auto" w:fill="auto"/>
            <w:noWrap/>
            <w:vAlign w:val="bottom"/>
            <w:hideMark/>
          </w:tcPr>
          <w:p w14:paraId="512E8F30" w14:textId="6923952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(489,913)</w:t>
            </w:r>
          </w:p>
        </w:tc>
        <w:tc>
          <w:tcPr>
            <w:tcW w:w="667" w:type="pct"/>
            <w:tcBorders>
              <w:top w:val="nil"/>
              <w:left w:val="nil"/>
              <w:bottom w:val="nil"/>
              <w:right w:val="nil"/>
            </w:tcBorders>
            <w:shd w:val="clear" w:color="auto" w:fill="E6E6E6"/>
            <w:noWrap/>
            <w:vAlign w:val="bottom"/>
            <w:hideMark/>
          </w:tcPr>
          <w:p w14:paraId="0237F49D" w14:textId="662C45E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128,037 </w:t>
            </w:r>
          </w:p>
        </w:tc>
        <w:tc>
          <w:tcPr>
            <w:tcW w:w="600" w:type="pct"/>
            <w:tcBorders>
              <w:top w:val="nil"/>
              <w:left w:val="nil"/>
              <w:bottom w:val="nil"/>
              <w:right w:val="nil"/>
            </w:tcBorders>
            <w:shd w:val="clear" w:color="auto" w:fill="auto"/>
            <w:noWrap/>
            <w:vAlign w:val="bottom"/>
            <w:hideMark/>
          </w:tcPr>
          <w:p w14:paraId="37AFEC26" w14:textId="63CC10F3"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(3,943)</w:t>
            </w:r>
          </w:p>
        </w:tc>
        <w:tc>
          <w:tcPr>
            <w:tcW w:w="574" w:type="pct"/>
            <w:tcBorders>
              <w:top w:val="nil"/>
              <w:left w:val="nil"/>
              <w:bottom w:val="nil"/>
              <w:right w:val="nil"/>
            </w:tcBorders>
            <w:shd w:val="clear" w:color="auto" w:fill="auto"/>
            <w:noWrap/>
            <w:vAlign w:val="bottom"/>
            <w:hideMark/>
          </w:tcPr>
          <w:p w14:paraId="730341B9" w14:textId="3FE0CB8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11,481 </w:t>
            </w:r>
          </w:p>
        </w:tc>
        <w:tc>
          <w:tcPr>
            <w:tcW w:w="575" w:type="pct"/>
            <w:tcBorders>
              <w:top w:val="nil"/>
              <w:left w:val="nil"/>
              <w:bottom w:val="nil"/>
              <w:right w:val="nil"/>
            </w:tcBorders>
            <w:shd w:val="clear" w:color="auto" w:fill="auto"/>
            <w:noWrap/>
            <w:vAlign w:val="bottom"/>
            <w:hideMark/>
          </w:tcPr>
          <w:p w14:paraId="5EFD57D5" w14:textId="62FBFE61"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97,911 </w:t>
            </w:r>
          </w:p>
        </w:tc>
      </w:tr>
      <w:tr w:rsidR="00BF5A1E" w:rsidRPr="005D0C2F" w14:paraId="0112865C" w14:textId="77777777" w:rsidTr="00436AC0">
        <w:trPr>
          <w:trHeight w:val="204"/>
        </w:trPr>
        <w:tc>
          <w:tcPr>
            <w:tcW w:w="1918" w:type="pct"/>
            <w:tcBorders>
              <w:top w:val="nil"/>
              <w:left w:val="nil"/>
              <w:bottom w:val="nil"/>
              <w:right w:val="nil"/>
            </w:tcBorders>
            <w:shd w:val="clear" w:color="auto" w:fill="auto"/>
            <w:vAlign w:val="bottom"/>
            <w:hideMark/>
          </w:tcPr>
          <w:p w14:paraId="281F85FB" w14:textId="77777777" w:rsidR="00BF5A1E" w:rsidRPr="005D0C2F" w:rsidRDefault="00BF5A1E" w:rsidP="007E1717">
            <w:pPr>
              <w:spacing w:after="0" w:line="240" w:lineRule="auto"/>
              <w:jc w:val="right"/>
              <w:rPr>
                <w:rFonts w:ascii="Arial" w:hAnsi="Arial" w:cs="Arial"/>
                <w:b/>
                <w:bCs/>
                <w:sz w:val="16"/>
                <w:szCs w:val="16"/>
              </w:rPr>
            </w:pPr>
            <w:r w:rsidRPr="005D0C2F">
              <w:rPr>
                <w:rFonts w:ascii="Arial" w:hAnsi="Arial" w:cs="Arial"/>
                <w:b/>
                <w:bCs/>
                <w:sz w:val="16"/>
                <w:szCs w:val="16"/>
              </w:rPr>
              <w:t>Total administered expenses</w:t>
            </w:r>
          </w:p>
        </w:tc>
        <w:tc>
          <w:tcPr>
            <w:tcW w:w="666" w:type="pct"/>
            <w:tcBorders>
              <w:top w:val="single" w:sz="4" w:space="0" w:color="auto"/>
              <w:left w:val="nil"/>
              <w:bottom w:val="single" w:sz="4" w:space="0" w:color="auto"/>
              <w:right w:val="nil"/>
            </w:tcBorders>
            <w:shd w:val="clear" w:color="auto" w:fill="auto"/>
            <w:noWrap/>
            <w:vAlign w:val="bottom"/>
            <w:hideMark/>
          </w:tcPr>
          <w:p w14:paraId="5C63BB49" w14:textId="4A45E83B"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1,383,108 </w:t>
            </w:r>
          </w:p>
        </w:tc>
        <w:tc>
          <w:tcPr>
            <w:tcW w:w="667" w:type="pct"/>
            <w:tcBorders>
              <w:top w:val="single" w:sz="4" w:space="0" w:color="auto"/>
              <w:left w:val="nil"/>
              <w:bottom w:val="single" w:sz="4" w:space="0" w:color="auto"/>
              <w:right w:val="nil"/>
            </w:tcBorders>
            <w:shd w:val="clear" w:color="auto" w:fill="E6E6E6"/>
            <w:noWrap/>
            <w:vAlign w:val="bottom"/>
            <w:hideMark/>
          </w:tcPr>
          <w:p w14:paraId="7914B5D5" w14:textId="2D1F5E7C"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929,400 </w:t>
            </w:r>
          </w:p>
        </w:tc>
        <w:tc>
          <w:tcPr>
            <w:tcW w:w="600" w:type="pct"/>
            <w:tcBorders>
              <w:top w:val="single" w:sz="4" w:space="0" w:color="auto"/>
              <w:left w:val="nil"/>
              <w:bottom w:val="single" w:sz="4" w:space="0" w:color="auto"/>
              <w:right w:val="nil"/>
            </w:tcBorders>
            <w:shd w:val="clear" w:color="auto" w:fill="auto"/>
            <w:noWrap/>
            <w:vAlign w:val="bottom"/>
            <w:hideMark/>
          </w:tcPr>
          <w:p w14:paraId="2A90B62C" w14:textId="576AA058"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842,218 </w:t>
            </w:r>
          </w:p>
        </w:tc>
        <w:tc>
          <w:tcPr>
            <w:tcW w:w="574" w:type="pct"/>
            <w:tcBorders>
              <w:top w:val="single" w:sz="4" w:space="0" w:color="auto"/>
              <w:left w:val="nil"/>
              <w:bottom w:val="single" w:sz="4" w:space="0" w:color="auto"/>
              <w:right w:val="nil"/>
            </w:tcBorders>
            <w:shd w:val="clear" w:color="auto" w:fill="auto"/>
            <w:noWrap/>
            <w:vAlign w:val="bottom"/>
            <w:hideMark/>
          </w:tcPr>
          <w:p w14:paraId="0CA99153" w14:textId="0CA3724E"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794,589 </w:t>
            </w:r>
          </w:p>
        </w:tc>
        <w:tc>
          <w:tcPr>
            <w:tcW w:w="575" w:type="pct"/>
            <w:tcBorders>
              <w:top w:val="single" w:sz="4" w:space="0" w:color="auto"/>
              <w:left w:val="nil"/>
              <w:bottom w:val="single" w:sz="4" w:space="0" w:color="auto"/>
              <w:right w:val="nil"/>
            </w:tcBorders>
            <w:shd w:val="clear" w:color="auto" w:fill="auto"/>
            <w:noWrap/>
            <w:vAlign w:val="bottom"/>
            <w:hideMark/>
          </w:tcPr>
          <w:p w14:paraId="6038E0BC" w14:textId="3771F3A6"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819,753 </w:t>
            </w:r>
          </w:p>
        </w:tc>
      </w:tr>
      <w:tr w:rsidR="00BF5A1E" w:rsidRPr="005D0C2F" w14:paraId="54EC87AB" w14:textId="77777777" w:rsidTr="00436AC0">
        <w:trPr>
          <w:trHeight w:val="204"/>
        </w:trPr>
        <w:tc>
          <w:tcPr>
            <w:tcW w:w="1918" w:type="pct"/>
            <w:tcBorders>
              <w:top w:val="nil"/>
              <w:left w:val="nil"/>
              <w:bottom w:val="nil"/>
              <w:right w:val="nil"/>
            </w:tcBorders>
            <w:shd w:val="clear" w:color="auto" w:fill="auto"/>
            <w:noWrap/>
            <w:vAlign w:val="bottom"/>
            <w:hideMark/>
          </w:tcPr>
          <w:p w14:paraId="3EB926C7" w14:textId="77777777" w:rsidR="00BF5A1E" w:rsidRPr="005D0C2F" w:rsidRDefault="00BF5A1E" w:rsidP="00BF5A1E">
            <w:pPr>
              <w:spacing w:after="0" w:line="240" w:lineRule="auto"/>
              <w:rPr>
                <w:rFonts w:ascii="Arial" w:hAnsi="Arial" w:cs="Arial"/>
                <w:sz w:val="16"/>
                <w:szCs w:val="16"/>
              </w:rPr>
            </w:pPr>
            <w:r w:rsidRPr="005D0C2F">
              <w:rPr>
                <w:rFonts w:ascii="Arial" w:hAnsi="Arial" w:cs="Arial"/>
                <w:sz w:val="16"/>
                <w:szCs w:val="16"/>
              </w:rPr>
              <w:t>Departmental expenses</w:t>
            </w:r>
          </w:p>
        </w:tc>
        <w:tc>
          <w:tcPr>
            <w:tcW w:w="666" w:type="pct"/>
            <w:tcBorders>
              <w:top w:val="nil"/>
              <w:left w:val="nil"/>
              <w:bottom w:val="nil"/>
              <w:right w:val="nil"/>
            </w:tcBorders>
            <w:shd w:val="clear" w:color="auto" w:fill="auto"/>
            <w:noWrap/>
            <w:vAlign w:val="bottom"/>
            <w:hideMark/>
          </w:tcPr>
          <w:p w14:paraId="60117257" w14:textId="77777777" w:rsidR="00BF5A1E" w:rsidRPr="005D0C2F" w:rsidRDefault="00BF5A1E" w:rsidP="00BF5A1E">
            <w:pPr>
              <w:spacing w:after="0" w:line="240" w:lineRule="auto"/>
              <w:jc w:val="right"/>
              <w:rPr>
                <w:rFonts w:ascii="Arial" w:hAnsi="Arial" w:cs="Arial"/>
                <w:sz w:val="16"/>
                <w:szCs w:val="16"/>
              </w:rPr>
            </w:pPr>
          </w:p>
        </w:tc>
        <w:tc>
          <w:tcPr>
            <w:tcW w:w="667" w:type="pct"/>
            <w:tcBorders>
              <w:top w:val="nil"/>
              <w:left w:val="nil"/>
              <w:bottom w:val="nil"/>
              <w:right w:val="nil"/>
            </w:tcBorders>
            <w:shd w:val="clear" w:color="auto" w:fill="E6E6E6"/>
            <w:noWrap/>
            <w:vAlign w:val="bottom"/>
            <w:hideMark/>
          </w:tcPr>
          <w:p w14:paraId="185C54F1" w14:textId="299CFB27"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w:t>
            </w:r>
          </w:p>
        </w:tc>
        <w:tc>
          <w:tcPr>
            <w:tcW w:w="600" w:type="pct"/>
            <w:tcBorders>
              <w:top w:val="nil"/>
              <w:left w:val="nil"/>
              <w:bottom w:val="nil"/>
              <w:right w:val="nil"/>
            </w:tcBorders>
            <w:shd w:val="clear" w:color="auto" w:fill="auto"/>
            <w:noWrap/>
            <w:vAlign w:val="bottom"/>
            <w:hideMark/>
          </w:tcPr>
          <w:p w14:paraId="29335328" w14:textId="77777777" w:rsidR="00BF5A1E" w:rsidRPr="005D0C2F" w:rsidRDefault="00BF5A1E" w:rsidP="00BF5A1E">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109E273" w14:textId="77777777" w:rsidR="00BF5A1E" w:rsidRPr="005D0C2F" w:rsidRDefault="00BF5A1E" w:rsidP="00BF5A1E">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6341231A" w14:textId="77777777" w:rsidR="00BF5A1E" w:rsidRPr="005D0C2F" w:rsidRDefault="00BF5A1E" w:rsidP="00BF5A1E">
            <w:pPr>
              <w:spacing w:after="0" w:line="240" w:lineRule="auto"/>
              <w:jc w:val="right"/>
              <w:rPr>
                <w:rFonts w:ascii="Arial" w:hAnsi="Arial" w:cs="Arial"/>
                <w:sz w:val="16"/>
                <w:szCs w:val="16"/>
              </w:rPr>
            </w:pPr>
          </w:p>
        </w:tc>
      </w:tr>
      <w:tr w:rsidR="00BF5A1E" w:rsidRPr="005D0C2F" w14:paraId="258B1E8E" w14:textId="77777777" w:rsidTr="00436AC0">
        <w:trPr>
          <w:trHeight w:val="204"/>
        </w:trPr>
        <w:tc>
          <w:tcPr>
            <w:tcW w:w="1918" w:type="pct"/>
            <w:tcBorders>
              <w:top w:val="nil"/>
              <w:left w:val="nil"/>
              <w:bottom w:val="nil"/>
              <w:right w:val="nil"/>
            </w:tcBorders>
            <w:shd w:val="clear" w:color="auto" w:fill="auto"/>
            <w:vAlign w:val="bottom"/>
            <w:hideMark/>
          </w:tcPr>
          <w:p w14:paraId="111D8231"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Departmental appropriation</w:t>
            </w:r>
          </w:p>
        </w:tc>
        <w:tc>
          <w:tcPr>
            <w:tcW w:w="666" w:type="pct"/>
            <w:tcBorders>
              <w:top w:val="nil"/>
              <w:left w:val="nil"/>
              <w:bottom w:val="nil"/>
              <w:right w:val="nil"/>
            </w:tcBorders>
            <w:shd w:val="clear" w:color="auto" w:fill="auto"/>
            <w:noWrap/>
            <w:vAlign w:val="bottom"/>
            <w:hideMark/>
          </w:tcPr>
          <w:p w14:paraId="341847D3" w14:textId="098CACAD"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116,200 </w:t>
            </w:r>
          </w:p>
        </w:tc>
        <w:tc>
          <w:tcPr>
            <w:tcW w:w="667" w:type="pct"/>
            <w:tcBorders>
              <w:top w:val="nil"/>
              <w:left w:val="nil"/>
              <w:bottom w:val="nil"/>
              <w:right w:val="nil"/>
            </w:tcBorders>
            <w:shd w:val="clear" w:color="auto" w:fill="E6E6E6"/>
            <w:noWrap/>
            <w:vAlign w:val="bottom"/>
            <w:hideMark/>
          </w:tcPr>
          <w:p w14:paraId="22884212" w14:textId="61D4D362"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94,698 </w:t>
            </w:r>
          </w:p>
        </w:tc>
        <w:tc>
          <w:tcPr>
            <w:tcW w:w="600" w:type="pct"/>
            <w:tcBorders>
              <w:top w:val="nil"/>
              <w:left w:val="nil"/>
              <w:bottom w:val="nil"/>
              <w:right w:val="nil"/>
            </w:tcBorders>
            <w:shd w:val="clear" w:color="auto" w:fill="auto"/>
            <w:noWrap/>
            <w:vAlign w:val="bottom"/>
            <w:hideMark/>
          </w:tcPr>
          <w:p w14:paraId="605B6CE7" w14:textId="6AD6085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112,115 </w:t>
            </w:r>
          </w:p>
        </w:tc>
        <w:tc>
          <w:tcPr>
            <w:tcW w:w="574" w:type="pct"/>
            <w:tcBorders>
              <w:top w:val="nil"/>
              <w:left w:val="nil"/>
              <w:bottom w:val="nil"/>
              <w:right w:val="nil"/>
            </w:tcBorders>
            <w:shd w:val="clear" w:color="auto" w:fill="auto"/>
            <w:noWrap/>
            <w:vAlign w:val="bottom"/>
            <w:hideMark/>
          </w:tcPr>
          <w:p w14:paraId="2E6DB4E2" w14:textId="59E1352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103,816 </w:t>
            </w:r>
          </w:p>
        </w:tc>
        <w:tc>
          <w:tcPr>
            <w:tcW w:w="575" w:type="pct"/>
            <w:tcBorders>
              <w:top w:val="nil"/>
              <w:left w:val="nil"/>
              <w:bottom w:val="nil"/>
              <w:right w:val="nil"/>
            </w:tcBorders>
            <w:shd w:val="clear" w:color="auto" w:fill="auto"/>
            <w:noWrap/>
            <w:vAlign w:val="bottom"/>
            <w:hideMark/>
          </w:tcPr>
          <w:p w14:paraId="41C10935" w14:textId="0DB7BE52"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104,498 </w:t>
            </w:r>
          </w:p>
        </w:tc>
      </w:tr>
      <w:tr w:rsidR="00BF5A1E" w:rsidRPr="005D0C2F" w14:paraId="53214588" w14:textId="77777777" w:rsidTr="00436AC0">
        <w:trPr>
          <w:trHeight w:val="204"/>
        </w:trPr>
        <w:tc>
          <w:tcPr>
            <w:tcW w:w="1918" w:type="pct"/>
            <w:tcBorders>
              <w:top w:val="nil"/>
              <w:left w:val="nil"/>
              <w:bottom w:val="nil"/>
              <w:right w:val="nil"/>
            </w:tcBorders>
            <w:shd w:val="clear" w:color="auto" w:fill="auto"/>
            <w:vAlign w:val="bottom"/>
            <w:hideMark/>
          </w:tcPr>
          <w:p w14:paraId="6520016E"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 xml:space="preserve">s74 external revenues </w:t>
            </w:r>
            <w:r w:rsidRPr="005D0C2F">
              <w:rPr>
                <w:rFonts w:ascii="Arial" w:hAnsi="Arial" w:cs="Arial"/>
                <w:sz w:val="16"/>
                <w:szCs w:val="16"/>
                <w:vertAlign w:val="superscript"/>
              </w:rPr>
              <w:t>(d)</w:t>
            </w:r>
          </w:p>
        </w:tc>
        <w:tc>
          <w:tcPr>
            <w:tcW w:w="666" w:type="pct"/>
            <w:tcBorders>
              <w:top w:val="nil"/>
              <w:left w:val="nil"/>
              <w:bottom w:val="nil"/>
              <w:right w:val="nil"/>
            </w:tcBorders>
            <w:shd w:val="clear" w:color="auto" w:fill="auto"/>
            <w:noWrap/>
            <w:vAlign w:val="bottom"/>
            <w:hideMark/>
          </w:tcPr>
          <w:p w14:paraId="17E3BC9E" w14:textId="59B89D0D"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3,545 </w:t>
            </w:r>
          </w:p>
        </w:tc>
        <w:tc>
          <w:tcPr>
            <w:tcW w:w="667" w:type="pct"/>
            <w:tcBorders>
              <w:top w:val="nil"/>
              <w:left w:val="nil"/>
              <w:bottom w:val="nil"/>
              <w:right w:val="nil"/>
            </w:tcBorders>
            <w:shd w:val="clear" w:color="auto" w:fill="E6E6E6"/>
            <w:noWrap/>
            <w:vAlign w:val="bottom"/>
            <w:hideMark/>
          </w:tcPr>
          <w:p w14:paraId="16C7C335" w14:textId="05500857"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4,155 </w:t>
            </w:r>
          </w:p>
        </w:tc>
        <w:tc>
          <w:tcPr>
            <w:tcW w:w="600" w:type="pct"/>
            <w:tcBorders>
              <w:top w:val="nil"/>
              <w:left w:val="nil"/>
              <w:bottom w:val="nil"/>
              <w:right w:val="nil"/>
            </w:tcBorders>
            <w:shd w:val="clear" w:color="auto" w:fill="auto"/>
            <w:noWrap/>
            <w:vAlign w:val="bottom"/>
            <w:hideMark/>
          </w:tcPr>
          <w:p w14:paraId="08987883" w14:textId="7C812777"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4,182 </w:t>
            </w:r>
          </w:p>
        </w:tc>
        <w:tc>
          <w:tcPr>
            <w:tcW w:w="574" w:type="pct"/>
            <w:tcBorders>
              <w:top w:val="nil"/>
              <w:left w:val="nil"/>
              <w:bottom w:val="nil"/>
              <w:right w:val="nil"/>
            </w:tcBorders>
            <w:shd w:val="clear" w:color="auto" w:fill="auto"/>
            <w:noWrap/>
            <w:vAlign w:val="bottom"/>
            <w:hideMark/>
          </w:tcPr>
          <w:p w14:paraId="5C53EC2A" w14:textId="3C6C5C25"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4,182 </w:t>
            </w:r>
          </w:p>
        </w:tc>
        <w:tc>
          <w:tcPr>
            <w:tcW w:w="575" w:type="pct"/>
            <w:tcBorders>
              <w:top w:val="nil"/>
              <w:left w:val="nil"/>
              <w:bottom w:val="nil"/>
              <w:right w:val="nil"/>
            </w:tcBorders>
            <w:shd w:val="clear" w:color="auto" w:fill="auto"/>
            <w:noWrap/>
            <w:vAlign w:val="bottom"/>
            <w:hideMark/>
          </w:tcPr>
          <w:p w14:paraId="1A97F867" w14:textId="3F5D4FF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4,182 </w:t>
            </w:r>
          </w:p>
        </w:tc>
      </w:tr>
      <w:tr w:rsidR="00BF5A1E" w:rsidRPr="005D0C2F" w14:paraId="2F089846" w14:textId="77777777" w:rsidTr="00436AC0">
        <w:trPr>
          <w:trHeight w:val="204"/>
        </w:trPr>
        <w:tc>
          <w:tcPr>
            <w:tcW w:w="1918" w:type="pct"/>
            <w:tcBorders>
              <w:top w:val="nil"/>
              <w:left w:val="nil"/>
              <w:bottom w:val="nil"/>
              <w:right w:val="nil"/>
            </w:tcBorders>
            <w:shd w:val="clear" w:color="auto" w:fill="auto"/>
            <w:vAlign w:val="bottom"/>
            <w:hideMark/>
          </w:tcPr>
          <w:p w14:paraId="3E756280" w14:textId="77777777" w:rsidR="00BF5A1E" w:rsidRPr="005D0C2F" w:rsidRDefault="00BF5A1E" w:rsidP="00BF5A1E">
            <w:pPr>
              <w:spacing w:after="0" w:line="240" w:lineRule="auto"/>
              <w:ind w:left="113"/>
              <w:rPr>
                <w:rFonts w:ascii="Arial" w:hAnsi="Arial" w:cs="Arial"/>
                <w:sz w:val="16"/>
                <w:szCs w:val="16"/>
              </w:rPr>
            </w:pPr>
            <w:r w:rsidRPr="005D0C2F">
              <w:rPr>
                <w:rFonts w:ascii="Arial" w:hAnsi="Arial" w:cs="Arial"/>
                <w:sz w:val="16"/>
                <w:szCs w:val="16"/>
              </w:rPr>
              <w:t xml:space="preserve">Expenses not requiring appropriation in the Budget year </w:t>
            </w:r>
            <w:r w:rsidRPr="005D0C2F">
              <w:rPr>
                <w:rFonts w:ascii="Arial" w:hAnsi="Arial" w:cs="Arial"/>
                <w:sz w:val="16"/>
                <w:szCs w:val="16"/>
                <w:vertAlign w:val="superscript"/>
              </w:rPr>
              <w:t>(e)</w:t>
            </w:r>
            <w:r w:rsidRPr="005D0C2F">
              <w:rPr>
                <w:rFonts w:ascii="Arial" w:hAnsi="Arial" w:cs="Arial"/>
                <w:sz w:val="16"/>
                <w:szCs w:val="16"/>
              </w:rPr>
              <w:t xml:space="preserve"> </w:t>
            </w:r>
          </w:p>
        </w:tc>
        <w:tc>
          <w:tcPr>
            <w:tcW w:w="666" w:type="pct"/>
            <w:tcBorders>
              <w:top w:val="nil"/>
              <w:left w:val="nil"/>
              <w:bottom w:val="nil"/>
              <w:right w:val="nil"/>
            </w:tcBorders>
            <w:shd w:val="clear" w:color="auto" w:fill="auto"/>
            <w:noWrap/>
            <w:vAlign w:val="bottom"/>
            <w:hideMark/>
          </w:tcPr>
          <w:p w14:paraId="38509826" w14:textId="26AA6519"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4,311 </w:t>
            </w:r>
          </w:p>
        </w:tc>
        <w:tc>
          <w:tcPr>
            <w:tcW w:w="667" w:type="pct"/>
            <w:tcBorders>
              <w:top w:val="nil"/>
              <w:left w:val="nil"/>
              <w:bottom w:val="nil"/>
              <w:right w:val="nil"/>
            </w:tcBorders>
            <w:shd w:val="clear" w:color="auto" w:fill="E6E6E6"/>
            <w:noWrap/>
            <w:vAlign w:val="bottom"/>
            <w:hideMark/>
          </w:tcPr>
          <w:p w14:paraId="06E9C6DF" w14:textId="6502EF60"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10,551 </w:t>
            </w:r>
          </w:p>
        </w:tc>
        <w:tc>
          <w:tcPr>
            <w:tcW w:w="600" w:type="pct"/>
            <w:tcBorders>
              <w:top w:val="nil"/>
              <w:left w:val="nil"/>
              <w:bottom w:val="nil"/>
              <w:right w:val="nil"/>
            </w:tcBorders>
            <w:shd w:val="clear" w:color="auto" w:fill="auto"/>
            <w:noWrap/>
            <w:vAlign w:val="bottom"/>
            <w:hideMark/>
          </w:tcPr>
          <w:p w14:paraId="517EFD0D" w14:textId="4F52F07D"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10,469 </w:t>
            </w:r>
          </w:p>
        </w:tc>
        <w:tc>
          <w:tcPr>
            <w:tcW w:w="574" w:type="pct"/>
            <w:tcBorders>
              <w:top w:val="nil"/>
              <w:left w:val="nil"/>
              <w:bottom w:val="nil"/>
              <w:right w:val="nil"/>
            </w:tcBorders>
            <w:shd w:val="clear" w:color="auto" w:fill="auto"/>
            <w:noWrap/>
            <w:vAlign w:val="bottom"/>
            <w:hideMark/>
          </w:tcPr>
          <w:p w14:paraId="0FBEC3BA" w14:textId="3A94278F"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10,469 </w:t>
            </w:r>
          </w:p>
        </w:tc>
        <w:tc>
          <w:tcPr>
            <w:tcW w:w="575" w:type="pct"/>
            <w:tcBorders>
              <w:top w:val="nil"/>
              <w:left w:val="nil"/>
              <w:bottom w:val="nil"/>
              <w:right w:val="nil"/>
            </w:tcBorders>
            <w:shd w:val="clear" w:color="auto" w:fill="auto"/>
            <w:noWrap/>
            <w:vAlign w:val="bottom"/>
            <w:hideMark/>
          </w:tcPr>
          <w:p w14:paraId="24676E8B" w14:textId="03BF92A6" w:rsidR="00BF5A1E" w:rsidRPr="005D0C2F" w:rsidRDefault="00BF5A1E" w:rsidP="00BF5A1E">
            <w:pPr>
              <w:spacing w:after="0" w:line="240" w:lineRule="auto"/>
              <w:jc w:val="right"/>
              <w:rPr>
                <w:rFonts w:ascii="Arial" w:hAnsi="Arial" w:cs="Arial"/>
                <w:sz w:val="16"/>
                <w:szCs w:val="16"/>
              </w:rPr>
            </w:pPr>
            <w:r>
              <w:rPr>
                <w:rFonts w:ascii="Arial" w:hAnsi="Arial" w:cs="Arial"/>
                <w:sz w:val="16"/>
                <w:szCs w:val="16"/>
              </w:rPr>
              <w:t xml:space="preserve">10,469 </w:t>
            </w:r>
          </w:p>
        </w:tc>
      </w:tr>
      <w:tr w:rsidR="00BF5A1E" w:rsidRPr="005D0C2F" w14:paraId="1C8071D8" w14:textId="77777777" w:rsidTr="00436AC0">
        <w:trPr>
          <w:trHeight w:val="204"/>
        </w:trPr>
        <w:tc>
          <w:tcPr>
            <w:tcW w:w="1918" w:type="pct"/>
            <w:tcBorders>
              <w:top w:val="nil"/>
              <w:left w:val="nil"/>
              <w:bottom w:val="nil"/>
              <w:right w:val="nil"/>
            </w:tcBorders>
            <w:shd w:val="clear" w:color="auto" w:fill="auto"/>
            <w:vAlign w:val="bottom"/>
            <w:hideMark/>
          </w:tcPr>
          <w:p w14:paraId="77C67DBB" w14:textId="77777777" w:rsidR="00BF5A1E" w:rsidRPr="005D0C2F" w:rsidRDefault="00BF5A1E" w:rsidP="007E1717">
            <w:pPr>
              <w:spacing w:after="0" w:line="240" w:lineRule="auto"/>
              <w:jc w:val="right"/>
              <w:rPr>
                <w:rFonts w:ascii="Arial" w:hAnsi="Arial" w:cs="Arial"/>
                <w:b/>
                <w:bCs/>
                <w:sz w:val="16"/>
                <w:szCs w:val="16"/>
              </w:rPr>
            </w:pPr>
            <w:r w:rsidRPr="005D0C2F">
              <w:rPr>
                <w:rFonts w:ascii="Arial" w:hAnsi="Arial" w:cs="Arial"/>
                <w:b/>
                <w:bCs/>
                <w:sz w:val="16"/>
                <w:szCs w:val="16"/>
              </w:rPr>
              <w:t>Total departmental expenses</w:t>
            </w:r>
          </w:p>
        </w:tc>
        <w:tc>
          <w:tcPr>
            <w:tcW w:w="666" w:type="pct"/>
            <w:tcBorders>
              <w:top w:val="single" w:sz="4" w:space="0" w:color="auto"/>
              <w:left w:val="nil"/>
              <w:bottom w:val="single" w:sz="4" w:space="0" w:color="auto"/>
              <w:right w:val="nil"/>
            </w:tcBorders>
            <w:shd w:val="clear" w:color="auto" w:fill="auto"/>
            <w:noWrap/>
            <w:vAlign w:val="bottom"/>
            <w:hideMark/>
          </w:tcPr>
          <w:p w14:paraId="14D27A01" w14:textId="5786ADF8"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124,056 </w:t>
            </w:r>
          </w:p>
        </w:tc>
        <w:tc>
          <w:tcPr>
            <w:tcW w:w="667" w:type="pct"/>
            <w:tcBorders>
              <w:top w:val="single" w:sz="4" w:space="0" w:color="auto"/>
              <w:left w:val="nil"/>
              <w:bottom w:val="single" w:sz="4" w:space="0" w:color="auto"/>
              <w:right w:val="nil"/>
            </w:tcBorders>
            <w:shd w:val="clear" w:color="auto" w:fill="E6E6E6"/>
            <w:noWrap/>
            <w:vAlign w:val="bottom"/>
            <w:hideMark/>
          </w:tcPr>
          <w:p w14:paraId="699F30A2" w14:textId="22F106BD"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109,404 </w:t>
            </w:r>
          </w:p>
        </w:tc>
        <w:tc>
          <w:tcPr>
            <w:tcW w:w="600" w:type="pct"/>
            <w:tcBorders>
              <w:top w:val="single" w:sz="4" w:space="0" w:color="auto"/>
              <w:left w:val="nil"/>
              <w:bottom w:val="single" w:sz="4" w:space="0" w:color="auto"/>
              <w:right w:val="nil"/>
            </w:tcBorders>
            <w:shd w:val="clear" w:color="auto" w:fill="auto"/>
            <w:noWrap/>
            <w:vAlign w:val="bottom"/>
            <w:hideMark/>
          </w:tcPr>
          <w:p w14:paraId="1B19A081" w14:textId="6DA8106E"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126,766 </w:t>
            </w:r>
          </w:p>
        </w:tc>
        <w:tc>
          <w:tcPr>
            <w:tcW w:w="574" w:type="pct"/>
            <w:tcBorders>
              <w:top w:val="single" w:sz="4" w:space="0" w:color="auto"/>
              <w:left w:val="nil"/>
              <w:bottom w:val="single" w:sz="4" w:space="0" w:color="auto"/>
              <w:right w:val="nil"/>
            </w:tcBorders>
            <w:shd w:val="clear" w:color="auto" w:fill="auto"/>
            <w:noWrap/>
            <w:vAlign w:val="bottom"/>
            <w:hideMark/>
          </w:tcPr>
          <w:p w14:paraId="412F2CAF" w14:textId="72ADB0BA"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118,467 </w:t>
            </w:r>
          </w:p>
        </w:tc>
        <w:tc>
          <w:tcPr>
            <w:tcW w:w="575" w:type="pct"/>
            <w:tcBorders>
              <w:top w:val="single" w:sz="4" w:space="0" w:color="auto"/>
              <w:left w:val="nil"/>
              <w:bottom w:val="single" w:sz="4" w:space="0" w:color="auto"/>
              <w:right w:val="nil"/>
            </w:tcBorders>
            <w:shd w:val="clear" w:color="auto" w:fill="auto"/>
            <w:noWrap/>
            <w:vAlign w:val="bottom"/>
            <w:hideMark/>
          </w:tcPr>
          <w:p w14:paraId="49D21BC7" w14:textId="1B5EFF71"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119,149 </w:t>
            </w:r>
          </w:p>
        </w:tc>
      </w:tr>
      <w:tr w:rsidR="00BF5A1E" w:rsidRPr="005D0C2F" w14:paraId="7DE202BA" w14:textId="77777777" w:rsidTr="00436AC0">
        <w:trPr>
          <w:trHeight w:val="204"/>
        </w:trPr>
        <w:tc>
          <w:tcPr>
            <w:tcW w:w="1918" w:type="pct"/>
            <w:tcBorders>
              <w:top w:val="nil"/>
              <w:left w:val="nil"/>
              <w:bottom w:val="single" w:sz="4" w:space="0" w:color="auto"/>
              <w:right w:val="nil"/>
            </w:tcBorders>
            <w:shd w:val="clear" w:color="auto" w:fill="auto"/>
            <w:noWrap/>
            <w:vAlign w:val="bottom"/>
            <w:hideMark/>
          </w:tcPr>
          <w:p w14:paraId="069C2910" w14:textId="77777777" w:rsidR="00BF5A1E" w:rsidRPr="005D0C2F" w:rsidRDefault="00BF5A1E" w:rsidP="00BF5A1E">
            <w:pPr>
              <w:spacing w:after="0" w:line="240" w:lineRule="auto"/>
              <w:rPr>
                <w:rFonts w:ascii="Arial" w:hAnsi="Arial" w:cs="Arial"/>
                <w:b/>
                <w:bCs/>
                <w:sz w:val="16"/>
                <w:szCs w:val="16"/>
              </w:rPr>
            </w:pPr>
            <w:r w:rsidRPr="005D0C2F">
              <w:rPr>
                <w:rFonts w:ascii="Arial" w:hAnsi="Arial" w:cs="Arial"/>
                <w:b/>
                <w:bCs/>
                <w:sz w:val="16"/>
                <w:szCs w:val="16"/>
              </w:rPr>
              <w:t>Total expenses for Outcome 2</w:t>
            </w:r>
          </w:p>
        </w:tc>
        <w:tc>
          <w:tcPr>
            <w:tcW w:w="666" w:type="pct"/>
            <w:tcBorders>
              <w:top w:val="nil"/>
              <w:left w:val="nil"/>
              <w:bottom w:val="single" w:sz="4" w:space="0" w:color="auto"/>
              <w:right w:val="nil"/>
            </w:tcBorders>
            <w:shd w:val="clear" w:color="auto" w:fill="auto"/>
            <w:noWrap/>
            <w:vAlign w:val="bottom"/>
            <w:hideMark/>
          </w:tcPr>
          <w:p w14:paraId="2FE00A21" w14:textId="3C8AB50D"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1,507,164 </w:t>
            </w:r>
          </w:p>
        </w:tc>
        <w:tc>
          <w:tcPr>
            <w:tcW w:w="667" w:type="pct"/>
            <w:tcBorders>
              <w:top w:val="nil"/>
              <w:left w:val="nil"/>
              <w:bottom w:val="single" w:sz="4" w:space="0" w:color="auto"/>
              <w:right w:val="nil"/>
            </w:tcBorders>
            <w:shd w:val="clear" w:color="auto" w:fill="E6E6E6"/>
            <w:noWrap/>
            <w:vAlign w:val="bottom"/>
            <w:hideMark/>
          </w:tcPr>
          <w:p w14:paraId="40F15A1F" w14:textId="1C200CD3"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1,038,804 </w:t>
            </w:r>
          </w:p>
        </w:tc>
        <w:tc>
          <w:tcPr>
            <w:tcW w:w="600" w:type="pct"/>
            <w:tcBorders>
              <w:top w:val="nil"/>
              <w:left w:val="nil"/>
              <w:bottom w:val="single" w:sz="4" w:space="0" w:color="auto"/>
              <w:right w:val="nil"/>
            </w:tcBorders>
            <w:shd w:val="clear" w:color="auto" w:fill="auto"/>
            <w:noWrap/>
            <w:vAlign w:val="bottom"/>
            <w:hideMark/>
          </w:tcPr>
          <w:p w14:paraId="061B31B4" w14:textId="4322F9B7"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968,984 </w:t>
            </w:r>
          </w:p>
        </w:tc>
        <w:tc>
          <w:tcPr>
            <w:tcW w:w="574" w:type="pct"/>
            <w:tcBorders>
              <w:top w:val="nil"/>
              <w:left w:val="nil"/>
              <w:bottom w:val="single" w:sz="4" w:space="0" w:color="auto"/>
              <w:right w:val="nil"/>
            </w:tcBorders>
            <w:shd w:val="clear" w:color="auto" w:fill="auto"/>
            <w:noWrap/>
            <w:vAlign w:val="bottom"/>
            <w:hideMark/>
          </w:tcPr>
          <w:p w14:paraId="5C4E8315" w14:textId="4506CC54"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913,056 </w:t>
            </w:r>
          </w:p>
        </w:tc>
        <w:tc>
          <w:tcPr>
            <w:tcW w:w="575" w:type="pct"/>
            <w:tcBorders>
              <w:top w:val="nil"/>
              <w:left w:val="nil"/>
              <w:bottom w:val="single" w:sz="4" w:space="0" w:color="auto"/>
              <w:right w:val="nil"/>
            </w:tcBorders>
            <w:shd w:val="clear" w:color="auto" w:fill="auto"/>
            <w:noWrap/>
            <w:vAlign w:val="bottom"/>
            <w:hideMark/>
          </w:tcPr>
          <w:p w14:paraId="4B079B6A" w14:textId="24ADF373" w:rsidR="00BF5A1E" w:rsidRPr="005D0C2F" w:rsidRDefault="00BF5A1E" w:rsidP="00BF5A1E">
            <w:pPr>
              <w:spacing w:after="0" w:line="240" w:lineRule="auto"/>
              <w:jc w:val="right"/>
              <w:rPr>
                <w:rFonts w:ascii="Arial" w:hAnsi="Arial" w:cs="Arial"/>
                <w:b/>
                <w:bCs/>
                <w:sz w:val="16"/>
                <w:szCs w:val="16"/>
              </w:rPr>
            </w:pPr>
            <w:r>
              <w:rPr>
                <w:rFonts w:ascii="Arial" w:hAnsi="Arial" w:cs="Arial"/>
                <w:b/>
                <w:bCs/>
                <w:sz w:val="16"/>
                <w:szCs w:val="16"/>
              </w:rPr>
              <w:t xml:space="preserve">938,902 </w:t>
            </w:r>
          </w:p>
        </w:tc>
      </w:tr>
    </w:tbl>
    <w:p w14:paraId="628F95E0" w14:textId="77777777" w:rsidR="00115843" w:rsidRPr="00A26263" w:rsidRDefault="00115843" w:rsidP="00115843">
      <w:pPr>
        <w:spacing w:after="0" w:line="240" w:lineRule="auto"/>
        <w:rPr>
          <w:rFonts w:ascii="Arial" w:hAnsi="Arial" w:cs="Arial"/>
          <w:sz w:val="16"/>
        </w:rPr>
      </w:pPr>
    </w:p>
    <w:tbl>
      <w:tblPr>
        <w:tblW w:w="5000" w:type="pct"/>
        <w:tblLook w:val="04A0" w:firstRow="1" w:lastRow="0" w:firstColumn="1" w:lastColumn="0" w:noHBand="0" w:noVBand="1"/>
      </w:tblPr>
      <w:tblGrid>
        <w:gridCol w:w="2948"/>
        <w:gridCol w:w="1033"/>
        <w:gridCol w:w="1032"/>
        <w:gridCol w:w="925"/>
        <w:gridCol w:w="888"/>
        <w:gridCol w:w="884"/>
      </w:tblGrid>
      <w:tr w:rsidR="00115843" w:rsidRPr="005D5F9C" w14:paraId="185DD502" w14:textId="77777777" w:rsidTr="00436AC0">
        <w:trPr>
          <w:trHeight w:val="204"/>
        </w:trPr>
        <w:tc>
          <w:tcPr>
            <w:tcW w:w="1912" w:type="pct"/>
            <w:tcBorders>
              <w:top w:val="single" w:sz="4" w:space="0" w:color="auto"/>
              <w:left w:val="nil"/>
              <w:bottom w:val="nil"/>
              <w:right w:val="nil"/>
            </w:tcBorders>
            <w:shd w:val="clear" w:color="auto" w:fill="auto"/>
            <w:vAlign w:val="bottom"/>
            <w:hideMark/>
          </w:tcPr>
          <w:p w14:paraId="39759967" w14:textId="77777777" w:rsidR="00115843" w:rsidRPr="005D5F9C" w:rsidRDefault="00115843" w:rsidP="00FB0D02">
            <w:pPr>
              <w:spacing w:after="0" w:line="240" w:lineRule="auto"/>
              <w:rPr>
                <w:rFonts w:ascii="Arial" w:hAnsi="Arial" w:cs="Arial"/>
                <w:b/>
                <w:bCs/>
                <w:sz w:val="16"/>
                <w:szCs w:val="16"/>
              </w:rPr>
            </w:pPr>
            <w:r w:rsidRPr="005D5F9C">
              <w:rPr>
                <w:rFonts w:ascii="Arial" w:hAnsi="Arial" w:cs="Arial"/>
                <w:b/>
                <w:bCs/>
                <w:sz w:val="16"/>
                <w:szCs w:val="16"/>
              </w:rPr>
              <w:t xml:space="preserve">Movement of administered funds between years </w:t>
            </w:r>
            <w:r w:rsidRPr="00AC0428">
              <w:rPr>
                <w:rFonts w:ascii="Arial" w:hAnsi="Arial" w:cs="Arial"/>
                <w:bCs/>
                <w:sz w:val="16"/>
                <w:szCs w:val="16"/>
                <w:vertAlign w:val="superscript"/>
              </w:rPr>
              <w:t>(f)</w:t>
            </w:r>
          </w:p>
        </w:tc>
        <w:tc>
          <w:tcPr>
            <w:tcW w:w="670" w:type="pct"/>
            <w:tcBorders>
              <w:top w:val="single" w:sz="4" w:space="0" w:color="auto"/>
              <w:left w:val="nil"/>
              <w:bottom w:val="nil"/>
              <w:right w:val="nil"/>
            </w:tcBorders>
            <w:shd w:val="clear" w:color="auto" w:fill="auto"/>
            <w:vAlign w:val="bottom"/>
            <w:hideMark/>
          </w:tcPr>
          <w:p w14:paraId="6F8AD4E3" w14:textId="77777777" w:rsidR="00115843" w:rsidRPr="005D5F9C" w:rsidRDefault="00115843" w:rsidP="00FB0D02">
            <w:pPr>
              <w:spacing w:after="0" w:line="240" w:lineRule="auto"/>
              <w:jc w:val="right"/>
              <w:rPr>
                <w:rFonts w:ascii="Arial" w:hAnsi="Arial" w:cs="Arial"/>
                <w:b/>
                <w:bCs/>
                <w:sz w:val="16"/>
                <w:szCs w:val="16"/>
              </w:rPr>
            </w:pPr>
          </w:p>
        </w:tc>
        <w:tc>
          <w:tcPr>
            <w:tcW w:w="669" w:type="pct"/>
            <w:tcBorders>
              <w:top w:val="single" w:sz="4" w:space="0" w:color="auto"/>
              <w:left w:val="nil"/>
              <w:bottom w:val="nil"/>
              <w:right w:val="nil"/>
            </w:tcBorders>
            <w:shd w:val="clear" w:color="auto" w:fill="E6E6E6"/>
            <w:noWrap/>
            <w:vAlign w:val="bottom"/>
            <w:hideMark/>
          </w:tcPr>
          <w:p w14:paraId="3C160BD1" w14:textId="77777777" w:rsidR="00115843" w:rsidRPr="005D5F9C" w:rsidRDefault="00115843" w:rsidP="00FB0D02">
            <w:pPr>
              <w:spacing w:after="0" w:line="240" w:lineRule="auto"/>
              <w:jc w:val="right"/>
              <w:rPr>
                <w:rFonts w:ascii="Arial" w:hAnsi="Arial" w:cs="Arial"/>
                <w:sz w:val="16"/>
                <w:szCs w:val="16"/>
              </w:rPr>
            </w:pPr>
          </w:p>
        </w:tc>
        <w:tc>
          <w:tcPr>
            <w:tcW w:w="600" w:type="pct"/>
            <w:tcBorders>
              <w:top w:val="single" w:sz="4" w:space="0" w:color="auto"/>
              <w:left w:val="nil"/>
              <w:bottom w:val="nil"/>
              <w:right w:val="nil"/>
            </w:tcBorders>
            <w:shd w:val="clear" w:color="auto" w:fill="auto"/>
            <w:vAlign w:val="bottom"/>
            <w:hideMark/>
          </w:tcPr>
          <w:p w14:paraId="34D01470" w14:textId="77777777" w:rsidR="00115843" w:rsidRPr="005D5F9C" w:rsidRDefault="00115843" w:rsidP="00FB0D02">
            <w:pPr>
              <w:spacing w:after="0" w:line="240" w:lineRule="auto"/>
              <w:jc w:val="right"/>
              <w:rPr>
                <w:rFonts w:ascii="Arial" w:hAnsi="Arial" w:cs="Arial"/>
                <w:sz w:val="16"/>
                <w:szCs w:val="16"/>
              </w:rPr>
            </w:pPr>
          </w:p>
        </w:tc>
        <w:tc>
          <w:tcPr>
            <w:tcW w:w="576" w:type="pct"/>
            <w:tcBorders>
              <w:top w:val="single" w:sz="4" w:space="0" w:color="auto"/>
              <w:left w:val="nil"/>
              <w:bottom w:val="nil"/>
              <w:right w:val="nil"/>
            </w:tcBorders>
            <w:shd w:val="clear" w:color="auto" w:fill="auto"/>
            <w:vAlign w:val="bottom"/>
            <w:hideMark/>
          </w:tcPr>
          <w:p w14:paraId="2DACD96A" w14:textId="77777777" w:rsidR="00115843" w:rsidRPr="005D5F9C" w:rsidRDefault="00115843" w:rsidP="00FB0D02">
            <w:pPr>
              <w:spacing w:after="0" w:line="240" w:lineRule="auto"/>
              <w:jc w:val="right"/>
              <w:rPr>
                <w:rFonts w:ascii="Times New Roman" w:hAnsi="Times New Roman"/>
              </w:rPr>
            </w:pPr>
          </w:p>
        </w:tc>
        <w:tc>
          <w:tcPr>
            <w:tcW w:w="573" w:type="pct"/>
            <w:tcBorders>
              <w:top w:val="single" w:sz="4" w:space="0" w:color="auto"/>
              <w:left w:val="nil"/>
              <w:bottom w:val="nil"/>
              <w:right w:val="nil"/>
            </w:tcBorders>
            <w:shd w:val="clear" w:color="auto" w:fill="auto"/>
            <w:vAlign w:val="bottom"/>
            <w:hideMark/>
          </w:tcPr>
          <w:p w14:paraId="5B1D9158" w14:textId="77777777" w:rsidR="00115843" w:rsidRPr="005D5F9C" w:rsidRDefault="00115843" w:rsidP="00FB0D02">
            <w:pPr>
              <w:spacing w:after="0" w:line="240" w:lineRule="auto"/>
              <w:jc w:val="right"/>
              <w:rPr>
                <w:rFonts w:ascii="Times New Roman" w:hAnsi="Times New Roman"/>
              </w:rPr>
            </w:pPr>
          </w:p>
        </w:tc>
      </w:tr>
      <w:tr w:rsidR="00115843" w:rsidRPr="005D5F9C" w14:paraId="7D374565" w14:textId="77777777" w:rsidTr="00436AC0">
        <w:trPr>
          <w:trHeight w:val="204"/>
        </w:trPr>
        <w:tc>
          <w:tcPr>
            <w:tcW w:w="1912" w:type="pct"/>
            <w:tcBorders>
              <w:top w:val="nil"/>
              <w:left w:val="nil"/>
              <w:bottom w:val="nil"/>
              <w:right w:val="nil"/>
            </w:tcBorders>
            <w:shd w:val="clear" w:color="auto" w:fill="auto"/>
            <w:noWrap/>
            <w:vAlign w:val="bottom"/>
            <w:hideMark/>
          </w:tcPr>
          <w:p w14:paraId="62C160C0" w14:textId="77777777" w:rsidR="00115843" w:rsidRPr="005D5F9C" w:rsidRDefault="00115843" w:rsidP="00FB0D02">
            <w:pPr>
              <w:spacing w:after="0" w:line="240" w:lineRule="auto"/>
              <w:rPr>
                <w:rFonts w:ascii="Arial" w:hAnsi="Arial" w:cs="Arial"/>
                <w:sz w:val="16"/>
                <w:szCs w:val="16"/>
              </w:rPr>
            </w:pPr>
            <w:r w:rsidRPr="005D5F9C">
              <w:rPr>
                <w:rFonts w:ascii="Arial" w:hAnsi="Arial" w:cs="Arial"/>
                <w:sz w:val="16"/>
                <w:szCs w:val="16"/>
              </w:rPr>
              <w:t>Outcome 2:</w:t>
            </w:r>
          </w:p>
        </w:tc>
        <w:tc>
          <w:tcPr>
            <w:tcW w:w="670" w:type="pct"/>
            <w:tcBorders>
              <w:top w:val="nil"/>
              <w:left w:val="nil"/>
              <w:bottom w:val="nil"/>
              <w:right w:val="nil"/>
            </w:tcBorders>
            <w:shd w:val="clear" w:color="auto" w:fill="auto"/>
            <w:noWrap/>
            <w:vAlign w:val="bottom"/>
            <w:hideMark/>
          </w:tcPr>
          <w:p w14:paraId="2FA99A57" w14:textId="77777777" w:rsidR="00115843" w:rsidRPr="005D5F9C" w:rsidRDefault="00115843" w:rsidP="00FB0D02">
            <w:pPr>
              <w:spacing w:after="0" w:line="240" w:lineRule="auto"/>
              <w:jc w:val="right"/>
              <w:rPr>
                <w:rFonts w:ascii="Arial" w:hAnsi="Arial" w:cs="Arial"/>
                <w:sz w:val="16"/>
                <w:szCs w:val="16"/>
              </w:rPr>
            </w:pPr>
          </w:p>
        </w:tc>
        <w:tc>
          <w:tcPr>
            <w:tcW w:w="669" w:type="pct"/>
            <w:tcBorders>
              <w:top w:val="nil"/>
              <w:left w:val="nil"/>
              <w:bottom w:val="nil"/>
              <w:right w:val="nil"/>
            </w:tcBorders>
            <w:shd w:val="clear" w:color="auto" w:fill="E6E6E6"/>
            <w:noWrap/>
            <w:vAlign w:val="bottom"/>
            <w:hideMark/>
          </w:tcPr>
          <w:p w14:paraId="1892C75C" w14:textId="77777777" w:rsidR="00115843" w:rsidRPr="005D5F9C" w:rsidRDefault="00115843" w:rsidP="00FB0D02">
            <w:pPr>
              <w:spacing w:after="0" w:line="240" w:lineRule="auto"/>
              <w:jc w:val="right"/>
              <w:rPr>
                <w:rFonts w:ascii="Arial" w:hAnsi="Arial" w:cs="Arial"/>
                <w:sz w:val="16"/>
                <w:szCs w:val="16"/>
              </w:rPr>
            </w:pPr>
          </w:p>
        </w:tc>
        <w:tc>
          <w:tcPr>
            <w:tcW w:w="600" w:type="pct"/>
            <w:tcBorders>
              <w:top w:val="nil"/>
              <w:left w:val="nil"/>
              <w:bottom w:val="nil"/>
              <w:right w:val="nil"/>
            </w:tcBorders>
            <w:shd w:val="clear" w:color="auto" w:fill="auto"/>
            <w:noWrap/>
            <w:vAlign w:val="bottom"/>
            <w:hideMark/>
          </w:tcPr>
          <w:p w14:paraId="51F6E066" w14:textId="77777777" w:rsidR="00115843" w:rsidRPr="005D5F9C" w:rsidRDefault="00115843" w:rsidP="00FB0D02">
            <w:pPr>
              <w:spacing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070B89F1" w14:textId="77777777" w:rsidR="00115843" w:rsidRPr="005D5F9C" w:rsidRDefault="00115843" w:rsidP="00FB0D02">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0B790B4" w14:textId="77777777" w:rsidR="00115843" w:rsidRPr="005D5F9C" w:rsidRDefault="00115843" w:rsidP="00FB0D02">
            <w:pPr>
              <w:spacing w:after="0" w:line="240" w:lineRule="auto"/>
              <w:jc w:val="right"/>
              <w:rPr>
                <w:rFonts w:ascii="Times New Roman" w:hAnsi="Times New Roman"/>
              </w:rPr>
            </w:pPr>
          </w:p>
        </w:tc>
      </w:tr>
      <w:tr w:rsidR="00115843" w:rsidRPr="005D5F9C" w14:paraId="788DD0FE" w14:textId="77777777" w:rsidTr="00436AC0">
        <w:trPr>
          <w:trHeight w:val="204"/>
        </w:trPr>
        <w:tc>
          <w:tcPr>
            <w:tcW w:w="1912" w:type="pct"/>
            <w:tcBorders>
              <w:top w:val="nil"/>
              <w:left w:val="nil"/>
              <w:bottom w:val="nil"/>
              <w:right w:val="nil"/>
            </w:tcBorders>
            <w:shd w:val="clear" w:color="auto" w:fill="auto"/>
            <w:noWrap/>
            <w:vAlign w:val="bottom"/>
            <w:hideMark/>
          </w:tcPr>
          <w:p w14:paraId="4C6E2522" w14:textId="77777777" w:rsidR="00115843" w:rsidRPr="005D5F9C" w:rsidRDefault="00115843" w:rsidP="00FB0D02">
            <w:pPr>
              <w:spacing w:after="0" w:line="240" w:lineRule="auto"/>
              <w:ind w:left="113"/>
              <w:rPr>
                <w:rFonts w:ascii="Arial" w:hAnsi="Arial" w:cs="Arial"/>
                <w:sz w:val="16"/>
                <w:szCs w:val="16"/>
              </w:rPr>
            </w:pPr>
            <w:r w:rsidRPr="005D5F9C">
              <w:rPr>
                <w:rFonts w:ascii="Arial" w:hAnsi="Arial" w:cs="Arial"/>
                <w:sz w:val="16"/>
                <w:szCs w:val="16"/>
              </w:rPr>
              <w:t>Program 2.2: Road Safety</w:t>
            </w:r>
          </w:p>
        </w:tc>
        <w:tc>
          <w:tcPr>
            <w:tcW w:w="670" w:type="pct"/>
            <w:tcBorders>
              <w:top w:val="nil"/>
              <w:left w:val="nil"/>
              <w:bottom w:val="nil"/>
              <w:right w:val="nil"/>
            </w:tcBorders>
            <w:shd w:val="clear" w:color="auto" w:fill="auto"/>
            <w:noWrap/>
            <w:vAlign w:val="bottom"/>
            <w:hideMark/>
          </w:tcPr>
          <w:p w14:paraId="3893637E" w14:textId="77777777" w:rsidR="00115843" w:rsidRPr="005D5F9C" w:rsidRDefault="00115843" w:rsidP="00FB0D02">
            <w:pPr>
              <w:spacing w:after="0" w:line="240" w:lineRule="auto"/>
              <w:jc w:val="right"/>
              <w:rPr>
                <w:rFonts w:ascii="Arial" w:hAnsi="Arial" w:cs="Arial"/>
                <w:sz w:val="16"/>
                <w:szCs w:val="16"/>
              </w:rPr>
            </w:pPr>
            <w:r>
              <w:rPr>
                <w:rFonts w:ascii="Arial" w:hAnsi="Arial" w:cs="Arial"/>
                <w:sz w:val="16"/>
                <w:szCs w:val="16"/>
              </w:rPr>
              <w:t>(867)</w:t>
            </w:r>
          </w:p>
        </w:tc>
        <w:tc>
          <w:tcPr>
            <w:tcW w:w="669" w:type="pct"/>
            <w:tcBorders>
              <w:top w:val="nil"/>
              <w:left w:val="nil"/>
              <w:bottom w:val="nil"/>
              <w:right w:val="nil"/>
            </w:tcBorders>
            <w:shd w:val="clear" w:color="auto" w:fill="E6E6E6"/>
            <w:noWrap/>
            <w:vAlign w:val="bottom"/>
            <w:hideMark/>
          </w:tcPr>
          <w:p w14:paraId="095C9FF5" w14:textId="77777777" w:rsidR="00115843" w:rsidRPr="005D5F9C" w:rsidRDefault="00115843" w:rsidP="00FB0D02">
            <w:pPr>
              <w:spacing w:after="0" w:line="240" w:lineRule="auto"/>
              <w:jc w:val="right"/>
              <w:rPr>
                <w:rFonts w:ascii="Arial" w:hAnsi="Arial" w:cs="Arial"/>
                <w:sz w:val="16"/>
                <w:szCs w:val="16"/>
              </w:rPr>
            </w:pPr>
            <w:r>
              <w:rPr>
                <w:rFonts w:ascii="Arial" w:hAnsi="Arial" w:cs="Arial"/>
                <w:sz w:val="16"/>
                <w:szCs w:val="16"/>
              </w:rPr>
              <w:t>867</w:t>
            </w:r>
          </w:p>
        </w:tc>
        <w:tc>
          <w:tcPr>
            <w:tcW w:w="600" w:type="pct"/>
            <w:tcBorders>
              <w:top w:val="nil"/>
              <w:left w:val="nil"/>
              <w:bottom w:val="nil"/>
              <w:right w:val="nil"/>
            </w:tcBorders>
            <w:shd w:val="clear" w:color="auto" w:fill="auto"/>
            <w:noWrap/>
            <w:vAlign w:val="bottom"/>
            <w:hideMark/>
          </w:tcPr>
          <w:p w14:paraId="417142E9" w14:textId="77777777" w:rsidR="00115843" w:rsidRPr="005D5F9C"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3120B45F" w14:textId="77777777" w:rsidR="00115843" w:rsidRPr="005D5F9C"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4EB45E2D" w14:textId="77777777" w:rsidR="00115843" w:rsidRPr="005D5F9C"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5D5F9C" w14:paraId="2AA73D78" w14:textId="77777777" w:rsidTr="00436AC0">
        <w:trPr>
          <w:trHeight w:val="204"/>
        </w:trPr>
        <w:tc>
          <w:tcPr>
            <w:tcW w:w="1912" w:type="pct"/>
            <w:tcBorders>
              <w:top w:val="nil"/>
              <w:left w:val="nil"/>
              <w:bottom w:val="nil"/>
              <w:right w:val="nil"/>
            </w:tcBorders>
            <w:shd w:val="clear" w:color="auto" w:fill="auto"/>
            <w:noWrap/>
            <w:vAlign w:val="bottom"/>
            <w:hideMark/>
          </w:tcPr>
          <w:p w14:paraId="739788A5" w14:textId="77777777" w:rsidR="00115843" w:rsidRPr="005D5F9C" w:rsidRDefault="00115843" w:rsidP="00FB0D02">
            <w:pPr>
              <w:spacing w:after="0" w:line="240" w:lineRule="auto"/>
              <w:ind w:left="113"/>
              <w:rPr>
                <w:rFonts w:ascii="Arial" w:hAnsi="Arial" w:cs="Arial"/>
                <w:sz w:val="16"/>
                <w:szCs w:val="16"/>
              </w:rPr>
            </w:pPr>
            <w:r w:rsidRPr="005D5F9C">
              <w:rPr>
                <w:rFonts w:ascii="Arial" w:hAnsi="Arial" w:cs="Arial"/>
                <w:sz w:val="16"/>
                <w:szCs w:val="16"/>
              </w:rPr>
              <w:t>Program 2.3: Air Transport</w:t>
            </w:r>
          </w:p>
        </w:tc>
        <w:tc>
          <w:tcPr>
            <w:tcW w:w="670" w:type="pct"/>
            <w:tcBorders>
              <w:top w:val="nil"/>
              <w:left w:val="nil"/>
              <w:bottom w:val="nil"/>
              <w:right w:val="nil"/>
            </w:tcBorders>
            <w:shd w:val="clear" w:color="auto" w:fill="auto"/>
            <w:noWrap/>
            <w:vAlign w:val="bottom"/>
            <w:hideMark/>
          </w:tcPr>
          <w:p w14:paraId="17622332" w14:textId="77777777" w:rsidR="00115843" w:rsidRPr="005D5F9C" w:rsidRDefault="00115843" w:rsidP="00FB0D02">
            <w:pPr>
              <w:spacing w:after="0" w:line="240" w:lineRule="auto"/>
              <w:jc w:val="right"/>
              <w:outlineLvl w:val="1"/>
              <w:rPr>
                <w:rFonts w:ascii="Arial" w:hAnsi="Arial" w:cs="Arial"/>
                <w:sz w:val="16"/>
                <w:szCs w:val="16"/>
              </w:rPr>
            </w:pPr>
            <w:r>
              <w:rPr>
                <w:rFonts w:ascii="Arial" w:hAnsi="Arial" w:cs="Arial"/>
                <w:sz w:val="16"/>
                <w:szCs w:val="16"/>
              </w:rPr>
              <w:t>(204,492)</w:t>
            </w:r>
          </w:p>
        </w:tc>
        <w:tc>
          <w:tcPr>
            <w:tcW w:w="669" w:type="pct"/>
            <w:tcBorders>
              <w:top w:val="nil"/>
              <w:left w:val="nil"/>
              <w:bottom w:val="single" w:sz="4" w:space="0" w:color="auto"/>
              <w:right w:val="nil"/>
            </w:tcBorders>
            <w:shd w:val="clear" w:color="auto" w:fill="E6E6E6"/>
            <w:noWrap/>
            <w:vAlign w:val="bottom"/>
            <w:hideMark/>
          </w:tcPr>
          <w:p w14:paraId="2AECF561" w14:textId="77777777" w:rsidR="00115843" w:rsidRPr="005D5F9C" w:rsidRDefault="00115843" w:rsidP="00FB0D02">
            <w:pPr>
              <w:spacing w:after="0" w:line="240" w:lineRule="auto"/>
              <w:jc w:val="right"/>
              <w:outlineLvl w:val="1"/>
              <w:rPr>
                <w:rFonts w:ascii="Arial" w:hAnsi="Arial" w:cs="Arial"/>
                <w:sz w:val="16"/>
                <w:szCs w:val="16"/>
              </w:rPr>
            </w:pPr>
            <w:r>
              <w:rPr>
                <w:rFonts w:ascii="Arial" w:hAnsi="Arial" w:cs="Arial"/>
                <w:sz w:val="16"/>
                <w:szCs w:val="16"/>
              </w:rPr>
              <w:t>39,702</w:t>
            </w:r>
          </w:p>
        </w:tc>
        <w:tc>
          <w:tcPr>
            <w:tcW w:w="600" w:type="pct"/>
            <w:tcBorders>
              <w:top w:val="nil"/>
              <w:left w:val="nil"/>
              <w:bottom w:val="nil"/>
              <w:right w:val="nil"/>
            </w:tcBorders>
            <w:shd w:val="clear" w:color="auto" w:fill="auto"/>
            <w:noWrap/>
            <w:vAlign w:val="bottom"/>
            <w:hideMark/>
          </w:tcPr>
          <w:p w14:paraId="5F8E5743" w14:textId="77777777" w:rsidR="00115843" w:rsidRPr="005D5F9C" w:rsidRDefault="00115843" w:rsidP="00FB0D02">
            <w:pPr>
              <w:spacing w:after="0" w:line="240" w:lineRule="auto"/>
              <w:jc w:val="right"/>
              <w:outlineLvl w:val="1"/>
              <w:rPr>
                <w:rFonts w:ascii="Arial" w:hAnsi="Arial" w:cs="Arial"/>
                <w:sz w:val="16"/>
                <w:szCs w:val="16"/>
              </w:rPr>
            </w:pPr>
            <w:r>
              <w:rPr>
                <w:rFonts w:ascii="Arial" w:hAnsi="Arial" w:cs="Arial"/>
                <w:sz w:val="16"/>
                <w:szCs w:val="16"/>
              </w:rPr>
              <w:t>(6,777)</w:t>
            </w:r>
          </w:p>
        </w:tc>
        <w:tc>
          <w:tcPr>
            <w:tcW w:w="576" w:type="pct"/>
            <w:tcBorders>
              <w:top w:val="nil"/>
              <w:left w:val="nil"/>
              <w:bottom w:val="nil"/>
              <w:right w:val="nil"/>
            </w:tcBorders>
            <w:shd w:val="clear" w:color="auto" w:fill="auto"/>
            <w:noWrap/>
            <w:vAlign w:val="bottom"/>
            <w:hideMark/>
          </w:tcPr>
          <w:p w14:paraId="72B69B0D" w14:textId="77777777" w:rsidR="00115843" w:rsidRPr="005D5F9C" w:rsidRDefault="00115843" w:rsidP="00FB0D02">
            <w:pPr>
              <w:spacing w:after="0" w:line="240" w:lineRule="auto"/>
              <w:jc w:val="right"/>
              <w:outlineLvl w:val="1"/>
              <w:rPr>
                <w:rFonts w:ascii="Arial" w:hAnsi="Arial" w:cs="Arial"/>
                <w:sz w:val="16"/>
                <w:szCs w:val="16"/>
              </w:rPr>
            </w:pPr>
            <w:r>
              <w:rPr>
                <w:rFonts w:ascii="Arial" w:hAnsi="Arial" w:cs="Arial"/>
                <w:sz w:val="16"/>
                <w:szCs w:val="16"/>
              </w:rPr>
              <w:t>36,342</w:t>
            </w:r>
          </w:p>
        </w:tc>
        <w:tc>
          <w:tcPr>
            <w:tcW w:w="573" w:type="pct"/>
            <w:tcBorders>
              <w:top w:val="nil"/>
              <w:left w:val="nil"/>
              <w:bottom w:val="nil"/>
              <w:right w:val="nil"/>
            </w:tcBorders>
            <w:shd w:val="clear" w:color="auto" w:fill="auto"/>
            <w:noWrap/>
            <w:vAlign w:val="bottom"/>
            <w:hideMark/>
          </w:tcPr>
          <w:p w14:paraId="62672946" w14:textId="77777777" w:rsidR="00115843" w:rsidRPr="005D5F9C" w:rsidRDefault="00115843" w:rsidP="00FB0D02">
            <w:pPr>
              <w:spacing w:after="0" w:line="240" w:lineRule="auto"/>
              <w:jc w:val="right"/>
              <w:outlineLvl w:val="1"/>
              <w:rPr>
                <w:rFonts w:ascii="Arial" w:hAnsi="Arial" w:cs="Arial"/>
                <w:sz w:val="16"/>
                <w:szCs w:val="16"/>
              </w:rPr>
            </w:pPr>
            <w:r>
              <w:rPr>
                <w:rFonts w:ascii="Arial" w:hAnsi="Arial" w:cs="Arial"/>
                <w:sz w:val="16"/>
                <w:szCs w:val="16"/>
              </w:rPr>
              <w:t>122,364</w:t>
            </w:r>
          </w:p>
        </w:tc>
      </w:tr>
      <w:tr w:rsidR="00115843" w:rsidRPr="005D5F9C" w14:paraId="4DEFCA4C" w14:textId="77777777" w:rsidTr="00436AC0">
        <w:trPr>
          <w:trHeight w:val="204"/>
        </w:trPr>
        <w:tc>
          <w:tcPr>
            <w:tcW w:w="1912" w:type="pct"/>
            <w:tcBorders>
              <w:top w:val="nil"/>
              <w:left w:val="nil"/>
              <w:bottom w:val="single" w:sz="4" w:space="0" w:color="auto"/>
              <w:right w:val="nil"/>
            </w:tcBorders>
            <w:shd w:val="clear" w:color="auto" w:fill="auto"/>
            <w:vAlign w:val="bottom"/>
            <w:hideMark/>
          </w:tcPr>
          <w:p w14:paraId="6CEDF2AB" w14:textId="77777777" w:rsidR="00115843" w:rsidRPr="005D5F9C" w:rsidRDefault="00115843" w:rsidP="00FB0D02">
            <w:pPr>
              <w:spacing w:after="0" w:line="240" w:lineRule="auto"/>
              <w:rPr>
                <w:rFonts w:ascii="Arial" w:hAnsi="Arial" w:cs="Arial"/>
                <w:b/>
                <w:bCs/>
                <w:sz w:val="16"/>
                <w:szCs w:val="16"/>
              </w:rPr>
            </w:pPr>
            <w:r w:rsidRPr="005D5F9C">
              <w:rPr>
                <w:rFonts w:ascii="Arial" w:hAnsi="Arial" w:cs="Arial"/>
                <w:b/>
                <w:bCs/>
                <w:sz w:val="16"/>
                <w:szCs w:val="16"/>
              </w:rPr>
              <w:t>Total movement of administered funds between years</w:t>
            </w:r>
          </w:p>
        </w:tc>
        <w:tc>
          <w:tcPr>
            <w:tcW w:w="670" w:type="pct"/>
            <w:tcBorders>
              <w:top w:val="single" w:sz="4" w:space="0" w:color="auto"/>
              <w:left w:val="nil"/>
              <w:bottom w:val="single" w:sz="4" w:space="0" w:color="auto"/>
              <w:right w:val="nil"/>
            </w:tcBorders>
            <w:shd w:val="clear" w:color="auto" w:fill="auto"/>
            <w:noWrap/>
            <w:vAlign w:val="bottom"/>
            <w:hideMark/>
          </w:tcPr>
          <w:p w14:paraId="7F836E4C" w14:textId="77777777" w:rsidR="00115843" w:rsidRPr="005D5F9C" w:rsidRDefault="00115843" w:rsidP="00FB0D02">
            <w:pPr>
              <w:spacing w:after="0" w:line="240" w:lineRule="auto"/>
              <w:jc w:val="right"/>
              <w:rPr>
                <w:rFonts w:ascii="Arial" w:hAnsi="Arial" w:cs="Arial"/>
                <w:b/>
                <w:bCs/>
                <w:sz w:val="16"/>
                <w:szCs w:val="16"/>
              </w:rPr>
            </w:pPr>
            <w:r>
              <w:rPr>
                <w:rFonts w:ascii="Arial" w:hAnsi="Arial" w:cs="Arial"/>
                <w:b/>
                <w:bCs/>
                <w:sz w:val="16"/>
                <w:szCs w:val="16"/>
              </w:rPr>
              <w:t>(205,359)</w:t>
            </w:r>
          </w:p>
        </w:tc>
        <w:tc>
          <w:tcPr>
            <w:tcW w:w="669" w:type="pct"/>
            <w:tcBorders>
              <w:top w:val="nil"/>
              <w:left w:val="nil"/>
              <w:bottom w:val="single" w:sz="4" w:space="0" w:color="auto"/>
              <w:right w:val="nil"/>
            </w:tcBorders>
            <w:shd w:val="clear" w:color="auto" w:fill="E6E6E6"/>
            <w:noWrap/>
            <w:vAlign w:val="bottom"/>
            <w:hideMark/>
          </w:tcPr>
          <w:p w14:paraId="702B5444" w14:textId="77777777" w:rsidR="00115843" w:rsidRPr="005D5F9C" w:rsidRDefault="00115843" w:rsidP="00FB0D02">
            <w:pPr>
              <w:spacing w:after="0" w:line="240" w:lineRule="auto"/>
              <w:jc w:val="right"/>
              <w:rPr>
                <w:rFonts w:ascii="Arial" w:hAnsi="Arial" w:cs="Arial"/>
                <w:b/>
                <w:bCs/>
                <w:sz w:val="16"/>
                <w:szCs w:val="16"/>
              </w:rPr>
            </w:pPr>
            <w:r>
              <w:rPr>
                <w:rFonts w:ascii="Arial" w:hAnsi="Arial" w:cs="Arial"/>
                <w:b/>
                <w:bCs/>
                <w:sz w:val="16"/>
                <w:szCs w:val="16"/>
              </w:rPr>
              <w:t>40,569</w:t>
            </w:r>
          </w:p>
        </w:tc>
        <w:tc>
          <w:tcPr>
            <w:tcW w:w="600" w:type="pct"/>
            <w:tcBorders>
              <w:top w:val="single" w:sz="4" w:space="0" w:color="auto"/>
              <w:left w:val="nil"/>
              <w:bottom w:val="single" w:sz="4" w:space="0" w:color="auto"/>
              <w:right w:val="nil"/>
            </w:tcBorders>
            <w:shd w:val="clear" w:color="auto" w:fill="auto"/>
            <w:noWrap/>
            <w:vAlign w:val="bottom"/>
            <w:hideMark/>
          </w:tcPr>
          <w:p w14:paraId="494C9BE1" w14:textId="77777777" w:rsidR="00115843" w:rsidRPr="005D5F9C" w:rsidRDefault="00115843" w:rsidP="00FB0D02">
            <w:pPr>
              <w:spacing w:after="0" w:line="240" w:lineRule="auto"/>
              <w:jc w:val="right"/>
              <w:rPr>
                <w:rFonts w:ascii="Arial" w:hAnsi="Arial" w:cs="Arial"/>
                <w:b/>
                <w:bCs/>
                <w:sz w:val="16"/>
                <w:szCs w:val="16"/>
              </w:rPr>
            </w:pPr>
            <w:r>
              <w:rPr>
                <w:rFonts w:ascii="Arial" w:hAnsi="Arial" w:cs="Arial"/>
                <w:b/>
                <w:bCs/>
                <w:sz w:val="16"/>
                <w:szCs w:val="16"/>
              </w:rPr>
              <w:t>(6,777)</w:t>
            </w:r>
          </w:p>
        </w:tc>
        <w:tc>
          <w:tcPr>
            <w:tcW w:w="576" w:type="pct"/>
            <w:tcBorders>
              <w:top w:val="single" w:sz="4" w:space="0" w:color="auto"/>
              <w:left w:val="nil"/>
              <w:bottom w:val="single" w:sz="4" w:space="0" w:color="auto"/>
              <w:right w:val="nil"/>
            </w:tcBorders>
            <w:shd w:val="clear" w:color="auto" w:fill="auto"/>
            <w:noWrap/>
            <w:vAlign w:val="bottom"/>
            <w:hideMark/>
          </w:tcPr>
          <w:p w14:paraId="1B04E53A" w14:textId="77777777" w:rsidR="00115843" w:rsidRPr="005D5F9C" w:rsidRDefault="00115843" w:rsidP="00FB0D02">
            <w:pPr>
              <w:spacing w:after="0" w:line="240" w:lineRule="auto"/>
              <w:jc w:val="right"/>
              <w:rPr>
                <w:rFonts w:ascii="Arial" w:hAnsi="Arial" w:cs="Arial"/>
                <w:b/>
                <w:bCs/>
                <w:sz w:val="16"/>
                <w:szCs w:val="16"/>
              </w:rPr>
            </w:pPr>
            <w:r>
              <w:rPr>
                <w:rFonts w:ascii="Arial" w:hAnsi="Arial" w:cs="Arial"/>
                <w:b/>
                <w:bCs/>
                <w:sz w:val="16"/>
                <w:szCs w:val="16"/>
              </w:rPr>
              <w:t>36,342</w:t>
            </w:r>
          </w:p>
        </w:tc>
        <w:tc>
          <w:tcPr>
            <w:tcW w:w="573" w:type="pct"/>
            <w:tcBorders>
              <w:top w:val="single" w:sz="4" w:space="0" w:color="auto"/>
              <w:left w:val="nil"/>
              <w:bottom w:val="single" w:sz="4" w:space="0" w:color="auto"/>
              <w:right w:val="nil"/>
            </w:tcBorders>
            <w:shd w:val="clear" w:color="auto" w:fill="auto"/>
            <w:noWrap/>
            <w:vAlign w:val="bottom"/>
            <w:hideMark/>
          </w:tcPr>
          <w:p w14:paraId="25DA976C" w14:textId="77777777" w:rsidR="00115843" w:rsidRPr="005D5F9C" w:rsidRDefault="00115843" w:rsidP="00FB0D02">
            <w:pPr>
              <w:spacing w:after="0" w:line="240" w:lineRule="auto"/>
              <w:jc w:val="right"/>
              <w:rPr>
                <w:rFonts w:ascii="Arial" w:hAnsi="Arial" w:cs="Arial"/>
                <w:b/>
                <w:bCs/>
                <w:sz w:val="16"/>
                <w:szCs w:val="16"/>
              </w:rPr>
            </w:pPr>
            <w:r>
              <w:rPr>
                <w:rFonts w:ascii="Arial" w:hAnsi="Arial" w:cs="Arial"/>
                <w:b/>
                <w:bCs/>
                <w:sz w:val="16"/>
                <w:szCs w:val="16"/>
              </w:rPr>
              <w:t>122,364</w:t>
            </w:r>
          </w:p>
        </w:tc>
      </w:tr>
    </w:tbl>
    <w:p w14:paraId="0330AB11" w14:textId="77777777" w:rsidR="00115843" w:rsidRDefault="00115843" w:rsidP="00115843">
      <w:pPr>
        <w:spacing w:after="0" w:line="240" w:lineRule="auto"/>
      </w:pPr>
    </w:p>
    <w:tbl>
      <w:tblPr>
        <w:tblW w:w="5026" w:type="dxa"/>
        <w:tblLook w:val="04A0" w:firstRow="1" w:lastRow="0" w:firstColumn="1" w:lastColumn="0" w:noHBand="0" w:noVBand="1"/>
      </w:tblPr>
      <w:tblGrid>
        <w:gridCol w:w="2835"/>
        <w:gridCol w:w="1134"/>
        <w:gridCol w:w="1057"/>
      </w:tblGrid>
      <w:tr w:rsidR="00115843" w:rsidRPr="006F2DFB" w14:paraId="41E57EF2" w14:textId="77777777" w:rsidTr="00436AC0">
        <w:trPr>
          <w:trHeight w:val="225"/>
        </w:trPr>
        <w:tc>
          <w:tcPr>
            <w:tcW w:w="2835" w:type="dxa"/>
            <w:tcBorders>
              <w:top w:val="single" w:sz="4" w:space="0" w:color="auto"/>
              <w:left w:val="nil"/>
              <w:bottom w:val="nil"/>
              <w:right w:val="nil"/>
            </w:tcBorders>
            <w:shd w:val="clear" w:color="auto" w:fill="auto"/>
            <w:noWrap/>
            <w:vAlign w:val="bottom"/>
            <w:hideMark/>
          </w:tcPr>
          <w:p w14:paraId="7D1F5C66" w14:textId="77777777" w:rsidR="00115843" w:rsidRPr="006F2DFB" w:rsidRDefault="00115843" w:rsidP="00FB0D02">
            <w:pPr>
              <w:spacing w:after="0" w:line="240" w:lineRule="auto"/>
              <w:rPr>
                <w:rFonts w:ascii="Arial" w:hAnsi="Arial" w:cs="Arial"/>
                <w:sz w:val="16"/>
                <w:szCs w:val="16"/>
              </w:rPr>
            </w:pPr>
            <w:r w:rsidRPr="006F2DFB">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bottom"/>
            <w:hideMark/>
          </w:tcPr>
          <w:p w14:paraId="3728C239"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2021-22</w:t>
            </w:r>
          </w:p>
        </w:tc>
        <w:tc>
          <w:tcPr>
            <w:tcW w:w="1057" w:type="dxa"/>
            <w:tcBorders>
              <w:top w:val="single" w:sz="4" w:space="0" w:color="auto"/>
              <w:left w:val="nil"/>
              <w:bottom w:val="single" w:sz="4" w:space="0" w:color="auto"/>
              <w:right w:val="nil"/>
            </w:tcBorders>
            <w:shd w:val="clear" w:color="auto" w:fill="E6E6E6"/>
            <w:vAlign w:val="bottom"/>
            <w:hideMark/>
          </w:tcPr>
          <w:p w14:paraId="31AFD75B"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2022-23</w:t>
            </w:r>
          </w:p>
        </w:tc>
      </w:tr>
      <w:tr w:rsidR="00115843" w:rsidRPr="006F2DFB" w14:paraId="2D6AB5AC" w14:textId="77777777" w:rsidTr="00436AC0">
        <w:trPr>
          <w:trHeight w:val="225"/>
        </w:trPr>
        <w:tc>
          <w:tcPr>
            <w:tcW w:w="2835" w:type="dxa"/>
            <w:tcBorders>
              <w:top w:val="nil"/>
              <w:left w:val="nil"/>
              <w:bottom w:val="single" w:sz="4" w:space="0" w:color="auto"/>
              <w:right w:val="nil"/>
            </w:tcBorders>
            <w:shd w:val="clear" w:color="auto" w:fill="auto"/>
            <w:noWrap/>
            <w:vAlign w:val="bottom"/>
            <w:hideMark/>
          </w:tcPr>
          <w:p w14:paraId="1C43EF4B" w14:textId="77777777" w:rsidR="00115843" w:rsidRPr="006F2DFB" w:rsidRDefault="00115843" w:rsidP="00FB0D02">
            <w:pPr>
              <w:spacing w:after="0" w:line="240" w:lineRule="auto"/>
              <w:rPr>
                <w:rFonts w:ascii="Arial" w:hAnsi="Arial" w:cs="Arial"/>
                <w:b/>
                <w:bCs/>
                <w:sz w:val="16"/>
                <w:szCs w:val="16"/>
              </w:rPr>
            </w:pPr>
            <w:r w:rsidRPr="006F2DFB">
              <w:rPr>
                <w:rFonts w:ascii="Arial" w:hAnsi="Arial" w:cs="Arial"/>
                <w:b/>
                <w:bCs/>
                <w:sz w:val="16"/>
                <w:szCs w:val="16"/>
              </w:rPr>
              <w:t>Average staffing level (number)</w:t>
            </w:r>
          </w:p>
        </w:tc>
        <w:tc>
          <w:tcPr>
            <w:tcW w:w="1134" w:type="dxa"/>
            <w:tcBorders>
              <w:top w:val="nil"/>
              <w:left w:val="nil"/>
              <w:bottom w:val="single" w:sz="4" w:space="0" w:color="auto"/>
              <w:right w:val="nil"/>
            </w:tcBorders>
            <w:shd w:val="clear" w:color="auto" w:fill="auto"/>
            <w:noWrap/>
            <w:vAlign w:val="bottom"/>
            <w:hideMark/>
          </w:tcPr>
          <w:p w14:paraId="753FE0DE"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461</w:t>
            </w:r>
          </w:p>
        </w:tc>
        <w:tc>
          <w:tcPr>
            <w:tcW w:w="1057" w:type="dxa"/>
            <w:tcBorders>
              <w:top w:val="nil"/>
              <w:left w:val="nil"/>
              <w:bottom w:val="single" w:sz="4" w:space="0" w:color="auto"/>
              <w:right w:val="nil"/>
            </w:tcBorders>
            <w:shd w:val="clear" w:color="auto" w:fill="E6E6E6"/>
            <w:noWrap/>
            <w:vAlign w:val="bottom"/>
            <w:hideMark/>
          </w:tcPr>
          <w:p w14:paraId="2EA28F93" w14:textId="77777777" w:rsidR="00115843" w:rsidRPr="006F2DFB" w:rsidRDefault="00115843" w:rsidP="00FB0D02">
            <w:pPr>
              <w:spacing w:after="0" w:line="240" w:lineRule="auto"/>
              <w:jc w:val="right"/>
              <w:rPr>
                <w:rFonts w:ascii="Arial" w:hAnsi="Arial" w:cs="Arial"/>
                <w:sz w:val="16"/>
                <w:szCs w:val="16"/>
              </w:rPr>
            </w:pPr>
            <w:r w:rsidRPr="006F2DFB">
              <w:rPr>
                <w:rFonts w:ascii="Arial" w:hAnsi="Arial" w:cs="Arial"/>
                <w:sz w:val="16"/>
                <w:szCs w:val="16"/>
              </w:rPr>
              <w:t>4</w:t>
            </w:r>
            <w:r>
              <w:rPr>
                <w:rFonts w:ascii="Arial" w:hAnsi="Arial" w:cs="Arial"/>
                <w:sz w:val="16"/>
                <w:szCs w:val="16"/>
              </w:rPr>
              <w:t>88</w:t>
            </w:r>
          </w:p>
        </w:tc>
      </w:tr>
    </w:tbl>
    <w:p w14:paraId="71C854F5" w14:textId="78849224" w:rsidR="00115843" w:rsidRPr="006F2DFB" w:rsidRDefault="00115843" w:rsidP="00115843">
      <w:pPr>
        <w:pStyle w:val="ListParagraph"/>
        <w:numPr>
          <w:ilvl w:val="4"/>
          <w:numId w:val="262"/>
        </w:numPr>
        <w:spacing w:before="60" w:after="0" w:line="240" w:lineRule="auto"/>
        <w:ind w:left="284" w:hanging="284"/>
        <w:rPr>
          <w:rFonts w:ascii="Arial" w:hAnsi="Arial" w:cs="Arial"/>
          <w:sz w:val="16"/>
        </w:rPr>
      </w:pPr>
      <w:r w:rsidRPr="006F2DFB">
        <w:rPr>
          <w:rFonts w:ascii="Arial" w:hAnsi="Arial" w:cs="Arial"/>
          <w:sz w:val="16"/>
        </w:rPr>
        <w:t xml:space="preserve">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w:t>
      </w:r>
      <w:r>
        <w:rPr>
          <w:rFonts w:ascii="Arial" w:hAnsi="Arial" w:cs="Arial"/>
          <w:sz w:val="16"/>
        </w:rPr>
        <w:t xml:space="preserve">the </w:t>
      </w:r>
      <w:r w:rsidR="007E1717">
        <w:rPr>
          <w:rFonts w:ascii="Arial" w:hAnsi="Arial" w:cs="Arial"/>
          <w:sz w:val="16"/>
        </w:rPr>
        <w:t>d</w:t>
      </w:r>
      <w:r>
        <w:rPr>
          <w:rFonts w:ascii="Arial" w:hAnsi="Arial" w:cs="Arial"/>
          <w:sz w:val="16"/>
        </w:rPr>
        <w:t>epartment</w:t>
      </w:r>
      <w:r w:rsidRPr="006F2DFB">
        <w:rPr>
          <w:rFonts w:ascii="Arial" w:hAnsi="Arial" w:cs="Arial"/>
          <w:sz w:val="16"/>
        </w:rPr>
        <w:t>.</w:t>
      </w:r>
    </w:p>
    <w:p w14:paraId="2D70342A" w14:textId="77777777" w:rsidR="00115843" w:rsidRDefault="00115843" w:rsidP="00115843">
      <w:pPr>
        <w:pStyle w:val="ListParagraph"/>
        <w:numPr>
          <w:ilvl w:val="4"/>
          <w:numId w:val="177"/>
        </w:numPr>
        <w:spacing w:after="0" w:line="240" w:lineRule="auto"/>
        <w:ind w:left="284" w:hanging="284"/>
        <w:rPr>
          <w:rFonts w:ascii="Arial" w:hAnsi="Arial" w:cs="Arial"/>
          <w:sz w:val="16"/>
        </w:rPr>
      </w:pPr>
      <w:r w:rsidRPr="006F2DFB">
        <w:rPr>
          <w:rFonts w:ascii="Arial" w:hAnsi="Arial" w:cs="Arial"/>
          <w:sz w:val="16"/>
        </w:rPr>
        <w:t xml:space="preserve">Relates to appropriation for corporate entities provided through </w:t>
      </w:r>
      <w:r>
        <w:rPr>
          <w:rFonts w:ascii="Arial" w:hAnsi="Arial" w:cs="Arial"/>
          <w:sz w:val="16"/>
        </w:rPr>
        <w:t>the Department</w:t>
      </w:r>
      <w:r w:rsidRPr="006F2DFB">
        <w:rPr>
          <w:rFonts w:ascii="Arial" w:hAnsi="Arial" w:cs="Arial"/>
          <w:sz w:val="16"/>
        </w:rPr>
        <w:t>.</w:t>
      </w:r>
    </w:p>
    <w:p w14:paraId="448DFE28" w14:textId="77777777" w:rsidR="00115843" w:rsidRDefault="00115843" w:rsidP="00115843">
      <w:pPr>
        <w:pStyle w:val="ListParagraph"/>
        <w:numPr>
          <w:ilvl w:val="4"/>
          <w:numId w:val="177"/>
        </w:numPr>
        <w:spacing w:after="0" w:line="240" w:lineRule="auto"/>
        <w:ind w:left="284" w:hanging="284"/>
        <w:rPr>
          <w:rFonts w:ascii="Arial" w:hAnsi="Arial" w:cs="Arial"/>
          <w:sz w:val="16"/>
        </w:rPr>
      </w:pPr>
      <w:r w:rsidRPr="006F2DFB">
        <w:rPr>
          <w:rFonts w:ascii="Arial" w:hAnsi="Arial" w:cs="Arial"/>
          <w:sz w:val="16"/>
        </w:rPr>
        <w:t>Administered ‘Expenses not requiring appropriation in the Budget year’ comprises expenses relating to accruals, payments made from prior year appropriations and other non–cash expenses.</w:t>
      </w:r>
    </w:p>
    <w:p w14:paraId="165C28A3" w14:textId="77777777" w:rsidR="00115843" w:rsidRDefault="00115843" w:rsidP="00115843">
      <w:pPr>
        <w:pStyle w:val="ListParagraph"/>
        <w:numPr>
          <w:ilvl w:val="4"/>
          <w:numId w:val="177"/>
        </w:numPr>
        <w:spacing w:after="0" w:line="240" w:lineRule="auto"/>
        <w:ind w:left="284" w:hanging="284"/>
        <w:rPr>
          <w:rFonts w:ascii="Arial" w:hAnsi="Arial" w:cs="Arial"/>
          <w:sz w:val="16"/>
        </w:rPr>
      </w:pPr>
      <w:r w:rsidRPr="006F2DFB">
        <w:rPr>
          <w:rFonts w:ascii="Arial" w:hAnsi="Arial" w:cs="Arial"/>
          <w:sz w:val="16"/>
        </w:rPr>
        <w:t>Estimated expenses incurred in relation to receipts retained under section 74 of the PGPA Act.</w:t>
      </w:r>
    </w:p>
    <w:p w14:paraId="688FC277" w14:textId="77777777" w:rsidR="00115843" w:rsidRPr="006F2DFB" w:rsidRDefault="00115843" w:rsidP="00115843">
      <w:pPr>
        <w:pStyle w:val="ListParagraph"/>
        <w:numPr>
          <w:ilvl w:val="4"/>
          <w:numId w:val="177"/>
        </w:numPr>
        <w:spacing w:after="0" w:line="240" w:lineRule="auto"/>
        <w:ind w:left="284" w:hanging="284"/>
        <w:rPr>
          <w:rFonts w:ascii="Arial" w:hAnsi="Arial" w:cs="Arial"/>
          <w:sz w:val="16"/>
        </w:rPr>
      </w:pPr>
      <w:r w:rsidRPr="006F2DFB">
        <w:rPr>
          <w:rFonts w:ascii="Arial" w:hAnsi="Arial" w:cs="Arial"/>
          <w:sz w:val="16"/>
        </w:rPr>
        <w:t>Departmental ‘Expenses not requiring appropriation in the Budget year’ is made up of depreciation and amortisation expenses and expenses that are reduced by associated receipts.</w:t>
      </w:r>
    </w:p>
    <w:p w14:paraId="6E24337B" w14:textId="77777777" w:rsidR="00115843" w:rsidRPr="000E41F7" w:rsidRDefault="00115843" w:rsidP="00115843">
      <w:pPr>
        <w:pStyle w:val="ListParagraph"/>
        <w:numPr>
          <w:ilvl w:val="4"/>
          <w:numId w:val="177"/>
        </w:numPr>
        <w:spacing w:after="0" w:line="240" w:lineRule="auto"/>
        <w:ind w:left="284" w:hanging="284"/>
        <w:rPr>
          <w:sz w:val="16"/>
          <w:szCs w:val="16"/>
        </w:rPr>
      </w:pPr>
      <w:r w:rsidRPr="0053211D">
        <w:rPr>
          <w:rFonts w:ascii="Arial" w:hAnsi="Arial" w:cs="Arial"/>
          <w:sz w:val="16"/>
          <w:szCs w:val="16"/>
        </w:rPr>
        <w:t>Figures displayed as a negative (–) represent a decrease in funds and a positive (+) represent an increase in funds.</w:t>
      </w:r>
    </w:p>
    <w:p w14:paraId="7DD7F73B" w14:textId="77777777" w:rsidR="00115843" w:rsidRPr="000E41F7" w:rsidRDefault="00115843" w:rsidP="00115843">
      <w:pPr>
        <w:spacing w:before="120" w:after="0" w:line="240" w:lineRule="auto"/>
        <w:rPr>
          <w:rFonts w:ascii="Arial" w:hAnsi="Arial" w:cs="Arial"/>
          <w:sz w:val="16"/>
          <w:szCs w:val="16"/>
        </w:rPr>
      </w:pPr>
      <w:r w:rsidRPr="000E41F7">
        <w:rPr>
          <w:rFonts w:ascii="Arial" w:hAnsi="Arial" w:cs="Arial"/>
          <w:sz w:val="16"/>
          <w:szCs w:val="16"/>
        </w:rPr>
        <w:t>Note: Departmental appropriation splits and totals are indicative estimates and may change in the course of the budget year as government priorities change.</w:t>
      </w:r>
    </w:p>
    <w:p w14:paraId="613494E2" w14:textId="77777777" w:rsidR="00115843" w:rsidRDefault="00115843" w:rsidP="00115843">
      <w:pPr>
        <w:pStyle w:val="ListParagraph"/>
        <w:numPr>
          <w:ilvl w:val="4"/>
          <w:numId w:val="177"/>
        </w:numPr>
        <w:spacing w:after="0" w:line="240" w:lineRule="auto"/>
        <w:ind w:left="284" w:hanging="284"/>
      </w:pPr>
      <w:r>
        <w:br w:type="page"/>
      </w:r>
    </w:p>
    <w:p w14:paraId="39408515" w14:textId="77777777" w:rsidR="00115843" w:rsidRDefault="00115843" w:rsidP="00115843">
      <w:pPr>
        <w:pStyle w:val="TableHeading"/>
      </w:pPr>
      <w:r w:rsidRPr="00342EFF">
        <w:lastRenderedPageBreak/>
        <w:t>Table 2.2.2: Program components for Outcome 2</w:t>
      </w:r>
    </w:p>
    <w:tbl>
      <w:tblPr>
        <w:tblW w:w="5000" w:type="pct"/>
        <w:tblLook w:val="04A0" w:firstRow="1" w:lastRow="0" w:firstColumn="1" w:lastColumn="0" w:noHBand="0" w:noVBand="1"/>
      </w:tblPr>
      <w:tblGrid>
        <w:gridCol w:w="3444"/>
        <w:gridCol w:w="928"/>
        <w:gridCol w:w="16"/>
        <w:gridCol w:w="798"/>
        <w:gridCol w:w="36"/>
        <w:gridCol w:w="785"/>
        <w:gridCol w:w="53"/>
        <w:gridCol w:w="768"/>
        <w:gridCol w:w="70"/>
        <w:gridCol w:w="751"/>
        <w:gridCol w:w="61"/>
      </w:tblGrid>
      <w:tr w:rsidR="00115843" w:rsidRPr="00EB681B" w14:paraId="5012F72A" w14:textId="77777777" w:rsidTr="00436AC0">
        <w:trPr>
          <w:gridAfter w:val="1"/>
          <w:wAfter w:w="40" w:type="pct"/>
          <w:trHeight w:val="204"/>
        </w:trPr>
        <w:tc>
          <w:tcPr>
            <w:tcW w:w="2233" w:type="pct"/>
            <w:tcBorders>
              <w:top w:val="single" w:sz="4" w:space="0" w:color="auto"/>
              <w:left w:val="nil"/>
              <w:bottom w:val="single" w:sz="4" w:space="0" w:color="auto"/>
              <w:right w:val="nil"/>
            </w:tcBorders>
            <w:shd w:val="clear" w:color="auto" w:fill="auto"/>
            <w:noWrap/>
            <w:vAlign w:val="bottom"/>
            <w:hideMark/>
          </w:tcPr>
          <w:p w14:paraId="7B3E4E71"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05440C2"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2021-22</w:t>
            </w:r>
            <w:r w:rsidRPr="00EB681B">
              <w:rPr>
                <w:rFonts w:ascii="Arial" w:hAnsi="Arial" w:cs="Arial"/>
                <w:sz w:val="16"/>
                <w:szCs w:val="16"/>
              </w:rPr>
              <w:br/>
              <w:t>Estimated  actual</w:t>
            </w:r>
            <w:r w:rsidRPr="00EB681B">
              <w:rPr>
                <w:rFonts w:ascii="Arial" w:hAnsi="Arial" w:cs="Arial"/>
                <w:sz w:val="16"/>
                <w:szCs w:val="16"/>
              </w:rPr>
              <w:br/>
              <w:t>$'000</w:t>
            </w:r>
          </w:p>
        </w:tc>
        <w:tc>
          <w:tcPr>
            <w:tcW w:w="528" w:type="pct"/>
            <w:gridSpan w:val="2"/>
            <w:tcBorders>
              <w:top w:val="single" w:sz="4" w:space="0" w:color="auto"/>
              <w:left w:val="nil"/>
              <w:bottom w:val="single" w:sz="4" w:space="0" w:color="auto"/>
              <w:right w:val="nil"/>
            </w:tcBorders>
            <w:shd w:val="clear" w:color="auto" w:fill="E6E6E6"/>
            <w:vAlign w:val="bottom"/>
            <w:hideMark/>
          </w:tcPr>
          <w:p w14:paraId="5B45281E"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2022-23</w:t>
            </w:r>
            <w:r w:rsidRPr="00EB681B">
              <w:rPr>
                <w:rFonts w:ascii="Arial" w:hAnsi="Arial" w:cs="Arial"/>
                <w:sz w:val="16"/>
                <w:szCs w:val="16"/>
              </w:rPr>
              <w:br/>
              <w:t xml:space="preserve"> Budget</w:t>
            </w:r>
            <w:r w:rsidRPr="00EB681B">
              <w:rPr>
                <w:rFonts w:ascii="Arial" w:hAnsi="Arial" w:cs="Arial"/>
                <w:sz w:val="16"/>
                <w:szCs w:val="16"/>
              </w:rPr>
              <w:br/>
              <w:t xml:space="preserve">                                      $'000</w:t>
            </w:r>
          </w:p>
        </w:tc>
        <w:tc>
          <w:tcPr>
            <w:tcW w:w="532" w:type="pct"/>
            <w:gridSpan w:val="2"/>
            <w:tcBorders>
              <w:top w:val="single" w:sz="4" w:space="0" w:color="auto"/>
              <w:left w:val="nil"/>
              <w:bottom w:val="single" w:sz="4" w:space="0" w:color="auto"/>
              <w:right w:val="nil"/>
            </w:tcBorders>
            <w:shd w:val="clear" w:color="auto" w:fill="auto"/>
            <w:vAlign w:val="bottom"/>
            <w:hideMark/>
          </w:tcPr>
          <w:p w14:paraId="0720F858"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2023-24</w:t>
            </w:r>
            <w:r w:rsidRPr="00EB681B">
              <w:rPr>
                <w:rFonts w:ascii="Arial" w:hAnsi="Arial" w:cs="Arial"/>
                <w:sz w:val="16"/>
                <w:szCs w:val="16"/>
              </w:rPr>
              <w:br/>
              <w:t>Forward estimate</w:t>
            </w:r>
            <w:r w:rsidRPr="00EB681B">
              <w:rPr>
                <w:rFonts w:ascii="Arial" w:hAnsi="Arial" w:cs="Arial"/>
                <w:sz w:val="16"/>
                <w:szCs w:val="16"/>
              </w:rPr>
              <w:br/>
              <w:t>$'000</w:t>
            </w:r>
          </w:p>
        </w:tc>
        <w:tc>
          <w:tcPr>
            <w:tcW w:w="532" w:type="pct"/>
            <w:gridSpan w:val="2"/>
            <w:tcBorders>
              <w:top w:val="single" w:sz="4" w:space="0" w:color="auto"/>
              <w:left w:val="nil"/>
              <w:bottom w:val="single" w:sz="4" w:space="0" w:color="auto"/>
              <w:right w:val="nil"/>
            </w:tcBorders>
            <w:shd w:val="clear" w:color="auto" w:fill="auto"/>
            <w:vAlign w:val="bottom"/>
            <w:hideMark/>
          </w:tcPr>
          <w:p w14:paraId="16E3FB99"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2024-25</w:t>
            </w:r>
            <w:r w:rsidRPr="00EB681B">
              <w:rPr>
                <w:rFonts w:ascii="Arial" w:hAnsi="Arial" w:cs="Arial"/>
                <w:sz w:val="16"/>
                <w:szCs w:val="16"/>
              </w:rPr>
              <w:br/>
              <w:t>Forward estimate</w:t>
            </w:r>
            <w:r w:rsidRPr="00EB681B">
              <w:rPr>
                <w:rFonts w:ascii="Arial" w:hAnsi="Arial" w:cs="Arial"/>
                <w:sz w:val="16"/>
                <w:szCs w:val="16"/>
              </w:rPr>
              <w:br/>
              <w:t>$'000</w:t>
            </w:r>
          </w:p>
        </w:tc>
        <w:tc>
          <w:tcPr>
            <w:tcW w:w="532" w:type="pct"/>
            <w:gridSpan w:val="2"/>
            <w:tcBorders>
              <w:top w:val="single" w:sz="4" w:space="0" w:color="auto"/>
              <w:left w:val="nil"/>
              <w:bottom w:val="single" w:sz="4" w:space="0" w:color="auto"/>
              <w:right w:val="nil"/>
            </w:tcBorders>
            <w:shd w:val="clear" w:color="auto" w:fill="auto"/>
            <w:vAlign w:val="bottom"/>
            <w:hideMark/>
          </w:tcPr>
          <w:p w14:paraId="4337D5D4"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2025-26</w:t>
            </w:r>
            <w:r w:rsidRPr="00EB681B">
              <w:rPr>
                <w:rFonts w:ascii="Arial" w:hAnsi="Arial" w:cs="Arial"/>
                <w:sz w:val="16"/>
                <w:szCs w:val="16"/>
              </w:rPr>
              <w:br/>
              <w:t>Forward estimate</w:t>
            </w:r>
            <w:r w:rsidRPr="00EB681B">
              <w:rPr>
                <w:rFonts w:ascii="Arial" w:hAnsi="Arial" w:cs="Arial"/>
                <w:sz w:val="16"/>
                <w:szCs w:val="16"/>
              </w:rPr>
              <w:br/>
              <w:t>$'000</w:t>
            </w:r>
          </w:p>
        </w:tc>
      </w:tr>
      <w:tr w:rsidR="00115843" w:rsidRPr="00EB681B" w14:paraId="45A7490A" w14:textId="77777777" w:rsidTr="00436AC0">
        <w:trPr>
          <w:gridAfter w:val="1"/>
          <w:wAfter w:w="40" w:type="pct"/>
          <w:trHeight w:val="204"/>
        </w:trPr>
        <w:tc>
          <w:tcPr>
            <w:tcW w:w="2835" w:type="pct"/>
            <w:gridSpan w:val="2"/>
            <w:tcBorders>
              <w:top w:val="single" w:sz="4" w:space="0" w:color="auto"/>
              <w:left w:val="nil"/>
              <w:bottom w:val="single" w:sz="4" w:space="0" w:color="auto"/>
              <w:right w:val="nil"/>
            </w:tcBorders>
            <w:shd w:val="clear" w:color="auto" w:fill="E6E6E6"/>
            <w:noWrap/>
            <w:vAlign w:val="bottom"/>
            <w:hideMark/>
          </w:tcPr>
          <w:p w14:paraId="02A0D53C" w14:textId="77777777" w:rsidR="00115843" w:rsidRPr="00EB681B" w:rsidRDefault="00115843" w:rsidP="00FB0D02">
            <w:pPr>
              <w:spacing w:after="0" w:line="240" w:lineRule="auto"/>
              <w:rPr>
                <w:rFonts w:ascii="Arial" w:hAnsi="Arial" w:cs="Arial"/>
                <w:b/>
                <w:bCs/>
                <w:sz w:val="16"/>
                <w:szCs w:val="16"/>
              </w:rPr>
            </w:pPr>
            <w:r w:rsidRPr="00EB681B">
              <w:rPr>
                <w:rFonts w:ascii="Arial" w:hAnsi="Arial" w:cs="Arial"/>
                <w:b/>
                <w:bCs/>
                <w:sz w:val="16"/>
                <w:szCs w:val="16"/>
              </w:rPr>
              <w:t xml:space="preserve">Components for Program 2.1: Surface Transport </w:t>
            </w:r>
          </w:p>
        </w:tc>
        <w:tc>
          <w:tcPr>
            <w:tcW w:w="528" w:type="pct"/>
            <w:gridSpan w:val="2"/>
            <w:tcBorders>
              <w:top w:val="nil"/>
              <w:left w:val="nil"/>
              <w:bottom w:val="single" w:sz="4" w:space="0" w:color="auto"/>
              <w:right w:val="nil"/>
            </w:tcBorders>
            <w:shd w:val="clear" w:color="auto" w:fill="E6E6E6"/>
            <w:noWrap/>
            <w:vAlign w:val="bottom"/>
            <w:hideMark/>
          </w:tcPr>
          <w:p w14:paraId="6F212381"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 </w:t>
            </w:r>
          </w:p>
        </w:tc>
        <w:tc>
          <w:tcPr>
            <w:tcW w:w="532" w:type="pct"/>
            <w:gridSpan w:val="2"/>
            <w:tcBorders>
              <w:top w:val="nil"/>
              <w:left w:val="nil"/>
              <w:bottom w:val="single" w:sz="4" w:space="0" w:color="auto"/>
              <w:right w:val="nil"/>
            </w:tcBorders>
            <w:shd w:val="clear" w:color="auto" w:fill="E6E6E6"/>
            <w:noWrap/>
            <w:vAlign w:val="bottom"/>
            <w:hideMark/>
          </w:tcPr>
          <w:p w14:paraId="655BFB5B"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 </w:t>
            </w:r>
          </w:p>
        </w:tc>
        <w:tc>
          <w:tcPr>
            <w:tcW w:w="532" w:type="pct"/>
            <w:gridSpan w:val="2"/>
            <w:tcBorders>
              <w:top w:val="nil"/>
              <w:left w:val="nil"/>
              <w:bottom w:val="single" w:sz="4" w:space="0" w:color="auto"/>
              <w:right w:val="nil"/>
            </w:tcBorders>
            <w:shd w:val="clear" w:color="auto" w:fill="E6E6E6"/>
            <w:noWrap/>
            <w:vAlign w:val="bottom"/>
            <w:hideMark/>
          </w:tcPr>
          <w:p w14:paraId="14C6CDC5"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 </w:t>
            </w:r>
          </w:p>
        </w:tc>
        <w:tc>
          <w:tcPr>
            <w:tcW w:w="532" w:type="pct"/>
            <w:gridSpan w:val="2"/>
            <w:tcBorders>
              <w:top w:val="nil"/>
              <w:left w:val="nil"/>
              <w:bottom w:val="single" w:sz="4" w:space="0" w:color="auto"/>
              <w:right w:val="nil"/>
            </w:tcBorders>
            <w:shd w:val="clear" w:color="auto" w:fill="E6E6E6"/>
            <w:noWrap/>
            <w:vAlign w:val="bottom"/>
            <w:hideMark/>
          </w:tcPr>
          <w:p w14:paraId="29D0ADC6"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 </w:t>
            </w:r>
          </w:p>
        </w:tc>
      </w:tr>
      <w:tr w:rsidR="00115843" w:rsidRPr="005D0C2F" w14:paraId="1EA7DADE" w14:textId="77777777" w:rsidTr="00436AC0">
        <w:trPr>
          <w:gridAfter w:val="1"/>
          <w:wAfter w:w="40" w:type="pct"/>
          <w:trHeight w:val="204"/>
        </w:trPr>
        <w:tc>
          <w:tcPr>
            <w:tcW w:w="2233" w:type="pct"/>
            <w:tcBorders>
              <w:top w:val="nil"/>
              <w:left w:val="nil"/>
              <w:bottom w:val="nil"/>
              <w:right w:val="nil"/>
            </w:tcBorders>
            <w:shd w:val="clear" w:color="auto" w:fill="auto"/>
            <w:noWrap/>
            <w:vAlign w:val="bottom"/>
            <w:hideMark/>
          </w:tcPr>
          <w:p w14:paraId="3DA9E2BE" w14:textId="77777777" w:rsidR="00115843" w:rsidRPr="005D0C2F" w:rsidRDefault="00115843" w:rsidP="00FB0D02">
            <w:pPr>
              <w:spacing w:after="0" w:line="240" w:lineRule="auto"/>
              <w:rPr>
                <w:rFonts w:ascii="Arial" w:hAnsi="Arial" w:cs="Arial"/>
                <w:sz w:val="16"/>
                <w:szCs w:val="16"/>
              </w:rPr>
            </w:pPr>
            <w:r w:rsidRPr="005D0C2F">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396C7242" w14:textId="77777777" w:rsidR="00115843" w:rsidRPr="005D0C2F" w:rsidRDefault="00115843" w:rsidP="00FB0D02">
            <w:pPr>
              <w:spacing w:after="0" w:line="240" w:lineRule="auto"/>
              <w:jc w:val="right"/>
              <w:rPr>
                <w:rFonts w:ascii="Arial" w:hAnsi="Arial" w:cs="Arial"/>
                <w:sz w:val="16"/>
                <w:szCs w:val="16"/>
              </w:rPr>
            </w:pPr>
          </w:p>
        </w:tc>
        <w:tc>
          <w:tcPr>
            <w:tcW w:w="528" w:type="pct"/>
            <w:gridSpan w:val="2"/>
            <w:tcBorders>
              <w:top w:val="nil"/>
              <w:left w:val="nil"/>
              <w:bottom w:val="nil"/>
              <w:right w:val="nil"/>
            </w:tcBorders>
            <w:shd w:val="clear" w:color="auto" w:fill="E6E6E6"/>
            <w:noWrap/>
            <w:vAlign w:val="bottom"/>
            <w:hideMark/>
          </w:tcPr>
          <w:p w14:paraId="106822A6" w14:textId="77777777" w:rsidR="00115843" w:rsidRPr="005D0C2F" w:rsidRDefault="00115843" w:rsidP="00FB0D02">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0605F786" w14:textId="77777777" w:rsidR="00115843" w:rsidRPr="005D0C2F" w:rsidRDefault="00115843" w:rsidP="00FB0D02">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2DF59284" w14:textId="77777777" w:rsidR="00115843" w:rsidRPr="005D0C2F" w:rsidRDefault="00115843" w:rsidP="00FB0D02">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4102ACB1" w14:textId="77777777" w:rsidR="00115843" w:rsidRPr="005D0C2F" w:rsidRDefault="00115843" w:rsidP="00FB0D02">
            <w:pPr>
              <w:spacing w:after="0" w:line="240" w:lineRule="auto"/>
              <w:jc w:val="right"/>
              <w:rPr>
                <w:rFonts w:ascii="Arial" w:hAnsi="Arial" w:cs="Arial"/>
                <w:sz w:val="16"/>
                <w:szCs w:val="16"/>
              </w:rPr>
            </w:pPr>
          </w:p>
        </w:tc>
      </w:tr>
      <w:tr w:rsidR="007E1717" w:rsidRPr="005D0C2F" w14:paraId="762C96E8"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288444F3"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 xml:space="preserve">Bass Strait Passenger Vehicle Equalisation Scheme </w:t>
            </w:r>
            <w:r w:rsidRPr="005D0C2F">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555F0FF" w14:textId="04DA855B"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41,850</w:t>
            </w:r>
          </w:p>
        </w:tc>
        <w:tc>
          <w:tcPr>
            <w:tcW w:w="528" w:type="pct"/>
            <w:gridSpan w:val="2"/>
            <w:tcBorders>
              <w:top w:val="nil"/>
              <w:left w:val="nil"/>
              <w:bottom w:val="nil"/>
              <w:right w:val="nil"/>
            </w:tcBorders>
            <w:shd w:val="clear" w:color="auto" w:fill="E6E6E6"/>
            <w:noWrap/>
            <w:vAlign w:val="bottom"/>
            <w:hideMark/>
          </w:tcPr>
          <w:p w14:paraId="7D0B54DA" w14:textId="4E3AB5EC"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54,472</w:t>
            </w:r>
          </w:p>
        </w:tc>
        <w:tc>
          <w:tcPr>
            <w:tcW w:w="532" w:type="pct"/>
            <w:gridSpan w:val="2"/>
            <w:tcBorders>
              <w:top w:val="nil"/>
              <w:left w:val="nil"/>
              <w:bottom w:val="nil"/>
              <w:right w:val="nil"/>
            </w:tcBorders>
            <w:shd w:val="clear" w:color="auto" w:fill="auto"/>
            <w:noWrap/>
            <w:vAlign w:val="bottom"/>
            <w:hideMark/>
          </w:tcPr>
          <w:p w14:paraId="36C336E4" w14:textId="3D61EB9C"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58,689</w:t>
            </w:r>
          </w:p>
        </w:tc>
        <w:tc>
          <w:tcPr>
            <w:tcW w:w="532" w:type="pct"/>
            <w:gridSpan w:val="2"/>
            <w:tcBorders>
              <w:top w:val="nil"/>
              <w:left w:val="nil"/>
              <w:bottom w:val="nil"/>
              <w:right w:val="nil"/>
            </w:tcBorders>
            <w:shd w:val="clear" w:color="auto" w:fill="auto"/>
            <w:noWrap/>
            <w:vAlign w:val="bottom"/>
            <w:hideMark/>
          </w:tcPr>
          <w:p w14:paraId="7A1DA0DE" w14:textId="7098A772"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60,215</w:t>
            </w:r>
          </w:p>
        </w:tc>
        <w:tc>
          <w:tcPr>
            <w:tcW w:w="532" w:type="pct"/>
            <w:gridSpan w:val="2"/>
            <w:tcBorders>
              <w:top w:val="nil"/>
              <w:left w:val="nil"/>
              <w:bottom w:val="nil"/>
              <w:right w:val="nil"/>
            </w:tcBorders>
            <w:shd w:val="clear" w:color="auto" w:fill="auto"/>
            <w:noWrap/>
            <w:vAlign w:val="bottom"/>
            <w:hideMark/>
          </w:tcPr>
          <w:p w14:paraId="5DB14EE5" w14:textId="2B5CB03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61,780</w:t>
            </w:r>
          </w:p>
        </w:tc>
      </w:tr>
      <w:tr w:rsidR="007E1717" w:rsidRPr="005D0C2F" w14:paraId="4215FE6C"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27A63BD1"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Freight and Supply Chain Strategy - Freight Data Hub</w:t>
            </w:r>
          </w:p>
        </w:tc>
        <w:tc>
          <w:tcPr>
            <w:tcW w:w="602" w:type="pct"/>
            <w:tcBorders>
              <w:top w:val="nil"/>
              <w:left w:val="nil"/>
              <w:bottom w:val="nil"/>
              <w:right w:val="nil"/>
            </w:tcBorders>
            <w:shd w:val="clear" w:color="auto" w:fill="auto"/>
            <w:noWrap/>
            <w:vAlign w:val="bottom"/>
            <w:hideMark/>
          </w:tcPr>
          <w:p w14:paraId="2F518C61" w14:textId="1DE0BB6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246</w:t>
            </w:r>
          </w:p>
        </w:tc>
        <w:tc>
          <w:tcPr>
            <w:tcW w:w="528" w:type="pct"/>
            <w:gridSpan w:val="2"/>
            <w:tcBorders>
              <w:top w:val="nil"/>
              <w:left w:val="nil"/>
              <w:bottom w:val="nil"/>
              <w:right w:val="nil"/>
            </w:tcBorders>
            <w:shd w:val="clear" w:color="auto" w:fill="E6E6E6"/>
            <w:noWrap/>
            <w:vAlign w:val="bottom"/>
            <w:hideMark/>
          </w:tcPr>
          <w:p w14:paraId="66833BB4" w14:textId="5181D8D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1,903</w:t>
            </w:r>
          </w:p>
        </w:tc>
        <w:tc>
          <w:tcPr>
            <w:tcW w:w="532" w:type="pct"/>
            <w:gridSpan w:val="2"/>
            <w:tcBorders>
              <w:top w:val="nil"/>
              <w:left w:val="nil"/>
              <w:bottom w:val="nil"/>
              <w:right w:val="nil"/>
            </w:tcBorders>
            <w:shd w:val="clear" w:color="auto" w:fill="auto"/>
            <w:noWrap/>
            <w:vAlign w:val="bottom"/>
            <w:hideMark/>
          </w:tcPr>
          <w:p w14:paraId="539659C2" w14:textId="7D69D247"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1,914</w:t>
            </w:r>
          </w:p>
        </w:tc>
        <w:tc>
          <w:tcPr>
            <w:tcW w:w="532" w:type="pct"/>
            <w:gridSpan w:val="2"/>
            <w:tcBorders>
              <w:top w:val="nil"/>
              <w:left w:val="nil"/>
              <w:bottom w:val="nil"/>
              <w:right w:val="nil"/>
            </w:tcBorders>
            <w:shd w:val="clear" w:color="auto" w:fill="auto"/>
            <w:noWrap/>
            <w:vAlign w:val="bottom"/>
            <w:hideMark/>
          </w:tcPr>
          <w:p w14:paraId="49FE3A7F" w14:textId="5FB4E3E1"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32" w:type="pct"/>
            <w:gridSpan w:val="2"/>
            <w:tcBorders>
              <w:top w:val="nil"/>
              <w:left w:val="nil"/>
              <w:bottom w:val="nil"/>
              <w:right w:val="nil"/>
            </w:tcBorders>
            <w:shd w:val="clear" w:color="auto" w:fill="auto"/>
            <w:noWrap/>
            <w:vAlign w:val="bottom"/>
            <w:hideMark/>
          </w:tcPr>
          <w:p w14:paraId="3916FDDE" w14:textId="399712C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5B25A1F7" w14:textId="77777777" w:rsidTr="00436AC0">
        <w:trPr>
          <w:gridAfter w:val="1"/>
          <w:wAfter w:w="40" w:type="pct"/>
          <w:trHeight w:val="204"/>
        </w:trPr>
        <w:tc>
          <w:tcPr>
            <w:tcW w:w="2233" w:type="pct"/>
            <w:tcBorders>
              <w:top w:val="nil"/>
              <w:left w:val="nil"/>
              <w:bottom w:val="nil"/>
              <w:right w:val="nil"/>
            </w:tcBorders>
            <w:shd w:val="clear" w:color="auto" w:fill="auto"/>
            <w:vAlign w:val="bottom"/>
          </w:tcPr>
          <w:p w14:paraId="60CE47BB" w14:textId="77777777" w:rsidR="007E1717" w:rsidRPr="005D0C2F" w:rsidRDefault="007E1717" w:rsidP="007E1717">
            <w:pPr>
              <w:spacing w:after="0" w:line="240" w:lineRule="auto"/>
              <w:ind w:left="113"/>
              <w:rPr>
                <w:rFonts w:ascii="Arial" w:hAnsi="Arial" w:cs="Arial"/>
                <w:sz w:val="16"/>
                <w:szCs w:val="16"/>
              </w:rPr>
            </w:pPr>
            <w:r w:rsidRPr="002F47E7">
              <w:rPr>
                <w:rFonts w:ascii="Arial" w:hAnsi="Arial" w:cs="Arial"/>
                <w:sz w:val="16"/>
                <w:szCs w:val="16"/>
              </w:rPr>
              <w:t>International Maritime Organization - contribution</w:t>
            </w:r>
          </w:p>
        </w:tc>
        <w:tc>
          <w:tcPr>
            <w:tcW w:w="602" w:type="pct"/>
            <w:tcBorders>
              <w:top w:val="nil"/>
              <w:left w:val="nil"/>
              <w:bottom w:val="nil"/>
              <w:right w:val="nil"/>
            </w:tcBorders>
            <w:shd w:val="clear" w:color="auto" w:fill="auto"/>
            <w:noWrap/>
            <w:vAlign w:val="bottom"/>
          </w:tcPr>
          <w:p w14:paraId="64A2AA3F" w14:textId="73B7D5D9"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294</w:t>
            </w:r>
          </w:p>
        </w:tc>
        <w:tc>
          <w:tcPr>
            <w:tcW w:w="528" w:type="pct"/>
            <w:gridSpan w:val="2"/>
            <w:tcBorders>
              <w:top w:val="nil"/>
              <w:left w:val="nil"/>
              <w:bottom w:val="nil"/>
              <w:right w:val="nil"/>
            </w:tcBorders>
            <w:shd w:val="clear" w:color="auto" w:fill="E6E6E6"/>
            <w:noWrap/>
            <w:vAlign w:val="bottom"/>
          </w:tcPr>
          <w:p w14:paraId="4F6A2082" w14:textId="6E93CE3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337</w:t>
            </w:r>
          </w:p>
        </w:tc>
        <w:tc>
          <w:tcPr>
            <w:tcW w:w="532" w:type="pct"/>
            <w:gridSpan w:val="2"/>
            <w:tcBorders>
              <w:top w:val="nil"/>
              <w:left w:val="nil"/>
              <w:bottom w:val="nil"/>
              <w:right w:val="nil"/>
            </w:tcBorders>
            <w:shd w:val="clear" w:color="auto" w:fill="auto"/>
            <w:noWrap/>
            <w:vAlign w:val="bottom"/>
          </w:tcPr>
          <w:p w14:paraId="356DEB1A" w14:textId="375AA22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339</w:t>
            </w:r>
          </w:p>
        </w:tc>
        <w:tc>
          <w:tcPr>
            <w:tcW w:w="532" w:type="pct"/>
            <w:gridSpan w:val="2"/>
            <w:tcBorders>
              <w:top w:val="nil"/>
              <w:left w:val="nil"/>
              <w:bottom w:val="nil"/>
              <w:right w:val="nil"/>
            </w:tcBorders>
            <w:shd w:val="clear" w:color="auto" w:fill="auto"/>
            <w:noWrap/>
            <w:vAlign w:val="bottom"/>
          </w:tcPr>
          <w:p w14:paraId="54E1100C" w14:textId="2B0B25A8"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356</w:t>
            </w:r>
          </w:p>
        </w:tc>
        <w:tc>
          <w:tcPr>
            <w:tcW w:w="532" w:type="pct"/>
            <w:gridSpan w:val="2"/>
            <w:tcBorders>
              <w:top w:val="nil"/>
              <w:left w:val="nil"/>
              <w:bottom w:val="nil"/>
              <w:right w:val="nil"/>
            </w:tcBorders>
            <w:shd w:val="clear" w:color="auto" w:fill="auto"/>
            <w:noWrap/>
            <w:vAlign w:val="bottom"/>
          </w:tcPr>
          <w:p w14:paraId="593180C3" w14:textId="65B06B0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374</w:t>
            </w:r>
          </w:p>
        </w:tc>
      </w:tr>
      <w:tr w:rsidR="007E1717" w:rsidRPr="005D0C2F" w14:paraId="71CC73BB"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4DC35480"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International Transport Forum - contribution</w:t>
            </w:r>
          </w:p>
        </w:tc>
        <w:tc>
          <w:tcPr>
            <w:tcW w:w="602" w:type="pct"/>
            <w:tcBorders>
              <w:top w:val="nil"/>
              <w:left w:val="nil"/>
              <w:bottom w:val="nil"/>
              <w:right w:val="nil"/>
            </w:tcBorders>
            <w:shd w:val="clear" w:color="auto" w:fill="auto"/>
            <w:noWrap/>
            <w:vAlign w:val="bottom"/>
            <w:hideMark/>
          </w:tcPr>
          <w:p w14:paraId="598D8F2F" w14:textId="3C07EDC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103</w:t>
            </w:r>
          </w:p>
        </w:tc>
        <w:tc>
          <w:tcPr>
            <w:tcW w:w="528" w:type="pct"/>
            <w:gridSpan w:val="2"/>
            <w:tcBorders>
              <w:top w:val="nil"/>
              <w:left w:val="nil"/>
              <w:bottom w:val="nil"/>
              <w:right w:val="nil"/>
            </w:tcBorders>
            <w:shd w:val="clear" w:color="auto" w:fill="E6E6E6"/>
            <w:noWrap/>
            <w:vAlign w:val="bottom"/>
            <w:hideMark/>
          </w:tcPr>
          <w:p w14:paraId="26BAF25D" w14:textId="173A92A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120</w:t>
            </w:r>
          </w:p>
        </w:tc>
        <w:tc>
          <w:tcPr>
            <w:tcW w:w="532" w:type="pct"/>
            <w:gridSpan w:val="2"/>
            <w:tcBorders>
              <w:top w:val="nil"/>
              <w:left w:val="nil"/>
              <w:bottom w:val="nil"/>
              <w:right w:val="nil"/>
            </w:tcBorders>
            <w:shd w:val="clear" w:color="auto" w:fill="auto"/>
            <w:noWrap/>
            <w:vAlign w:val="bottom"/>
            <w:hideMark/>
          </w:tcPr>
          <w:p w14:paraId="6CF0B006" w14:textId="3D193848"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119</w:t>
            </w:r>
          </w:p>
        </w:tc>
        <w:tc>
          <w:tcPr>
            <w:tcW w:w="532" w:type="pct"/>
            <w:gridSpan w:val="2"/>
            <w:tcBorders>
              <w:top w:val="nil"/>
              <w:left w:val="nil"/>
              <w:bottom w:val="nil"/>
              <w:right w:val="nil"/>
            </w:tcBorders>
            <w:shd w:val="clear" w:color="auto" w:fill="auto"/>
            <w:noWrap/>
            <w:vAlign w:val="bottom"/>
            <w:hideMark/>
          </w:tcPr>
          <w:p w14:paraId="689DD901" w14:textId="0B9108A9"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120</w:t>
            </w:r>
          </w:p>
        </w:tc>
        <w:tc>
          <w:tcPr>
            <w:tcW w:w="532" w:type="pct"/>
            <w:gridSpan w:val="2"/>
            <w:tcBorders>
              <w:top w:val="nil"/>
              <w:left w:val="nil"/>
              <w:bottom w:val="nil"/>
              <w:right w:val="nil"/>
            </w:tcBorders>
            <w:shd w:val="clear" w:color="auto" w:fill="auto"/>
            <w:noWrap/>
            <w:vAlign w:val="bottom"/>
            <w:hideMark/>
          </w:tcPr>
          <w:p w14:paraId="0A9ADAE7" w14:textId="5606017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120</w:t>
            </w:r>
          </w:p>
        </w:tc>
      </w:tr>
      <w:tr w:rsidR="007E1717" w:rsidRPr="005D0C2F" w14:paraId="2C62F569" w14:textId="77777777" w:rsidTr="00436AC0">
        <w:trPr>
          <w:gridAfter w:val="1"/>
          <w:wAfter w:w="40" w:type="pct"/>
          <w:trHeight w:val="204"/>
        </w:trPr>
        <w:tc>
          <w:tcPr>
            <w:tcW w:w="2233" w:type="pct"/>
            <w:tcBorders>
              <w:top w:val="nil"/>
              <w:left w:val="nil"/>
              <w:bottom w:val="nil"/>
              <w:right w:val="nil"/>
            </w:tcBorders>
            <w:shd w:val="clear" w:color="auto" w:fill="auto"/>
            <w:vAlign w:val="bottom"/>
          </w:tcPr>
          <w:p w14:paraId="4B80C664"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 xml:space="preserve">National Heavy Vehicle Safety Initiatives </w:t>
            </w:r>
          </w:p>
        </w:tc>
        <w:tc>
          <w:tcPr>
            <w:tcW w:w="602" w:type="pct"/>
            <w:tcBorders>
              <w:top w:val="nil"/>
              <w:left w:val="nil"/>
              <w:bottom w:val="nil"/>
              <w:right w:val="nil"/>
            </w:tcBorders>
            <w:shd w:val="clear" w:color="auto" w:fill="auto"/>
            <w:noWrap/>
            <w:vAlign w:val="bottom"/>
          </w:tcPr>
          <w:p w14:paraId="2647D51A" w14:textId="3F72929C"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5,528</w:t>
            </w:r>
          </w:p>
        </w:tc>
        <w:tc>
          <w:tcPr>
            <w:tcW w:w="528" w:type="pct"/>
            <w:gridSpan w:val="2"/>
            <w:tcBorders>
              <w:top w:val="nil"/>
              <w:left w:val="nil"/>
              <w:bottom w:val="nil"/>
              <w:right w:val="nil"/>
            </w:tcBorders>
            <w:shd w:val="clear" w:color="auto" w:fill="E6E6E6"/>
            <w:noWrap/>
            <w:vAlign w:val="bottom"/>
          </w:tcPr>
          <w:p w14:paraId="2CC71A11" w14:textId="296F51D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5,696</w:t>
            </w:r>
          </w:p>
        </w:tc>
        <w:tc>
          <w:tcPr>
            <w:tcW w:w="532" w:type="pct"/>
            <w:gridSpan w:val="2"/>
            <w:tcBorders>
              <w:top w:val="nil"/>
              <w:left w:val="nil"/>
              <w:bottom w:val="nil"/>
              <w:right w:val="nil"/>
            </w:tcBorders>
            <w:shd w:val="clear" w:color="auto" w:fill="auto"/>
            <w:noWrap/>
            <w:vAlign w:val="bottom"/>
          </w:tcPr>
          <w:p w14:paraId="6D3FCCEC" w14:textId="2EA3D03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4,364</w:t>
            </w:r>
          </w:p>
        </w:tc>
        <w:tc>
          <w:tcPr>
            <w:tcW w:w="532" w:type="pct"/>
            <w:gridSpan w:val="2"/>
            <w:tcBorders>
              <w:top w:val="nil"/>
              <w:left w:val="nil"/>
              <w:bottom w:val="nil"/>
              <w:right w:val="nil"/>
            </w:tcBorders>
            <w:shd w:val="clear" w:color="auto" w:fill="auto"/>
            <w:noWrap/>
            <w:vAlign w:val="bottom"/>
          </w:tcPr>
          <w:p w14:paraId="43A57644" w14:textId="5D78AF4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4,458</w:t>
            </w:r>
          </w:p>
        </w:tc>
        <w:tc>
          <w:tcPr>
            <w:tcW w:w="532" w:type="pct"/>
            <w:gridSpan w:val="2"/>
            <w:tcBorders>
              <w:top w:val="nil"/>
              <w:left w:val="nil"/>
              <w:bottom w:val="nil"/>
              <w:right w:val="nil"/>
            </w:tcBorders>
            <w:shd w:val="clear" w:color="auto" w:fill="auto"/>
            <w:noWrap/>
            <w:vAlign w:val="bottom"/>
          </w:tcPr>
          <w:p w14:paraId="3DB6E459" w14:textId="79E8AE3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4,542</w:t>
            </w:r>
          </w:p>
        </w:tc>
      </w:tr>
      <w:tr w:rsidR="007E1717" w:rsidRPr="005D0C2F" w14:paraId="6B490729"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6B6D9722" w14:textId="77777777" w:rsidR="007E1717" w:rsidRPr="005D0C2F" w:rsidRDefault="007E1717" w:rsidP="007E1717">
            <w:pPr>
              <w:spacing w:after="0" w:line="240" w:lineRule="auto"/>
              <w:ind w:left="113"/>
              <w:rPr>
                <w:rFonts w:ascii="Arial" w:hAnsi="Arial" w:cs="Arial"/>
                <w:sz w:val="16"/>
                <w:szCs w:val="16"/>
              </w:rPr>
            </w:pPr>
            <w:r>
              <w:rPr>
                <w:rFonts w:ascii="Arial" w:hAnsi="Arial" w:cs="Arial"/>
                <w:sz w:val="16"/>
                <w:szCs w:val="16"/>
              </w:rPr>
              <w:t>Real World Testing of Vehicle Efficiency</w:t>
            </w:r>
          </w:p>
        </w:tc>
        <w:tc>
          <w:tcPr>
            <w:tcW w:w="602" w:type="pct"/>
            <w:tcBorders>
              <w:top w:val="nil"/>
              <w:left w:val="nil"/>
              <w:bottom w:val="nil"/>
              <w:right w:val="nil"/>
            </w:tcBorders>
            <w:shd w:val="clear" w:color="auto" w:fill="auto"/>
            <w:noWrap/>
            <w:vAlign w:val="bottom"/>
            <w:hideMark/>
          </w:tcPr>
          <w:p w14:paraId="664BD2F5" w14:textId="6E71B253"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8" w:type="pct"/>
            <w:gridSpan w:val="2"/>
            <w:tcBorders>
              <w:top w:val="nil"/>
              <w:left w:val="nil"/>
              <w:bottom w:val="nil"/>
              <w:right w:val="nil"/>
            </w:tcBorders>
            <w:shd w:val="clear" w:color="auto" w:fill="E6E6E6"/>
            <w:noWrap/>
            <w:vAlign w:val="bottom"/>
            <w:hideMark/>
          </w:tcPr>
          <w:p w14:paraId="05E8F885" w14:textId="1AD31BB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3,500</w:t>
            </w:r>
          </w:p>
        </w:tc>
        <w:tc>
          <w:tcPr>
            <w:tcW w:w="532" w:type="pct"/>
            <w:gridSpan w:val="2"/>
            <w:tcBorders>
              <w:top w:val="nil"/>
              <w:left w:val="nil"/>
              <w:bottom w:val="nil"/>
              <w:right w:val="nil"/>
            </w:tcBorders>
            <w:shd w:val="clear" w:color="auto" w:fill="auto"/>
            <w:noWrap/>
            <w:vAlign w:val="bottom"/>
            <w:hideMark/>
          </w:tcPr>
          <w:p w14:paraId="5592AEED" w14:textId="2FDAA47B"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3,500</w:t>
            </w:r>
          </w:p>
        </w:tc>
        <w:tc>
          <w:tcPr>
            <w:tcW w:w="532" w:type="pct"/>
            <w:gridSpan w:val="2"/>
            <w:tcBorders>
              <w:top w:val="nil"/>
              <w:left w:val="nil"/>
              <w:bottom w:val="nil"/>
              <w:right w:val="nil"/>
            </w:tcBorders>
            <w:shd w:val="clear" w:color="auto" w:fill="auto"/>
            <w:noWrap/>
            <w:vAlign w:val="bottom"/>
            <w:hideMark/>
          </w:tcPr>
          <w:p w14:paraId="774DA52B" w14:textId="71E4BF39"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3,500</w:t>
            </w:r>
          </w:p>
        </w:tc>
        <w:tc>
          <w:tcPr>
            <w:tcW w:w="532" w:type="pct"/>
            <w:gridSpan w:val="2"/>
            <w:tcBorders>
              <w:top w:val="nil"/>
              <w:left w:val="nil"/>
              <w:bottom w:val="nil"/>
              <w:right w:val="nil"/>
            </w:tcBorders>
            <w:shd w:val="clear" w:color="auto" w:fill="auto"/>
            <w:noWrap/>
            <w:vAlign w:val="bottom"/>
            <w:hideMark/>
          </w:tcPr>
          <w:p w14:paraId="78C6521C" w14:textId="6F88E4E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3,500</w:t>
            </w:r>
          </w:p>
        </w:tc>
      </w:tr>
      <w:tr w:rsidR="007E1717" w:rsidRPr="005D0C2F" w14:paraId="3FBE8082"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6BA4ADFF"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Strategic Local Government Asset Assessment Project</w:t>
            </w:r>
          </w:p>
        </w:tc>
        <w:tc>
          <w:tcPr>
            <w:tcW w:w="602" w:type="pct"/>
            <w:tcBorders>
              <w:top w:val="nil"/>
              <w:left w:val="nil"/>
              <w:bottom w:val="nil"/>
              <w:right w:val="nil"/>
            </w:tcBorders>
            <w:shd w:val="clear" w:color="auto" w:fill="auto"/>
            <w:noWrap/>
            <w:vAlign w:val="bottom"/>
            <w:hideMark/>
          </w:tcPr>
          <w:p w14:paraId="27B40474" w14:textId="71C2E4E8"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4,000</w:t>
            </w:r>
          </w:p>
        </w:tc>
        <w:tc>
          <w:tcPr>
            <w:tcW w:w="528" w:type="pct"/>
            <w:gridSpan w:val="2"/>
            <w:tcBorders>
              <w:top w:val="nil"/>
              <w:left w:val="nil"/>
              <w:bottom w:val="nil"/>
              <w:right w:val="nil"/>
            </w:tcBorders>
            <w:shd w:val="clear" w:color="auto" w:fill="E6E6E6"/>
            <w:noWrap/>
            <w:vAlign w:val="bottom"/>
            <w:hideMark/>
          </w:tcPr>
          <w:p w14:paraId="401B9083" w14:textId="5CD49AE1"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4,000</w:t>
            </w:r>
          </w:p>
        </w:tc>
        <w:tc>
          <w:tcPr>
            <w:tcW w:w="532" w:type="pct"/>
            <w:gridSpan w:val="2"/>
            <w:tcBorders>
              <w:top w:val="nil"/>
              <w:left w:val="nil"/>
              <w:bottom w:val="nil"/>
              <w:right w:val="nil"/>
            </w:tcBorders>
            <w:shd w:val="clear" w:color="auto" w:fill="auto"/>
            <w:noWrap/>
            <w:vAlign w:val="bottom"/>
            <w:hideMark/>
          </w:tcPr>
          <w:p w14:paraId="7C83B82B" w14:textId="63469AA7"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4,000</w:t>
            </w:r>
          </w:p>
        </w:tc>
        <w:tc>
          <w:tcPr>
            <w:tcW w:w="532" w:type="pct"/>
            <w:gridSpan w:val="2"/>
            <w:tcBorders>
              <w:top w:val="nil"/>
              <w:left w:val="nil"/>
              <w:bottom w:val="nil"/>
              <w:right w:val="nil"/>
            </w:tcBorders>
            <w:shd w:val="clear" w:color="auto" w:fill="auto"/>
            <w:noWrap/>
            <w:vAlign w:val="bottom"/>
            <w:hideMark/>
          </w:tcPr>
          <w:p w14:paraId="643D4DDE" w14:textId="26A7EE9B"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32" w:type="pct"/>
            <w:gridSpan w:val="2"/>
            <w:tcBorders>
              <w:top w:val="nil"/>
              <w:left w:val="nil"/>
              <w:bottom w:val="nil"/>
              <w:right w:val="nil"/>
            </w:tcBorders>
            <w:shd w:val="clear" w:color="auto" w:fill="auto"/>
            <w:noWrap/>
            <w:vAlign w:val="bottom"/>
            <w:hideMark/>
          </w:tcPr>
          <w:p w14:paraId="1EE12E6B" w14:textId="13798667"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35380061"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0A54D991"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Tasmanian Freight Equalisation Scheme</w:t>
            </w:r>
            <w:r w:rsidRPr="005D0C2F">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42B3716" w14:textId="3825EBF2"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170,672</w:t>
            </w:r>
          </w:p>
        </w:tc>
        <w:tc>
          <w:tcPr>
            <w:tcW w:w="528" w:type="pct"/>
            <w:gridSpan w:val="2"/>
            <w:tcBorders>
              <w:top w:val="nil"/>
              <w:left w:val="nil"/>
              <w:bottom w:val="nil"/>
              <w:right w:val="nil"/>
            </w:tcBorders>
            <w:shd w:val="clear" w:color="auto" w:fill="E6E6E6"/>
            <w:noWrap/>
            <w:vAlign w:val="bottom"/>
            <w:hideMark/>
          </w:tcPr>
          <w:p w14:paraId="38ED35A9" w14:textId="21D9642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177,984</w:t>
            </w:r>
          </w:p>
        </w:tc>
        <w:tc>
          <w:tcPr>
            <w:tcW w:w="532" w:type="pct"/>
            <w:gridSpan w:val="2"/>
            <w:tcBorders>
              <w:top w:val="nil"/>
              <w:left w:val="nil"/>
              <w:bottom w:val="nil"/>
              <w:right w:val="nil"/>
            </w:tcBorders>
            <w:shd w:val="clear" w:color="auto" w:fill="auto"/>
            <w:noWrap/>
            <w:vAlign w:val="bottom"/>
            <w:hideMark/>
          </w:tcPr>
          <w:p w14:paraId="7F30792B" w14:textId="2BE4F43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179,977</w:t>
            </w:r>
          </w:p>
        </w:tc>
        <w:tc>
          <w:tcPr>
            <w:tcW w:w="532" w:type="pct"/>
            <w:gridSpan w:val="2"/>
            <w:tcBorders>
              <w:top w:val="nil"/>
              <w:left w:val="nil"/>
              <w:bottom w:val="nil"/>
              <w:right w:val="nil"/>
            </w:tcBorders>
            <w:shd w:val="clear" w:color="auto" w:fill="auto"/>
            <w:noWrap/>
            <w:vAlign w:val="bottom"/>
            <w:hideMark/>
          </w:tcPr>
          <w:p w14:paraId="01A57297" w14:textId="09795146"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181,969</w:t>
            </w:r>
          </w:p>
        </w:tc>
        <w:tc>
          <w:tcPr>
            <w:tcW w:w="532" w:type="pct"/>
            <w:gridSpan w:val="2"/>
            <w:tcBorders>
              <w:top w:val="nil"/>
              <w:left w:val="nil"/>
              <w:bottom w:val="nil"/>
              <w:right w:val="nil"/>
            </w:tcBorders>
            <w:shd w:val="clear" w:color="auto" w:fill="auto"/>
            <w:noWrap/>
            <w:vAlign w:val="bottom"/>
            <w:hideMark/>
          </w:tcPr>
          <w:p w14:paraId="4329CA05" w14:textId="0E2FB0D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181,969</w:t>
            </w:r>
          </w:p>
        </w:tc>
      </w:tr>
      <w:tr w:rsidR="007E1717" w:rsidRPr="005D0C2F" w14:paraId="42730FFA" w14:textId="77777777" w:rsidTr="00436AC0">
        <w:trPr>
          <w:gridAfter w:val="1"/>
          <w:wAfter w:w="40" w:type="pct"/>
          <w:trHeight w:val="204"/>
        </w:trPr>
        <w:tc>
          <w:tcPr>
            <w:tcW w:w="2233" w:type="pct"/>
            <w:tcBorders>
              <w:top w:val="nil"/>
              <w:left w:val="nil"/>
              <w:bottom w:val="nil"/>
              <w:right w:val="nil"/>
            </w:tcBorders>
            <w:shd w:val="clear" w:color="auto" w:fill="auto"/>
            <w:vAlign w:val="bottom"/>
          </w:tcPr>
          <w:p w14:paraId="40735105" w14:textId="36B4AA1E" w:rsidR="007E1717" w:rsidRPr="005D0C2F" w:rsidRDefault="007E1717" w:rsidP="007E1717">
            <w:pPr>
              <w:spacing w:after="0" w:line="240" w:lineRule="auto"/>
              <w:ind w:left="113"/>
              <w:rPr>
                <w:rFonts w:ascii="Arial" w:hAnsi="Arial" w:cs="Arial"/>
                <w:sz w:val="16"/>
                <w:szCs w:val="16"/>
              </w:rPr>
            </w:pPr>
            <w:r>
              <w:rPr>
                <w:rFonts w:ascii="Arial" w:hAnsi="Arial" w:cs="Arial"/>
                <w:sz w:val="16"/>
                <w:szCs w:val="16"/>
              </w:rPr>
              <w:t>Tourist and Heritage Operators Rail Safety Regulation</w:t>
            </w:r>
          </w:p>
        </w:tc>
        <w:tc>
          <w:tcPr>
            <w:tcW w:w="602" w:type="pct"/>
            <w:tcBorders>
              <w:top w:val="nil"/>
              <w:left w:val="nil"/>
              <w:bottom w:val="nil"/>
              <w:right w:val="nil"/>
            </w:tcBorders>
            <w:shd w:val="clear" w:color="auto" w:fill="auto"/>
            <w:noWrap/>
            <w:vAlign w:val="bottom"/>
          </w:tcPr>
          <w:p w14:paraId="22F8071B" w14:textId="56A0DE3C"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8" w:type="pct"/>
            <w:gridSpan w:val="2"/>
            <w:tcBorders>
              <w:top w:val="nil"/>
              <w:left w:val="nil"/>
              <w:bottom w:val="nil"/>
              <w:right w:val="nil"/>
            </w:tcBorders>
            <w:shd w:val="clear" w:color="auto" w:fill="E6E6E6"/>
            <w:noWrap/>
            <w:vAlign w:val="bottom"/>
          </w:tcPr>
          <w:p w14:paraId="20356BEE" w14:textId="747A765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32" w:type="pct"/>
            <w:gridSpan w:val="2"/>
            <w:tcBorders>
              <w:top w:val="nil"/>
              <w:left w:val="nil"/>
              <w:bottom w:val="nil"/>
              <w:right w:val="nil"/>
            </w:tcBorders>
            <w:shd w:val="clear" w:color="auto" w:fill="auto"/>
            <w:noWrap/>
            <w:vAlign w:val="bottom"/>
          </w:tcPr>
          <w:p w14:paraId="3C7A4A20" w14:textId="191BD46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1,638</w:t>
            </w:r>
          </w:p>
        </w:tc>
        <w:tc>
          <w:tcPr>
            <w:tcW w:w="532" w:type="pct"/>
            <w:gridSpan w:val="2"/>
            <w:tcBorders>
              <w:top w:val="nil"/>
              <w:left w:val="nil"/>
              <w:bottom w:val="nil"/>
              <w:right w:val="nil"/>
            </w:tcBorders>
            <w:shd w:val="clear" w:color="auto" w:fill="auto"/>
            <w:noWrap/>
            <w:vAlign w:val="bottom"/>
          </w:tcPr>
          <w:p w14:paraId="3A7A7E19" w14:textId="5BB16989"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1,693</w:t>
            </w:r>
          </w:p>
        </w:tc>
        <w:tc>
          <w:tcPr>
            <w:tcW w:w="532" w:type="pct"/>
            <w:gridSpan w:val="2"/>
            <w:tcBorders>
              <w:top w:val="nil"/>
              <w:left w:val="nil"/>
              <w:bottom w:val="nil"/>
              <w:right w:val="nil"/>
            </w:tcBorders>
            <w:shd w:val="clear" w:color="auto" w:fill="auto"/>
            <w:noWrap/>
            <w:vAlign w:val="bottom"/>
          </w:tcPr>
          <w:p w14:paraId="08446212" w14:textId="402A83F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1,737</w:t>
            </w:r>
          </w:p>
        </w:tc>
      </w:tr>
      <w:tr w:rsidR="007E1717" w:rsidRPr="005D0C2F" w14:paraId="646B4A5A"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5338AF94" w14:textId="77777777" w:rsidR="007E1717" w:rsidRPr="005D0C2F" w:rsidRDefault="007E1717" w:rsidP="007E1717">
            <w:pPr>
              <w:spacing w:after="0" w:line="240" w:lineRule="auto"/>
              <w:rPr>
                <w:rFonts w:ascii="Arial" w:hAnsi="Arial" w:cs="Arial"/>
                <w:sz w:val="16"/>
                <w:szCs w:val="16"/>
              </w:rPr>
            </w:pPr>
            <w:r w:rsidRPr="005D0C2F">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40B49EBA" w14:textId="77777777" w:rsidR="007E1717" w:rsidRPr="005D0C2F" w:rsidRDefault="007E1717" w:rsidP="007E1717">
            <w:pPr>
              <w:spacing w:after="0" w:line="240" w:lineRule="auto"/>
              <w:ind w:firstLineChars="100" w:firstLine="160"/>
              <w:jc w:val="right"/>
              <w:rPr>
                <w:rFonts w:ascii="Arial" w:hAnsi="Arial" w:cs="Arial"/>
                <w:sz w:val="16"/>
                <w:szCs w:val="16"/>
              </w:rPr>
            </w:pPr>
          </w:p>
        </w:tc>
        <w:tc>
          <w:tcPr>
            <w:tcW w:w="528" w:type="pct"/>
            <w:gridSpan w:val="2"/>
            <w:tcBorders>
              <w:top w:val="nil"/>
              <w:left w:val="nil"/>
              <w:bottom w:val="nil"/>
              <w:right w:val="nil"/>
            </w:tcBorders>
            <w:shd w:val="clear" w:color="auto" w:fill="E6E6E6"/>
            <w:noWrap/>
            <w:vAlign w:val="bottom"/>
            <w:hideMark/>
          </w:tcPr>
          <w:p w14:paraId="6C3A16DD" w14:textId="3A1644DF" w:rsidR="007E1717" w:rsidRPr="005D0C2F" w:rsidRDefault="007E1717" w:rsidP="007E1717">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0B8C1F90" w14:textId="77777777" w:rsidR="007E1717" w:rsidRPr="005D0C2F" w:rsidRDefault="007E1717" w:rsidP="007E1717">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19A393C8" w14:textId="77777777" w:rsidR="007E1717" w:rsidRPr="005D0C2F" w:rsidRDefault="007E1717" w:rsidP="007E1717">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33692989" w14:textId="77777777" w:rsidR="007E1717" w:rsidRPr="005D0C2F" w:rsidRDefault="007E1717" w:rsidP="007E1717">
            <w:pPr>
              <w:spacing w:after="0" w:line="240" w:lineRule="auto"/>
              <w:jc w:val="right"/>
              <w:rPr>
                <w:rFonts w:ascii="Arial" w:hAnsi="Arial" w:cs="Arial"/>
                <w:sz w:val="16"/>
                <w:szCs w:val="16"/>
              </w:rPr>
            </w:pPr>
          </w:p>
        </w:tc>
      </w:tr>
      <w:tr w:rsidR="007E1717" w:rsidRPr="005D0C2F" w14:paraId="191B109C"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031059E2" w14:textId="77777777" w:rsidR="007E1717" w:rsidRPr="005D0C2F" w:rsidRDefault="007E1717" w:rsidP="007E1717">
            <w:pPr>
              <w:spacing w:after="0" w:line="240" w:lineRule="auto"/>
              <w:ind w:left="113"/>
              <w:rPr>
                <w:rFonts w:ascii="Arial" w:hAnsi="Arial" w:cs="Arial"/>
                <w:i/>
                <w:iCs/>
                <w:sz w:val="16"/>
                <w:szCs w:val="16"/>
              </w:rPr>
            </w:pPr>
            <w:r w:rsidRPr="005D0C2F">
              <w:rPr>
                <w:rFonts w:ascii="Arial" w:hAnsi="Arial" w:cs="Arial"/>
                <w:i/>
                <w:iCs/>
                <w:sz w:val="16"/>
                <w:szCs w:val="16"/>
              </w:rPr>
              <w:t xml:space="preserve">Australian Maritime Safety Authority Act 1990 </w:t>
            </w:r>
            <w:r w:rsidRPr="005D0C2F">
              <w:rPr>
                <w:rFonts w:ascii="Arial" w:hAnsi="Arial" w:cs="Arial"/>
                <w:i/>
                <w:iCs/>
                <w:sz w:val="16"/>
                <w:szCs w:val="16"/>
                <w:vertAlign w:val="superscript"/>
              </w:rPr>
              <w:t>(b)</w:t>
            </w:r>
          </w:p>
        </w:tc>
        <w:tc>
          <w:tcPr>
            <w:tcW w:w="602" w:type="pct"/>
            <w:tcBorders>
              <w:top w:val="nil"/>
              <w:left w:val="nil"/>
              <w:bottom w:val="nil"/>
              <w:right w:val="nil"/>
            </w:tcBorders>
            <w:shd w:val="clear" w:color="auto" w:fill="auto"/>
            <w:noWrap/>
            <w:vAlign w:val="bottom"/>
            <w:hideMark/>
          </w:tcPr>
          <w:p w14:paraId="2554D7E5" w14:textId="035CEF30"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134,689</w:t>
            </w:r>
          </w:p>
        </w:tc>
        <w:tc>
          <w:tcPr>
            <w:tcW w:w="528" w:type="pct"/>
            <w:gridSpan w:val="2"/>
            <w:tcBorders>
              <w:top w:val="nil"/>
              <w:left w:val="nil"/>
              <w:bottom w:val="nil"/>
              <w:right w:val="nil"/>
            </w:tcBorders>
            <w:shd w:val="clear" w:color="auto" w:fill="E6E6E6"/>
            <w:noWrap/>
            <w:vAlign w:val="bottom"/>
            <w:hideMark/>
          </w:tcPr>
          <w:p w14:paraId="42EB26CA" w14:textId="1F50C58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136,059</w:t>
            </w:r>
          </w:p>
        </w:tc>
        <w:tc>
          <w:tcPr>
            <w:tcW w:w="532" w:type="pct"/>
            <w:gridSpan w:val="2"/>
            <w:tcBorders>
              <w:top w:val="nil"/>
              <w:left w:val="nil"/>
              <w:bottom w:val="nil"/>
              <w:right w:val="nil"/>
            </w:tcBorders>
            <w:shd w:val="clear" w:color="auto" w:fill="auto"/>
            <w:noWrap/>
            <w:vAlign w:val="bottom"/>
            <w:hideMark/>
          </w:tcPr>
          <w:p w14:paraId="523BDF82" w14:textId="78B7862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154,055</w:t>
            </w:r>
          </w:p>
        </w:tc>
        <w:tc>
          <w:tcPr>
            <w:tcW w:w="532" w:type="pct"/>
            <w:gridSpan w:val="2"/>
            <w:tcBorders>
              <w:top w:val="nil"/>
              <w:left w:val="nil"/>
              <w:bottom w:val="nil"/>
              <w:right w:val="nil"/>
            </w:tcBorders>
            <w:shd w:val="clear" w:color="auto" w:fill="auto"/>
            <w:noWrap/>
            <w:vAlign w:val="bottom"/>
            <w:hideMark/>
          </w:tcPr>
          <w:p w14:paraId="5DFA6D0B" w14:textId="33A1FDB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157,161</w:t>
            </w:r>
          </w:p>
        </w:tc>
        <w:tc>
          <w:tcPr>
            <w:tcW w:w="532" w:type="pct"/>
            <w:gridSpan w:val="2"/>
            <w:tcBorders>
              <w:top w:val="nil"/>
              <w:left w:val="nil"/>
              <w:bottom w:val="nil"/>
              <w:right w:val="nil"/>
            </w:tcBorders>
            <w:shd w:val="clear" w:color="auto" w:fill="auto"/>
            <w:noWrap/>
            <w:vAlign w:val="bottom"/>
            <w:hideMark/>
          </w:tcPr>
          <w:p w14:paraId="6B3631A2" w14:textId="688EA826"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160,325</w:t>
            </w:r>
          </w:p>
        </w:tc>
      </w:tr>
      <w:tr w:rsidR="007E1717" w:rsidRPr="005D0C2F" w14:paraId="0CA25E9A"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3E58F4C8" w14:textId="77777777" w:rsidR="007E1717" w:rsidRPr="005D0C2F" w:rsidRDefault="007E1717" w:rsidP="007E1717">
            <w:pPr>
              <w:spacing w:after="0" w:line="240" w:lineRule="auto"/>
              <w:ind w:left="113"/>
              <w:rPr>
                <w:rFonts w:ascii="Arial" w:hAnsi="Arial" w:cs="Arial"/>
                <w:i/>
                <w:iCs/>
                <w:sz w:val="16"/>
                <w:szCs w:val="16"/>
              </w:rPr>
            </w:pPr>
            <w:r w:rsidRPr="005D0C2F">
              <w:rPr>
                <w:rFonts w:ascii="Arial" w:hAnsi="Arial" w:cs="Arial"/>
                <w:i/>
                <w:iCs/>
                <w:sz w:val="16"/>
                <w:szCs w:val="16"/>
              </w:rPr>
              <w:t>Protection of the Sea (Oil Pollution Compensation Funds) Act 1993</w:t>
            </w:r>
          </w:p>
        </w:tc>
        <w:tc>
          <w:tcPr>
            <w:tcW w:w="602" w:type="pct"/>
            <w:tcBorders>
              <w:top w:val="nil"/>
              <w:left w:val="nil"/>
              <w:bottom w:val="nil"/>
              <w:right w:val="nil"/>
            </w:tcBorders>
            <w:shd w:val="clear" w:color="auto" w:fill="auto"/>
            <w:noWrap/>
            <w:vAlign w:val="bottom"/>
            <w:hideMark/>
          </w:tcPr>
          <w:p w14:paraId="75B37AC3" w14:textId="43D597C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358</w:t>
            </w:r>
          </w:p>
        </w:tc>
        <w:tc>
          <w:tcPr>
            <w:tcW w:w="528" w:type="pct"/>
            <w:gridSpan w:val="2"/>
            <w:tcBorders>
              <w:top w:val="nil"/>
              <w:left w:val="nil"/>
              <w:bottom w:val="nil"/>
              <w:right w:val="nil"/>
            </w:tcBorders>
            <w:shd w:val="clear" w:color="auto" w:fill="E6E6E6"/>
            <w:noWrap/>
            <w:vAlign w:val="bottom"/>
            <w:hideMark/>
          </w:tcPr>
          <w:p w14:paraId="01799071" w14:textId="742C0B7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600</w:t>
            </w:r>
          </w:p>
        </w:tc>
        <w:tc>
          <w:tcPr>
            <w:tcW w:w="532" w:type="pct"/>
            <w:gridSpan w:val="2"/>
            <w:tcBorders>
              <w:top w:val="nil"/>
              <w:left w:val="nil"/>
              <w:bottom w:val="nil"/>
              <w:right w:val="nil"/>
            </w:tcBorders>
            <w:shd w:val="clear" w:color="auto" w:fill="auto"/>
            <w:noWrap/>
            <w:vAlign w:val="bottom"/>
            <w:hideMark/>
          </w:tcPr>
          <w:p w14:paraId="2FA6ED6F" w14:textId="58C20A69"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600</w:t>
            </w:r>
          </w:p>
        </w:tc>
        <w:tc>
          <w:tcPr>
            <w:tcW w:w="532" w:type="pct"/>
            <w:gridSpan w:val="2"/>
            <w:tcBorders>
              <w:top w:val="nil"/>
              <w:left w:val="nil"/>
              <w:bottom w:val="nil"/>
              <w:right w:val="nil"/>
            </w:tcBorders>
            <w:shd w:val="clear" w:color="auto" w:fill="auto"/>
            <w:noWrap/>
            <w:vAlign w:val="bottom"/>
            <w:hideMark/>
          </w:tcPr>
          <w:p w14:paraId="31EF7F83" w14:textId="271640F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600</w:t>
            </w:r>
          </w:p>
        </w:tc>
        <w:tc>
          <w:tcPr>
            <w:tcW w:w="532" w:type="pct"/>
            <w:gridSpan w:val="2"/>
            <w:tcBorders>
              <w:top w:val="nil"/>
              <w:left w:val="nil"/>
              <w:bottom w:val="nil"/>
              <w:right w:val="nil"/>
            </w:tcBorders>
            <w:shd w:val="clear" w:color="auto" w:fill="auto"/>
            <w:noWrap/>
            <w:vAlign w:val="bottom"/>
            <w:hideMark/>
          </w:tcPr>
          <w:p w14:paraId="4BFB8ECE" w14:textId="1BC780B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600</w:t>
            </w:r>
          </w:p>
        </w:tc>
      </w:tr>
      <w:tr w:rsidR="007E1717" w:rsidRPr="005D0C2F" w14:paraId="5600AEAE"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4C13E900" w14:textId="77777777" w:rsidR="007E1717" w:rsidRPr="005D0C2F" w:rsidRDefault="007E1717" w:rsidP="007E1717">
            <w:pPr>
              <w:spacing w:after="0" w:line="240" w:lineRule="auto"/>
              <w:rPr>
                <w:rFonts w:ascii="Arial" w:hAnsi="Arial" w:cs="Arial"/>
                <w:sz w:val="16"/>
                <w:szCs w:val="16"/>
              </w:rPr>
            </w:pPr>
            <w:r w:rsidRPr="005D0C2F">
              <w:rPr>
                <w:rFonts w:ascii="Arial" w:hAnsi="Arial" w:cs="Arial"/>
                <w:sz w:val="16"/>
                <w:szCs w:val="16"/>
              </w:rPr>
              <w:t xml:space="preserve">Payments to corporate entities </w:t>
            </w:r>
            <w:r w:rsidRPr="005D0C2F">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32DE818A" w14:textId="77777777" w:rsidR="007E1717" w:rsidRPr="005D0C2F" w:rsidRDefault="007E1717" w:rsidP="007E1717">
            <w:pPr>
              <w:spacing w:after="0" w:line="240" w:lineRule="auto"/>
              <w:ind w:firstLineChars="100" w:firstLine="160"/>
              <w:jc w:val="right"/>
              <w:rPr>
                <w:rFonts w:ascii="Arial" w:hAnsi="Arial" w:cs="Arial"/>
                <w:sz w:val="16"/>
                <w:szCs w:val="16"/>
              </w:rPr>
            </w:pPr>
          </w:p>
        </w:tc>
        <w:tc>
          <w:tcPr>
            <w:tcW w:w="528" w:type="pct"/>
            <w:gridSpan w:val="2"/>
            <w:tcBorders>
              <w:top w:val="nil"/>
              <w:left w:val="nil"/>
              <w:bottom w:val="nil"/>
              <w:right w:val="nil"/>
            </w:tcBorders>
            <w:shd w:val="clear" w:color="auto" w:fill="E6E6E6"/>
            <w:noWrap/>
            <w:vAlign w:val="bottom"/>
            <w:hideMark/>
          </w:tcPr>
          <w:p w14:paraId="1D1C4B20" w14:textId="4FA1309D" w:rsidR="007E1717" w:rsidRPr="005D0C2F" w:rsidRDefault="007E1717" w:rsidP="007E1717">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617AC2BF" w14:textId="77777777" w:rsidR="007E1717" w:rsidRPr="005D0C2F" w:rsidRDefault="007E1717" w:rsidP="007E1717">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3D8DF519" w14:textId="77777777" w:rsidR="007E1717" w:rsidRPr="005D0C2F" w:rsidRDefault="007E1717" w:rsidP="007E1717">
            <w:pPr>
              <w:spacing w:after="0" w:line="240" w:lineRule="auto"/>
              <w:jc w:val="right"/>
              <w:rPr>
                <w:rFonts w:ascii="Arial" w:hAnsi="Arial" w:cs="Arial"/>
                <w:sz w:val="16"/>
                <w:szCs w:val="16"/>
              </w:rPr>
            </w:pPr>
          </w:p>
        </w:tc>
        <w:tc>
          <w:tcPr>
            <w:tcW w:w="532" w:type="pct"/>
            <w:gridSpan w:val="2"/>
            <w:tcBorders>
              <w:top w:val="nil"/>
              <w:left w:val="nil"/>
              <w:bottom w:val="nil"/>
              <w:right w:val="nil"/>
            </w:tcBorders>
            <w:shd w:val="clear" w:color="auto" w:fill="auto"/>
            <w:noWrap/>
            <w:vAlign w:val="bottom"/>
            <w:hideMark/>
          </w:tcPr>
          <w:p w14:paraId="0A00A683" w14:textId="77777777" w:rsidR="007E1717" w:rsidRPr="005D0C2F" w:rsidRDefault="007E1717" w:rsidP="007E1717">
            <w:pPr>
              <w:spacing w:after="0" w:line="240" w:lineRule="auto"/>
              <w:jc w:val="right"/>
              <w:rPr>
                <w:rFonts w:ascii="Arial" w:hAnsi="Arial" w:cs="Arial"/>
                <w:sz w:val="16"/>
                <w:szCs w:val="16"/>
              </w:rPr>
            </w:pPr>
          </w:p>
        </w:tc>
      </w:tr>
      <w:tr w:rsidR="007E1717" w:rsidRPr="005D0C2F" w14:paraId="4E4D7FE1"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733A20CD" w14:textId="77777777" w:rsidR="007E1717" w:rsidRPr="005D0C2F" w:rsidRDefault="007E1717" w:rsidP="007E1717">
            <w:pPr>
              <w:pStyle w:val="ListParagraph"/>
              <w:numPr>
                <w:ilvl w:val="0"/>
                <w:numId w:val="256"/>
              </w:numPr>
              <w:spacing w:after="0" w:line="240" w:lineRule="auto"/>
              <w:ind w:left="302" w:hanging="189"/>
              <w:rPr>
                <w:rFonts w:ascii="Arial" w:hAnsi="Arial" w:cs="Arial"/>
                <w:sz w:val="16"/>
                <w:szCs w:val="16"/>
              </w:rPr>
            </w:pPr>
            <w:r w:rsidRPr="005D0C2F">
              <w:rPr>
                <w:rFonts w:ascii="Arial" w:hAnsi="Arial" w:cs="Arial"/>
                <w:sz w:val="16"/>
                <w:szCs w:val="16"/>
              </w:rPr>
              <w:t>Australian Maritime Safety Authority</w:t>
            </w:r>
          </w:p>
        </w:tc>
        <w:tc>
          <w:tcPr>
            <w:tcW w:w="602" w:type="pct"/>
            <w:tcBorders>
              <w:top w:val="nil"/>
              <w:left w:val="nil"/>
              <w:bottom w:val="nil"/>
              <w:right w:val="nil"/>
            </w:tcBorders>
            <w:shd w:val="clear" w:color="auto" w:fill="auto"/>
            <w:noWrap/>
            <w:vAlign w:val="bottom"/>
            <w:hideMark/>
          </w:tcPr>
          <w:p w14:paraId="18093F47" w14:textId="75D2CBD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87,804</w:t>
            </w:r>
          </w:p>
        </w:tc>
        <w:tc>
          <w:tcPr>
            <w:tcW w:w="528" w:type="pct"/>
            <w:gridSpan w:val="2"/>
            <w:tcBorders>
              <w:top w:val="nil"/>
              <w:left w:val="nil"/>
              <w:bottom w:val="nil"/>
              <w:right w:val="nil"/>
            </w:tcBorders>
            <w:shd w:val="clear" w:color="auto" w:fill="E6E6E6"/>
            <w:noWrap/>
            <w:vAlign w:val="bottom"/>
            <w:hideMark/>
          </w:tcPr>
          <w:p w14:paraId="35CD425D" w14:textId="32E35BB6"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92,893</w:t>
            </w:r>
          </w:p>
        </w:tc>
        <w:tc>
          <w:tcPr>
            <w:tcW w:w="532" w:type="pct"/>
            <w:gridSpan w:val="2"/>
            <w:tcBorders>
              <w:top w:val="nil"/>
              <w:left w:val="nil"/>
              <w:bottom w:val="nil"/>
              <w:right w:val="nil"/>
            </w:tcBorders>
            <w:shd w:val="clear" w:color="auto" w:fill="auto"/>
            <w:noWrap/>
            <w:vAlign w:val="bottom"/>
            <w:hideMark/>
          </w:tcPr>
          <w:p w14:paraId="1E77ACC6" w14:textId="57423626"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83,724</w:t>
            </w:r>
          </w:p>
        </w:tc>
        <w:tc>
          <w:tcPr>
            <w:tcW w:w="532" w:type="pct"/>
            <w:gridSpan w:val="2"/>
            <w:tcBorders>
              <w:top w:val="nil"/>
              <w:left w:val="nil"/>
              <w:bottom w:val="nil"/>
              <w:right w:val="nil"/>
            </w:tcBorders>
            <w:shd w:val="clear" w:color="auto" w:fill="auto"/>
            <w:noWrap/>
            <w:vAlign w:val="bottom"/>
            <w:hideMark/>
          </w:tcPr>
          <w:p w14:paraId="702BEA3D" w14:textId="22243243"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85,242</w:t>
            </w:r>
          </w:p>
        </w:tc>
        <w:tc>
          <w:tcPr>
            <w:tcW w:w="532" w:type="pct"/>
            <w:gridSpan w:val="2"/>
            <w:tcBorders>
              <w:top w:val="nil"/>
              <w:left w:val="nil"/>
              <w:bottom w:val="nil"/>
              <w:right w:val="nil"/>
            </w:tcBorders>
            <w:shd w:val="clear" w:color="auto" w:fill="auto"/>
            <w:noWrap/>
            <w:vAlign w:val="bottom"/>
            <w:hideMark/>
          </w:tcPr>
          <w:p w14:paraId="5FC61CD8" w14:textId="61A901B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86,297</w:t>
            </w:r>
          </w:p>
        </w:tc>
      </w:tr>
      <w:tr w:rsidR="007E1717" w:rsidRPr="005D0C2F" w14:paraId="4B8CC67B" w14:textId="77777777" w:rsidTr="00436AC0">
        <w:trPr>
          <w:gridAfter w:val="1"/>
          <w:wAfter w:w="40" w:type="pct"/>
          <w:trHeight w:val="204"/>
        </w:trPr>
        <w:tc>
          <w:tcPr>
            <w:tcW w:w="2233" w:type="pct"/>
            <w:tcBorders>
              <w:top w:val="nil"/>
              <w:left w:val="nil"/>
              <w:bottom w:val="nil"/>
              <w:right w:val="nil"/>
            </w:tcBorders>
            <w:shd w:val="clear" w:color="auto" w:fill="auto"/>
            <w:vAlign w:val="bottom"/>
            <w:hideMark/>
          </w:tcPr>
          <w:p w14:paraId="0E2FCCC8" w14:textId="77777777" w:rsidR="007E1717" w:rsidRPr="005D0C2F" w:rsidRDefault="007E1717" w:rsidP="007E1717">
            <w:pPr>
              <w:pStyle w:val="ListParagraph"/>
              <w:numPr>
                <w:ilvl w:val="0"/>
                <w:numId w:val="256"/>
              </w:numPr>
              <w:spacing w:after="0" w:line="240" w:lineRule="auto"/>
              <w:ind w:left="302" w:hanging="189"/>
              <w:rPr>
                <w:rFonts w:ascii="Arial" w:hAnsi="Arial" w:cs="Arial"/>
                <w:sz w:val="16"/>
                <w:szCs w:val="16"/>
              </w:rPr>
            </w:pPr>
            <w:r w:rsidRPr="005D0C2F">
              <w:rPr>
                <w:rFonts w:ascii="Arial" w:hAnsi="Arial" w:cs="Arial"/>
                <w:sz w:val="16"/>
                <w:szCs w:val="16"/>
              </w:rPr>
              <w:t>National Transport Commission</w:t>
            </w:r>
          </w:p>
        </w:tc>
        <w:tc>
          <w:tcPr>
            <w:tcW w:w="602" w:type="pct"/>
            <w:tcBorders>
              <w:top w:val="nil"/>
              <w:left w:val="nil"/>
              <w:bottom w:val="nil"/>
              <w:right w:val="nil"/>
            </w:tcBorders>
            <w:shd w:val="clear" w:color="auto" w:fill="auto"/>
            <w:noWrap/>
            <w:vAlign w:val="bottom"/>
            <w:hideMark/>
          </w:tcPr>
          <w:p w14:paraId="5ACFD9AA" w14:textId="2BB4A1D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4,464</w:t>
            </w:r>
          </w:p>
        </w:tc>
        <w:tc>
          <w:tcPr>
            <w:tcW w:w="528" w:type="pct"/>
            <w:gridSpan w:val="2"/>
            <w:tcBorders>
              <w:top w:val="nil"/>
              <w:left w:val="nil"/>
              <w:bottom w:val="nil"/>
              <w:right w:val="nil"/>
            </w:tcBorders>
            <w:shd w:val="clear" w:color="auto" w:fill="E6E6E6"/>
            <w:noWrap/>
            <w:vAlign w:val="bottom"/>
            <w:hideMark/>
          </w:tcPr>
          <w:p w14:paraId="72DE33C2" w14:textId="4BB1FB2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4,427</w:t>
            </w:r>
          </w:p>
        </w:tc>
        <w:tc>
          <w:tcPr>
            <w:tcW w:w="532" w:type="pct"/>
            <w:gridSpan w:val="2"/>
            <w:tcBorders>
              <w:top w:val="nil"/>
              <w:left w:val="nil"/>
              <w:bottom w:val="nil"/>
              <w:right w:val="nil"/>
            </w:tcBorders>
            <w:shd w:val="clear" w:color="auto" w:fill="auto"/>
            <w:noWrap/>
            <w:vAlign w:val="bottom"/>
            <w:hideMark/>
          </w:tcPr>
          <w:p w14:paraId="517493FC" w14:textId="05FC70D8"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4,566</w:t>
            </w:r>
          </w:p>
        </w:tc>
        <w:tc>
          <w:tcPr>
            <w:tcW w:w="532" w:type="pct"/>
            <w:gridSpan w:val="2"/>
            <w:tcBorders>
              <w:top w:val="nil"/>
              <w:left w:val="nil"/>
              <w:bottom w:val="nil"/>
              <w:right w:val="nil"/>
            </w:tcBorders>
            <w:shd w:val="clear" w:color="auto" w:fill="auto"/>
            <w:noWrap/>
            <w:vAlign w:val="bottom"/>
            <w:hideMark/>
          </w:tcPr>
          <w:p w14:paraId="005E03CA" w14:textId="4081BD00"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4,130</w:t>
            </w:r>
          </w:p>
        </w:tc>
        <w:tc>
          <w:tcPr>
            <w:tcW w:w="532" w:type="pct"/>
            <w:gridSpan w:val="2"/>
            <w:tcBorders>
              <w:top w:val="nil"/>
              <w:left w:val="nil"/>
              <w:bottom w:val="nil"/>
              <w:right w:val="nil"/>
            </w:tcBorders>
            <w:shd w:val="clear" w:color="auto" w:fill="auto"/>
            <w:noWrap/>
            <w:vAlign w:val="bottom"/>
            <w:hideMark/>
          </w:tcPr>
          <w:p w14:paraId="31C41CAC" w14:textId="4C3C7B1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4,237</w:t>
            </w:r>
          </w:p>
        </w:tc>
      </w:tr>
      <w:tr w:rsidR="007E1717" w:rsidRPr="005D0C2F" w14:paraId="6B74D23C" w14:textId="77777777" w:rsidTr="00436AC0">
        <w:trPr>
          <w:gridAfter w:val="1"/>
          <w:wAfter w:w="40" w:type="pct"/>
          <w:trHeight w:val="204"/>
        </w:trPr>
        <w:tc>
          <w:tcPr>
            <w:tcW w:w="2233" w:type="pct"/>
            <w:tcBorders>
              <w:top w:val="nil"/>
              <w:left w:val="nil"/>
              <w:bottom w:val="nil"/>
              <w:right w:val="nil"/>
            </w:tcBorders>
            <w:shd w:val="clear" w:color="auto" w:fill="auto"/>
            <w:noWrap/>
            <w:vAlign w:val="bottom"/>
            <w:hideMark/>
          </w:tcPr>
          <w:p w14:paraId="72A7364C" w14:textId="77777777" w:rsidR="007E1717" w:rsidRPr="005D0C2F" w:rsidRDefault="007E1717" w:rsidP="007E1717">
            <w:pPr>
              <w:spacing w:after="0" w:line="240" w:lineRule="auto"/>
              <w:rPr>
                <w:rFonts w:ascii="Arial" w:hAnsi="Arial" w:cs="Arial"/>
                <w:b/>
                <w:bCs/>
                <w:sz w:val="16"/>
                <w:szCs w:val="16"/>
              </w:rPr>
            </w:pPr>
            <w:r w:rsidRPr="005D0C2F">
              <w:rPr>
                <w:rFonts w:ascii="Arial" w:hAnsi="Arial" w:cs="Arial"/>
                <w:b/>
                <w:bCs/>
                <w:sz w:val="16"/>
                <w:szCs w:val="16"/>
              </w:rPr>
              <w:t>Total expenses for Program 2.1</w:t>
            </w:r>
          </w:p>
        </w:tc>
        <w:tc>
          <w:tcPr>
            <w:tcW w:w="602" w:type="pct"/>
            <w:tcBorders>
              <w:top w:val="single" w:sz="4" w:space="0" w:color="auto"/>
              <w:left w:val="nil"/>
              <w:bottom w:val="single" w:sz="4" w:space="0" w:color="auto"/>
              <w:right w:val="nil"/>
            </w:tcBorders>
            <w:shd w:val="clear" w:color="auto" w:fill="auto"/>
            <w:noWrap/>
            <w:vAlign w:val="bottom"/>
            <w:hideMark/>
          </w:tcPr>
          <w:p w14:paraId="13DAE4BE" w14:textId="474C3119"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450,008</w:t>
            </w:r>
          </w:p>
        </w:tc>
        <w:tc>
          <w:tcPr>
            <w:tcW w:w="528" w:type="pct"/>
            <w:gridSpan w:val="2"/>
            <w:tcBorders>
              <w:top w:val="single" w:sz="4" w:space="0" w:color="auto"/>
              <w:left w:val="nil"/>
              <w:bottom w:val="single" w:sz="4" w:space="0" w:color="auto"/>
              <w:right w:val="nil"/>
            </w:tcBorders>
            <w:shd w:val="clear" w:color="auto" w:fill="E6E6E6"/>
            <w:noWrap/>
            <w:vAlign w:val="bottom"/>
            <w:hideMark/>
          </w:tcPr>
          <w:p w14:paraId="4F860C7D" w14:textId="510467F2"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481,991</w:t>
            </w:r>
          </w:p>
        </w:tc>
        <w:tc>
          <w:tcPr>
            <w:tcW w:w="532" w:type="pct"/>
            <w:gridSpan w:val="2"/>
            <w:tcBorders>
              <w:top w:val="single" w:sz="4" w:space="0" w:color="auto"/>
              <w:left w:val="nil"/>
              <w:bottom w:val="single" w:sz="4" w:space="0" w:color="auto"/>
              <w:right w:val="nil"/>
            </w:tcBorders>
            <w:shd w:val="clear" w:color="auto" w:fill="auto"/>
            <w:noWrap/>
            <w:vAlign w:val="bottom"/>
            <w:hideMark/>
          </w:tcPr>
          <w:p w14:paraId="6499EB7A" w14:textId="31147CEA"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497,485</w:t>
            </w:r>
          </w:p>
        </w:tc>
        <w:tc>
          <w:tcPr>
            <w:tcW w:w="532" w:type="pct"/>
            <w:gridSpan w:val="2"/>
            <w:tcBorders>
              <w:top w:val="single" w:sz="4" w:space="0" w:color="auto"/>
              <w:left w:val="nil"/>
              <w:bottom w:val="single" w:sz="4" w:space="0" w:color="auto"/>
              <w:right w:val="nil"/>
            </w:tcBorders>
            <w:shd w:val="clear" w:color="auto" w:fill="auto"/>
            <w:noWrap/>
            <w:vAlign w:val="bottom"/>
            <w:hideMark/>
          </w:tcPr>
          <w:p w14:paraId="7FEB9FE0" w14:textId="7A08FA37"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499,444</w:t>
            </w:r>
          </w:p>
        </w:tc>
        <w:tc>
          <w:tcPr>
            <w:tcW w:w="532" w:type="pct"/>
            <w:gridSpan w:val="2"/>
            <w:tcBorders>
              <w:top w:val="single" w:sz="4" w:space="0" w:color="auto"/>
              <w:left w:val="nil"/>
              <w:bottom w:val="single" w:sz="4" w:space="0" w:color="auto"/>
              <w:right w:val="nil"/>
            </w:tcBorders>
            <w:shd w:val="clear" w:color="auto" w:fill="auto"/>
            <w:noWrap/>
            <w:vAlign w:val="bottom"/>
            <w:hideMark/>
          </w:tcPr>
          <w:p w14:paraId="0D615E8C" w14:textId="45740EAF"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505,481</w:t>
            </w:r>
          </w:p>
        </w:tc>
      </w:tr>
      <w:tr w:rsidR="00115843" w:rsidRPr="005D0C2F" w14:paraId="0E0EE600" w14:textId="77777777" w:rsidTr="00436AC0">
        <w:trPr>
          <w:trHeight w:val="204"/>
        </w:trPr>
        <w:tc>
          <w:tcPr>
            <w:tcW w:w="2233" w:type="pct"/>
            <w:tcBorders>
              <w:top w:val="single" w:sz="4" w:space="0" w:color="auto"/>
              <w:left w:val="nil"/>
              <w:bottom w:val="single" w:sz="4" w:space="0" w:color="auto"/>
              <w:right w:val="nil"/>
            </w:tcBorders>
            <w:shd w:val="clear" w:color="auto" w:fill="E6E6E6"/>
            <w:noWrap/>
            <w:vAlign w:val="bottom"/>
            <w:hideMark/>
          </w:tcPr>
          <w:p w14:paraId="7BB23C88" w14:textId="77777777" w:rsidR="00115843" w:rsidRPr="005D0C2F" w:rsidRDefault="00115843" w:rsidP="00FB0D02">
            <w:pPr>
              <w:spacing w:after="0" w:line="240" w:lineRule="auto"/>
              <w:rPr>
                <w:rFonts w:ascii="Arial" w:hAnsi="Arial" w:cs="Arial"/>
                <w:b/>
                <w:bCs/>
                <w:sz w:val="16"/>
                <w:szCs w:val="16"/>
              </w:rPr>
            </w:pPr>
            <w:r w:rsidRPr="005D0C2F">
              <w:rPr>
                <w:rFonts w:ascii="Arial" w:hAnsi="Arial" w:cs="Arial"/>
                <w:b/>
                <w:bCs/>
                <w:sz w:val="16"/>
                <w:szCs w:val="16"/>
              </w:rPr>
              <w:t xml:space="preserve">Components for Program 2.2: Road Safety </w:t>
            </w:r>
          </w:p>
        </w:tc>
        <w:tc>
          <w:tcPr>
            <w:tcW w:w="612" w:type="pct"/>
            <w:gridSpan w:val="2"/>
            <w:tcBorders>
              <w:top w:val="single" w:sz="4" w:space="0" w:color="auto"/>
              <w:left w:val="nil"/>
              <w:bottom w:val="single" w:sz="4" w:space="0" w:color="auto"/>
              <w:right w:val="nil"/>
            </w:tcBorders>
            <w:shd w:val="clear" w:color="auto" w:fill="E6E6E6"/>
            <w:noWrap/>
            <w:vAlign w:val="bottom"/>
            <w:hideMark/>
          </w:tcPr>
          <w:p w14:paraId="7FC92D9B" w14:textId="77777777" w:rsidR="00115843" w:rsidRPr="005D0C2F" w:rsidRDefault="00115843" w:rsidP="00FB0D02">
            <w:pPr>
              <w:spacing w:after="0" w:line="240" w:lineRule="auto"/>
              <w:jc w:val="right"/>
              <w:rPr>
                <w:rFonts w:ascii="Arial" w:hAnsi="Arial" w:cs="Arial"/>
                <w:sz w:val="16"/>
                <w:szCs w:val="16"/>
              </w:rPr>
            </w:pPr>
            <w:r w:rsidRPr="005D0C2F">
              <w:rPr>
                <w:rFonts w:ascii="Arial" w:hAnsi="Arial" w:cs="Arial"/>
                <w:sz w:val="16"/>
                <w:szCs w:val="16"/>
              </w:rPr>
              <w:t> </w:t>
            </w:r>
          </w:p>
        </w:tc>
        <w:tc>
          <w:tcPr>
            <w:tcW w:w="541" w:type="pct"/>
            <w:gridSpan w:val="2"/>
            <w:tcBorders>
              <w:top w:val="single" w:sz="4" w:space="0" w:color="auto"/>
              <w:left w:val="nil"/>
              <w:bottom w:val="single" w:sz="4" w:space="0" w:color="auto"/>
              <w:right w:val="nil"/>
            </w:tcBorders>
            <w:shd w:val="clear" w:color="auto" w:fill="E6E6E6"/>
            <w:noWrap/>
            <w:vAlign w:val="bottom"/>
            <w:hideMark/>
          </w:tcPr>
          <w:p w14:paraId="63E78B6B" w14:textId="77777777" w:rsidR="00115843" w:rsidRPr="005D0C2F" w:rsidRDefault="00115843" w:rsidP="00FB0D02">
            <w:pPr>
              <w:spacing w:after="0" w:line="240" w:lineRule="auto"/>
              <w:jc w:val="right"/>
              <w:rPr>
                <w:rFonts w:ascii="Arial" w:hAnsi="Arial" w:cs="Arial"/>
                <w:sz w:val="16"/>
                <w:szCs w:val="16"/>
              </w:rPr>
            </w:pPr>
            <w:r w:rsidRPr="005D0C2F">
              <w:rPr>
                <w:rFonts w:ascii="Arial" w:hAnsi="Arial" w:cs="Arial"/>
                <w:sz w:val="16"/>
                <w:szCs w:val="16"/>
              </w:rPr>
              <w:t> </w:t>
            </w:r>
          </w:p>
        </w:tc>
        <w:tc>
          <w:tcPr>
            <w:tcW w:w="543" w:type="pct"/>
            <w:gridSpan w:val="2"/>
            <w:tcBorders>
              <w:top w:val="single" w:sz="4" w:space="0" w:color="auto"/>
              <w:left w:val="nil"/>
              <w:bottom w:val="single" w:sz="4" w:space="0" w:color="auto"/>
              <w:right w:val="nil"/>
            </w:tcBorders>
            <w:shd w:val="clear" w:color="auto" w:fill="E6E6E6"/>
            <w:noWrap/>
            <w:vAlign w:val="bottom"/>
            <w:hideMark/>
          </w:tcPr>
          <w:p w14:paraId="44DC684E" w14:textId="77777777" w:rsidR="00115843" w:rsidRPr="005D0C2F" w:rsidRDefault="00115843" w:rsidP="00FB0D02">
            <w:pPr>
              <w:spacing w:after="0" w:line="240" w:lineRule="auto"/>
              <w:jc w:val="right"/>
              <w:rPr>
                <w:rFonts w:ascii="Arial" w:hAnsi="Arial" w:cs="Arial"/>
                <w:sz w:val="16"/>
                <w:szCs w:val="16"/>
              </w:rPr>
            </w:pPr>
            <w:r w:rsidRPr="005D0C2F">
              <w:rPr>
                <w:rFonts w:ascii="Arial" w:hAnsi="Arial" w:cs="Arial"/>
                <w:sz w:val="16"/>
                <w:szCs w:val="16"/>
              </w:rPr>
              <w:t> </w:t>
            </w:r>
          </w:p>
        </w:tc>
        <w:tc>
          <w:tcPr>
            <w:tcW w:w="543" w:type="pct"/>
            <w:gridSpan w:val="2"/>
            <w:tcBorders>
              <w:top w:val="single" w:sz="4" w:space="0" w:color="auto"/>
              <w:left w:val="nil"/>
              <w:bottom w:val="single" w:sz="4" w:space="0" w:color="auto"/>
              <w:right w:val="nil"/>
            </w:tcBorders>
            <w:shd w:val="clear" w:color="auto" w:fill="E6E6E6"/>
            <w:noWrap/>
            <w:vAlign w:val="bottom"/>
            <w:hideMark/>
          </w:tcPr>
          <w:p w14:paraId="569A4968" w14:textId="77777777" w:rsidR="00115843" w:rsidRPr="005D0C2F" w:rsidRDefault="00115843" w:rsidP="00FB0D02">
            <w:pPr>
              <w:spacing w:after="0" w:line="240" w:lineRule="auto"/>
              <w:jc w:val="right"/>
              <w:rPr>
                <w:rFonts w:ascii="Arial" w:hAnsi="Arial" w:cs="Arial"/>
                <w:sz w:val="16"/>
                <w:szCs w:val="16"/>
              </w:rPr>
            </w:pPr>
            <w:r w:rsidRPr="005D0C2F">
              <w:rPr>
                <w:rFonts w:ascii="Arial" w:hAnsi="Arial" w:cs="Arial"/>
                <w:sz w:val="16"/>
                <w:szCs w:val="16"/>
              </w:rPr>
              <w:t> </w:t>
            </w:r>
          </w:p>
        </w:tc>
        <w:tc>
          <w:tcPr>
            <w:tcW w:w="527" w:type="pct"/>
            <w:gridSpan w:val="2"/>
            <w:tcBorders>
              <w:top w:val="single" w:sz="4" w:space="0" w:color="auto"/>
              <w:left w:val="nil"/>
              <w:bottom w:val="single" w:sz="4" w:space="0" w:color="auto"/>
              <w:right w:val="nil"/>
            </w:tcBorders>
            <w:shd w:val="clear" w:color="auto" w:fill="E6E6E6"/>
            <w:noWrap/>
            <w:vAlign w:val="bottom"/>
            <w:hideMark/>
          </w:tcPr>
          <w:p w14:paraId="77FF0926" w14:textId="77777777" w:rsidR="00115843" w:rsidRPr="005D0C2F" w:rsidRDefault="00115843" w:rsidP="00FB0D02">
            <w:pPr>
              <w:spacing w:after="0" w:line="240" w:lineRule="auto"/>
              <w:jc w:val="right"/>
              <w:rPr>
                <w:rFonts w:ascii="Arial" w:hAnsi="Arial" w:cs="Arial"/>
                <w:sz w:val="16"/>
                <w:szCs w:val="16"/>
              </w:rPr>
            </w:pPr>
            <w:r w:rsidRPr="005D0C2F">
              <w:rPr>
                <w:rFonts w:ascii="Arial" w:hAnsi="Arial" w:cs="Arial"/>
                <w:sz w:val="16"/>
                <w:szCs w:val="16"/>
              </w:rPr>
              <w:t> </w:t>
            </w:r>
          </w:p>
        </w:tc>
      </w:tr>
      <w:tr w:rsidR="00115843" w:rsidRPr="005D0C2F" w14:paraId="740BB80A" w14:textId="77777777" w:rsidTr="00436AC0">
        <w:trPr>
          <w:trHeight w:val="204"/>
        </w:trPr>
        <w:tc>
          <w:tcPr>
            <w:tcW w:w="2233" w:type="pct"/>
            <w:tcBorders>
              <w:top w:val="nil"/>
              <w:left w:val="nil"/>
              <w:bottom w:val="nil"/>
              <w:right w:val="nil"/>
            </w:tcBorders>
            <w:shd w:val="clear" w:color="auto" w:fill="auto"/>
            <w:noWrap/>
            <w:vAlign w:val="bottom"/>
            <w:hideMark/>
          </w:tcPr>
          <w:p w14:paraId="6C9A56C1" w14:textId="77777777" w:rsidR="00115843" w:rsidRPr="005D0C2F" w:rsidRDefault="00115843" w:rsidP="00FB0D02">
            <w:pPr>
              <w:spacing w:after="0" w:line="240" w:lineRule="auto"/>
              <w:rPr>
                <w:rFonts w:ascii="Arial" w:hAnsi="Arial" w:cs="Arial"/>
                <w:sz w:val="16"/>
                <w:szCs w:val="16"/>
              </w:rPr>
            </w:pPr>
            <w:r w:rsidRPr="005D0C2F">
              <w:rPr>
                <w:rFonts w:ascii="Arial" w:hAnsi="Arial" w:cs="Arial"/>
                <w:sz w:val="16"/>
                <w:szCs w:val="16"/>
              </w:rPr>
              <w:t>Administered expenses</w:t>
            </w:r>
          </w:p>
        </w:tc>
        <w:tc>
          <w:tcPr>
            <w:tcW w:w="612" w:type="pct"/>
            <w:gridSpan w:val="2"/>
            <w:tcBorders>
              <w:top w:val="nil"/>
              <w:left w:val="nil"/>
              <w:bottom w:val="nil"/>
              <w:right w:val="nil"/>
            </w:tcBorders>
            <w:shd w:val="clear" w:color="auto" w:fill="auto"/>
            <w:noWrap/>
            <w:vAlign w:val="bottom"/>
            <w:hideMark/>
          </w:tcPr>
          <w:p w14:paraId="77FF1243" w14:textId="77777777" w:rsidR="00115843" w:rsidRPr="005D0C2F" w:rsidRDefault="00115843" w:rsidP="00FB0D02">
            <w:pPr>
              <w:spacing w:after="0" w:line="240" w:lineRule="auto"/>
              <w:jc w:val="right"/>
              <w:rPr>
                <w:rFonts w:ascii="Arial" w:hAnsi="Arial" w:cs="Arial"/>
                <w:sz w:val="16"/>
                <w:szCs w:val="16"/>
              </w:rPr>
            </w:pPr>
          </w:p>
        </w:tc>
        <w:tc>
          <w:tcPr>
            <w:tcW w:w="541" w:type="pct"/>
            <w:gridSpan w:val="2"/>
            <w:tcBorders>
              <w:top w:val="nil"/>
              <w:left w:val="nil"/>
              <w:bottom w:val="nil"/>
              <w:right w:val="nil"/>
            </w:tcBorders>
            <w:shd w:val="clear" w:color="auto" w:fill="E6E6E6"/>
            <w:noWrap/>
            <w:vAlign w:val="bottom"/>
            <w:hideMark/>
          </w:tcPr>
          <w:p w14:paraId="0F6C80C4" w14:textId="77777777" w:rsidR="00115843" w:rsidRPr="005D0C2F" w:rsidRDefault="00115843" w:rsidP="00FB0D02">
            <w:pPr>
              <w:spacing w:after="0" w:line="240" w:lineRule="auto"/>
              <w:jc w:val="right"/>
              <w:rPr>
                <w:rFonts w:ascii="Arial" w:hAnsi="Arial" w:cs="Arial"/>
                <w:sz w:val="16"/>
                <w:szCs w:val="16"/>
              </w:rPr>
            </w:pPr>
          </w:p>
        </w:tc>
        <w:tc>
          <w:tcPr>
            <w:tcW w:w="543" w:type="pct"/>
            <w:gridSpan w:val="2"/>
            <w:tcBorders>
              <w:top w:val="nil"/>
              <w:left w:val="nil"/>
              <w:bottom w:val="nil"/>
              <w:right w:val="nil"/>
            </w:tcBorders>
            <w:shd w:val="clear" w:color="auto" w:fill="auto"/>
            <w:noWrap/>
            <w:vAlign w:val="bottom"/>
            <w:hideMark/>
          </w:tcPr>
          <w:p w14:paraId="50948C62" w14:textId="77777777" w:rsidR="00115843" w:rsidRPr="005D0C2F" w:rsidRDefault="00115843" w:rsidP="00FB0D02">
            <w:pPr>
              <w:spacing w:after="0" w:line="240" w:lineRule="auto"/>
              <w:jc w:val="right"/>
              <w:rPr>
                <w:rFonts w:ascii="Arial" w:hAnsi="Arial" w:cs="Arial"/>
                <w:sz w:val="16"/>
                <w:szCs w:val="16"/>
              </w:rPr>
            </w:pPr>
          </w:p>
        </w:tc>
        <w:tc>
          <w:tcPr>
            <w:tcW w:w="543" w:type="pct"/>
            <w:gridSpan w:val="2"/>
            <w:tcBorders>
              <w:top w:val="nil"/>
              <w:left w:val="nil"/>
              <w:bottom w:val="nil"/>
              <w:right w:val="nil"/>
            </w:tcBorders>
            <w:shd w:val="clear" w:color="auto" w:fill="auto"/>
            <w:noWrap/>
            <w:vAlign w:val="bottom"/>
            <w:hideMark/>
          </w:tcPr>
          <w:p w14:paraId="6DDA79BE" w14:textId="77777777" w:rsidR="00115843" w:rsidRPr="005D0C2F" w:rsidRDefault="00115843" w:rsidP="00FB0D02">
            <w:pPr>
              <w:spacing w:after="0" w:line="240" w:lineRule="auto"/>
              <w:jc w:val="right"/>
              <w:rPr>
                <w:rFonts w:ascii="Arial" w:hAnsi="Arial" w:cs="Arial"/>
                <w:sz w:val="16"/>
                <w:szCs w:val="16"/>
              </w:rPr>
            </w:pPr>
          </w:p>
        </w:tc>
        <w:tc>
          <w:tcPr>
            <w:tcW w:w="527" w:type="pct"/>
            <w:gridSpan w:val="2"/>
            <w:tcBorders>
              <w:top w:val="nil"/>
              <w:left w:val="nil"/>
              <w:bottom w:val="nil"/>
              <w:right w:val="nil"/>
            </w:tcBorders>
            <w:shd w:val="clear" w:color="auto" w:fill="auto"/>
            <w:noWrap/>
            <w:vAlign w:val="bottom"/>
            <w:hideMark/>
          </w:tcPr>
          <w:p w14:paraId="717D6EAC" w14:textId="77777777" w:rsidR="00115843" w:rsidRPr="005D0C2F" w:rsidRDefault="00115843" w:rsidP="00FB0D02">
            <w:pPr>
              <w:spacing w:after="0" w:line="240" w:lineRule="auto"/>
              <w:jc w:val="right"/>
              <w:rPr>
                <w:rFonts w:ascii="Arial" w:hAnsi="Arial" w:cs="Arial"/>
                <w:sz w:val="16"/>
                <w:szCs w:val="16"/>
              </w:rPr>
            </w:pPr>
          </w:p>
        </w:tc>
      </w:tr>
      <w:tr w:rsidR="007E1717" w:rsidRPr="005D0C2F" w14:paraId="5610C0DC" w14:textId="77777777" w:rsidTr="00436AC0">
        <w:trPr>
          <w:trHeight w:val="204"/>
        </w:trPr>
        <w:tc>
          <w:tcPr>
            <w:tcW w:w="2233" w:type="pct"/>
            <w:tcBorders>
              <w:top w:val="nil"/>
              <w:left w:val="nil"/>
              <w:bottom w:val="nil"/>
              <w:right w:val="nil"/>
            </w:tcBorders>
            <w:shd w:val="clear" w:color="auto" w:fill="auto"/>
            <w:noWrap/>
            <w:vAlign w:val="bottom"/>
            <w:hideMark/>
          </w:tcPr>
          <w:p w14:paraId="00A045B5"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Amy Gillett Foundation Program</w:t>
            </w:r>
          </w:p>
        </w:tc>
        <w:tc>
          <w:tcPr>
            <w:tcW w:w="612" w:type="pct"/>
            <w:gridSpan w:val="2"/>
            <w:tcBorders>
              <w:top w:val="nil"/>
              <w:left w:val="nil"/>
              <w:bottom w:val="nil"/>
              <w:right w:val="nil"/>
            </w:tcBorders>
            <w:shd w:val="clear" w:color="auto" w:fill="auto"/>
            <w:noWrap/>
            <w:vAlign w:val="bottom"/>
            <w:hideMark/>
          </w:tcPr>
          <w:p w14:paraId="1F9EDDCA" w14:textId="5F577534"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41" w:type="pct"/>
            <w:gridSpan w:val="2"/>
            <w:tcBorders>
              <w:top w:val="nil"/>
              <w:left w:val="nil"/>
              <w:bottom w:val="nil"/>
              <w:right w:val="nil"/>
            </w:tcBorders>
            <w:shd w:val="clear" w:color="auto" w:fill="E6E6E6"/>
            <w:noWrap/>
            <w:vAlign w:val="bottom"/>
            <w:hideMark/>
          </w:tcPr>
          <w:p w14:paraId="2CAF483B" w14:textId="39382E46"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3,000</w:t>
            </w:r>
          </w:p>
        </w:tc>
        <w:tc>
          <w:tcPr>
            <w:tcW w:w="543" w:type="pct"/>
            <w:gridSpan w:val="2"/>
            <w:tcBorders>
              <w:top w:val="nil"/>
              <w:left w:val="nil"/>
              <w:bottom w:val="nil"/>
              <w:right w:val="nil"/>
            </w:tcBorders>
            <w:shd w:val="clear" w:color="auto" w:fill="auto"/>
            <w:noWrap/>
            <w:vAlign w:val="bottom"/>
            <w:hideMark/>
          </w:tcPr>
          <w:p w14:paraId="5B72C71A" w14:textId="3B53F9D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3,000</w:t>
            </w:r>
          </w:p>
        </w:tc>
        <w:tc>
          <w:tcPr>
            <w:tcW w:w="543" w:type="pct"/>
            <w:gridSpan w:val="2"/>
            <w:tcBorders>
              <w:top w:val="nil"/>
              <w:left w:val="nil"/>
              <w:bottom w:val="nil"/>
              <w:right w:val="nil"/>
            </w:tcBorders>
            <w:shd w:val="clear" w:color="auto" w:fill="auto"/>
            <w:noWrap/>
            <w:vAlign w:val="bottom"/>
            <w:hideMark/>
          </w:tcPr>
          <w:p w14:paraId="5D4D1376" w14:textId="1FA5633C"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7" w:type="pct"/>
            <w:gridSpan w:val="2"/>
            <w:tcBorders>
              <w:top w:val="nil"/>
              <w:left w:val="nil"/>
              <w:bottom w:val="nil"/>
              <w:right w:val="nil"/>
            </w:tcBorders>
            <w:shd w:val="clear" w:color="auto" w:fill="auto"/>
            <w:noWrap/>
            <w:vAlign w:val="bottom"/>
            <w:hideMark/>
          </w:tcPr>
          <w:p w14:paraId="70F0844F" w14:textId="26DCC75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3E9AA804" w14:textId="77777777" w:rsidTr="00436AC0">
        <w:trPr>
          <w:trHeight w:val="204"/>
        </w:trPr>
        <w:tc>
          <w:tcPr>
            <w:tcW w:w="2233" w:type="pct"/>
            <w:tcBorders>
              <w:top w:val="nil"/>
              <w:left w:val="nil"/>
              <w:bottom w:val="nil"/>
              <w:right w:val="nil"/>
            </w:tcBorders>
            <w:shd w:val="clear" w:color="auto" w:fill="auto"/>
            <w:vAlign w:val="bottom"/>
            <w:hideMark/>
          </w:tcPr>
          <w:p w14:paraId="5BC3A2FE" w14:textId="50868E12"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Keys2</w:t>
            </w:r>
            <w:r>
              <w:rPr>
                <w:rFonts w:ascii="Arial" w:hAnsi="Arial" w:cs="Arial"/>
                <w:sz w:val="16"/>
                <w:szCs w:val="16"/>
              </w:rPr>
              <w:t>d</w:t>
            </w:r>
            <w:r w:rsidRPr="005D0C2F">
              <w:rPr>
                <w:rFonts w:ascii="Arial" w:hAnsi="Arial" w:cs="Arial"/>
                <w:sz w:val="16"/>
                <w:szCs w:val="16"/>
              </w:rPr>
              <w:t>rive</w:t>
            </w:r>
          </w:p>
        </w:tc>
        <w:tc>
          <w:tcPr>
            <w:tcW w:w="612" w:type="pct"/>
            <w:gridSpan w:val="2"/>
            <w:tcBorders>
              <w:top w:val="nil"/>
              <w:left w:val="nil"/>
              <w:bottom w:val="nil"/>
              <w:right w:val="nil"/>
            </w:tcBorders>
            <w:shd w:val="clear" w:color="auto" w:fill="auto"/>
            <w:noWrap/>
            <w:vAlign w:val="bottom"/>
            <w:hideMark/>
          </w:tcPr>
          <w:p w14:paraId="7B50D9C3" w14:textId="7ED9416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4,000</w:t>
            </w:r>
          </w:p>
        </w:tc>
        <w:tc>
          <w:tcPr>
            <w:tcW w:w="541" w:type="pct"/>
            <w:gridSpan w:val="2"/>
            <w:tcBorders>
              <w:top w:val="nil"/>
              <w:left w:val="nil"/>
              <w:bottom w:val="nil"/>
              <w:right w:val="nil"/>
            </w:tcBorders>
            <w:shd w:val="clear" w:color="auto" w:fill="E6E6E6"/>
            <w:noWrap/>
            <w:vAlign w:val="bottom"/>
            <w:hideMark/>
          </w:tcPr>
          <w:p w14:paraId="67BF18D4" w14:textId="6FB00275"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6,000</w:t>
            </w:r>
          </w:p>
        </w:tc>
        <w:tc>
          <w:tcPr>
            <w:tcW w:w="543" w:type="pct"/>
            <w:gridSpan w:val="2"/>
            <w:tcBorders>
              <w:top w:val="nil"/>
              <w:left w:val="nil"/>
              <w:bottom w:val="nil"/>
              <w:right w:val="nil"/>
            </w:tcBorders>
            <w:shd w:val="clear" w:color="auto" w:fill="auto"/>
            <w:noWrap/>
            <w:vAlign w:val="bottom"/>
            <w:hideMark/>
          </w:tcPr>
          <w:p w14:paraId="29287B1F" w14:textId="4E5B391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43" w:type="pct"/>
            <w:gridSpan w:val="2"/>
            <w:tcBorders>
              <w:top w:val="nil"/>
              <w:left w:val="nil"/>
              <w:bottom w:val="nil"/>
              <w:right w:val="nil"/>
            </w:tcBorders>
            <w:shd w:val="clear" w:color="auto" w:fill="auto"/>
            <w:noWrap/>
            <w:vAlign w:val="bottom"/>
            <w:hideMark/>
          </w:tcPr>
          <w:p w14:paraId="110822A4" w14:textId="1CAAFC0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7" w:type="pct"/>
            <w:gridSpan w:val="2"/>
            <w:tcBorders>
              <w:top w:val="nil"/>
              <w:left w:val="nil"/>
              <w:bottom w:val="nil"/>
              <w:right w:val="nil"/>
            </w:tcBorders>
            <w:shd w:val="clear" w:color="auto" w:fill="auto"/>
            <w:noWrap/>
            <w:vAlign w:val="bottom"/>
            <w:hideMark/>
          </w:tcPr>
          <w:p w14:paraId="0025A0E9" w14:textId="66947BDA"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116F40AC" w14:textId="77777777" w:rsidTr="00436AC0">
        <w:trPr>
          <w:trHeight w:val="204"/>
        </w:trPr>
        <w:tc>
          <w:tcPr>
            <w:tcW w:w="2233" w:type="pct"/>
            <w:tcBorders>
              <w:top w:val="nil"/>
              <w:left w:val="nil"/>
              <w:bottom w:val="nil"/>
              <w:right w:val="nil"/>
            </w:tcBorders>
            <w:shd w:val="clear" w:color="auto" w:fill="auto"/>
            <w:vAlign w:val="bottom"/>
            <w:hideMark/>
          </w:tcPr>
          <w:p w14:paraId="4E2C8316"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Road Safety Awareness and Enablers Fund</w:t>
            </w:r>
          </w:p>
        </w:tc>
        <w:tc>
          <w:tcPr>
            <w:tcW w:w="612" w:type="pct"/>
            <w:gridSpan w:val="2"/>
            <w:tcBorders>
              <w:top w:val="nil"/>
              <w:left w:val="nil"/>
              <w:bottom w:val="nil"/>
              <w:right w:val="nil"/>
            </w:tcBorders>
            <w:shd w:val="clear" w:color="auto" w:fill="auto"/>
            <w:noWrap/>
            <w:vAlign w:val="bottom"/>
            <w:hideMark/>
          </w:tcPr>
          <w:p w14:paraId="1CADBEDB" w14:textId="69604112"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1,274</w:t>
            </w:r>
          </w:p>
        </w:tc>
        <w:tc>
          <w:tcPr>
            <w:tcW w:w="541" w:type="pct"/>
            <w:gridSpan w:val="2"/>
            <w:tcBorders>
              <w:top w:val="nil"/>
              <w:left w:val="nil"/>
              <w:bottom w:val="nil"/>
              <w:right w:val="nil"/>
            </w:tcBorders>
            <w:shd w:val="clear" w:color="auto" w:fill="E6E6E6"/>
            <w:noWrap/>
            <w:vAlign w:val="bottom"/>
            <w:hideMark/>
          </w:tcPr>
          <w:p w14:paraId="507FA58F" w14:textId="2CAD3871"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2,141</w:t>
            </w:r>
          </w:p>
        </w:tc>
        <w:tc>
          <w:tcPr>
            <w:tcW w:w="543" w:type="pct"/>
            <w:gridSpan w:val="2"/>
            <w:tcBorders>
              <w:top w:val="nil"/>
              <w:left w:val="nil"/>
              <w:bottom w:val="nil"/>
              <w:right w:val="nil"/>
            </w:tcBorders>
            <w:shd w:val="clear" w:color="auto" w:fill="auto"/>
            <w:noWrap/>
            <w:vAlign w:val="bottom"/>
            <w:hideMark/>
          </w:tcPr>
          <w:p w14:paraId="4BFF3C29" w14:textId="0C5B05EB"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1,500</w:t>
            </w:r>
          </w:p>
        </w:tc>
        <w:tc>
          <w:tcPr>
            <w:tcW w:w="543" w:type="pct"/>
            <w:gridSpan w:val="2"/>
            <w:tcBorders>
              <w:top w:val="nil"/>
              <w:left w:val="nil"/>
              <w:bottom w:val="nil"/>
              <w:right w:val="nil"/>
            </w:tcBorders>
            <w:shd w:val="clear" w:color="auto" w:fill="auto"/>
            <w:noWrap/>
            <w:vAlign w:val="bottom"/>
            <w:hideMark/>
          </w:tcPr>
          <w:p w14:paraId="19B3C93D" w14:textId="1AFECB0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2,000</w:t>
            </w:r>
          </w:p>
        </w:tc>
        <w:tc>
          <w:tcPr>
            <w:tcW w:w="527" w:type="pct"/>
            <w:gridSpan w:val="2"/>
            <w:tcBorders>
              <w:top w:val="nil"/>
              <w:left w:val="nil"/>
              <w:bottom w:val="nil"/>
              <w:right w:val="nil"/>
            </w:tcBorders>
            <w:shd w:val="clear" w:color="auto" w:fill="auto"/>
            <w:noWrap/>
            <w:vAlign w:val="bottom"/>
            <w:hideMark/>
          </w:tcPr>
          <w:p w14:paraId="213BE28F" w14:textId="3BC0CB40"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53D0D055" w14:textId="77777777" w:rsidTr="00436AC0">
        <w:trPr>
          <w:trHeight w:val="204"/>
        </w:trPr>
        <w:tc>
          <w:tcPr>
            <w:tcW w:w="2233" w:type="pct"/>
            <w:tcBorders>
              <w:top w:val="nil"/>
              <w:left w:val="nil"/>
              <w:bottom w:val="nil"/>
              <w:right w:val="nil"/>
            </w:tcBorders>
            <w:shd w:val="clear" w:color="auto" w:fill="auto"/>
            <w:vAlign w:val="bottom"/>
            <w:hideMark/>
          </w:tcPr>
          <w:p w14:paraId="7410CD37" w14:textId="77777777" w:rsidR="007E1717" w:rsidRPr="005D0C2F" w:rsidRDefault="007E1717" w:rsidP="007E1717">
            <w:pPr>
              <w:spacing w:after="0" w:line="240" w:lineRule="auto"/>
              <w:ind w:left="113"/>
              <w:rPr>
                <w:rFonts w:ascii="Arial" w:hAnsi="Arial" w:cs="Arial"/>
                <w:sz w:val="16"/>
                <w:szCs w:val="16"/>
              </w:rPr>
            </w:pPr>
            <w:r w:rsidRPr="005D0C2F">
              <w:rPr>
                <w:rFonts w:ascii="Arial" w:hAnsi="Arial" w:cs="Arial"/>
                <w:sz w:val="16"/>
                <w:szCs w:val="16"/>
              </w:rPr>
              <w:t>Road Safety Innovation Fund</w:t>
            </w:r>
          </w:p>
        </w:tc>
        <w:tc>
          <w:tcPr>
            <w:tcW w:w="612" w:type="pct"/>
            <w:gridSpan w:val="2"/>
            <w:tcBorders>
              <w:top w:val="nil"/>
              <w:left w:val="nil"/>
              <w:bottom w:val="nil"/>
              <w:right w:val="nil"/>
            </w:tcBorders>
            <w:shd w:val="clear" w:color="auto" w:fill="auto"/>
            <w:noWrap/>
            <w:vAlign w:val="bottom"/>
            <w:hideMark/>
          </w:tcPr>
          <w:p w14:paraId="439DA2CD" w14:textId="6E42370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2,744</w:t>
            </w:r>
          </w:p>
        </w:tc>
        <w:tc>
          <w:tcPr>
            <w:tcW w:w="541" w:type="pct"/>
            <w:gridSpan w:val="2"/>
            <w:tcBorders>
              <w:top w:val="nil"/>
              <w:left w:val="nil"/>
              <w:bottom w:val="nil"/>
              <w:right w:val="nil"/>
            </w:tcBorders>
            <w:shd w:val="clear" w:color="auto" w:fill="E6E6E6"/>
            <w:noWrap/>
            <w:vAlign w:val="bottom"/>
            <w:hideMark/>
          </w:tcPr>
          <w:p w14:paraId="117B7B00" w14:textId="7D4707FF"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4,954</w:t>
            </w:r>
          </w:p>
        </w:tc>
        <w:tc>
          <w:tcPr>
            <w:tcW w:w="543" w:type="pct"/>
            <w:gridSpan w:val="2"/>
            <w:tcBorders>
              <w:top w:val="nil"/>
              <w:left w:val="nil"/>
              <w:bottom w:val="nil"/>
              <w:right w:val="nil"/>
            </w:tcBorders>
            <w:shd w:val="clear" w:color="auto" w:fill="auto"/>
            <w:noWrap/>
            <w:vAlign w:val="bottom"/>
            <w:hideMark/>
          </w:tcPr>
          <w:p w14:paraId="492A7163" w14:textId="290AC1D7"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5,000</w:t>
            </w:r>
          </w:p>
        </w:tc>
        <w:tc>
          <w:tcPr>
            <w:tcW w:w="543" w:type="pct"/>
            <w:gridSpan w:val="2"/>
            <w:tcBorders>
              <w:top w:val="nil"/>
              <w:left w:val="nil"/>
              <w:bottom w:val="nil"/>
              <w:right w:val="nil"/>
            </w:tcBorders>
            <w:shd w:val="clear" w:color="auto" w:fill="auto"/>
            <w:noWrap/>
            <w:vAlign w:val="bottom"/>
            <w:hideMark/>
          </w:tcPr>
          <w:p w14:paraId="7C4CBA41" w14:textId="1CBB26DB"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5,500</w:t>
            </w:r>
          </w:p>
        </w:tc>
        <w:tc>
          <w:tcPr>
            <w:tcW w:w="527" w:type="pct"/>
            <w:gridSpan w:val="2"/>
            <w:tcBorders>
              <w:top w:val="nil"/>
              <w:left w:val="nil"/>
              <w:bottom w:val="nil"/>
              <w:right w:val="nil"/>
            </w:tcBorders>
            <w:shd w:val="clear" w:color="auto" w:fill="auto"/>
            <w:noWrap/>
            <w:vAlign w:val="bottom"/>
            <w:hideMark/>
          </w:tcPr>
          <w:p w14:paraId="269240E8" w14:textId="52CE598D"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41D9AD19" w14:textId="77777777" w:rsidTr="00436AC0">
        <w:trPr>
          <w:trHeight w:val="204"/>
        </w:trPr>
        <w:tc>
          <w:tcPr>
            <w:tcW w:w="2233" w:type="pct"/>
            <w:tcBorders>
              <w:top w:val="nil"/>
              <w:left w:val="nil"/>
              <w:bottom w:val="nil"/>
              <w:right w:val="nil"/>
            </w:tcBorders>
            <w:shd w:val="clear" w:color="auto" w:fill="auto"/>
            <w:vAlign w:val="bottom"/>
          </w:tcPr>
          <w:p w14:paraId="0CD534BC" w14:textId="7B5674BC" w:rsidR="007E1717" w:rsidRPr="005D0C2F" w:rsidRDefault="007E1717" w:rsidP="007E1717">
            <w:pPr>
              <w:spacing w:after="0" w:line="240" w:lineRule="auto"/>
              <w:ind w:left="113"/>
              <w:rPr>
                <w:rFonts w:ascii="Arial" w:hAnsi="Arial" w:cs="Arial"/>
                <w:sz w:val="16"/>
                <w:szCs w:val="16"/>
              </w:rPr>
            </w:pPr>
            <w:r>
              <w:rPr>
                <w:rFonts w:ascii="Arial" w:hAnsi="Arial" w:cs="Arial"/>
                <w:sz w:val="16"/>
                <w:szCs w:val="16"/>
              </w:rPr>
              <w:t>Supporting Young and Vulnerable Road Users</w:t>
            </w:r>
          </w:p>
        </w:tc>
        <w:tc>
          <w:tcPr>
            <w:tcW w:w="612" w:type="pct"/>
            <w:gridSpan w:val="2"/>
            <w:tcBorders>
              <w:top w:val="nil"/>
              <w:left w:val="nil"/>
              <w:bottom w:val="nil"/>
              <w:right w:val="nil"/>
            </w:tcBorders>
            <w:shd w:val="clear" w:color="auto" w:fill="auto"/>
            <w:noWrap/>
            <w:vAlign w:val="bottom"/>
          </w:tcPr>
          <w:p w14:paraId="6A54BA54" w14:textId="514E66B0"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41" w:type="pct"/>
            <w:gridSpan w:val="2"/>
            <w:tcBorders>
              <w:top w:val="nil"/>
              <w:left w:val="nil"/>
              <w:bottom w:val="nil"/>
              <w:right w:val="nil"/>
            </w:tcBorders>
            <w:shd w:val="clear" w:color="auto" w:fill="E6E6E6"/>
            <w:noWrap/>
            <w:vAlign w:val="bottom"/>
          </w:tcPr>
          <w:p w14:paraId="4F7D24E5" w14:textId="47C6606E"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3,000</w:t>
            </w:r>
          </w:p>
        </w:tc>
        <w:tc>
          <w:tcPr>
            <w:tcW w:w="543" w:type="pct"/>
            <w:gridSpan w:val="2"/>
            <w:tcBorders>
              <w:top w:val="nil"/>
              <w:left w:val="nil"/>
              <w:bottom w:val="nil"/>
              <w:right w:val="nil"/>
            </w:tcBorders>
            <w:shd w:val="clear" w:color="auto" w:fill="auto"/>
            <w:noWrap/>
            <w:vAlign w:val="bottom"/>
          </w:tcPr>
          <w:p w14:paraId="0EFD531D" w14:textId="206E246B"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3,000</w:t>
            </w:r>
          </w:p>
        </w:tc>
        <w:tc>
          <w:tcPr>
            <w:tcW w:w="543" w:type="pct"/>
            <w:gridSpan w:val="2"/>
            <w:tcBorders>
              <w:top w:val="nil"/>
              <w:left w:val="nil"/>
              <w:bottom w:val="nil"/>
              <w:right w:val="nil"/>
            </w:tcBorders>
            <w:shd w:val="clear" w:color="auto" w:fill="auto"/>
            <w:noWrap/>
            <w:vAlign w:val="bottom"/>
          </w:tcPr>
          <w:p w14:paraId="276A44EC" w14:textId="3C77E926"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4,000</w:t>
            </w:r>
          </w:p>
        </w:tc>
        <w:tc>
          <w:tcPr>
            <w:tcW w:w="527" w:type="pct"/>
            <w:gridSpan w:val="2"/>
            <w:tcBorders>
              <w:top w:val="nil"/>
              <w:left w:val="nil"/>
              <w:bottom w:val="nil"/>
              <w:right w:val="nil"/>
            </w:tcBorders>
            <w:shd w:val="clear" w:color="auto" w:fill="auto"/>
            <w:noWrap/>
            <w:vAlign w:val="bottom"/>
          </w:tcPr>
          <w:p w14:paraId="32E2CCDB" w14:textId="5F382D32" w:rsidR="007E1717" w:rsidRPr="005D0C2F"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5D0C2F" w14:paraId="13D7EAEB" w14:textId="77777777" w:rsidTr="00436AC0">
        <w:trPr>
          <w:trHeight w:val="204"/>
        </w:trPr>
        <w:tc>
          <w:tcPr>
            <w:tcW w:w="2233" w:type="pct"/>
            <w:tcBorders>
              <w:top w:val="nil"/>
              <w:left w:val="nil"/>
              <w:bottom w:val="single" w:sz="4" w:space="0" w:color="auto"/>
              <w:right w:val="nil"/>
            </w:tcBorders>
            <w:shd w:val="clear" w:color="auto" w:fill="auto"/>
            <w:noWrap/>
            <w:vAlign w:val="bottom"/>
            <w:hideMark/>
          </w:tcPr>
          <w:p w14:paraId="56D2731E" w14:textId="77777777" w:rsidR="007E1717" w:rsidRPr="005D0C2F" w:rsidRDefault="007E1717" w:rsidP="007E1717">
            <w:pPr>
              <w:spacing w:after="0" w:line="240" w:lineRule="auto"/>
              <w:rPr>
                <w:rFonts w:ascii="Arial" w:hAnsi="Arial" w:cs="Arial"/>
                <w:b/>
                <w:bCs/>
                <w:sz w:val="16"/>
                <w:szCs w:val="16"/>
              </w:rPr>
            </w:pPr>
            <w:r w:rsidRPr="005D0C2F">
              <w:rPr>
                <w:rFonts w:ascii="Arial" w:hAnsi="Arial" w:cs="Arial"/>
                <w:b/>
                <w:bCs/>
                <w:sz w:val="16"/>
                <w:szCs w:val="16"/>
              </w:rPr>
              <w:t>Total expenses for Program 2.2</w:t>
            </w:r>
          </w:p>
        </w:tc>
        <w:tc>
          <w:tcPr>
            <w:tcW w:w="612" w:type="pct"/>
            <w:gridSpan w:val="2"/>
            <w:tcBorders>
              <w:top w:val="single" w:sz="4" w:space="0" w:color="auto"/>
              <w:left w:val="nil"/>
              <w:bottom w:val="single" w:sz="4" w:space="0" w:color="auto"/>
              <w:right w:val="nil"/>
            </w:tcBorders>
            <w:shd w:val="clear" w:color="auto" w:fill="auto"/>
            <w:noWrap/>
            <w:vAlign w:val="bottom"/>
            <w:hideMark/>
          </w:tcPr>
          <w:p w14:paraId="62973A56" w14:textId="092AC191"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8,018</w:t>
            </w:r>
          </w:p>
        </w:tc>
        <w:tc>
          <w:tcPr>
            <w:tcW w:w="541" w:type="pct"/>
            <w:gridSpan w:val="2"/>
            <w:tcBorders>
              <w:top w:val="single" w:sz="4" w:space="0" w:color="auto"/>
              <w:left w:val="nil"/>
              <w:bottom w:val="single" w:sz="4" w:space="0" w:color="auto"/>
              <w:right w:val="nil"/>
            </w:tcBorders>
            <w:shd w:val="clear" w:color="auto" w:fill="E6E6E6"/>
            <w:noWrap/>
            <w:vAlign w:val="bottom"/>
            <w:hideMark/>
          </w:tcPr>
          <w:p w14:paraId="5EA5D96B" w14:textId="48508874"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19,095</w:t>
            </w:r>
          </w:p>
        </w:tc>
        <w:tc>
          <w:tcPr>
            <w:tcW w:w="543" w:type="pct"/>
            <w:gridSpan w:val="2"/>
            <w:tcBorders>
              <w:top w:val="single" w:sz="4" w:space="0" w:color="auto"/>
              <w:left w:val="nil"/>
              <w:bottom w:val="single" w:sz="4" w:space="0" w:color="auto"/>
              <w:right w:val="nil"/>
            </w:tcBorders>
            <w:shd w:val="clear" w:color="auto" w:fill="auto"/>
            <w:noWrap/>
            <w:vAlign w:val="bottom"/>
            <w:hideMark/>
          </w:tcPr>
          <w:p w14:paraId="1B92D875" w14:textId="548FAD7F"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12,500</w:t>
            </w:r>
          </w:p>
        </w:tc>
        <w:tc>
          <w:tcPr>
            <w:tcW w:w="543" w:type="pct"/>
            <w:gridSpan w:val="2"/>
            <w:tcBorders>
              <w:top w:val="single" w:sz="4" w:space="0" w:color="auto"/>
              <w:left w:val="nil"/>
              <w:bottom w:val="single" w:sz="4" w:space="0" w:color="auto"/>
              <w:right w:val="nil"/>
            </w:tcBorders>
            <w:shd w:val="clear" w:color="auto" w:fill="auto"/>
            <w:noWrap/>
            <w:vAlign w:val="bottom"/>
            <w:hideMark/>
          </w:tcPr>
          <w:p w14:paraId="6B86BA45" w14:textId="26FFB56F"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11,500</w:t>
            </w:r>
          </w:p>
        </w:tc>
        <w:tc>
          <w:tcPr>
            <w:tcW w:w="527" w:type="pct"/>
            <w:gridSpan w:val="2"/>
            <w:tcBorders>
              <w:top w:val="single" w:sz="4" w:space="0" w:color="auto"/>
              <w:left w:val="nil"/>
              <w:bottom w:val="single" w:sz="4" w:space="0" w:color="auto"/>
              <w:right w:val="nil"/>
            </w:tcBorders>
            <w:shd w:val="clear" w:color="auto" w:fill="auto"/>
            <w:noWrap/>
            <w:vAlign w:val="bottom"/>
            <w:hideMark/>
          </w:tcPr>
          <w:p w14:paraId="2AA4EAFE" w14:textId="3AE02410" w:rsidR="007E1717" w:rsidRPr="005D0C2F" w:rsidRDefault="007E1717" w:rsidP="007E1717">
            <w:pPr>
              <w:spacing w:after="0" w:line="240" w:lineRule="auto"/>
              <w:jc w:val="right"/>
              <w:rPr>
                <w:rFonts w:ascii="Arial" w:hAnsi="Arial" w:cs="Arial"/>
                <w:b/>
                <w:bCs/>
                <w:sz w:val="16"/>
                <w:szCs w:val="16"/>
              </w:rPr>
            </w:pPr>
            <w:r>
              <w:rPr>
                <w:rFonts w:ascii="Arial" w:hAnsi="Arial" w:cs="Arial"/>
                <w:b/>
                <w:bCs/>
                <w:sz w:val="16"/>
                <w:szCs w:val="16"/>
              </w:rPr>
              <w:t>-</w:t>
            </w:r>
          </w:p>
        </w:tc>
      </w:tr>
    </w:tbl>
    <w:p w14:paraId="5D5BE846" w14:textId="77777777" w:rsidR="00115843" w:rsidRDefault="00115843" w:rsidP="00115843">
      <w:pPr>
        <w:spacing w:after="0" w:line="240" w:lineRule="auto"/>
      </w:pPr>
      <w:r>
        <w:br w:type="page"/>
      </w:r>
    </w:p>
    <w:p w14:paraId="29EABA65" w14:textId="77777777" w:rsidR="00115843" w:rsidRDefault="00115843" w:rsidP="00115843">
      <w:pPr>
        <w:pStyle w:val="TableHeading"/>
      </w:pPr>
      <w:r w:rsidRPr="00AD42E2">
        <w:lastRenderedPageBreak/>
        <w:t>Table 2.</w:t>
      </w:r>
      <w:r>
        <w:t>2</w:t>
      </w:r>
      <w:r w:rsidRPr="00AD42E2">
        <w:t>.</w:t>
      </w:r>
      <w:r>
        <w:t>2</w:t>
      </w:r>
      <w:r w:rsidRPr="00AD42E2">
        <w:t xml:space="preserve">: </w:t>
      </w:r>
      <w:r>
        <w:t>Program components</w:t>
      </w:r>
      <w:r w:rsidRPr="00AD42E2">
        <w:t xml:space="preserve"> for Outcome </w:t>
      </w:r>
      <w:r>
        <w:t>2 (continued)</w:t>
      </w:r>
    </w:p>
    <w:tbl>
      <w:tblPr>
        <w:tblW w:w="5095" w:type="pct"/>
        <w:tblLook w:val="04A0" w:firstRow="1" w:lastRow="0" w:firstColumn="1" w:lastColumn="0" w:noHBand="0" w:noVBand="1"/>
      </w:tblPr>
      <w:tblGrid>
        <w:gridCol w:w="3511"/>
        <w:gridCol w:w="955"/>
        <w:gridCol w:w="925"/>
        <w:gridCol w:w="822"/>
        <w:gridCol w:w="822"/>
        <w:gridCol w:w="821"/>
      </w:tblGrid>
      <w:tr w:rsidR="00115843" w:rsidRPr="00EB681B" w14:paraId="6E5519A1" w14:textId="77777777" w:rsidTr="00436AC0">
        <w:trPr>
          <w:trHeight w:val="204"/>
        </w:trPr>
        <w:tc>
          <w:tcPr>
            <w:tcW w:w="2235" w:type="pct"/>
            <w:tcBorders>
              <w:top w:val="single" w:sz="4" w:space="0" w:color="auto"/>
              <w:left w:val="nil"/>
              <w:bottom w:val="nil"/>
              <w:right w:val="nil"/>
            </w:tcBorders>
            <w:shd w:val="clear" w:color="auto" w:fill="auto"/>
            <w:noWrap/>
            <w:vAlign w:val="bottom"/>
            <w:hideMark/>
          </w:tcPr>
          <w:p w14:paraId="2CFD7CEC"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 </w:t>
            </w:r>
          </w:p>
        </w:tc>
        <w:tc>
          <w:tcPr>
            <w:tcW w:w="608" w:type="pct"/>
            <w:tcBorders>
              <w:top w:val="single" w:sz="4" w:space="0" w:color="auto"/>
              <w:left w:val="nil"/>
              <w:bottom w:val="single" w:sz="4" w:space="0" w:color="auto"/>
              <w:right w:val="nil"/>
            </w:tcBorders>
            <w:shd w:val="clear" w:color="auto" w:fill="auto"/>
            <w:vAlign w:val="bottom"/>
            <w:hideMark/>
          </w:tcPr>
          <w:p w14:paraId="13AE4779"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2021-22</w:t>
            </w:r>
            <w:r w:rsidRPr="00EB681B">
              <w:rPr>
                <w:rFonts w:ascii="Arial" w:hAnsi="Arial" w:cs="Arial"/>
                <w:sz w:val="16"/>
                <w:szCs w:val="16"/>
              </w:rPr>
              <w:br/>
              <w:t>Estimated  actual</w:t>
            </w:r>
            <w:r w:rsidRPr="00EB681B">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E6E6E6"/>
            <w:vAlign w:val="bottom"/>
            <w:hideMark/>
          </w:tcPr>
          <w:p w14:paraId="2185A49C" w14:textId="23B298F1" w:rsidR="00115843" w:rsidRPr="00EB681B" w:rsidRDefault="00115843" w:rsidP="00FD292C">
            <w:pPr>
              <w:spacing w:after="0" w:line="240" w:lineRule="auto"/>
              <w:jc w:val="right"/>
              <w:rPr>
                <w:rFonts w:ascii="Arial" w:hAnsi="Arial" w:cs="Arial"/>
                <w:sz w:val="16"/>
                <w:szCs w:val="16"/>
              </w:rPr>
            </w:pPr>
            <w:r w:rsidRPr="00EB681B">
              <w:rPr>
                <w:rFonts w:ascii="Arial" w:hAnsi="Arial" w:cs="Arial"/>
                <w:sz w:val="16"/>
                <w:szCs w:val="16"/>
              </w:rPr>
              <w:t>2022-23</w:t>
            </w:r>
            <w:r w:rsidRPr="00EB681B">
              <w:rPr>
                <w:rFonts w:ascii="Arial" w:hAnsi="Arial" w:cs="Arial"/>
                <w:sz w:val="16"/>
                <w:szCs w:val="16"/>
              </w:rPr>
              <w:br/>
              <w:t xml:space="preserve"> Budget</w:t>
            </w:r>
            <w:r w:rsidRPr="00EB681B">
              <w:rPr>
                <w:rFonts w:ascii="Arial" w:hAnsi="Arial" w:cs="Arial"/>
                <w:sz w:val="16"/>
                <w:szCs w:val="16"/>
              </w:rPr>
              <w:br/>
              <w:t xml:space="preserve">                                      $'000</w:t>
            </w:r>
          </w:p>
        </w:tc>
        <w:tc>
          <w:tcPr>
            <w:tcW w:w="523" w:type="pct"/>
            <w:tcBorders>
              <w:top w:val="single" w:sz="4" w:space="0" w:color="auto"/>
              <w:left w:val="nil"/>
              <w:bottom w:val="single" w:sz="4" w:space="0" w:color="auto"/>
              <w:right w:val="nil"/>
            </w:tcBorders>
            <w:shd w:val="clear" w:color="auto" w:fill="auto"/>
            <w:vAlign w:val="bottom"/>
            <w:hideMark/>
          </w:tcPr>
          <w:p w14:paraId="1F08B004"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2023-24</w:t>
            </w:r>
            <w:r w:rsidRPr="00EB681B">
              <w:rPr>
                <w:rFonts w:ascii="Arial" w:hAnsi="Arial" w:cs="Arial"/>
                <w:sz w:val="16"/>
                <w:szCs w:val="16"/>
              </w:rPr>
              <w:br/>
              <w:t>Forward estimate</w:t>
            </w:r>
            <w:r w:rsidRPr="00EB681B">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auto" w:fill="auto"/>
            <w:vAlign w:val="bottom"/>
            <w:hideMark/>
          </w:tcPr>
          <w:p w14:paraId="2B555DE6"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2024-25</w:t>
            </w:r>
            <w:r w:rsidRPr="00EB681B">
              <w:rPr>
                <w:rFonts w:ascii="Arial" w:hAnsi="Arial" w:cs="Arial"/>
                <w:sz w:val="16"/>
                <w:szCs w:val="16"/>
              </w:rPr>
              <w:br/>
              <w:t>Forward estimate</w:t>
            </w:r>
            <w:r w:rsidRPr="00EB681B">
              <w:rPr>
                <w:rFonts w:ascii="Arial" w:hAnsi="Arial" w:cs="Arial"/>
                <w:sz w:val="16"/>
                <w:szCs w:val="16"/>
              </w:rPr>
              <w:br/>
              <w:t>$'000</w:t>
            </w:r>
          </w:p>
        </w:tc>
        <w:tc>
          <w:tcPr>
            <w:tcW w:w="523" w:type="pct"/>
            <w:tcBorders>
              <w:top w:val="single" w:sz="4" w:space="0" w:color="auto"/>
              <w:left w:val="nil"/>
              <w:bottom w:val="single" w:sz="4" w:space="0" w:color="auto"/>
              <w:right w:val="nil"/>
            </w:tcBorders>
            <w:shd w:val="clear" w:color="auto" w:fill="auto"/>
            <w:vAlign w:val="bottom"/>
            <w:hideMark/>
          </w:tcPr>
          <w:p w14:paraId="05000F3C"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2025-26</w:t>
            </w:r>
            <w:r w:rsidRPr="00EB681B">
              <w:rPr>
                <w:rFonts w:ascii="Arial" w:hAnsi="Arial" w:cs="Arial"/>
                <w:sz w:val="16"/>
                <w:szCs w:val="16"/>
              </w:rPr>
              <w:br/>
              <w:t>Forward estimate</w:t>
            </w:r>
            <w:r w:rsidRPr="00EB681B">
              <w:rPr>
                <w:rFonts w:ascii="Arial" w:hAnsi="Arial" w:cs="Arial"/>
                <w:sz w:val="16"/>
                <w:szCs w:val="16"/>
              </w:rPr>
              <w:br/>
              <w:t>$'000</w:t>
            </w:r>
          </w:p>
        </w:tc>
      </w:tr>
      <w:tr w:rsidR="00115843" w:rsidRPr="00EB681B" w14:paraId="15A0F95D" w14:textId="77777777" w:rsidTr="00436AC0">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51C53577"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b/>
                <w:bCs/>
                <w:sz w:val="16"/>
                <w:szCs w:val="16"/>
              </w:rPr>
              <w:t xml:space="preserve">Components for Program 2.3: Air Transport </w:t>
            </w:r>
            <w:r w:rsidRPr="00EB681B">
              <w:rPr>
                <w:rFonts w:ascii="Arial" w:hAnsi="Arial" w:cs="Arial"/>
                <w:sz w:val="16"/>
                <w:szCs w:val="16"/>
              </w:rPr>
              <w:t> </w:t>
            </w:r>
          </w:p>
        </w:tc>
      </w:tr>
      <w:tr w:rsidR="00115843" w:rsidRPr="00EB681B" w14:paraId="10D6EF17" w14:textId="77777777" w:rsidTr="00436AC0">
        <w:trPr>
          <w:trHeight w:val="204"/>
        </w:trPr>
        <w:tc>
          <w:tcPr>
            <w:tcW w:w="2235" w:type="pct"/>
            <w:tcBorders>
              <w:top w:val="nil"/>
              <w:left w:val="nil"/>
              <w:bottom w:val="nil"/>
              <w:right w:val="nil"/>
            </w:tcBorders>
            <w:shd w:val="clear" w:color="auto" w:fill="auto"/>
            <w:noWrap/>
            <w:vAlign w:val="bottom"/>
            <w:hideMark/>
          </w:tcPr>
          <w:p w14:paraId="5B8B242C" w14:textId="77777777" w:rsidR="00115843" w:rsidRPr="00EB681B" w:rsidRDefault="00115843" w:rsidP="00FB0D02">
            <w:pPr>
              <w:spacing w:after="0" w:line="240" w:lineRule="auto"/>
              <w:rPr>
                <w:rFonts w:ascii="Arial" w:hAnsi="Arial" w:cs="Arial"/>
                <w:sz w:val="16"/>
                <w:szCs w:val="16"/>
              </w:rPr>
            </w:pPr>
            <w:r w:rsidRPr="00EB681B">
              <w:rPr>
                <w:rFonts w:ascii="Arial" w:hAnsi="Arial" w:cs="Arial"/>
                <w:sz w:val="16"/>
                <w:szCs w:val="16"/>
              </w:rPr>
              <w:t>Administered expenses</w:t>
            </w:r>
          </w:p>
        </w:tc>
        <w:tc>
          <w:tcPr>
            <w:tcW w:w="608" w:type="pct"/>
            <w:tcBorders>
              <w:top w:val="nil"/>
              <w:left w:val="nil"/>
              <w:bottom w:val="nil"/>
              <w:right w:val="nil"/>
            </w:tcBorders>
            <w:shd w:val="clear" w:color="auto" w:fill="auto"/>
            <w:noWrap/>
            <w:vAlign w:val="bottom"/>
            <w:hideMark/>
          </w:tcPr>
          <w:p w14:paraId="03F79F74" w14:textId="77777777" w:rsidR="00115843" w:rsidRPr="00EB681B" w:rsidRDefault="00115843" w:rsidP="00FB0D02">
            <w:pPr>
              <w:spacing w:after="0" w:line="240" w:lineRule="auto"/>
              <w:jc w:val="right"/>
              <w:rPr>
                <w:rFonts w:ascii="Arial" w:hAnsi="Arial" w:cs="Arial"/>
                <w:sz w:val="16"/>
                <w:szCs w:val="16"/>
              </w:rPr>
            </w:pPr>
          </w:p>
        </w:tc>
        <w:tc>
          <w:tcPr>
            <w:tcW w:w="589" w:type="pct"/>
            <w:tcBorders>
              <w:top w:val="nil"/>
              <w:left w:val="nil"/>
              <w:bottom w:val="nil"/>
              <w:right w:val="nil"/>
            </w:tcBorders>
            <w:shd w:val="clear" w:color="auto" w:fill="E6E6E6"/>
            <w:noWrap/>
            <w:vAlign w:val="bottom"/>
            <w:hideMark/>
          </w:tcPr>
          <w:p w14:paraId="4DACD518" w14:textId="77777777" w:rsidR="00115843" w:rsidRPr="00EB681B" w:rsidRDefault="00115843" w:rsidP="00FB0D02">
            <w:pPr>
              <w:spacing w:after="0" w:line="240" w:lineRule="auto"/>
              <w:jc w:val="right"/>
              <w:rPr>
                <w:rFonts w:ascii="Arial" w:hAnsi="Arial" w:cs="Arial"/>
                <w:sz w:val="16"/>
                <w:szCs w:val="16"/>
              </w:rPr>
            </w:pPr>
            <w:r w:rsidRPr="00EB681B">
              <w:rPr>
                <w:rFonts w:ascii="Arial" w:hAnsi="Arial" w:cs="Arial"/>
                <w:sz w:val="16"/>
                <w:szCs w:val="16"/>
              </w:rPr>
              <w:t> </w:t>
            </w:r>
          </w:p>
        </w:tc>
        <w:tc>
          <w:tcPr>
            <w:tcW w:w="523" w:type="pct"/>
            <w:tcBorders>
              <w:top w:val="nil"/>
              <w:left w:val="nil"/>
              <w:bottom w:val="nil"/>
              <w:right w:val="nil"/>
            </w:tcBorders>
            <w:shd w:val="clear" w:color="auto" w:fill="auto"/>
            <w:noWrap/>
            <w:vAlign w:val="bottom"/>
            <w:hideMark/>
          </w:tcPr>
          <w:p w14:paraId="7A77DD25" w14:textId="77777777" w:rsidR="00115843" w:rsidRPr="00EB681B" w:rsidRDefault="00115843" w:rsidP="00FB0D02">
            <w:pPr>
              <w:spacing w:after="0" w:line="240" w:lineRule="auto"/>
              <w:jc w:val="right"/>
              <w:rPr>
                <w:rFonts w:ascii="Arial" w:hAnsi="Arial" w:cs="Arial"/>
                <w:sz w:val="16"/>
                <w:szCs w:val="16"/>
              </w:rPr>
            </w:pPr>
          </w:p>
        </w:tc>
        <w:tc>
          <w:tcPr>
            <w:tcW w:w="523" w:type="pct"/>
            <w:tcBorders>
              <w:top w:val="nil"/>
              <w:left w:val="nil"/>
              <w:bottom w:val="nil"/>
              <w:right w:val="nil"/>
            </w:tcBorders>
            <w:shd w:val="clear" w:color="auto" w:fill="auto"/>
            <w:noWrap/>
            <w:vAlign w:val="bottom"/>
            <w:hideMark/>
          </w:tcPr>
          <w:p w14:paraId="636BD611" w14:textId="77777777" w:rsidR="00115843" w:rsidRPr="00EB681B" w:rsidRDefault="00115843" w:rsidP="00FB0D02">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3B002D4E" w14:textId="77777777" w:rsidR="00115843" w:rsidRPr="00EB681B" w:rsidRDefault="00115843" w:rsidP="00FB0D02">
            <w:pPr>
              <w:spacing w:after="0" w:line="240" w:lineRule="auto"/>
              <w:jc w:val="right"/>
              <w:rPr>
                <w:rFonts w:ascii="Times New Roman" w:hAnsi="Times New Roman"/>
              </w:rPr>
            </w:pPr>
          </w:p>
        </w:tc>
      </w:tr>
      <w:tr w:rsidR="007E1717" w:rsidRPr="00EB681B" w14:paraId="5274EDA7" w14:textId="77777777" w:rsidTr="00436AC0">
        <w:trPr>
          <w:trHeight w:val="204"/>
        </w:trPr>
        <w:tc>
          <w:tcPr>
            <w:tcW w:w="2235" w:type="pct"/>
            <w:tcBorders>
              <w:top w:val="nil"/>
              <w:left w:val="nil"/>
              <w:bottom w:val="nil"/>
              <w:right w:val="nil"/>
            </w:tcBorders>
            <w:shd w:val="clear" w:color="auto" w:fill="auto"/>
            <w:vAlign w:val="bottom"/>
            <w:hideMark/>
          </w:tcPr>
          <w:p w14:paraId="209F1275"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Airport Lessee Companies</w:t>
            </w:r>
          </w:p>
        </w:tc>
        <w:tc>
          <w:tcPr>
            <w:tcW w:w="608" w:type="pct"/>
            <w:tcBorders>
              <w:top w:val="nil"/>
              <w:left w:val="nil"/>
              <w:bottom w:val="nil"/>
              <w:right w:val="nil"/>
            </w:tcBorders>
            <w:shd w:val="clear" w:color="auto" w:fill="auto"/>
            <w:noWrap/>
            <w:vAlign w:val="bottom"/>
            <w:hideMark/>
          </w:tcPr>
          <w:p w14:paraId="1193E8D3" w14:textId="3994F301"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178</w:t>
            </w:r>
          </w:p>
        </w:tc>
        <w:tc>
          <w:tcPr>
            <w:tcW w:w="589" w:type="pct"/>
            <w:tcBorders>
              <w:top w:val="nil"/>
              <w:left w:val="nil"/>
              <w:bottom w:val="nil"/>
              <w:right w:val="nil"/>
            </w:tcBorders>
            <w:shd w:val="clear" w:color="auto" w:fill="E6E6E6"/>
            <w:noWrap/>
            <w:vAlign w:val="bottom"/>
            <w:hideMark/>
          </w:tcPr>
          <w:p w14:paraId="7257A3B7" w14:textId="223B506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1,000</w:t>
            </w:r>
          </w:p>
        </w:tc>
        <w:tc>
          <w:tcPr>
            <w:tcW w:w="523" w:type="pct"/>
            <w:tcBorders>
              <w:top w:val="nil"/>
              <w:left w:val="nil"/>
              <w:bottom w:val="nil"/>
              <w:right w:val="nil"/>
            </w:tcBorders>
            <w:shd w:val="clear" w:color="auto" w:fill="auto"/>
            <w:noWrap/>
            <w:vAlign w:val="bottom"/>
            <w:hideMark/>
          </w:tcPr>
          <w:p w14:paraId="2730A51C" w14:textId="5888F7A7"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1,000</w:t>
            </w:r>
          </w:p>
        </w:tc>
        <w:tc>
          <w:tcPr>
            <w:tcW w:w="523" w:type="pct"/>
            <w:tcBorders>
              <w:top w:val="nil"/>
              <w:left w:val="nil"/>
              <w:bottom w:val="nil"/>
              <w:right w:val="nil"/>
            </w:tcBorders>
            <w:shd w:val="clear" w:color="auto" w:fill="auto"/>
            <w:noWrap/>
            <w:vAlign w:val="bottom"/>
            <w:hideMark/>
          </w:tcPr>
          <w:p w14:paraId="103ADFF1" w14:textId="1991B942"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1,000</w:t>
            </w:r>
          </w:p>
        </w:tc>
        <w:tc>
          <w:tcPr>
            <w:tcW w:w="523" w:type="pct"/>
            <w:tcBorders>
              <w:top w:val="nil"/>
              <w:left w:val="nil"/>
              <w:bottom w:val="nil"/>
              <w:right w:val="nil"/>
            </w:tcBorders>
            <w:shd w:val="clear" w:color="auto" w:fill="auto"/>
            <w:noWrap/>
            <w:vAlign w:val="bottom"/>
            <w:hideMark/>
          </w:tcPr>
          <w:p w14:paraId="3DADDFF1" w14:textId="067CC88F"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1,000</w:t>
            </w:r>
          </w:p>
        </w:tc>
      </w:tr>
      <w:tr w:rsidR="007E1717" w:rsidRPr="00EB681B" w14:paraId="1E57A5FF" w14:textId="77777777" w:rsidTr="00436AC0">
        <w:trPr>
          <w:trHeight w:val="204"/>
        </w:trPr>
        <w:tc>
          <w:tcPr>
            <w:tcW w:w="2235" w:type="pct"/>
            <w:tcBorders>
              <w:top w:val="nil"/>
              <w:left w:val="nil"/>
              <w:bottom w:val="nil"/>
              <w:right w:val="nil"/>
            </w:tcBorders>
            <w:shd w:val="clear" w:color="auto" w:fill="auto"/>
            <w:vAlign w:val="bottom"/>
            <w:hideMark/>
          </w:tcPr>
          <w:p w14:paraId="6ACDF5FC"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Automatic Dependent Surveillance - Broadcast (ADS-B) Rebate Program</w:t>
            </w:r>
          </w:p>
        </w:tc>
        <w:tc>
          <w:tcPr>
            <w:tcW w:w="608" w:type="pct"/>
            <w:tcBorders>
              <w:top w:val="nil"/>
              <w:left w:val="nil"/>
              <w:bottom w:val="nil"/>
              <w:right w:val="nil"/>
            </w:tcBorders>
            <w:shd w:val="clear" w:color="auto" w:fill="auto"/>
            <w:noWrap/>
            <w:vAlign w:val="bottom"/>
            <w:hideMark/>
          </w:tcPr>
          <w:p w14:paraId="7A62A7F9" w14:textId="7C26D68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bottom"/>
            <w:hideMark/>
          </w:tcPr>
          <w:p w14:paraId="35D2FD29" w14:textId="790135A2"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30,000</w:t>
            </w:r>
          </w:p>
        </w:tc>
        <w:tc>
          <w:tcPr>
            <w:tcW w:w="523" w:type="pct"/>
            <w:tcBorders>
              <w:top w:val="nil"/>
              <w:left w:val="nil"/>
              <w:bottom w:val="nil"/>
              <w:right w:val="nil"/>
            </w:tcBorders>
            <w:shd w:val="clear" w:color="auto" w:fill="auto"/>
            <w:noWrap/>
            <w:vAlign w:val="bottom"/>
            <w:hideMark/>
          </w:tcPr>
          <w:p w14:paraId="7A46D18D" w14:textId="3E738F6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09E20F41" w14:textId="72510628"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406FDBFF" w14:textId="29661F0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2AAAACBA" w14:textId="77777777" w:rsidTr="00436AC0">
        <w:trPr>
          <w:trHeight w:val="204"/>
        </w:trPr>
        <w:tc>
          <w:tcPr>
            <w:tcW w:w="2235" w:type="pct"/>
            <w:tcBorders>
              <w:top w:val="nil"/>
              <w:left w:val="nil"/>
              <w:bottom w:val="nil"/>
              <w:right w:val="nil"/>
            </w:tcBorders>
            <w:shd w:val="clear" w:color="auto" w:fill="auto"/>
            <w:vAlign w:val="bottom"/>
            <w:hideMark/>
          </w:tcPr>
          <w:p w14:paraId="2387F1BE"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Aviation Services Accreditation Program</w:t>
            </w:r>
          </w:p>
        </w:tc>
        <w:tc>
          <w:tcPr>
            <w:tcW w:w="608" w:type="pct"/>
            <w:tcBorders>
              <w:top w:val="nil"/>
              <w:left w:val="nil"/>
              <w:bottom w:val="nil"/>
              <w:right w:val="nil"/>
            </w:tcBorders>
            <w:shd w:val="clear" w:color="auto" w:fill="auto"/>
            <w:noWrap/>
            <w:vAlign w:val="bottom"/>
            <w:hideMark/>
          </w:tcPr>
          <w:p w14:paraId="3151D227" w14:textId="4DC0F1A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36,920</w:t>
            </w:r>
          </w:p>
        </w:tc>
        <w:tc>
          <w:tcPr>
            <w:tcW w:w="589" w:type="pct"/>
            <w:tcBorders>
              <w:top w:val="nil"/>
              <w:left w:val="nil"/>
              <w:bottom w:val="nil"/>
              <w:right w:val="nil"/>
            </w:tcBorders>
            <w:shd w:val="clear" w:color="auto" w:fill="E6E6E6"/>
            <w:noWrap/>
            <w:vAlign w:val="bottom"/>
            <w:hideMark/>
          </w:tcPr>
          <w:p w14:paraId="2AF7EAA0" w14:textId="7E02C67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03F0C868" w14:textId="4B85A62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4744EDCF" w14:textId="614483B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3A640899" w14:textId="1C7E7B0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00824B47" w14:textId="77777777" w:rsidTr="00436AC0">
        <w:trPr>
          <w:trHeight w:val="204"/>
        </w:trPr>
        <w:tc>
          <w:tcPr>
            <w:tcW w:w="2235" w:type="pct"/>
            <w:tcBorders>
              <w:top w:val="nil"/>
              <w:left w:val="nil"/>
              <w:bottom w:val="nil"/>
              <w:right w:val="nil"/>
            </w:tcBorders>
            <w:shd w:val="clear" w:color="auto" w:fill="auto"/>
            <w:vAlign w:val="bottom"/>
            <w:hideMark/>
          </w:tcPr>
          <w:p w14:paraId="70B1188F"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 xml:space="preserve">Domestic Aviation Network Support </w:t>
            </w:r>
            <w:r w:rsidRPr="00EB681B">
              <w:rPr>
                <w:rFonts w:ascii="Arial" w:hAnsi="Arial" w:cs="Arial"/>
                <w:sz w:val="16"/>
                <w:szCs w:val="16"/>
                <w:vertAlign w:val="superscript"/>
              </w:rPr>
              <w:t>(c)</w:t>
            </w:r>
          </w:p>
        </w:tc>
        <w:tc>
          <w:tcPr>
            <w:tcW w:w="608" w:type="pct"/>
            <w:tcBorders>
              <w:top w:val="nil"/>
              <w:left w:val="nil"/>
              <w:bottom w:val="nil"/>
              <w:right w:val="nil"/>
            </w:tcBorders>
            <w:shd w:val="clear" w:color="auto" w:fill="auto"/>
            <w:noWrap/>
            <w:vAlign w:val="bottom"/>
            <w:hideMark/>
          </w:tcPr>
          <w:p w14:paraId="5508209B" w14:textId="73EB620E"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nfp</w:t>
            </w:r>
          </w:p>
        </w:tc>
        <w:tc>
          <w:tcPr>
            <w:tcW w:w="589" w:type="pct"/>
            <w:tcBorders>
              <w:top w:val="nil"/>
              <w:left w:val="nil"/>
              <w:bottom w:val="nil"/>
              <w:right w:val="nil"/>
            </w:tcBorders>
            <w:shd w:val="clear" w:color="auto" w:fill="E6E6E6"/>
            <w:noWrap/>
            <w:vAlign w:val="bottom"/>
            <w:hideMark/>
          </w:tcPr>
          <w:p w14:paraId="33D7C17C" w14:textId="3B43343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7269074" w14:textId="1C37901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1D80AD40" w14:textId="1AA01907"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6C833482" w14:textId="0AECE462"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4A295AF1" w14:textId="77777777" w:rsidTr="00436AC0">
        <w:trPr>
          <w:trHeight w:val="204"/>
        </w:trPr>
        <w:tc>
          <w:tcPr>
            <w:tcW w:w="2235" w:type="pct"/>
            <w:tcBorders>
              <w:top w:val="nil"/>
              <w:left w:val="nil"/>
              <w:bottom w:val="nil"/>
              <w:right w:val="nil"/>
            </w:tcBorders>
            <w:shd w:val="clear" w:color="auto" w:fill="auto"/>
            <w:vAlign w:val="bottom"/>
            <w:hideMark/>
          </w:tcPr>
          <w:p w14:paraId="218E9393"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Domestic Airports Security Program</w:t>
            </w:r>
          </w:p>
        </w:tc>
        <w:tc>
          <w:tcPr>
            <w:tcW w:w="608" w:type="pct"/>
            <w:tcBorders>
              <w:top w:val="nil"/>
              <w:left w:val="nil"/>
              <w:bottom w:val="nil"/>
              <w:right w:val="nil"/>
            </w:tcBorders>
            <w:shd w:val="clear" w:color="auto" w:fill="auto"/>
            <w:noWrap/>
            <w:vAlign w:val="bottom"/>
            <w:hideMark/>
          </w:tcPr>
          <w:p w14:paraId="75C02B64" w14:textId="3D0237F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113,208</w:t>
            </w:r>
          </w:p>
        </w:tc>
        <w:tc>
          <w:tcPr>
            <w:tcW w:w="589" w:type="pct"/>
            <w:tcBorders>
              <w:top w:val="nil"/>
              <w:left w:val="nil"/>
              <w:bottom w:val="nil"/>
              <w:right w:val="nil"/>
            </w:tcBorders>
            <w:shd w:val="clear" w:color="auto" w:fill="E6E6E6"/>
            <w:noWrap/>
            <w:vAlign w:val="bottom"/>
            <w:hideMark/>
          </w:tcPr>
          <w:p w14:paraId="684DA17C" w14:textId="192A4A6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053907EA" w14:textId="06748645"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7F144C4" w14:textId="3F4FB16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DE80C35" w14:textId="6F566A7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67D4F950" w14:textId="77777777" w:rsidTr="00436AC0">
        <w:trPr>
          <w:trHeight w:val="204"/>
        </w:trPr>
        <w:tc>
          <w:tcPr>
            <w:tcW w:w="2235" w:type="pct"/>
            <w:tcBorders>
              <w:top w:val="nil"/>
              <w:left w:val="nil"/>
              <w:bottom w:val="nil"/>
              <w:right w:val="nil"/>
            </w:tcBorders>
            <w:shd w:val="clear" w:color="auto" w:fill="auto"/>
            <w:vAlign w:val="bottom"/>
            <w:hideMark/>
          </w:tcPr>
          <w:p w14:paraId="2F92BBF9"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Emerging Aviation Technologies Programs</w:t>
            </w:r>
          </w:p>
        </w:tc>
        <w:tc>
          <w:tcPr>
            <w:tcW w:w="608" w:type="pct"/>
            <w:tcBorders>
              <w:top w:val="nil"/>
              <w:left w:val="nil"/>
              <w:bottom w:val="nil"/>
              <w:right w:val="nil"/>
            </w:tcBorders>
            <w:shd w:val="clear" w:color="auto" w:fill="auto"/>
            <w:noWrap/>
            <w:vAlign w:val="bottom"/>
            <w:hideMark/>
          </w:tcPr>
          <w:p w14:paraId="2B4212EE" w14:textId="613EC565"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1,521</w:t>
            </w:r>
          </w:p>
        </w:tc>
        <w:tc>
          <w:tcPr>
            <w:tcW w:w="589" w:type="pct"/>
            <w:tcBorders>
              <w:top w:val="nil"/>
              <w:left w:val="nil"/>
              <w:bottom w:val="nil"/>
              <w:right w:val="nil"/>
            </w:tcBorders>
            <w:shd w:val="clear" w:color="auto" w:fill="E6E6E6"/>
            <w:noWrap/>
            <w:vAlign w:val="bottom"/>
            <w:hideMark/>
          </w:tcPr>
          <w:p w14:paraId="20DCF547" w14:textId="4027AB3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12,067</w:t>
            </w:r>
          </w:p>
        </w:tc>
        <w:tc>
          <w:tcPr>
            <w:tcW w:w="523" w:type="pct"/>
            <w:tcBorders>
              <w:top w:val="nil"/>
              <w:left w:val="nil"/>
              <w:bottom w:val="nil"/>
              <w:right w:val="nil"/>
            </w:tcBorders>
            <w:shd w:val="clear" w:color="auto" w:fill="auto"/>
            <w:noWrap/>
            <w:vAlign w:val="bottom"/>
            <w:hideMark/>
          </w:tcPr>
          <w:p w14:paraId="57BA5CD7" w14:textId="4CDFB8D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18,997</w:t>
            </w:r>
          </w:p>
        </w:tc>
        <w:tc>
          <w:tcPr>
            <w:tcW w:w="523" w:type="pct"/>
            <w:tcBorders>
              <w:top w:val="nil"/>
              <w:left w:val="nil"/>
              <w:bottom w:val="nil"/>
              <w:right w:val="nil"/>
            </w:tcBorders>
            <w:shd w:val="clear" w:color="auto" w:fill="auto"/>
            <w:noWrap/>
            <w:vAlign w:val="bottom"/>
            <w:hideMark/>
          </w:tcPr>
          <w:p w14:paraId="238878DA" w14:textId="3DC3E15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45910761" w14:textId="1EA94F8E"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53B00AE1" w14:textId="77777777" w:rsidTr="00436AC0">
        <w:trPr>
          <w:trHeight w:val="204"/>
        </w:trPr>
        <w:tc>
          <w:tcPr>
            <w:tcW w:w="2235" w:type="pct"/>
            <w:tcBorders>
              <w:top w:val="nil"/>
              <w:left w:val="nil"/>
              <w:bottom w:val="nil"/>
              <w:right w:val="nil"/>
            </w:tcBorders>
            <w:shd w:val="clear" w:color="auto" w:fill="auto"/>
            <w:vAlign w:val="bottom"/>
            <w:hideMark/>
          </w:tcPr>
          <w:p w14:paraId="706D7389"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Enhanced Regional Security Screening</w:t>
            </w:r>
          </w:p>
        </w:tc>
        <w:tc>
          <w:tcPr>
            <w:tcW w:w="608" w:type="pct"/>
            <w:tcBorders>
              <w:top w:val="nil"/>
              <w:left w:val="nil"/>
              <w:bottom w:val="nil"/>
              <w:right w:val="nil"/>
            </w:tcBorders>
            <w:shd w:val="clear" w:color="auto" w:fill="auto"/>
            <w:noWrap/>
            <w:vAlign w:val="bottom"/>
            <w:hideMark/>
          </w:tcPr>
          <w:p w14:paraId="31F64A2D" w14:textId="605DB8D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26,904</w:t>
            </w:r>
          </w:p>
        </w:tc>
        <w:tc>
          <w:tcPr>
            <w:tcW w:w="589" w:type="pct"/>
            <w:tcBorders>
              <w:top w:val="nil"/>
              <w:left w:val="nil"/>
              <w:bottom w:val="nil"/>
              <w:right w:val="nil"/>
            </w:tcBorders>
            <w:shd w:val="clear" w:color="auto" w:fill="E6E6E6"/>
            <w:noWrap/>
            <w:vAlign w:val="bottom"/>
            <w:hideMark/>
          </w:tcPr>
          <w:p w14:paraId="5088807B" w14:textId="06895ADE"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44,154</w:t>
            </w:r>
          </w:p>
        </w:tc>
        <w:tc>
          <w:tcPr>
            <w:tcW w:w="523" w:type="pct"/>
            <w:tcBorders>
              <w:top w:val="nil"/>
              <w:left w:val="nil"/>
              <w:bottom w:val="nil"/>
              <w:right w:val="nil"/>
            </w:tcBorders>
            <w:shd w:val="clear" w:color="auto" w:fill="auto"/>
            <w:noWrap/>
            <w:vAlign w:val="bottom"/>
            <w:hideMark/>
          </w:tcPr>
          <w:p w14:paraId="1FB5CA40" w14:textId="5E6F97B1"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1C1CAB61" w14:textId="7A1B3F1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12E76F93" w14:textId="0250FEE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38FD24D5" w14:textId="77777777" w:rsidTr="00436AC0">
        <w:trPr>
          <w:trHeight w:val="204"/>
        </w:trPr>
        <w:tc>
          <w:tcPr>
            <w:tcW w:w="2235" w:type="pct"/>
            <w:tcBorders>
              <w:top w:val="nil"/>
              <w:left w:val="nil"/>
              <w:bottom w:val="nil"/>
              <w:right w:val="nil"/>
            </w:tcBorders>
            <w:shd w:val="clear" w:color="auto" w:fill="auto"/>
            <w:vAlign w:val="bottom"/>
            <w:hideMark/>
          </w:tcPr>
          <w:p w14:paraId="239E4796"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Gold Coast Airport Contribution</w:t>
            </w:r>
          </w:p>
        </w:tc>
        <w:tc>
          <w:tcPr>
            <w:tcW w:w="608" w:type="pct"/>
            <w:tcBorders>
              <w:top w:val="nil"/>
              <w:left w:val="nil"/>
              <w:bottom w:val="nil"/>
              <w:right w:val="nil"/>
            </w:tcBorders>
            <w:shd w:val="clear" w:color="auto" w:fill="auto"/>
            <w:noWrap/>
            <w:vAlign w:val="bottom"/>
            <w:hideMark/>
          </w:tcPr>
          <w:p w14:paraId="0A2D03E9" w14:textId="784F7C6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4,409</w:t>
            </w:r>
          </w:p>
        </w:tc>
        <w:tc>
          <w:tcPr>
            <w:tcW w:w="589" w:type="pct"/>
            <w:tcBorders>
              <w:top w:val="nil"/>
              <w:left w:val="nil"/>
              <w:bottom w:val="nil"/>
              <w:right w:val="nil"/>
            </w:tcBorders>
            <w:shd w:val="clear" w:color="auto" w:fill="E6E6E6"/>
            <w:noWrap/>
            <w:vAlign w:val="bottom"/>
            <w:hideMark/>
          </w:tcPr>
          <w:p w14:paraId="7BFBC0E1" w14:textId="1C64FDE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4,000</w:t>
            </w:r>
          </w:p>
        </w:tc>
        <w:tc>
          <w:tcPr>
            <w:tcW w:w="523" w:type="pct"/>
            <w:tcBorders>
              <w:top w:val="nil"/>
              <w:left w:val="nil"/>
              <w:bottom w:val="nil"/>
              <w:right w:val="nil"/>
            </w:tcBorders>
            <w:shd w:val="clear" w:color="auto" w:fill="auto"/>
            <w:noWrap/>
            <w:vAlign w:val="bottom"/>
            <w:hideMark/>
          </w:tcPr>
          <w:p w14:paraId="042383A2" w14:textId="696E2A9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617D961F" w14:textId="4265A7BF"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29F50CEA" w14:textId="50E114A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3F474931" w14:textId="77777777" w:rsidTr="00436AC0">
        <w:trPr>
          <w:trHeight w:val="204"/>
        </w:trPr>
        <w:tc>
          <w:tcPr>
            <w:tcW w:w="2235" w:type="pct"/>
            <w:tcBorders>
              <w:top w:val="nil"/>
              <w:left w:val="nil"/>
              <w:bottom w:val="nil"/>
              <w:right w:val="nil"/>
            </w:tcBorders>
            <w:shd w:val="clear" w:color="auto" w:fill="auto"/>
            <w:vAlign w:val="bottom"/>
            <w:hideMark/>
          </w:tcPr>
          <w:p w14:paraId="627ABF37"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International Air Security Charges Rebate</w:t>
            </w:r>
          </w:p>
        </w:tc>
        <w:tc>
          <w:tcPr>
            <w:tcW w:w="608" w:type="pct"/>
            <w:tcBorders>
              <w:top w:val="nil"/>
              <w:left w:val="nil"/>
              <w:bottom w:val="nil"/>
              <w:right w:val="nil"/>
            </w:tcBorders>
            <w:shd w:val="clear" w:color="auto" w:fill="auto"/>
            <w:noWrap/>
            <w:vAlign w:val="bottom"/>
            <w:hideMark/>
          </w:tcPr>
          <w:p w14:paraId="1A0697E5" w14:textId="65E1B1A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26,209</w:t>
            </w:r>
          </w:p>
        </w:tc>
        <w:tc>
          <w:tcPr>
            <w:tcW w:w="589" w:type="pct"/>
            <w:tcBorders>
              <w:top w:val="nil"/>
              <w:left w:val="nil"/>
              <w:bottom w:val="nil"/>
              <w:right w:val="nil"/>
            </w:tcBorders>
            <w:shd w:val="clear" w:color="auto" w:fill="E6E6E6"/>
            <w:noWrap/>
            <w:vAlign w:val="bottom"/>
            <w:hideMark/>
          </w:tcPr>
          <w:p w14:paraId="09FDE9C9" w14:textId="1E68C728"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6CFE8355" w14:textId="34AD168F"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B01405F" w14:textId="6F473B4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A0F7D4F" w14:textId="1ABABA2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50AD3720" w14:textId="77777777" w:rsidTr="00436AC0">
        <w:trPr>
          <w:trHeight w:val="204"/>
        </w:trPr>
        <w:tc>
          <w:tcPr>
            <w:tcW w:w="2235" w:type="pct"/>
            <w:tcBorders>
              <w:top w:val="nil"/>
              <w:left w:val="nil"/>
              <w:bottom w:val="nil"/>
              <w:right w:val="nil"/>
            </w:tcBorders>
            <w:shd w:val="clear" w:color="auto" w:fill="auto"/>
            <w:vAlign w:val="bottom"/>
            <w:hideMark/>
          </w:tcPr>
          <w:p w14:paraId="2CCFC2A1"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 xml:space="preserve">International Aviation Support </w:t>
            </w:r>
          </w:p>
        </w:tc>
        <w:tc>
          <w:tcPr>
            <w:tcW w:w="608" w:type="pct"/>
            <w:tcBorders>
              <w:top w:val="nil"/>
              <w:left w:val="nil"/>
              <w:bottom w:val="nil"/>
              <w:right w:val="nil"/>
            </w:tcBorders>
            <w:shd w:val="clear" w:color="auto" w:fill="auto"/>
            <w:noWrap/>
            <w:vAlign w:val="bottom"/>
            <w:hideMark/>
          </w:tcPr>
          <w:p w14:paraId="396A6E8F" w14:textId="088491F0"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239,374</w:t>
            </w:r>
          </w:p>
        </w:tc>
        <w:tc>
          <w:tcPr>
            <w:tcW w:w="589" w:type="pct"/>
            <w:tcBorders>
              <w:top w:val="nil"/>
              <w:left w:val="nil"/>
              <w:bottom w:val="nil"/>
              <w:right w:val="nil"/>
            </w:tcBorders>
            <w:shd w:val="clear" w:color="auto" w:fill="E6E6E6"/>
            <w:noWrap/>
            <w:vAlign w:val="bottom"/>
            <w:hideMark/>
          </w:tcPr>
          <w:p w14:paraId="43203625" w14:textId="60DF4BE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45CA0D3F" w14:textId="716F9AB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36B01A0" w14:textId="618FF28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6B2A4BDC" w14:textId="6A579215"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173D5330" w14:textId="77777777" w:rsidTr="00436AC0">
        <w:trPr>
          <w:trHeight w:val="204"/>
        </w:trPr>
        <w:tc>
          <w:tcPr>
            <w:tcW w:w="2235" w:type="pct"/>
            <w:tcBorders>
              <w:top w:val="nil"/>
              <w:left w:val="nil"/>
              <w:bottom w:val="nil"/>
              <w:right w:val="nil"/>
            </w:tcBorders>
            <w:shd w:val="clear" w:color="auto" w:fill="auto"/>
            <w:vAlign w:val="bottom"/>
            <w:hideMark/>
          </w:tcPr>
          <w:p w14:paraId="20289860"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International Civil Aviation Organization - contribution</w:t>
            </w:r>
          </w:p>
        </w:tc>
        <w:tc>
          <w:tcPr>
            <w:tcW w:w="608" w:type="pct"/>
            <w:tcBorders>
              <w:top w:val="nil"/>
              <w:left w:val="nil"/>
              <w:bottom w:val="nil"/>
              <w:right w:val="nil"/>
            </w:tcBorders>
            <w:shd w:val="clear" w:color="auto" w:fill="auto"/>
            <w:noWrap/>
            <w:vAlign w:val="bottom"/>
            <w:hideMark/>
          </w:tcPr>
          <w:p w14:paraId="506A54DE" w14:textId="3C8C318E"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2,313</w:t>
            </w:r>
          </w:p>
        </w:tc>
        <w:tc>
          <w:tcPr>
            <w:tcW w:w="589" w:type="pct"/>
            <w:tcBorders>
              <w:top w:val="nil"/>
              <w:left w:val="nil"/>
              <w:bottom w:val="nil"/>
              <w:right w:val="nil"/>
            </w:tcBorders>
            <w:shd w:val="clear" w:color="auto" w:fill="E6E6E6"/>
            <w:noWrap/>
            <w:vAlign w:val="bottom"/>
            <w:hideMark/>
          </w:tcPr>
          <w:p w14:paraId="1A46B91E" w14:textId="6955ED1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2,999</w:t>
            </w:r>
          </w:p>
        </w:tc>
        <w:tc>
          <w:tcPr>
            <w:tcW w:w="523" w:type="pct"/>
            <w:tcBorders>
              <w:top w:val="nil"/>
              <w:left w:val="nil"/>
              <w:bottom w:val="nil"/>
              <w:right w:val="nil"/>
            </w:tcBorders>
            <w:shd w:val="clear" w:color="auto" w:fill="auto"/>
            <w:noWrap/>
            <w:vAlign w:val="bottom"/>
            <w:hideMark/>
          </w:tcPr>
          <w:p w14:paraId="26388007" w14:textId="2074DF9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3,239</w:t>
            </w:r>
          </w:p>
        </w:tc>
        <w:tc>
          <w:tcPr>
            <w:tcW w:w="523" w:type="pct"/>
            <w:tcBorders>
              <w:top w:val="nil"/>
              <w:left w:val="nil"/>
              <w:bottom w:val="nil"/>
              <w:right w:val="nil"/>
            </w:tcBorders>
            <w:shd w:val="clear" w:color="auto" w:fill="auto"/>
            <w:noWrap/>
            <w:vAlign w:val="bottom"/>
            <w:hideMark/>
          </w:tcPr>
          <w:p w14:paraId="609454FF" w14:textId="3EB2C76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3,418</w:t>
            </w:r>
          </w:p>
        </w:tc>
        <w:tc>
          <w:tcPr>
            <w:tcW w:w="523" w:type="pct"/>
            <w:tcBorders>
              <w:top w:val="nil"/>
              <w:left w:val="nil"/>
              <w:bottom w:val="nil"/>
              <w:right w:val="nil"/>
            </w:tcBorders>
            <w:shd w:val="clear" w:color="auto" w:fill="auto"/>
            <w:noWrap/>
            <w:vAlign w:val="bottom"/>
            <w:hideMark/>
          </w:tcPr>
          <w:p w14:paraId="358DAD47" w14:textId="6B99681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3,418</w:t>
            </w:r>
          </w:p>
        </w:tc>
      </w:tr>
      <w:tr w:rsidR="007E1717" w:rsidRPr="00EB681B" w14:paraId="75E3344E" w14:textId="77777777" w:rsidTr="00436AC0">
        <w:trPr>
          <w:trHeight w:val="204"/>
        </w:trPr>
        <w:tc>
          <w:tcPr>
            <w:tcW w:w="2235" w:type="pct"/>
            <w:tcBorders>
              <w:top w:val="nil"/>
              <w:left w:val="nil"/>
              <w:bottom w:val="nil"/>
              <w:right w:val="nil"/>
            </w:tcBorders>
            <w:shd w:val="clear" w:color="auto" w:fill="auto"/>
            <w:vAlign w:val="bottom"/>
          </w:tcPr>
          <w:p w14:paraId="26AD1C79" w14:textId="77777777" w:rsidR="007E1717" w:rsidRPr="00EB681B" w:rsidRDefault="007E1717" w:rsidP="007E1717">
            <w:pPr>
              <w:spacing w:after="0" w:line="240" w:lineRule="auto"/>
              <w:ind w:left="113"/>
              <w:rPr>
                <w:rFonts w:ascii="Arial" w:hAnsi="Arial" w:cs="Arial"/>
                <w:sz w:val="16"/>
                <w:szCs w:val="16"/>
              </w:rPr>
            </w:pPr>
            <w:r>
              <w:rPr>
                <w:rFonts w:ascii="Arial" w:hAnsi="Arial" w:cs="Arial"/>
                <w:sz w:val="16"/>
                <w:szCs w:val="16"/>
              </w:rPr>
              <w:t>Hobart Airport Runway</w:t>
            </w:r>
          </w:p>
        </w:tc>
        <w:tc>
          <w:tcPr>
            <w:tcW w:w="608" w:type="pct"/>
            <w:tcBorders>
              <w:top w:val="nil"/>
              <w:left w:val="nil"/>
              <w:bottom w:val="nil"/>
              <w:right w:val="nil"/>
            </w:tcBorders>
            <w:shd w:val="clear" w:color="auto" w:fill="auto"/>
            <w:noWrap/>
            <w:vAlign w:val="bottom"/>
          </w:tcPr>
          <w:p w14:paraId="5A2A2519" w14:textId="773AAC0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bottom"/>
          </w:tcPr>
          <w:p w14:paraId="1DDE1370" w14:textId="6529D35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tcPr>
          <w:p w14:paraId="6B9C83FB" w14:textId="5A1E3E0E"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20,000</w:t>
            </w:r>
          </w:p>
        </w:tc>
        <w:tc>
          <w:tcPr>
            <w:tcW w:w="523" w:type="pct"/>
            <w:tcBorders>
              <w:top w:val="nil"/>
              <w:left w:val="nil"/>
              <w:bottom w:val="nil"/>
              <w:right w:val="nil"/>
            </w:tcBorders>
            <w:shd w:val="clear" w:color="auto" w:fill="auto"/>
            <w:noWrap/>
            <w:vAlign w:val="bottom"/>
          </w:tcPr>
          <w:p w14:paraId="6E801B48" w14:textId="553F807E"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40,000</w:t>
            </w:r>
          </w:p>
        </w:tc>
        <w:tc>
          <w:tcPr>
            <w:tcW w:w="523" w:type="pct"/>
            <w:tcBorders>
              <w:top w:val="nil"/>
              <w:left w:val="nil"/>
              <w:bottom w:val="nil"/>
              <w:right w:val="nil"/>
            </w:tcBorders>
            <w:shd w:val="clear" w:color="auto" w:fill="auto"/>
            <w:noWrap/>
            <w:vAlign w:val="bottom"/>
          </w:tcPr>
          <w:p w14:paraId="43A396F6" w14:textId="003140B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468F507D" w14:textId="77777777" w:rsidTr="00436AC0">
        <w:trPr>
          <w:trHeight w:val="204"/>
        </w:trPr>
        <w:tc>
          <w:tcPr>
            <w:tcW w:w="2235" w:type="pct"/>
            <w:tcBorders>
              <w:top w:val="nil"/>
              <w:left w:val="nil"/>
              <w:bottom w:val="nil"/>
              <w:right w:val="nil"/>
            </w:tcBorders>
            <w:shd w:val="clear" w:color="auto" w:fill="auto"/>
            <w:vAlign w:val="bottom"/>
          </w:tcPr>
          <w:p w14:paraId="285A857B" w14:textId="77777777" w:rsidR="007E1717" w:rsidRDefault="007E1717" w:rsidP="007E1717">
            <w:pPr>
              <w:spacing w:after="0" w:line="240" w:lineRule="auto"/>
              <w:ind w:left="113"/>
              <w:rPr>
                <w:rFonts w:ascii="Arial" w:hAnsi="Arial" w:cs="Arial"/>
                <w:sz w:val="16"/>
                <w:szCs w:val="16"/>
              </w:rPr>
            </w:pPr>
            <w:r>
              <w:rPr>
                <w:rFonts w:ascii="Arial" w:hAnsi="Arial" w:cs="Arial"/>
                <w:sz w:val="16"/>
                <w:szCs w:val="16"/>
              </w:rPr>
              <w:t>Newcastle Airport International Terminal Upgrade</w:t>
            </w:r>
          </w:p>
        </w:tc>
        <w:tc>
          <w:tcPr>
            <w:tcW w:w="608" w:type="pct"/>
            <w:tcBorders>
              <w:top w:val="nil"/>
              <w:left w:val="nil"/>
              <w:bottom w:val="nil"/>
              <w:right w:val="nil"/>
            </w:tcBorders>
            <w:shd w:val="clear" w:color="auto" w:fill="auto"/>
            <w:noWrap/>
            <w:vAlign w:val="center"/>
          </w:tcPr>
          <w:p w14:paraId="33BF7DF3" w14:textId="7C8C3EE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center"/>
          </w:tcPr>
          <w:p w14:paraId="544FAAF1" w14:textId="2B5664B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15,000</w:t>
            </w:r>
          </w:p>
        </w:tc>
        <w:tc>
          <w:tcPr>
            <w:tcW w:w="523" w:type="pct"/>
            <w:tcBorders>
              <w:top w:val="nil"/>
              <w:left w:val="nil"/>
              <w:bottom w:val="nil"/>
              <w:right w:val="nil"/>
            </w:tcBorders>
            <w:shd w:val="clear" w:color="auto" w:fill="auto"/>
            <w:noWrap/>
            <w:vAlign w:val="center"/>
          </w:tcPr>
          <w:p w14:paraId="0F5DCD53" w14:textId="2C6269E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40,000</w:t>
            </w:r>
          </w:p>
        </w:tc>
        <w:tc>
          <w:tcPr>
            <w:tcW w:w="523" w:type="pct"/>
            <w:tcBorders>
              <w:top w:val="nil"/>
              <w:left w:val="nil"/>
              <w:bottom w:val="nil"/>
              <w:right w:val="nil"/>
            </w:tcBorders>
            <w:shd w:val="clear" w:color="auto" w:fill="auto"/>
            <w:noWrap/>
            <w:vAlign w:val="center"/>
          </w:tcPr>
          <w:p w14:paraId="1C9AA09A" w14:textId="56862101"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center"/>
          </w:tcPr>
          <w:p w14:paraId="730FF74E" w14:textId="72AD0BE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13D71E32" w14:textId="77777777" w:rsidTr="00436AC0">
        <w:trPr>
          <w:trHeight w:val="204"/>
        </w:trPr>
        <w:tc>
          <w:tcPr>
            <w:tcW w:w="2235" w:type="pct"/>
            <w:tcBorders>
              <w:top w:val="nil"/>
              <w:left w:val="nil"/>
              <w:bottom w:val="nil"/>
              <w:right w:val="nil"/>
            </w:tcBorders>
            <w:shd w:val="clear" w:color="auto" w:fill="auto"/>
            <w:vAlign w:val="bottom"/>
            <w:hideMark/>
          </w:tcPr>
          <w:p w14:paraId="030FADA5"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 xml:space="preserve">Payment scheme for Airservices Australia's en route charges </w:t>
            </w:r>
            <w:r w:rsidRPr="00EB681B">
              <w:rPr>
                <w:rFonts w:ascii="Arial" w:hAnsi="Arial" w:cs="Arial"/>
                <w:sz w:val="16"/>
                <w:szCs w:val="16"/>
                <w:vertAlign w:val="superscript"/>
              </w:rPr>
              <w:t>(a)</w:t>
            </w:r>
          </w:p>
        </w:tc>
        <w:tc>
          <w:tcPr>
            <w:tcW w:w="608" w:type="pct"/>
            <w:tcBorders>
              <w:top w:val="nil"/>
              <w:left w:val="nil"/>
              <w:bottom w:val="nil"/>
              <w:right w:val="nil"/>
            </w:tcBorders>
            <w:shd w:val="clear" w:color="auto" w:fill="auto"/>
            <w:noWrap/>
            <w:vAlign w:val="bottom"/>
            <w:hideMark/>
          </w:tcPr>
          <w:p w14:paraId="0B854B71" w14:textId="73ADEC3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bottom"/>
            <w:hideMark/>
          </w:tcPr>
          <w:p w14:paraId="13ABDFE2" w14:textId="724BD16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2,000</w:t>
            </w:r>
          </w:p>
        </w:tc>
        <w:tc>
          <w:tcPr>
            <w:tcW w:w="523" w:type="pct"/>
            <w:tcBorders>
              <w:top w:val="nil"/>
              <w:left w:val="nil"/>
              <w:bottom w:val="nil"/>
              <w:right w:val="nil"/>
            </w:tcBorders>
            <w:shd w:val="clear" w:color="auto" w:fill="auto"/>
            <w:noWrap/>
            <w:vAlign w:val="bottom"/>
            <w:hideMark/>
          </w:tcPr>
          <w:p w14:paraId="43B8A38E" w14:textId="61ADF52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2,000</w:t>
            </w:r>
          </w:p>
        </w:tc>
        <w:tc>
          <w:tcPr>
            <w:tcW w:w="523" w:type="pct"/>
            <w:tcBorders>
              <w:top w:val="nil"/>
              <w:left w:val="nil"/>
              <w:bottom w:val="nil"/>
              <w:right w:val="nil"/>
            </w:tcBorders>
            <w:shd w:val="clear" w:color="auto" w:fill="auto"/>
            <w:noWrap/>
            <w:vAlign w:val="bottom"/>
            <w:hideMark/>
          </w:tcPr>
          <w:p w14:paraId="1D674D9A" w14:textId="69A38A3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2,000</w:t>
            </w:r>
          </w:p>
        </w:tc>
        <w:tc>
          <w:tcPr>
            <w:tcW w:w="523" w:type="pct"/>
            <w:tcBorders>
              <w:top w:val="nil"/>
              <w:left w:val="nil"/>
              <w:bottom w:val="nil"/>
              <w:right w:val="nil"/>
            </w:tcBorders>
            <w:shd w:val="clear" w:color="auto" w:fill="auto"/>
            <w:noWrap/>
            <w:vAlign w:val="bottom"/>
            <w:hideMark/>
          </w:tcPr>
          <w:p w14:paraId="1F18C1FF" w14:textId="41F9B1F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2,000</w:t>
            </w:r>
          </w:p>
        </w:tc>
      </w:tr>
      <w:tr w:rsidR="007E1717" w:rsidRPr="00EB681B" w14:paraId="582781EA" w14:textId="77777777" w:rsidTr="00436AC0">
        <w:trPr>
          <w:trHeight w:val="204"/>
        </w:trPr>
        <w:tc>
          <w:tcPr>
            <w:tcW w:w="2235" w:type="pct"/>
            <w:tcBorders>
              <w:top w:val="nil"/>
              <w:left w:val="nil"/>
              <w:bottom w:val="nil"/>
              <w:right w:val="nil"/>
            </w:tcBorders>
            <w:shd w:val="clear" w:color="auto" w:fill="auto"/>
            <w:vAlign w:val="bottom"/>
          </w:tcPr>
          <w:p w14:paraId="3EAE0D60" w14:textId="77777777" w:rsidR="007E1717" w:rsidRPr="00EB681B" w:rsidRDefault="007E1717" w:rsidP="007E1717">
            <w:pPr>
              <w:spacing w:after="0" w:line="240" w:lineRule="auto"/>
              <w:ind w:left="113"/>
              <w:rPr>
                <w:rFonts w:ascii="Arial" w:hAnsi="Arial" w:cs="Arial"/>
                <w:sz w:val="16"/>
                <w:szCs w:val="16"/>
              </w:rPr>
            </w:pPr>
            <w:r>
              <w:rPr>
                <w:rFonts w:ascii="Arial" w:hAnsi="Arial" w:cs="Arial"/>
                <w:sz w:val="16"/>
                <w:szCs w:val="16"/>
              </w:rPr>
              <w:t>PFAS Airports Investigation Program</w:t>
            </w:r>
          </w:p>
        </w:tc>
        <w:tc>
          <w:tcPr>
            <w:tcW w:w="608" w:type="pct"/>
            <w:tcBorders>
              <w:top w:val="nil"/>
              <w:left w:val="nil"/>
              <w:bottom w:val="nil"/>
              <w:right w:val="nil"/>
            </w:tcBorders>
            <w:shd w:val="clear" w:color="auto" w:fill="auto"/>
            <w:noWrap/>
            <w:vAlign w:val="bottom"/>
          </w:tcPr>
          <w:p w14:paraId="3643F1F8" w14:textId="232D896E" w:rsidR="007E1717"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bottom"/>
          </w:tcPr>
          <w:p w14:paraId="67A6859E" w14:textId="24FE10FD" w:rsidR="007E1717" w:rsidRDefault="007E1717" w:rsidP="007E1717">
            <w:pPr>
              <w:spacing w:after="0" w:line="240" w:lineRule="auto"/>
              <w:jc w:val="right"/>
              <w:rPr>
                <w:rFonts w:ascii="Arial" w:hAnsi="Arial" w:cs="Arial"/>
                <w:sz w:val="16"/>
                <w:szCs w:val="16"/>
              </w:rPr>
            </w:pPr>
            <w:r>
              <w:rPr>
                <w:rFonts w:ascii="Arial" w:hAnsi="Arial" w:cs="Arial"/>
                <w:sz w:val="16"/>
                <w:szCs w:val="16"/>
              </w:rPr>
              <w:t>12,831</w:t>
            </w:r>
          </w:p>
        </w:tc>
        <w:tc>
          <w:tcPr>
            <w:tcW w:w="523" w:type="pct"/>
            <w:tcBorders>
              <w:top w:val="nil"/>
              <w:left w:val="nil"/>
              <w:bottom w:val="nil"/>
              <w:right w:val="nil"/>
            </w:tcBorders>
            <w:shd w:val="clear" w:color="auto" w:fill="auto"/>
            <w:noWrap/>
            <w:vAlign w:val="bottom"/>
          </w:tcPr>
          <w:p w14:paraId="7A60E605" w14:textId="41DE6D16" w:rsidR="007E1717" w:rsidRDefault="007E1717" w:rsidP="007E1717">
            <w:pPr>
              <w:spacing w:after="0" w:line="240" w:lineRule="auto"/>
              <w:jc w:val="right"/>
              <w:rPr>
                <w:rFonts w:ascii="Arial" w:hAnsi="Arial" w:cs="Arial"/>
                <w:sz w:val="16"/>
                <w:szCs w:val="16"/>
              </w:rPr>
            </w:pPr>
            <w:r>
              <w:rPr>
                <w:rFonts w:ascii="Arial" w:hAnsi="Arial" w:cs="Arial"/>
                <w:sz w:val="16"/>
                <w:szCs w:val="16"/>
              </w:rPr>
              <w:t>21,037</w:t>
            </w:r>
          </w:p>
        </w:tc>
        <w:tc>
          <w:tcPr>
            <w:tcW w:w="523" w:type="pct"/>
            <w:tcBorders>
              <w:top w:val="nil"/>
              <w:left w:val="nil"/>
              <w:bottom w:val="nil"/>
              <w:right w:val="nil"/>
            </w:tcBorders>
            <w:shd w:val="clear" w:color="auto" w:fill="auto"/>
            <w:noWrap/>
            <w:vAlign w:val="bottom"/>
          </w:tcPr>
          <w:p w14:paraId="72655609" w14:textId="0D0BC128" w:rsidR="007E1717" w:rsidRDefault="007E1717" w:rsidP="007E1717">
            <w:pPr>
              <w:spacing w:after="0" w:line="240" w:lineRule="auto"/>
              <w:jc w:val="right"/>
              <w:rPr>
                <w:rFonts w:ascii="Arial" w:hAnsi="Arial" w:cs="Arial"/>
                <w:sz w:val="16"/>
                <w:szCs w:val="16"/>
              </w:rPr>
            </w:pPr>
            <w:r>
              <w:rPr>
                <w:rFonts w:ascii="Arial" w:hAnsi="Arial" w:cs="Arial"/>
                <w:sz w:val="16"/>
                <w:szCs w:val="16"/>
              </w:rPr>
              <w:t>24,861</w:t>
            </w:r>
          </w:p>
        </w:tc>
        <w:tc>
          <w:tcPr>
            <w:tcW w:w="523" w:type="pct"/>
            <w:tcBorders>
              <w:top w:val="nil"/>
              <w:left w:val="nil"/>
              <w:bottom w:val="nil"/>
              <w:right w:val="nil"/>
            </w:tcBorders>
            <w:shd w:val="clear" w:color="auto" w:fill="auto"/>
            <w:noWrap/>
            <w:vAlign w:val="bottom"/>
          </w:tcPr>
          <w:p w14:paraId="34A279CD" w14:textId="16FDDF0B" w:rsidR="007E1717" w:rsidRDefault="007E1717" w:rsidP="007E1717">
            <w:pPr>
              <w:spacing w:after="0" w:line="240" w:lineRule="auto"/>
              <w:jc w:val="right"/>
              <w:rPr>
                <w:rFonts w:ascii="Arial" w:hAnsi="Arial" w:cs="Arial"/>
                <w:sz w:val="16"/>
                <w:szCs w:val="16"/>
              </w:rPr>
            </w:pPr>
            <w:r>
              <w:rPr>
                <w:rFonts w:ascii="Arial" w:hAnsi="Arial" w:cs="Arial"/>
                <w:sz w:val="16"/>
                <w:szCs w:val="16"/>
              </w:rPr>
              <w:t>24,161</w:t>
            </w:r>
          </w:p>
        </w:tc>
      </w:tr>
      <w:tr w:rsidR="007E1717" w:rsidRPr="00EB681B" w14:paraId="2A282BE0" w14:textId="77777777" w:rsidTr="00436AC0">
        <w:trPr>
          <w:trHeight w:val="204"/>
        </w:trPr>
        <w:tc>
          <w:tcPr>
            <w:tcW w:w="2235" w:type="pct"/>
            <w:tcBorders>
              <w:top w:val="nil"/>
              <w:left w:val="nil"/>
              <w:bottom w:val="nil"/>
              <w:right w:val="nil"/>
            </w:tcBorders>
            <w:shd w:val="clear" w:color="auto" w:fill="auto"/>
            <w:vAlign w:val="bottom"/>
            <w:hideMark/>
          </w:tcPr>
          <w:p w14:paraId="7EAFE30B"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Regional Airline Network Support</w:t>
            </w:r>
          </w:p>
        </w:tc>
        <w:tc>
          <w:tcPr>
            <w:tcW w:w="608" w:type="pct"/>
            <w:tcBorders>
              <w:top w:val="nil"/>
              <w:left w:val="nil"/>
              <w:bottom w:val="nil"/>
              <w:right w:val="nil"/>
            </w:tcBorders>
            <w:shd w:val="clear" w:color="auto" w:fill="auto"/>
            <w:noWrap/>
            <w:vAlign w:val="bottom"/>
            <w:hideMark/>
          </w:tcPr>
          <w:p w14:paraId="3CA6128F" w14:textId="246275B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88,750</w:t>
            </w:r>
          </w:p>
        </w:tc>
        <w:tc>
          <w:tcPr>
            <w:tcW w:w="589" w:type="pct"/>
            <w:tcBorders>
              <w:top w:val="nil"/>
              <w:left w:val="nil"/>
              <w:bottom w:val="nil"/>
              <w:right w:val="nil"/>
            </w:tcBorders>
            <w:shd w:val="clear" w:color="auto" w:fill="E6E6E6"/>
            <w:noWrap/>
            <w:vAlign w:val="bottom"/>
            <w:hideMark/>
          </w:tcPr>
          <w:p w14:paraId="4A22D1A3" w14:textId="704B140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34D14450" w14:textId="0B4CE20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5B3692B1" w14:textId="1F88267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57A68424" w14:textId="4537BF9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3FB160E9" w14:textId="77777777" w:rsidTr="00436AC0">
        <w:trPr>
          <w:trHeight w:val="204"/>
        </w:trPr>
        <w:tc>
          <w:tcPr>
            <w:tcW w:w="2235" w:type="pct"/>
            <w:tcBorders>
              <w:top w:val="nil"/>
              <w:left w:val="nil"/>
              <w:bottom w:val="nil"/>
              <w:right w:val="nil"/>
            </w:tcBorders>
            <w:shd w:val="clear" w:color="auto" w:fill="auto"/>
            <w:vAlign w:val="bottom"/>
            <w:hideMark/>
          </w:tcPr>
          <w:p w14:paraId="6227FF33"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Regional Airports Program</w:t>
            </w:r>
          </w:p>
        </w:tc>
        <w:tc>
          <w:tcPr>
            <w:tcW w:w="608" w:type="pct"/>
            <w:tcBorders>
              <w:top w:val="nil"/>
              <w:left w:val="nil"/>
              <w:bottom w:val="nil"/>
              <w:right w:val="nil"/>
            </w:tcBorders>
            <w:shd w:val="clear" w:color="auto" w:fill="auto"/>
            <w:noWrap/>
            <w:vAlign w:val="bottom"/>
            <w:hideMark/>
          </w:tcPr>
          <w:p w14:paraId="337624AA" w14:textId="06BD5448"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12,601</w:t>
            </w:r>
          </w:p>
        </w:tc>
        <w:tc>
          <w:tcPr>
            <w:tcW w:w="589" w:type="pct"/>
            <w:tcBorders>
              <w:top w:val="nil"/>
              <w:left w:val="nil"/>
              <w:bottom w:val="nil"/>
              <w:right w:val="nil"/>
            </w:tcBorders>
            <w:shd w:val="clear" w:color="auto" w:fill="E6E6E6"/>
            <w:noWrap/>
            <w:vAlign w:val="bottom"/>
            <w:hideMark/>
          </w:tcPr>
          <w:p w14:paraId="56695F21" w14:textId="2856F485"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53,470</w:t>
            </w:r>
          </w:p>
        </w:tc>
        <w:tc>
          <w:tcPr>
            <w:tcW w:w="523" w:type="pct"/>
            <w:tcBorders>
              <w:top w:val="nil"/>
              <w:left w:val="nil"/>
              <w:bottom w:val="nil"/>
              <w:right w:val="nil"/>
            </w:tcBorders>
            <w:shd w:val="clear" w:color="auto" w:fill="auto"/>
            <w:noWrap/>
            <w:vAlign w:val="bottom"/>
            <w:hideMark/>
          </w:tcPr>
          <w:p w14:paraId="237358DF" w14:textId="2AEF6C28"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10,000</w:t>
            </w:r>
          </w:p>
        </w:tc>
        <w:tc>
          <w:tcPr>
            <w:tcW w:w="523" w:type="pct"/>
            <w:tcBorders>
              <w:top w:val="nil"/>
              <w:left w:val="nil"/>
              <w:bottom w:val="nil"/>
              <w:right w:val="nil"/>
            </w:tcBorders>
            <w:shd w:val="clear" w:color="auto" w:fill="auto"/>
            <w:noWrap/>
            <w:vAlign w:val="bottom"/>
            <w:hideMark/>
          </w:tcPr>
          <w:p w14:paraId="1B251B5C" w14:textId="3E150C3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10,000</w:t>
            </w:r>
          </w:p>
        </w:tc>
        <w:tc>
          <w:tcPr>
            <w:tcW w:w="523" w:type="pct"/>
            <w:tcBorders>
              <w:top w:val="nil"/>
              <w:left w:val="nil"/>
              <w:bottom w:val="nil"/>
              <w:right w:val="nil"/>
            </w:tcBorders>
            <w:shd w:val="clear" w:color="auto" w:fill="auto"/>
            <w:noWrap/>
            <w:vAlign w:val="bottom"/>
            <w:hideMark/>
          </w:tcPr>
          <w:p w14:paraId="799762AC" w14:textId="48820048"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2FABF2EC" w14:textId="77777777" w:rsidTr="00436AC0">
        <w:trPr>
          <w:trHeight w:val="204"/>
        </w:trPr>
        <w:tc>
          <w:tcPr>
            <w:tcW w:w="2235" w:type="pct"/>
            <w:tcBorders>
              <w:top w:val="nil"/>
              <w:left w:val="nil"/>
              <w:bottom w:val="nil"/>
              <w:right w:val="nil"/>
            </w:tcBorders>
            <w:shd w:val="clear" w:color="auto" w:fill="auto"/>
            <w:vAlign w:val="bottom"/>
            <w:hideMark/>
          </w:tcPr>
          <w:p w14:paraId="12DFB160"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Regional Aviation Access</w:t>
            </w:r>
          </w:p>
        </w:tc>
        <w:tc>
          <w:tcPr>
            <w:tcW w:w="608" w:type="pct"/>
            <w:tcBorders>
              <w:top w:val="nil"/>
              <w:left w:val="nil"/>
              <w:bottom w:val="nil"/>
              <w:right w:val="nil"/>
            </w:tcBorders>
            <w:shd w:val="clear" w:color="auto" w:fill="auto"/>
            <w:noWrap/>
            <w:vAlign w:val="bottom"/>
            <w:hideMark/>
          </w:tcPr>
          <w:p w14:paraId="2AA4647A" w14:textId="3E519862"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19,415</w:t>
            </w:r>
          </w:p>
        </w:tc>
        <w:tc>
          <w:tcPr>
            <w:tcW w:w="589" w:type="pct"/>
            <w:tcBorders>
              <w:top w:val="nil"/>
              <w:left w:val="nil"/>
              <w:bottom w:val="nil"/>
              <w:right w:val="nil"/>
            </w:tcBorders>
            <w:shd w:val="clear" w:color="auto" w:fill="E6E6E6"/>
            <w:noWrap/>
            <w:vAlign w:val="bottom"/>
            <w:hideMark/>
          </w:tcPr>
          <w:p w14:paraId="7FAF636C" w14:textId="5B4FB35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35,307</w:t>
            </w:r>
          </w:p>
        </w:tc>
        <w:tc>
          <w:tcPr>
            <w:tcW w:w="523" w:type="pct"/>
            <w:tcBorders>
              <w:top w:val="nil"/>
              <w:left w:val="nil"/>
              <w:bottom w:val="nil"/>
              <w:right w:val="nil"/>
            </w:tcBorders>
            <w:shd w:val="clear" w:color="auto" w:fill="auto"/>
            <w:noWrap/>
            <w:vAlign w:val="bottom"/>
            <w:hideMark/>
          </w:tcPr>
          <w:p w14:paraId="068634E7" w14:textId="1BA0760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19,283</w:t>
            </w:r>
          </w:p>
        </w:tc>
        <w:tc>
          <w:tcPr>
            <w:tcW w:w="523" w:type="pct"/>
            <w:tcBorders>
              <w:top w:val="nil"/>
              <w:left w:val="nil"/>
              <w:bottom w:val="nil"/>
              <w:right w:val="nil"/>
            </w:tcBorders>
            <w:shd w:val="clear" w:color="auto" w:fill="auto"/>
            <w:noWrap/>
            <w:vAlign w:val="bottom"/>
            <w:hideMark/>
          </w:tcPr>
          <w:p w14:paraId="65A82F66" w14:textId="75DD182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16,749</w:t>
            </w:r>
          </w:p>
        </w:tc>
        <w:tc>
          <w:tcPr>
            <w:tcW w:w="523" w:type="pct"/>
            <w:tcBorders>
              <w:top w:val="nil"/>
              <w:left w:val="nil"/>
              <w:bottom w:val="nil"/>
              <w:right w:val="nil"/>
            </w:tcBorders>
            <w:shd w:val="clear" w:color="auto" w:fill="auto"/>
            <w:noWrap/>
            <w:vAlign w:val="bottom"/>
            <w:hideMark/>
          </w:tcPr>
          <w:p w14:paraId="002F3FB7" w14:textId="3DF464B0"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15,299</w:t>
            </w:r>
          </w:p>
        </w:tc>
      </w:tr>
      <w:tr w:rsidR="007E1717" w:rsidRPr="00EB681B" w14:paraId="23AE7E5E" w14:textId="77777777" w:rsidTr="00436AC0">
        <w:trPr>
          <w:trHeight w:val="204"/>
        </w:trPr>
        <w:tc>
          <w:tcPr>
            <w:tcW w:w="2235" w:type="pct"/>
            <w:tcBorders>
              <w:top w:val="nil"/>
              <w:left w:val="nil"/>
              <w:bottom w:val="nil"/>
              <w:right w:val="nil"/>
            </w:tcBorders>
            <w:shd w:val="clear" w:color="auto" w:fill="auto"/>
            <w:vAlign w:val="bottom"/>
            <w:hideMark/>
          </w:tcPr>
          <w:p w14:paraId="72931E5A"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Retaining Domestic Air Capability</w:t>
            </w:r>
          </w:p>
        </w:tc>
        <w:tc>
          <w:tcPr>
            <w:tcW w:w="608" w:type="pct"/>
            <w:tcBorders>
              <w:top w:val="nil"/>
              <w:left w:val="nil"/>
              <w:bottom w:val="nil"/>
              <w:right w:val="nil"/>
            </w:tcBorders>
            <w:shd w:val="clear" w:color="auto" w:fill="auto"/>
            <w:noWrap/>
            <w:vAlign w:val="bottom"/>
            <w:hideMark/>
          </w:tcPr>
          <w:p w14:paraId="11004A06" w14:textId="63C7899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89,706</w:t>
            </w:r>
          </w:p>
        </w:tc>
        <w:tc>
          <w:tcPr>
            <w:tcW w:w="589" w:type="pct"/>
            <w:tcBorders>
              <w:top w:val="nil"/>
              <w:left w:val="nil"/>
              <w:bottom w:val="nil"/>
              <w:right w:val="nil"/>
            </w:tcBorders>
            <w:shd w:val="clear" w:color="auto" w:fill="E6E6E6"/>
            <w:noWrap/>
            <w:vAlign w:val="bottom"/>
            <w:hideMark/>
          </w:tcPr>
          <w:p w14:paraId="53248E3D" w14:textId="78F5E43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3C718DA1" w14:textId="0C409F3F"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6B5340AA" w14:textId="2629ED35"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3E4982A" w14:textId="317DE25F"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5B01C014" w14:textId="77777777" w:rsidTr="00436AC0">
        <w:trPr>
          <w:trHeight w:val="204"/>
        </w:trPr>
        <w:tc>
          <w:tcPr>
            <w:tcW w:w="2235" w:type="pct"/>
            <w:tcBorders>
              <w:top w:val="nil"/>
              <w:left w:val="nil"/>
              <w:bottom w:val="nil"/>
              <w:right w:val="nil"/>
            </w:tcBorders>
            <w:shd w:val="clear" w:color="auto" w:fill="auto"/>
            <w:vAlign w:val="bottom"/>
            <w:hideMark/>
          </w:tcPr>
          <w:p w14:paraId="7832A068"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Tourism Aviation Network Support Program</w:t>
            </w:r>
            <w:r>
              <w:rPr>
                <w:rFonts w:ascii="Arial" w:hAnsi="Arial" w:cs="Arial"/>
                <w:sz w:val="16"/>
                <w:szCs w:val="16"/>
              </w:rPr>
              <w:t> </w:t>
            </w:r>
            <w:r w:rsidRPr="00EB681B">
              <w:rPr>
                <w:rFonts w:ascii="Arial" w:hAnsi="Arial" w:cs="Arial"/>
                <w:sz w:val="16"/>
                <w:szCs w:val="16"/>
                <w:vertAlign w:val="superscript"/>
              </w:rPr>
              <w:t>(c)</w:t>
            </w:r>
          </w:p>
        </w:tc>
        <w:tc>
          <w:tcPr>
            <w:tcW w:w="608" w:type="pct"/>
            <w:tcBorders>
              <w:top w:val="nil"/>
              <w:left w:val="nil"/>
              <w:bottom w:val="nil"/>
              <w:right w:val="nil"/>
            </w:tcBorders>
            <w:shd w:val="clear" w:color="auto" w:fill="auto"/>
            <w:noWrap/>
            <w:vAlign w:val="bottom"/>
            <w:hideMark/>
          </w:tcPr>
          <w:p w14:paraId="4940A1D4" w14:textId="17F6EB6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nfp</w:t>
            </w:r>
          </w:p>
        </w:tc>
        <w:tc>
          <w:tcPr>
            <w:tcW w:w="589" w:type="pct"/>
            <w:tcBorders>
              <w:top w:val="nil"/>
              <w:left w:val="nil"/>
              <w:bottom w:val="nil"/>
              <w:right w:val="nil"/>
            </w:tcBorders>
            <w:shd w:val="clear" w:color="auto" w:fill="E6E6E6"/>
            <w:noWrap/>
            <w:vAlign w:val="center"/>
            <w:hideMark/>
          </w:tcPr>
          <w:p w14:paraId="4F8D1928" w14:textId="4562215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center"/>
            <w:hideMark/>
          </w:tcPr>
          <w:p w14:paraId="730AF6E2" w14:textId="60A6D83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center"/>
            <w:hideMark/>
          </w:tcPr>
          <w:p w14:paraId="06AE36C3" w14:textId="7BC23B67"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center"/>
            <w:hideMark/>
          </w:tcPr>
          <w:p w14:paraId="647797A7" w14:textId="656DD4C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5CEF901E" w14:textId="77777777" w:rsidTr="00436AC0">
        <w:trPr>
          <w:trHeight w:val="204"/>
        </w:trPr>
        <w:tc>
          <w:tcPr>
            <w:tcW w:w="2235" w:type="pct"/>
            <w:tcBorders>
              <w:top w:val="nil"/>
              <w:left w:val="nil"/>
              <w:bottom w:val="nil"/>
              <w:right w:val="nil"/>
            </w:tcBorders>
            <w:shd w:val="clear" w:color="auto" w:fill="auto"/>
            <w:vAlign w:val="bottom"/>
            <w:hideMark/>
          </w:tcPr>
          <w:p w14:paraId="6D329402"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Waiver for Airservices Australia Charges</w:t>
            </w:r>
          </w:p>
        </w:tc>
        <w:tc>
          <w:tcPr>
            <w:tcW w:w="608" w:type="pct"/>
            <w:tcBorders>
              <w:top w:val="nil"/>
              <w:left w:val="nil"/>
              <w:bottom w:val="nil"/>
              <w:right w:val="nil"/>
            </w:tcBorders>
            <w:shd w:val="clear" w:color="auto" w:fill="auto"/>
            <w:noWrap/>
            <w:vAlign w:val="bottom"/>
            <w:hideMark/>
          </w:tcPr>
          <w:p w14:paraId="4864FB46" w14:textId="4189BC60"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45,667</w:t>
            </w:r>
          </w:p>
        </w:tc>
        <w:tc>
          <w:tcPr>
            <w:tcW w:w="589" w:type="pct"/>
            <w:tcBorders>
              <w:top w:val="nil"/>
              <w:left w:val="nil"/>
              <w:bottom w:val="nil"/>
              <w:right w:val="nil"/>
            </w:tcBorders>
            <w:shd w:val="clear" w:color="auto" w:fill="E6E6E6"/>
            <w:noWrap/>
            <w:vAlign w:val="bottom"/>
            <w:hideMark/>
          </w:tcPr>
          <w:p w14:paraId="650891A8" w14:textId="5C0C8B0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14C8C315" w14:textId="683EC22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74F0C96D" w14:textId="4AAAD22B"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hideMark/>
          </w:tcPr>
          <w:p w14:paraId="546C61C4" w14:textId="164D9577"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377229EB" w14:textId="77777777" w:rsidTr="00436AC0">
        <w:trPr>
          <w:trHeight w:val="204"/>
        </w:trPr>
        <w:tc>
          <w:tcPr>
            <w:tcW w:w="2235" w:type="pct"/>
            <w:tcBorders>
              <w:top w:val="nil"/>
              <w:left w:val="nil"/>
              <w:bottom w:val="nil"/>
              <w:right w:val="nil"/>
            </w:tcBorders>
            <w:shd w:val="clear" w:color="auto" w:fill="auto"/>
            <w:vAlign w:val="bottom"/>
            <w:hideMark/>
          </w:tcPr>
          <w:p w14:paraId="6D78A8A9"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Western Sydney Airport – preparatory activities</w:t>
            </w:r>
          </w:p>
        </w:tc>
        <w:tc>
          <w:tcPr>
            <w:tcW w:w="608" w:type="pct"/>
            <w:tcBorders>
              <w:top w:val="nil"/>
              <w:left w:val="nil"/>
              <w:bottom w:val="nil"/>
              <w:right w:val="nil"/>
            </w:tcBorders>
            <w:shd w:val="clear" w:color="auto" w:fill="auto"/>
            <w:noWrap/>
            <w:vAlign w:val="bottom"/>
            <w:hideMark/>
          </w:tcPr>
          <w:p w14:paraId="48EB4C76" w14:textId="396BA18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9,416</w:t>
            </w:r>
          </w:p>
        </w:tc>
        <w:tc>
          <w:tcPr>
            <w:tcW w:w="589" w:type="pct"/>
            <w:tcBorders>
              <w:top w:val="nil"/>
              <w:left w:val="nil"/>
              <w:bottom w:val="nil"/>
              <w:right w:val="nil"/>
            </w:tcBorders>
            <w:shd w:val="clear" w:color="auto" w:fill="E6E6E6"/>
            <w:noWrap/>
            <w:vAlign w:val="bottom"/>
            <w:hideMark/>
          </w:tcPr>
          <w:p w14:paraId="05E12875" w14:textId="71210485"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26,372</w:t>
            </w:r>
          </w:p>
        </w:tc>
        <w:tc>
          <w:tcPr>
            <w:tcW w:w="523" w:type="pct"/>
            <w:tcBorders>
              <w:top w:val="nil"/>
              <w:left w:val="nil"/>
              <w:bottom w:val="nil"/>
              <w:right w:val="nil"/>
            </w:tcBorders>
            <w:shd w:val="clear" w:color="auto" w:fill="auto"/>
            <w:noWrap/>
            <w:vAlign w:val="bottom"/>
            <w:hideMark/>
          </w:tcPr>
          <w:p w14:paraId="29D9BEF6" w14:textId="1AB756E8"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4,924</w:t>
            </w:r>
          </w:p>
        </w:tc>
        <w:tc>
          <w:tcPr>
            <w:tcW w:w="523" w:type="pct"/>
            <w:tcBorders>
              <w:top w:val="nil"/>
              <w:left w:val="nil"/>
              <w:bottom w:val="nil"/>
              <w:right w:val="nil"/>
            </w:tcBorders>
            <w:shd w:val="clear" w:color="auto" w:fill="auto"/>
            <w:noWrap/>
            <w:vAlign w:val="bottom"/>
            <w:hideMark/>
          </w:tcPr>
          <w:p w14:paraId="217FAE86" w14:textId="068DCE0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20,000</w:t>
            </w:r>
          </w:p>
        </w:tc>
        <w:tc>
          <w:tcPr>
            <w:tcW w:w="523" w:type="pct"/>
            <w:tcBorders>
              <w:top w:val="nil"/>
              <w:left w:val="nil"/>
              <w:bottom w:val="nil"/>
              <w:right w:val="nil"/>
            </w:tcBorders>
            <w:shd w:val="clear" w:color="auto" w:fill="auto"/>
            <w:noWrap/>
            <w:vAlign w:val="bottom"/>
            <w:hideMark/>
          </w:tcPr>
          <w:p w14:paraId="3A570546" w14:textId="0925FB40"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102,491</w:t>
            </w:r>
          </w:p>
        </w:tc>
      </w:tr>
      <w:tr w:rsidR="007E1717" w:rsidRPr="00EB681B" w14:paraId="1C8DDB21" w14:textId="77777777" w:rsidTr="00436AC0">
        <w:trPr>
          <w:trHeight w:val="204"/>
        </w:trPr>
        <w:tc>
          <w:tcPr>
            <w:tcW w:w="2235" w:type="pct"/>
            <w:tcBorders>
              <w:top w:val="nil"/>
              <w:left w:val="nil"/>
              <w:bottom w:val="nil"/>
              <w:right w:val="nil"/>
            </w:tcBorders>
            <w:shd w:val="clear" w:color="auto" w:fill="auto"/>
            <w:vAlign w:val="bottom"/>
          </w:tcPr>
          <w:p w14:paraId="6596ACFB" w14:textId="05BC0CD8"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Western Sydney</w:t>
            </w:r>
            <w:r>
              <w:rPr>
                <w:rFonts w:ascii="Arial" w:hAnsi="Arial" w:cs="Arial"/>
                <w:sz w:val="16"/>
                <w:szCs w:val="16"/>
              </w:rPr>
              <w:t xml:space="preserve"> International</w:t>
            </w:r>
            <w:r w:rsidRPr="00EB681B">
              <w:rPr>
                <w:rFonts w:ascii="Arial" w:hAnsi="Arial" w:cs="Arial"/>
                <w:sz w:val="16"/>
                <w:szCs w:val="16"/>
              </w:rPr>
              <w:t xml:space="preserve"> Airport –</w:t>
            </w:r>
            <w:r>
              <w:rPr>
                <w:rFonts w:ascii="Arial" w:hAnsi="Arial" w:cs="Arial"/>
                <w:sz w:val="16"/>
                <w:szCs w:val="16"/>
              </w:rPr>
              <w:t xml:space="preserve"> Detailed Business Case</w:t>
            </w:r>
          </w:p>
        </w:tc>
        <w:tc>
          <w:tcPr>
            <w:tcW w:w="608" w:type="pct"/>
            <w:tcBorders>
              <w:top w:val="nil"/>
              <w:left w:val="nil"/>
              <w:bottom w:val="nil"/>
              <w:right w:val="nil"/>
            </w:tcBorders>
            <w:shd w:val="clear" w:color="auto" w:fill="auto"/>
            <w:noWrap/>
            <w:vAlign w:val="bottom"/>
          </w:tcPr>
          <w:p w14:paraId="60771902" w14:textId="112480C6" w:rsidR="007E1717"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E6E6E6"/>
            <w:noWrap/>
            <w:vAlign w:val="bottom"/>
          </w:tcPr>
          <w:p w14:paraId="54075D48" w14:textId="406CDA16" w:rsidR="007E1717" w:rsidRDefault="007E1717" w:rsidP="007E1717">
            <w:pPr>
              <w:spacing w:after="0" w:line="240" w:lineRule="auto"/>
              <w:jc w:val="right"/>
              <w:rPr>
                <w:rFonts w:ascii="Arial" w:hAnsi="Arial" w:cs="Arial"/>
                <w:sz w:val="16"/>
                <w:szCs w:val="16"/>
              </w:rPr>
            </w:pPr>
            <w:r>
              <w:rPr>
                <w:rFonts w:ascii="Arial" w:hAnsi="Arial" w:cs="Arial"/>
                <w:sz w:val="16"/>
                <w:szCs w:val="16"/>
              </w:rPr>
              <w:t>5,000</w:t>
            </w:r>
          </w:p>
        </w:tc>
        <w:tc>
          <w:tcPr>
            <w:tcW w:w="523" w:type="pct"/>
            <w:tcBorders>
              <w:top w:val="nil"/>
              <w:left w:val="nil"/>
              <w:bottom w:val="nil"/>
              <w:right w:val="nil"/>
            </w:tcBorders>
            <w:shd w:val="clear" w:color="auto" w:fill="auto"/>
            <w:noWrap/>
            <w:vAlign w:val="bottom"/>
          </w:tcPr>
          <w:p w14:paraId="39928127" w14:textId="2AF753A3" w:rsidR="007E1717"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tcPr>
          <w:p w14:paraId="44718185" w14:textId="6D505F4A" w:rsidR="007E1717" w:rsidRDefault="007E1717" w:rsidP="007E1717">
            <w:pPr>
              <w:spacing w:after="0" w:line="240" w:lineRule="auto"/>
              <w:jc w:val="right"/>
              <w:rPr>
                <w:rFonts w:ascii="Arial" w:hAnsi="Arial" w:cs="Arial"/>
                <w:sz w:val="16"/>
                <w:szCs w:val="16"/>
              </w:rPr>
            </w:pPr>
            <w:r>
              <w:rPr>
                <w:rFonts w:ascii="Arial" w:hAnsi="Arial" w:cs="Arial"/>
                <w:sz w:val="16"/>
                <w:szCs w:val="16"/>
              </w:rPr>
              <w:t>-</w:t>
            </w:r>
          </w:p>
        </w:tc>
        <w:tc>
          <w:tcPr>
            <w:tcW w:w="523" w:type="pct"/>
            <w:tcBorders>
              <w:top w:val="nil"/>
              <w:left w:val="nil"/>
              <w:bottom w:val="nil"/>
              <w:right w:val="nil"/>
            </w:tcBorders>
            <w:shd w:val="clear" w:color="auto" w:fill="auto"/>
            <w:noWrap/>
            <w:vAlign w:val="bottom"/>
          </w:tcPr>
          <w:p w14:paraId="5182A8AD" w14:textId="3F649A3C" w:rsidR="007E1717" w:rsidRDefault="007E1717" w:rsidP="007E1717">
            <w:pPr>
              <w:spacing w:after="0" w:line="240" w:lineRule="auto"/>
              <w:jc w:val="right"/>
              <w:rPr>
                <w:rFonts w:ascii="Arial" w:hAnsi="Arial" w:cs="Arial"/>
                <w:sz w:val="16"/>
                <w:szCs w:val="16"/>
              </w:rPr>
            </w:pPr>
            <w:r>
              <w:rPr>
                <w:rFonts w:ascii="Arial" w:hAnsi="Arial" w:cs="Arial"/>
                <w:sz w:val="16"/>
                <w:szCs w:val="16"/>
              </w:rPr>
              <w:t>-</w:t>
            </w:r>
          </w:p>
        </w:tc>
      </w:tr>
      <w:tr w:rsidR="007E1717" w:rsidRPr="00EB681B" w14:paraId="4393A260" w14:textId="77777777" w:rsidTr="00436AC0">
        <w:trPr>
          <w:trHeight w:val="204"/>
        </w:trPr>
        <w:tc>
          <w:tcPr>
            <w:tcW w:w="2235" w:type="pct"/>
            <w:tcBorders>
              <w:top w:val="nil"/>
              <w:left w:val="nil"/>
              <w:bottom w:val="nil"/>
              <w:right w:val="nil"/>
            </w:tcBorders>
            <w:shd w:val="clear" w:color="auto" w:fill="auto"/>
            <w:vAlign w:val="bottom"/>
            <w:hideMark/>
          </w:tcPr>
          <w:p w14:paraId="31BEEDE5" w14:textId="77777777" w:rsidR="007E1717" w:rsidRPr="00EB681B" w:rsidRDefault="007E1717" w:rsidP="007E1717">
            <w:pPr>
              <w:spacing w:after="0" w:line="240" w:lineRule="auto"/>
              <w:ind w:left="113"/>
              <w:rPr>
                <w:rFonts w:ascii="Arial" w:hAnsi="Arial" w:cs="Arial"/>
                <w:sz w:val="16"/>
                <w:szCs w:val="16"/>
              </w:rPr>
            </w:pPr>
            <w:r w:rsidRPr="00EB681B">
              <w:rPr>
                <w:rFonts w:ascii="Arial" w:hAnsi="Arial" w:cs="Arial"/>
                <w:sz w:val="16"/>
                <w:szCs w:val="16"/>
              </w:rPr>
              <w:t>Women in the Aviation Industry</w:t>
            </w:r>
          </w:p>
        </w:tc>
        <w:tc>
          <w:tcPr>
            <w:tcW w:w="608" w:type="pct"/>
            <w:tcBorders>
              <w:top w:val="nil"/>
              <w:left w:val="nil"/>
              <w:bottom w:val="nil"/>
              <w:right w:val="nil"/>
            </w:tcBorders>
            <w:shd w:val="clear" w:color="auto" w:fill="auto"/>
            <w:noWrap/>
            <w:vAlign w:val="bottom"/>
            <w:hideMark/>
          </w:tcPr>
          <w:p w14:paraId="04B935A6" w14:textId="117DCF7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1,128</w:t>
            </w:r>
          </w:p>
        </w:tc>
        <w:tc>
          <w:tcPr>
            <w:tcW w:w="589" w:type="pct"/>
            <w:tcBorders>
              <w:top w:val="nil"/>
              <w:left w:val="nil"/>
              <w:bottom w:val="nil"/>
              <w:right w:val="nil"/>
            </w:tcBorders>
            <w:shd w:val="clear" w:color="auto" w:fill="E6E6E6"/>
            <w:noWrap/>
            <w:vAlign w:val="bottom"/>
            <w:hideMark/>
          </w:tcPr>
          <w:p w14:paraId="504BD168" w14:textId="228D79C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1,537</w:t>
            </w:r>
          </w:p>
        </w:tc>
        <w:tc>
          <w:tcPr>
            <w:tcW w:w="523" w:type="pct"/>
            <w:tcBorders>
              <w:top w:val="nil"/>
              <w:left w:val="nil"/>
              <w:bottom w:val="nil"/>
              <w:right w:val="nil"/>
            </w:tcBorders>
            <w:shd w:val="clear" w:color="auto" w:fill="auto"/>
            <w:noWrap/>
            <w:vAlign w:val="bottom"/>
            <w:hideMark/>
          </w:tcPr>
          <w:p w14:paraId="07AD7427" w14:textId="28867854"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1,133</w:t>
            </w:r>
          </w:p>
        </w:tc>
        <w:tc>
          <w:tcPr>
            <w:tcW w:w="523" w:type="pct"/>
            <w:tcBorders>
              <w:top w:val="nil"/>
              <w:left w:val="nil"/>
              <w:bottom w:val="nil"/>
              <w:right w:val="nil"/>
            </w:tcBorders>
            <w:shd w:val="clear" w:color="auto" w:fill="auto"/>
            <w:noWrap/>
            <w:vAlign w:val="bottom"/>
            <w:hideMark/>
          </w:tcPr>
          <w:p w14:paraId="244DA8D4" w14:textId="49C2F39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1,133</w:t>
            </w:r>
          </w:p>
        </w:tc>
        <w:tc>
          <w:tcPr>
            <w:tcW w:w="523" w:type="pct"/>
            <w:tcBorders>
              <w:top w:val="nil"/>
              <w:left w:val="nil"/>
              <w:bottom w:val="nil"/>
              <w:right w:val="nil"/>
            </w:tcBorders>
            <w:shd w:val="clear" w:color="auto" w:fill="auto"/>
            <w:noWrap/>
            <w:vAlign w:val="bottom"/>
            <w:hideMark/>
          </w:tcPr>
          <w:p w14:paraId="52528A62" w14:textId="5708208D"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1,133</w:t>
            </w:r>
          </w:p>
        </w:tc>
      </w:tr>
      <w:tr w:rsidR="007E1717" w:rsidRPr="00EB681B" w14:paraId="4E0C60FB" w14:textId="77777777" w:rsidTr="00436AC0">
        <w:trPr>
          <w:trHeight w:val="204"/>
        </w:trPr>
        <w:tc>
          <w:tcPr>
            <w:tcW w:w="2235" w:type="pct"/>
            <w:tcBorders>
              <w:top w:val="nil"/>
              <w:left w:val="nil"/>
              <w:bottom w:val="nil"/>
              <w:right w:val="nil"/>
            </w:tcBorders>
            <w:shd w:val="clear" w:color="auto" w:fill="auto"/>
            <w:vAlign w:val="bottom"/>
            <w:hideMark/>
          </w:tcPr>
          <w:p w14:paraId="11C90F60" w14:textId="77777777" w:rsidR="007E1717" w:rsidRPr="00EB681B" w:rsidRDefault="007E1717" w:rsidP="007E1717">
            <w:pPr>
              <w:spacing w:after="0" w:line="240" w:lineRule="auto"/>
              <w:rPr>
                <w:rFonts w:ascii="Arial" w:hAnsi="Arial" w:cs="Arial"/>
                <w:sz w:val="16"/>
                <w:szCs w:val="16"/>
              </w:rPr>
            </w:pPr>
            <w:r w:rsidRPr="00EB681B">
              <w:rPr>
                <w:rFonts w:ascii="Arial" w:hAnsi="Arial" w:cs="Arial"/>
                <w:sz w:val="16"/>
                <w:szCs w:val="16"/>
              </w:rPr>
              <w:t xml:space="preserve">Payments to corporate entities </w:t>
            </w:r>
            <w:r w:rsidRPr="00EB681B">
              <w:rPr>
                <w:rFonts w:ascii="Arial" w:hAnsi="Arial" w:cs="Arial"/>
                <w:sz w:val="16"/>
                <w:szCs w:val="16"/>
                <w:vertAlign w:val="superscript"/>
              </w:rPr>
              <w:t>(b)</w:t>
            </w:r>
          </w:p>
        </w:tc>
        <w:tc>
          <w:tcPr>
            <w:tcW w:w="608" w:type="pct"/>
            <w:tcBorders>
              <w:top w:val="nil"/>
              <w:left w:val="nil"/>
              <w:bottom w:val="nil"/>
              <w:right w:val="nil"/>
            </w:tcBorders>
            <w:shd w:val="clear" w:color="auto" w:fill="auto"/>
            <w:noWrap/>
            <w:vAlign w:val="bottom"/>
            <w:hideMark/>
          </w:tcPr>
          <w:p w14:paraId="695F88D3" w14:textId="77777777" w:rsidR="007E1717" w:rsidRPr="00EB681B" w:rsidRDefault="007E1717" w:rsidP="007E1717">
            <w:pPr>
              <w:spacing w:after="0" w:line="240" w:lineRule="auto"/>
              <w:ind w:firstLineChars="100" w:firstLine="160"/>
              <w:jc w:val="right"/>
              <w:rPr>
                <w:rFonts w:ascii="Arial" w:hAnsi="Arial" w:cs="Arial"/>
                <w:sz w:val="16"/>
                <w:szCs w:val="16"/>
              </w:rPr>
            </w:pPr>
          </w:p>
        </w:tc>
        <w:tc>
          <w:tcPr>
            <w:tcW w:w="589" w:type="pct"/>
            <w:tcBorders>
              <w:top w:val="nil"/>
              <w:left w:val="nil"/>
              <w:bottom w:val="nil"/>
              <w:right w:val="nil"/>
            </w:tcBorders>
            <w:shd w:val="clear" w:color="auto" w:fill="E6E6E6"/>
            <w:noWrap/>
            <w:vAlign w:val="bottom"/>
            <w:hideMark/>
          </w:tcPr>
          <w:p w14:paraId="1110F447" w14:textId="6DD5B79B" w:rsidR="007E1717" w:rsidRPr="00EB681B" w:rsidRDefault="007E1717" w:rsidP="007E1717">
            <w:pPr>
              <w:spacing w:after="0" w:line="240" w:lineRule="auto"/>
              <w:jc w:val="right"/>
              <w:rPr>
                <w:rFonts w:ascii="Arial" w:hAnsi="Arial" w:cs="Arial"/>
                <w:sz w:val="16"/>
                <w:szCs w:val="16"/>
              </w:rPr>
            </w:pPr>
          </w:p>
        </w:tc>
        <w:tc>
          <w:tcPr>
            <w:tcW w:w="523" w:type="pct"/>
            <w:tcBorders>
              <w:top w:val="nil"/>
              <w:left w:val="nil"/>
              <w:bottom w:val="nil"/>
              <w:right w:val="nil"/>
            </w:tcBorders>
            <w:shd w:val="clear" w:color="auto" w:fill="auto"/>
            <w:noWrap/>
            <w:vAlign w:val="bottom"/>
            <w:hideMark/>
          </w:tcPr>
          <w:p w14:paraId="5277F14D" w14:textId="77777777" w:rsidR="007E1717" w:rsidRPr="00EB681B" w:rsidRDefault="007E1717" w:rsidP="007E1717">
            <w:pPr>
              <w:spacing w:after="0" w:line="240" w:lineRule="auto"/>
              <w:jc w:val="right"/>
              <w:rPr>
                <w:rFonts w:ascii="Arial" w:hAnsi="Arial" w:cs="Arial"/>
                <w:sz w:val="16"/>
                <w:szCs w:val="16"/>
              </w:rPr>
            </w:pPr>
          </w:p>
        </w:tc>
        <w:tc>
          <w:tcPr>
            <w:tcW w:w="523" w:type="pct"/>
            <w:tcBorders>
              <w:top w:val="nil"/>
              <w:left w:val="nil"/>
              <w:bottom w:val="nil"/>
              <w:right w:val="nil"/>
            </w:tcBorders>
            <w:shd w:val="clear" w:color="auto" w:fill="auto"/>
            <w:noWrap/>
            <w:vAlign w:val="bottom"/>
            <w:hideMark/>
          </w:tcPr>
          <w:p w14:paraId="5E7108F0" w14:textId="77777777" w:rsidR="007E1717" w:rsidRPr="00EB681B" w:rsidRDefault="007E1717" w:rsidP="007E1717">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3170C398" w14:textId="77777777" w:rsidR="007E1717" w:rsidRPr="00EB681B" w:rsidRDefault="007E1717" w:rsidP="007E1717">
            <w:pPr>
              <w:spacing w:after="0" w:line="240" w:lineRule="auto"/>
              <w:jc w:val="right"/>
              <w:rPr>
                <w:rFonts w:ascii="Times New Roman" w:hAnsi="Times New Roman"/>
              </w:rPr>
            </w:pPr>
          </w:p>
        </w:tc>
      </w:tr>
      <w:tr w:rsidR="007E1717" w:rsidRPr="00EB681B" w14:paraId="39A69B52" w14:textId="77777777" w:rsidTr="00436AC0">
        <w:trPr>
          <w:trHeight w:val="204"/>
        </w:trPr>
        <w:tc>
          <w:tcPr>
            <w:tcW w:w="2235" w:type="pct"/>
            <w:tcBorders>
              <w:top w:val="nil"/>
              <w:left w:val="nil"/>
              <w:bottom w:val="nil"/>
              <w:right w:val="nil"/>
            </w:tcBorders>
            <w:shd w:val="clear" w:color="auto" w:fill="auto"/>
            <w:vAlign w:val="bottom"/>
            <w:hideMark/>
          </w:tcPr>
          <w:p w14:paraId="4BF150F4" w14:textId="77777777" w:rsidR="007E1717" w:rsidRPr="00EB681B" w:rsidRDefault="007E1717" w:rsidP="007E1717">
            <w:pPr>
              <w:pStyle w:val="ListParagraph"/>
              <w:numPr>
                <w:ilvl w:val="0"/>
                <w:numId w:val="256"/>
              </w:numPr>
              <w:spacing w:after="0" w:line="240" w:lineRule="auto"/>
              <w:ind w:left="302" w:hanging="189"/>
              <w:rPr>
                <w:rFonts w:ascii="Arial" w:hAnsi="Arial" w:cs="Arial"/>
                <w:sz w:val="16"/>
                <w:szCs w:val="16"/>
              </w:rPr>
            </w:pPr>
            <w:r w:rsidRPr="00EB681B">
              <w:rPr>
                <w:rFonts w:ascii="Arial" w:hAnsi="Arial" w:cs="Arial"/>
                <w:sz w:val="16"/>
                <w:szCs w:val="16"/>
              </w:rPr>
              <w:t>Civil Aviation Safety Authority</w:t>
            </w:r>
          </w:p>
        </w:tc>
        <w:tc>
          <w:tcPr>
            <w:tcW w:w="608" w:type="pct"/>
            <w:tcBorders>
              <w:top w:val="nil"/>
              <w:left w:val="nil"/>
              <w:bottom w:val="nil"/>
              <w:right w:val="nil"/>
            </w:tcBorders>
            <w:shd w:val="clear" w:color="auto" w:fill="auto"/>
            <w:noWrap/>
            <w:vAlign w:val="bottom"/>
            <w:hideMark/>
          </w:tcPr>
          <w:p w14:paraId="03BB7D55" w14:textId="3AF1B536"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122,082</w:t>
            </w:r>
          </w:p>
        </w:tc>
        <w:tc>
          <w:tcPr>
            <w:tcW w:w="589" w:type="pct"/>
            <w:tcBorders>
              <w:top w:val="nil"/>
              <w:left w:val="nil"/>
              <w:bottom w:val="nil"/>
              <w:right w:val="nil"/>
            </w:tcBorders>
            <w:shd w:val="clear" w:color="auto" w:fill="E6E6E6"/>
            <w:noWrap/>
            <w:vAlign w:val="bottom"/>
            <w:hideMark/>
          </w:tcPr>
          <w:p w14:paraId="4AC3CD71" w14:textId="65C1B4DA"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92,445</w:t>
            </w:r>
          </w:p>
        </w:tc>
        <w:tc>
          <w:tcPr>
            <w:tcW w:w="523" w:type="pct"/>
            <w:tcBorders>
              <w:top w:val="nil"/>
              <w:left w:val="nil"/>
              <w:bottom w:val="nil"/>
              <w:right w:val="nil"/>
            </w:tcBorders>
            <w:shd w:val="clear" w:color="auto" w:fill="auto"/>
            <w:noWrap/>
            <w:vAlign w:val="bottom"/>
            <w:hideMark/>
          </w:tcPr>
          <w:p w14:paraId="54AD3E4B" w14:textId="5344000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73,950</w:t>
            </w:r>
          </w:p>
        </w:tc>
        <w:tc>
          <w:tcPr>
            <w:tcW w:w="523" w:type="pct"/>
            <w:tcBorders>
              <w:top w:val="nil"/>
              <w:left w:val="nil"/>
              <w:bottom w:val="nil"/>
              <w:right w:val="nil"/>
            </w:tcBorders>
            <w:shd w:val="clear" w:color="auto" w:fill="auto"/>
            <w:noWrap/>
            <w:vAlign w:val="bottom"/>
            <w:hideMark/>
          </w:tcPr>
          <w:p w14:paraId="153B9FB6" w14:textId="72C2483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41,794</w:t>
            </w:r>
          </w:p>
        </w:tc>
        <w:tc>
          <w:tcPr>
            <w:tcW w:w="523" w:type="pct"/>
            <w:tcBorders>
              <w:top w:val="nil"/>
              <w:left w:val="nil"/>
              <w:bottom w:val="nil"/>
              <w:right w:val="nil"/>
            </w:tcBorders>
            <w:shd w:val="clear" w:color="auto" w:fill="auto"/>
            <w:noWrap/>
            <w:vAlign w:val="bottom"/>
            <w:hideMark/>
          </w:tcPr>
          <w:p w14:paraId="2B6AC224" w14:textId="225A2660"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42,080</w:t>
            </w:r>
          </w:p>
        </w:tc>
      </w:tr>
      <w:tr w:rsidR="007E1717" w:rsidRPr="00EB681B" w14:paraId="4EFE0D0F" w14:textId="77777777" w:rsidTr="00436AC0">
        <w:trPr>
          <w:trHeight w:val="204"/>
        </w:trPr>
        <w:tc>
          <w:tcPr>
            <w:tcW w:w="2235" w:type="pct"/>
            <w:tcBorders>
              <w:top w:val="nil"/>
              <w:left w:val="nil"/>
              <w:bottom w:val="nil"/>
              <w:right w:val="nil"/>
            </w:tcBorders>
            <w:shd w:val="clear" w:color="auto" w:fill="auto"/>
            <w:noWrap/>
            <w:vAlign w:val="bottom"/>
            <w:hideMark/>
          </w:tcPr>
          <w:p w14:paraId="47A17420" w14:textId="77777777" w:rsidR="007E1717" w:rsidRPr="00EB681B" w:rsidRDefault="007E1717" w:rsidP="007E1717">
            <w:pPr>
              <w:spacing w:after="0" w:line="240" w:lineRule="auto"/>
              <w:rPr>
                <w:rFonts w:ascii="Arial" w:hAnsi="Arial" w:cs="Arial"/>
                <w:sz w:val="16"/>
                <w:szCs w:val="16"/>
              </w:rPr>
            </w:pPr>
            <w:r w:rsidRPr="00EB681B">
              <w:rPr>
                <w:rFonts w:ascii="Arial" w:hAnsi="Arial" w:cs="Arial"/>
                <w:sz w:val="16"/>
                <w:szCs w:val="16"/>
              </w:rPr>
              <w:t>Special Appropriations</w:t>
            </w:r>
          </w:p>
        </w:tc>
        <w:tc>
          <w:tcPr>
            <w:tcW w:w="608" w:type="pct"/>
            <w:tcBorders>
              <w:top w:val="nil"/>
              <w:left w:val="nil"/>
              <w:bottom w:val="nil"/>
              <w:right w:val="nil"/>
            </w:tcBorders>
            <w:shd w:val="clear" w:color="auto" w:fill="auto"/>
            <w:noWrap/>
            <w:vAlign w:val="bottom"/>
            <w:hideMark/>
          </w:tcPr>
          <w:p w14:paraId="17F0D994" w14:textId="77777777" w:rsidR="007E1717" w:rsidRPr="00EB681B" w:rsidRDefault="007E1717" w:rsidP="007E1717">
            <w:pPr>
              <w:spacing w:after="0" w:line="240" w:lineRule="auto"/>
              <w:ind w:firstLineChars="100" w:firstLine="160"/>
              <w:jc w:val="right"/>
              <w:rPr>
                <w:rFonts w:ascii="Arial" w:hAnsi="Arial" w:cs="Arial"/>
                <w:sz w:val="16"/>
                <w:szCs w:val="16"/>
              </w:rPr>
            </w:pPr>
          </w:p>
        </w:tc>
        <w:tc>
          <w:tcPr>
            <w:tcW w:w="589" w:type="pct"/>
            <w:tcBorders>
              <w:top w:val="nil"/>
              <w:left w:val="nil"/>
              <w:bottom w:val="nil"/>
              <w:right w:val="nil"/>
            </w:tcBorders>
            <w:shd w:val="clear" w:color="auto" w:fill="E6E6E6"/>
            <w:noWrap/>
            <w:vAlign w:val="bottom"/>
            <w:hideMark/>
          </w:tcPr>
          <w:p w14:paraId="0DD7B01A" w14:textId="777EFF06" w:rsidR="007E1717" w:rsidRPr="00EB681B" w:rsidRDefault="007E1717" w:rsidP="007E1717">
            <w:pPr>
              <w:spacing w:after="0" w:line="240" w:lineRule="auto"/>
              <w:jc w:val="right"/>
              <w:rPr>
                <w:rFonts w:ascii="Arial" w:hAnsi="Arial" w:cs="Arial"/>
                <w:sz w:val="16"/>
                <w:szCs w:val="16"/>
              </w:rPr>
            </w:pPr>
          </w:p>
        </w:tc>
        <w:tc>
          <w:tcPr>
            <w:tcW w:w="523" w:type="pct"/>
            <w:tcBorders>
              <w:top w:val="nil"/>
              <w:left w:val="nil"/>
              <w:bottom w:val="nil"/>
              <w:right w:val="nil"/>
            </w:tcBorders>
            <w:shd w:val="clear" w:color="auto" w:fill="auto"/>
            <w:noWrap/>
            <w:vAlign w:val="bottom"/>
            <w:hideMark/>
          </w:tcPr>
          <w:p w14:paraId="268B84CD" w14:textId="77777777" w:rsidR="007E1717" w:rsidRPr="00EB681B" w:rsidRDefault="007E1717" w:rsidP="007E1717">
            <w:pPr>
              <w:spacing w:after="0" w:line="240" w:lineRule="auto"/>
              <w:jc w:val="right"/>
              <w:rPr>
                <w:rFonts w:ascii="Arial" w:hAnsi="Arial" w:cs="Arial"/>
                <w:sz w:val="16"/>
                <w:szCs w:val="16"/>
              </w:rPr>
            </w:pPr>
          </w:p>
        </w:tc>
        <w:tc>
          <w:tcPr>
            <w:tcW w:w="523" w:type="pct"/>
            <w:tcBorders>
              <w:top w:val="nil"/>
              <w:left w:val="nil"/>
              <w:bottom w:val="nil"/>
              <w:right w:val="nil"/>
            </w:tcBorders>
            <w:shd w:val="clear" w:color="auto" w:fill="auto"/>
            <w:noWrap/>
            <w:vAlign w:val="bottom"/>
            <w:hideMark/>
          </w:tcPr>
          <w:p w14:paraId="51727E85" w14:textId="77777777" w:rsidR="007E1717" w:rsidRPr="00EB681B" w:rsidRDefault="007E1717" w:rsidP="007E1717">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306C8A2F" w14:textId="77777777" w:rsidR="007E1717" w:rsidRPr="00EB681B" w:rsidRDefault="007E1717" w:rsidP="007E1717">
            <w:pPr>
              <w:spacing w:after="0" w:line="240" w:lineRule="auto"/>
              <w:jc w:val="right"/>
              <w:rPr>
                <w:rFonts w:ascii="Times New Roman" w:hAnsi="Times New Roman"/>
              </w:rPr>
            </w:pPr>
          </w:p>
        </w:tc>
      </w:tr>
      <w:tr w:rsidR="007E1717" w:rsidRPr="00EB681B" w14:paraId="2ABED6C0" w14:textId="77777777" w:rsidTr="00436AC0">
        <w:trPr>
          <w:trHeight w:val="204"/>
        </w:trPr>
        <w:tc>
          <w:tcPr>
            <w:tcW w:w="2235" w:type="pct"/>
            <w:tcBorders>
              <w:top w:val="nil"/>
              <w:left w:val="nil"/>
              <w:bottom w:val="nil"/>
              <w:right w:val="nil"/>
            </w:tcBorders>
            <w:shd w:val="clear" w:color="auto" w:fill="auto"/>
            <w:vAlign w:val="bottom"/>
            <w:hideMark/>
          </w:tcPr>
          <w:p w14:paraId="0347C614" w14:textId="77777777" w:rsidR="007E1717" w:rsidRPr="00EB681B" w:rsidRDefault="007E1717" w:rsidP="007E1717">
            <w:pPr>
              <w:spacing w:after="0" w:line="240" w:lineRule="auto"/>
              <w:ind w:left="113"/>
              <w:rPr>
                <w:rFonts w:ascii="Arial" w:hAnsi="Arial" w:cs="Arial"/>
                <w:i/>
                <w:iCs/>
                <w:sz w:val="16"/>
                <w:szCs w:val="16"/>
              </w:rPr>
            </w:pPr>
            <w:r w:rsidRPr="00EB681B">
              <w:rPr>
                <w:rFonts w:ascii="Arial" w:hAnsi="Arial" w:cs="Arial"/>
                <w:i/>
                <w:iCs/>
                <w:sz w:val="16"/>
                <w:szCs w:val="16"/>
              </w:rPr>
              <w:t xml:space="preserve">Aviation Fuel Revenues (Special Appropriation) Act 1988 </w:t>
            </w:r>
            <w:r w:rsidRPr="00EB681B">
              <w:rPr>
                <w:rFonts w:ascii="Arial" w:hAnsi="Arial" w:cs="Arial"/>
                <w:sz w:val="16"/>
                <w:szCs w:val="16"/>
                <w:vertAlign w:val="superscript"/>
              </w:rPr>
              <w:t>(b)</w:t>
            </w:r>
          </w:p>
        </w:tc>
        <w:tc>
          <w:tcPr>
            <w:tcW w:w="608" w:type="pct"/>
            <w:tcBorders>
              <w:top w:val="nil"/>
              <w:left w:val="nil"/>
              <w:bottom w:val="nil"/>
              <w:right w:val="nil"/>
            </w:tcBorders>
            <w:shd w:val="clear" w:color="auto" w:fill="auto"/>
            <w:noWrap/>
            <w:vAlign w:val="bottom"/>
            <w:hideMark/>
          </w:tcPr>
          <w:p w14:paraId="7386A7A2" w14:textId="5E0A745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85,281</w:t>
            </w:r>
          </w:p>
        </w:tc>
        <w:tc>
          <w:tcPr>
            <w:tcW w:w="589" w:type="pct"/>
            <w:tcBorders>
              <w:top w:val="nil"/>
              <w:left w:val="nil"/>
              <w:bottom w:val="nil"/>
              <w:right w:val="nil"/>
            </w:tcBorders>
            <w:shd w:val="clear" w:color="auto" w:fill="E6E6E6"/>
            <w:noWrap/>
            <w:vAlign w:val="bottom"/>
            <w:hideMark/>
          </w:tcPr>
          <w:p w14:paraId="0FD9DECE" w14:textId="521D8AC3"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90,132</w:t>
            </w:r>
          </w:p>
        </w:tc>
        <w:tc>
          <w:tcPr>
            <w:tcW w:w="523" w:type="pct"/>
            <w:tcBorders>
              <w:top w:val="nil"/>
              <w:left w:val="nil"/>
              <w:bottom w:val="nil"/>
              <w:right w:val="nil"/>
            </w:tcBorders>
            <w:shd w:val="clear" w:color="auto" w:fill="auto"/>
            <w:noWrap/>
            <w:vAlign w:val="bottom"/>
            <w:hideMark/>
          </w:tcPr>
          <w:p w14:paraId="34452D13" w14:textId="52614949"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116,670</w:t>
            </w:r>
          </w:p>
        </w:tc>
        <w:tc>
          <w:tcPr>
            <w:tcW w:w="523" w:type="pct"/>
            <w:tcBorders>
              <w:top w:val="nil"/>
              <w:left w:val="nil"/>
              <w:bottom w:val="nil"/>
              <w:right w:val="nil"/>
            </w:tcBorders>
            <w:shd w:val="clear" w:color="auto" w:fill="auto"/>
            <w:noWrap/>
            <w:vAlign w:val="bottom"/>
            <w:hideMark/>
          </w:tcPr>
          <w:p w14:paraId="5CDEFA22" w14:textId="79454551"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122,690</w:t>
            </w:r>
          </w:p>
        </w:tc>
        <w:tc>
          <w:tcPr>
            <w:tcW w:w="523" w:type="pct"/>
            <w:tcBorders>
              <w:top w:val="nil"/>
              <w:left w:val="nil"/>
              <w:bottom w:val="nil"/>
              <w:right w:val="nil"/>
            </w:tcBorders>
            <w:shd w:val="clear" w:color="auto" w:fill="auto"/>
            <w:noWrap/>
            <w:vAlign w:val="bottom"/>
            <w:hideMark/>
          </w:tcPr>
          <w:p w14:paraId="712EC816" w14:textId="71811F6C" w:rsidR="007E1717" w:rsidRPr="00EB681B" w:rsidRDefault="007E1717" w:rsidP="007E1717">
            <w:pPr>
              <w:spacing w:after="0" w:line="240" w:lineRule="auto"/>
              <w:jc w:val="right"/>
              <w:rPr>
                <w:rFonts w:ascii="Arial" w:hAnsi="Arial" w:cs="Arial"/>
                <w:sz w:val="16"/>
                <w:szCs w:val="16"/>
              </w:rPr>
            </w:pPr>
            <w:r>
              <w:rPr>
                <w:rFonts w:ascii="Arial" w:hAnsi="Arial" w:cs="Arial"/>
                <w:sz w:val="16"/>
                <w:szCs w:val="16"/>
              </w:rPr>
              <w:t>122,690</w:t>
            </w:r>
          </w:p>
        </w:tc>
      </w:tr>
      <w:tr w:rsidR="007E1717" w:rsidRPr="00EB681B" w14:paraId="2C505BC7" w14:textId="77777777" w:rsidTr="00436AC0">
        <w:trPr>
          <w:trHeight w:val="204"/>
        </w:trPr>
        <w:tc>
          <w:tcPr>
            <w:tcW w:w="2235" w:type="pct"/>
            <w:tcBorders>
              <w:top w:val="nil"/>
              <w:left w:val="nil"/>
              <w:bottom w:val="single" w:sz="4" w:space="0" w:color="auto"/>
              <w:right w:val="nil"/>
            </w:tcBorders>
            <w:shd w:val="clear" w:color="auto" w:fill="auto"/>
            <w:noWrap/>
            <w:vAlign w:val="bottom"/>
            <w:hideMark/>
          </w:tcPr>
          <w:p w14:paraId="764146CF" w14:textId="77777777" w:rsidR="007E1717" w:rsidRPr="00EB681B" w:rsidRDefault="007E1717" w:rsidP="007E1717">
            <w:pPr>
              <w:spacing w:after="0" w:line="240" w:lineRule="auto"/>
              <w:rPr>
                <w:rFonts w:ascii="Arial" w:hAnsi="Arial" w:cs="Arial"/>
                <w:b/>
                <w:bCs/>
                <w:sz w:val="16"/>
                <w:szCs w:val="16"/>
              </w:rPr>
            </w:pPr>
            <w:r w:rsidRPr="00EB681B">
              <w:rPr>
                <w:rFonts w:ascii="Arial" w:hAnsi="Arial" w:cs="Arial"/>
                <w:b/>
                <w:bCs/>
                <w:sz w:val="16"/>
                <w:szCs w:val="16"/>
              </w:rPr>
              <w:t>Total expenses for Program 2.3</w:t>
            </w:r>
          </w:p>
        </w:tc>
        <w:tc>
          <w:tcPr>
            <w:tcW w:w="608" w:type="pct"/>
            <w:tcBorders>
              <w:top w:val="single" w:sz="4" w:space="0" w:color="auto"/>
              <w:left w:val="nil"/>
              <w:bottom w:val="single" w:sz="4" w:space="0" w:color="auto"/>
              <w:right w:val="nil"/>
            </w:tcBorders>
            <w:shd w:val="clear" w:color="auto" w:fill="auto"/>
            <w:noWrap/>
            <w:vAlign w:val="bottom"/>
            <w:hideMark/>
          </w:tcPr>
          <w:p w14:paraId="414662D8" w14:textId="019F5AC3" w:rsidR="007E1717" w:rsidRPr="00EB681B" w:rsidRDefault="007E1717" w:rsidP="007E1717">
            <w:pPr>
              <w:spacing w:after="0" w:line="240" w:lineRule="auto"/>
              <w:jc w:val="right"/>
              <w:rPr>
                <w:rFonts w:ascii="Arial" w:hAnsi="Arial" w:cs="Arial"/>
                <w:b/>
                <w:bCs/>
                <w:sz w:val="16"/>
                <w:szCs w:val="16"/>
              </w:rPr>
            </w:pPr>
            <w:r>
              <w:rPr>
                <w:rFonts w:ascii="Arial" w:hAnsi="Arial" w:cs="Arial"/>
                <w:b/>
                <w:bCs/>
                <w:sz w:val="16"/>
                <w:szCs w:val="16"/>
              </w:rPr>
              <w:t>925,082</w:t>
            </w:r>
          </w:p>
        </w:tc>
        <w:tc>
          <w:tcPr>
            <w:tcW w:w="589" w:type="pct"/>
            <w:tcBorders>
              <w:top w:val="single" w:sz="4" w:space="0" w:color="auto"/>
              <w:left w:val="nil"/>
              <w:bottom w:val="single" w:sz="4" w:space="0" w:color="auto"/>
              <w:right w:val="nil"/>
            </w:tcBorders>
            <w:shd w:val="clear" w:color="auto" w:fill="E6E6E6"/>
            <w:noWrap/>
            <w:vAlign w:val="bottom"/>
            <w:hideMark/>
          </w:tcPr>
          <w:p w14:paraId="444AC4D2" w14:textId="5969AD4D" w:rsidR="007E1717" w:rsidRPr="00EB681B" w:rsidRDefault="007E1717" w:rsidP="007E1717">
            <w:pPr>
              <w:spacing w:after="0" w:line="240" w:lineRule="auto"/>
              <w:jc w:val="right"/>
              <w:rPr>
                <w:rFonts w:ascii="Arial" w:hAnsi="Arial" w:cs="Arial"/>
                <w:b/>
                <w:bCs/>
                <w:sz w:val="16"/>
                <w:szCs w:val="16"/>
              </w:rPr>
            </w:pPr>
            <w:r>
              <w:rPr>
                <w:rFonts w:ascii="Arial" w:hAnsi="Arial" w:cs="Arial"/>
                <w:b/>
                <w:bCs/>
                <w:sz w:val="16"/>
                <w:szCs w:val="16"/>
              </w:rPr>
              <w:t>428,314</w:t>
            </w:r>
          </w:p>
        </w:tc>
        <w:tc>
          <w:tcPr>
            <w:tcW w:w="523" w:type="pct"/>
            <w:tcBorders>
              <w:top w:val="single" w:sz="4" w:space="0" w:color="auto"/>
              <w:left w:val="nil"/>
              <w:bottom w:val="single" w:sz="4" w:space="0" w:color="auto"/>
              <w:right w:val="nil"/>
            </w:tcBorders>
            <w:shd w:val="clear" w:color="auto" w:fill="auto"/>
            <w:noWrap/>
            <w:vAlign w:val="bottom"/>
            <w:hideMark/>
          </w:tcPr>
          <w:p w14:paraId="036D89A7" w14:textId="462A413C" w:rsidR="007E1717" w:rsidRPr="00EB681B" w:rsidRDefault="007E1717" w:rsidP="007E1717">
            <w:pPr>
              <w:spacing w:after="0" w:line="240" w:lineRule="auto"/>
              <w:jc w:val="right"/>
              <w:rPr>
                <w:rFonts w:ascii="Arial" w:hAnsi="Arial" w:cs="Arial"/>
                <w:b/>
                <w:bCs/>
                <w:sz w:val="16"/>
                <w:szCs w:val="16"/>
              </w:rPr>
            </w:pPr>
            <w:r>
              <w:rPr>
                <w:rFonts w:ascii="Arial" w:hAnsi="Arial" w:cs="Arial"/>
                <w:b/>
                <w:bCs/>
                <w:sz w:val="16"/>
                <w:szCs w:val="16"/>
              </w:rPr>
              <w:t>332,233</w:t>
            </w:r>
          </w:p>
        </w:tc>
        <w:tc>
          <w:tcPr>
            <w:tcW w:w="523" w:type="pct"/>
            <w:tcBorders>
              <w:top w:val="single" w:sz="4" w:space="0" w:color="auto"/>
              <w:left w:val="nil"/>
              <w:bottom w:val="single" w:sz="4" w:space="0" w:color="auto"/>
              <w:right w:val="nil"/>
            </w:tcBorders>
            <w:shd w:val="clear" w:color="auto" w:fill="auto"/>
            <w:noWrap/>
            <w:vAlign w:val="bottom"/>
            <w:hideMark/>
          </w:tcPr>
          <w:p w14:paraId="1C468B96" w14:textId="5E156D11" w:rsidR="007E1717" w:rsidRPr="00EB681B" w:rsidRDefault="007E1717" w:rsidP="007E1717">
            <w:pPr>
              <w:spacing w:after="0" w:line="240" w:lineRule="auto"/>
              <w:jc w:val="right"/>
              <w:rPr>
                <w:rFonts w:ascii="Arial" w:hAnsi="Arial" w:cs="Arial"/>
                <w:b/>
                <w:bCs/>
                <w:sz w:val="16"/>
                <w:szCs w:val="16"/>
              </w:rPr>
            </w:pPr>
            <w:r>
              <w:rPr>
                <w:rFonts w:ascii="Arial" w:hAnsi="Arial" w:cs="Arial"/>
                <w:b/>
                <w:bCs/>
                <w:sz w:val="16"/>
                <w:szCs w:val="16"/>
              </w:rPr>
              <w:t>283,645</w:t>
            </w:r>
          </w:p>
        </w:tc>
        <w:tc>
          <w:tcPr>
            <w:tcW w:w="523" w:type="pct"/>
            <w:tcBorders>
              <w:top w:val="single" w:sz="4" w:space="0" w:color="auto"/>
              <w:left w:val="nil"/>
              <w:bottom w:val="single" w:sz="4" w:space="0" w:color="auto"/>
              <w:right w:val="nil"/>
            </w:tcBorders>
            <w:shd w:val="clear" w:color="auto" w:fill="auto"/>
            <w:noWrap/>
            <w:vAlign w:val="bottom"/>
            <w:hideMark/>
          </w:tcPr>
          <w:p w14:paraId="5965AAA5" w14:textId="77060FF2" w:rsidR="007E1717" w:rsidRPr="00EB681B" w:rsidRDefault="007E1717" w:rsidP="007E1717">
            <w:pPr>
              <w:spacing w:after="0" w:line="240" w:lineRule="auto"/>
              <w:jc w:val="right"/>
              <w:rPr>
                <w:rFonts w:ascii="Arial" w:hAnsi="Arial" w:cs="Arial"/>
                <w:b/>
                <w:bCs/>
                <w:sz w:val="16"/>
                <w:szCs w:val="16"/>
              </w:rPr>
            </w:pPr>
            <w:r>
              <w:rPr>
                <w:rFonts w:ascii="Arial" w:hAnsi="Arial" w:cs="Arial"/>
                <w:b/>
                <w:bCs/>
                <w:sz w:val="16"/>
                <w:szCs w:val="16"/>
              </w:rPr>
              <w:t>314,272</w:t>
            </w:r>
          </w:p>
        </w:tc>
      </w:tr>
    </w:tbl>
    <w:p w14:paraId="21DDA0FC" w14:textId="4A6ABC50" w:rsidR="00115843" w:rsidRPr="00EB681B" w:rsidRDefault="00115843" w:rsidP="00115843">
      <w:pPr>
        <w:pStyle w:val="ListParagraph"/>
        <w:numPr>
          <w:ilvl w:val="0"/>
          <w:numId w:val="185"/>
        </w:numPr>
        <w:spacing w:before="60" w:after="0" w:line="240" w:lineRule="auto"/>
        <w:ind w:left="426" w:hanging="426"/>
        <w:rPr>
          <w:rFonts w:ascii="Arial" w:hAnsi="Arial" w:cs="Arial"/>
          <w:sz w:val="16"/>
        </w:rPr>
      </w:pPr>
      <w:r w:rsidRPr="00EB681B">
        <w:rPr>
          <w:rFonts w:ascii="Arial" w:hAnsi="Arial" w:cs="Arial"/>
          <w:sz w:val="16"/>
        </w:rPr>
        <w:t xml:space="preserve">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w:t>
      </w:r>
      <w:r>
        <w:rPr>
          <w:rFonts w:ascii="Arial" w:hAnsi="Arial" w:cs="Arial"/>
          <w:sz w:val="16"/>
        </w:rPr>
        <w:t xml:space="preserve">the </w:t>
      </w:r>
      <w:r w:rsidR="00FD37E4">
        <w:rPr>
          <w:rFonts w:ascii="Arial" w:hAnsi="Arial" w:cs="Arial"/>
          <w:sz w:val="16"/>
        </w:rPr>
        <w:t>D</w:t>
      </w:r>
      <w:r>
        <w:rPr>
          <w:rFonts w:ascii="Arial" w:hAnsi="Arial" w:cs="Arial"/>
          <w:sz w:val="16"/>
        </w:rPr>
        <w:t>epartment</w:t>
      </w:r>
      <w:r w:rsidRPr="00EB681B">
        <w:rPr>
          <w:rFonts w:ascii="Arial" w:hAnsi="Arial" w:cs="Arial"/>
          <w:sz w:val="16"/>
        </w:rPr>
        <w:t>.</w:t>
      </w:r>
    </w:p>
    <w:p w14:paraId="4E75A628" w14:textId="596880C8" w:rsidR="00115843" w:rsidRPr="00EB681B" w:rsidRDefault="00115843" w:rsidP="00115843">
      <w:pPr>
        <w:pStyle w:val="ListParagraph"/>
        <w:numPr>
          <w:ilvl w:val="0"/>
          <w:numId w:val="185"/>
        </w:numPr>
        <w:spacing w:after="0" w:line="240" w:lineRule="auto"/>
        <w:ind w:left="426" w:hanging="426"/>
        <w:rPr>
          <w:rFonts w:ascii="Arial" w:hAnsi="Arial" w:cs="Arial"/>
          <w:sz w:val="16"/>
        </w:rPr>
      </w:pPr>
      <w:r w:rsidRPr="00EB681B">
        <w:rPr>
          <w:rFonts w:ascii="Arial" w:hAnsi="Arial" w:cs="Arial"/>
          <w:sz w:val="16"/>
        </w:rPr>
        <w:t xml:space="preserve">Relates to appropriation for corporate entities provided through </w:t>
      </w:r>
      <w:r>
        <w:rPr>
          <w:rFonts w:ascii="Arial" w:hAnsi="Arial" w:cs="Arial"/>
          <w:sz w:val="16"/>
        </w:rPr>
        <w:t xml:space="preserve">the </w:t>
      </w:r>
      <w:r w:rsidR="00FD37E4">
        <w:rPr>
          <w:rFonts w:ascii="Arial" w:hAnsi="Arial" w:cs="Arial"/>
          <w:sz w:val="16"/>
        </w:rPr>
        <w:t>D</w:t>
      </w:r>
      <w:r>
        <w:rPr>
          <w:rFonts w:ascii="Arial" w:hAnsi="Arial" w:cs="Arial"/>
          <w:sz w:val="16"/>
        </w:rPr>
        <w:t>epartment</w:t>
      </w:r>
      <w:r w:rsidRPr="00EB681B">
        <w:rPr>
          <w:rFonts w:ascii="Arial" w:hAnsi="Arial" w:cs="Arial"/>
          <w:sz w:val="16"/>
        </w:rPr>
        <w:t>.</w:t>
      </w:r>
    </w:p>
    <w:p w14:paraId="127438BB" w14:textId="5AC81BE1" w:rsidR="00115843" w:rsidRDefault="00115843" w:rsidP="00115843">
      <w:pPr>
        <w:pStyle w:val="ListParagraph"/>
        <w:numPr>
          <w:ilvl w:val="0"/>
          <w:numId w:val="185"/>
        </w:numPr>
        <w:spacing w:after="0" w:line="240" w:lineRule="auto"/>
        <w:ind w:left="426" w:hanging="426"/>
        <w:rPr>
          <w:rFonts w:ascii="Arial" w:hAnsi="Arial" w:cs="Arial"/>
          <w:sz w:val="16"/>
        </w:rPr>
      </w:pPr>
      <w:r w:rsidRPr="00EB681B">
        <w:rPr>
          <w:rFonts w:ascii="Arial" w:hAnsi="Arial" w:cs="Arial"/>
          <w:sz w:val="16"/>
        </w:rPr>
        <w:t>‘nfp’ figures are not for publication due to commercial sensitivity, and are not included in totals.</w:t>
      </w:r>
    </w:p>
    <w:p w14:paraId="0FB11C81" w14:textId="77777777" w:rsidR="00115843" w:rsidRDefault="00115843" w:rsidP="00115843">
      <w:pPr>
        <w:rPr>
          <w:rFonts w:eastAsia="Calibri"/>
          <w:szCs w:val="22"/>
          <w:lang w:val="en-US" w:eastAsia="en-US"/>
        </w:rPr>
      </w:pPr>
      <w:r>
        <w:br w:type="page"/>
      </w:r>
    </w:p>
    <w:p w14:paraId="189F27AE" w14:textId="77777777" w:rsidR="00115843" w:rsidRPr="00F71634" w:rsidRDefault="00115843" w:rsidP="00115843">
      <w:pPr>
        <w:pStyle w:val="TableHeading"/>
      </w:pPr>
      <w:r w:rsidRPr="00F71634">
        <w:lastRenderedPageBreak/>
        <w:t>Table 2.</w:t>
      </w:r>
      <w:r>
        <w:t>2</w:t>
      </w:r>
      <w:r w:rsidRPr="00F71634">
        <w:t xml:space="preserve">.3: Performance </w:t>
      </w:r>
      <w:r>
        <w:t>measure</w:t>
      </w:r>
      <w:r w:rsidRPr="00F71634">
        <w:t xml:space="preserve"> for Outcome </w:t>
      </w:r>
      <w:r>
        <w:t>2</w:t>
      </w:r>
    </w:p>
    <w:p w14:paraId="2CC1F523" w14:textId="77777777" w:rsidR="00115843" w:rsidRPr="005A19CC" w:rsidRDefault="00115843" w:rsidP="00115843">
      <w:r w:rsidRPr="005A19CC">
        <w:t>Table 2.</w:t>
      </w:r>
      <w:r>
        <w:t>2</w:t>
      </w:r>
      <w:r w:rsidRPr="005A19CC">
        <w:t xml:space="preserve">.3 details the performance measures for each program associated with Outcome </w:t>
      </w:r>
      <w:r>
        <w:t>2</w:t>
      </w:r>
      <w:r w:rsidRPr="005A19CC">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612"/>
        <w:gridCol w:w="3562"/>
        <w:gridCol w:w="15"/>
      </w:tblGrid>
      <w:tr w:rsidR="00115843" w:rsidRPr="001B2F81" w14:paraId="3C814708" w14:textId="77777777" w:rsidTr="002F3AAF">
        <w:trPr>
          <w:trHeight w:val="569"/>
        </w:trPr>
        <w:tc>
          <w:tcPr>
            <w:tcW w:w="5000" w:type="pct"/>
            <w:gridSpan w:val="4"/>
            <w:shd w:val="clear" w:color="auto" w:fill="E6E6E6"/>
          </w:tcPr>
          <w:p w14:paraId="27E5F8AA" w14:textId="77777777" w:rsidR="00115843" w:rsidRPr="00194538" w:rsidRDefault="00115843" w:rsidP="00FB0D02">
            <w:pPr>
              <w:spacing w:before="60" w:after="60" w:line="240" w:lineRule="auto"/>
              <w:rPr>
                <w:b/>
              </w:rPr>
            </w:pPr>
            <w:r w:rsidRPr="00810627">
              <w:rPr>
                <w:rStyle w:val="TableHeadingChar"/>
                <w:rFonts w:eastAsia="Calibri"/>
              </w:rPr>
              <w:t xml:space="preserve">Outcome 2 </w:t>
            </w:r>
            <w:r w:rsidRPr="00194538">
              <w:rPr>
                <w:rStyle w:val="TableHeadingChar"/>
                <w:rFonts w:eastAsia="Calibri"/>
                <w:b w:val="0"/>
                <w:lang w:val="en-GB"/>
              </w:rPr>
              <w:t xml:space="preserve">– </w:t>
            </w:r>
            <w:r w:rsidRPr="00194538">
              <w:rPr>
                <w:rStyle w:val="TableHeadingChar"/>
                <w:rFonts w:eastAsia="Calibri"/>
                <w:b w:val="0"/>
              </w:rPr>
              <w:t>An efficient, sustainable, competitive, safe and secure transport system for all transport users through regulation, financial assistance and safety investigations</w:t>
            </w:r>
          </w:p>
        </w:tc>
      </w:tr>
      <w:tr w:rsidR="00115843" w:rsidRPr="001B2F81" w14:paraId="3265FAA4" w14:textId="77777777" w:rsidTr="002F3AAF">
        <w:trPr>
          <w:trHeight w:val="522"/>
        </w:trPr>
        <w:tc>
          <w:tcPr>
            <w:tcW w:w="5000" w:type="pct"/>
            <w:gridSpan w:val="4"/>
            <w:shd w:val="clear" w:color="auto" w:fill="E6E6E6"/>
          </w:tcPr>
          <w:p w14:paraId="468EDD5D" w14:textId="77777777" w:rsidR="00115843" w:rsidRPr="00810627" w:rsidRDefault="00115843" w:rsidP="00FB0D02">
            <w:pPr>
              <w:pStyle w:val="TableTextLeft"/>
              <w:rPr>
                <w:b/>
              </w:rPr>
            </w:pPr>
            <w:bookmarkStart w:id="19" w:name="SurfaceTransport2_1"/>
            <w:r w:rsidRPr="00810627">
              <w:rPr>
                <w:b/>
              </w:rPr>
              <w:t>Program 2.1 – Surface Transport</w:t>
            </w:r>
            <w:bookmarkEnd w:id="19"/>
          </w:p>
          <w:p w14:paraId="71CF225B" w14:textId="77777777" w:rsidR="00115843" w:rsidRPr="005134E8" w:rsidRDefault="00115843" w:rsidP="00FB0D02">
            <w:pPr>
              <w:pStyle w:val="TableTextLeft"/>
              <w:rPr>
                <w:highlight w:val="yellow"/>
              </w:rPr>
            </w:pPr>
            <w:r w:rsidRPr="00810627">
              <w:t>The surface transport program supports economic growth, makes travel safer and increases transport access through delivering programs, policies and regulation for efficient, sustainable, safer and better-connected road, rail and maritime sectors.</w:t>
            </w:r>
          </w:p>
        </w:tc>
      </w:tr>
      <w:tr w:rsidR="00115843" w:rsidRPr="001B2F81" w14:paraId="0ED3DC78" w14:textId="77777777" w:rsidTr="00FB0D02">
        <w:trPr>
          <w:gridAfter w:val="1"/>
          <w:wAfter w:w="10" w:type="pct"/>
          <w:trHeight w:val="694"/>
        </w:trPr>
        <w:tc>
          <w:tcPr>
            <w:tcW w:w="981" w:type="pct"/>
            <w:tcBorders>
              <w:bottom w:val="double" w:sz="4" w:space="0" w:color="auto"/>
            </w:tcBorders>
          </w:tcPr>
          <w:p w14:paraId="0D4D298B" w14:textId="77777777" w:rsidR="00115843" w:rsidRPr="00160C23" w:rsidRDefault="00115843" w:rsidP="00FB0D02">
            <w:pPr>
              <w:tabs>
                <w:tab w:val="left" w:pos="709"/>
              </w:tabs>
              <w:spacing w:before="60"/>
              <w:rPr>
                <w:rFonts w:ascii="Arial" w:hAnsi="Arial" w:cs="Arial"/>
                <w:b/>
                <w:sz w:val="16"/>
                <w:szCs w:val="16"/>
              </w:rPr>
            </w:pPr>
            <w:r w:rsidRPr="00BE08C4">
              <w:rPr>
                <w:rFonts w:ascii="Arial" w:eastAsia="Calibri" w:hAnsi="Arial" w:cs="Arial"/>
                <w:b/>
                <w:sz w:val="16"/>
                <w:szCs w:val="16"/>
              </w:rPr>
              <w:t>Key Activities</w:t>
            </w:r>
          </w:p>
        </w:tc>
        <w:tc>
          <w:tcPr>
            <w:tcW w:w="4009" w:type="pct"/>
            <w:gridSpan w:val="2"/>
            <w:tcBorders>
              <w:bottom w:val="double" w:sz="4" w:space="0" w:color="auto"/>
            </w:tcBorders>
          </w:tcPr>
          <w:p w14:paraId="643F634E" w14:textId="77777777" w:rsidR="00115843" w:rsidRPr="0057358A" w:rsidRDefault="00115843" w:rsidP="00115843">
            <w:pPr>
              <w:numPr>
                <w:ilvl w:val="0"/>
                <w:numId w:val="13"/>
              </w:numPr>
              <w:spacing w:before="60" w:after="0" w:line="240" w:lineRule="auto"/>
              <w:ind w:left="321"/>
              <w:rPr>
                <w:rFonts w:ascii="Arial" w:eastAsia="Calibri" w:hAnsi="Arial" w:cs="Arial"/>
                <w:sz w:val="16"/>
                <w:szCs w:val="16"/>
              </w:rPr>
            </w:pPr>
            <w:r w:rsidRPr="0057358A">
              <w:rPr>
                <w:rFonts w:ascii="Arial" w:eastAsia="Calibri" w:hAnsi="Arial" w:cs="Arial"/>
                <w:sz w:val="16"/>
                <w:szCs w:val="16"/>
              </w:rPr>
              <w:t>Advise on and deliver better road safety as well as vehicle and rail regulation</w:t>
            </w:r>
          </w:p>
          <w:p w14:paraId="6ED18ECF" w14:textId="77777777" w:rsidR="00115843" w:rsidRPr="0057358A" w:rsidRDefault="00115843" w:rsidP="00115843">
            <w:pPr>
              <w:numPr>
                <w:ilvl w:val="0"/>
                <w:numId w:val="13"/>
              </w:numPr>
              <w:spacing w:after="0" w:line="240" w:lineRule="auto"/>
              <w:ind w:left="321"/>
              <w:rPr>
                <w:rFonts w:ascii="Arial" w:eastAsia="Calibri" w:hAnsi="Arial" w:cs="Arial"/>
                <w:sz w:val="16"/>
                <w:szCs w:val="16"/>
              </w:rPr>
            </w:pPr>
            <w:r w:rsidRPr="0057358A">
              <w:rPr>
                <w:rFonts w:ascii="Arial" w:eastAsia="Calibri" w:hAnsi="Arial" w:cs="Arial"/>
                <w:sz w:val="16"/>
                <w:szCs w:val="16"/>
              </w:rPr>
              <w:t>Advise on and deliver policy for access to transport for people with a disability</w:t>
            </w:r>
          </w:p>
          <w:p w14:paraId="7860957B" w14:textId="77777777" w:rsidR="00115843" w:rsidRPr="0057358A" w:rsidRDefault="00115843" w:rsidP="00115843">
            <w:pPr>
              <w:numPr>
                <w:ilvl w:val="0"/>
                <w:numId w:val="13"/>
              </w:numPr>
              <w:spacing w:after="0" w:line="240" w:lineRule="auto"/>
              <w:ind w:left="321"/>
              <w:rPr>
                <w:rFonts w:ascii="Arial" w:eastAsia="Calibri" w:hAnsi="Arial" w:cs="Arial"/>
                <w:sz w:val="16"/>
                <w:szCs w:val="16"/>
              </w:rPr>
            </w:pPr>
            <w:r w:rsidRPr="008D4C03">
              <w:rPr>
                <w:rFonts w:ascii="Arial" w:eastAsia="Calibri" w:hAnsi="Arial" w:cs="Arial"/>
                <w:sz w:val="16"/>
                <w:szCs w:val="16"/>
              </w:rPr>
              <w:t>Advise on technology advances in the road transport sector</w:t>
            </w:r>
            <w:r>
              <w:rPr>
                <w:rFonts w:ascii="Arial" w:eastAsia="Calibri" w:hAnsi="Arial" w:cs="Arial"/>
                <w:sz w:val="16"/>
                <w:szCs w:val="16"/>
              </w:rPr>
              <w:t xml:space="preserve"> </w:t>
            </w:r>
            <w:r w:rsidRPr="00DD1C72">
              <w:rPr>
                <w:rFonts w:ascii="Arial" w:eastAsia="Calibri" w:hAnsi="Arial" w:cs="Arial"/>
                <w:sz w:val="16"/>
                <w:szCs w:val="16"/>
                <w:vertAlign w:val="superscript"/>
              </w:rPr>
              <w:t>(</w:t>
            </w:r>
            <w:r>
              <w:rPr>
                <w:rFonts w:ascii="Arial" w:eastAsia="Calibri" w:hAnsi="Arial" w:cs="Arial"/>
                <w:sz w:val="16"/>
                <w:szCs w:val="16"/>
                <w:vertAlign w:val="superscript"/>
              </w:rPr>
              <w:t>a</w:t>
            </w:r>
            <w:r w:rsidRPr="00DD1C72">
              <w:rPr>
                <w:rFonts w:ascii="Arial" w:eastAsia="Calibri" w:hAnsi="Arial" w:cs="Arial"/>
                <w:sz w:val="16"/>
                <w:szCs w:val="16"/>
                <w:vertAlign w:val="superscript"/>
              </w:rPr>
              <w:t>)</w:t>
            </w:r>
          </w:p>
          <w:p w14:paraId="2C537A4F" w14:textId="77777777" w:rsidR="00115843" w:rsidRPr="0057358A" w:rsidRDefault="00115843" w:rsidP="00115843">
            <w:pPr>
              <w:numPr>
                <w:ilvl w:val="0"/>
                <w:numId w:val="13"/>
              </w:numPr>
              <w:spacing w:after="0" w:line="240" w:lineRule="auto"/>
              <w:ind w:left="321"/>
              <w:rPr>
                <w:rFonts w:ascii="Arial" w:eastAsia="Calibri" w:hAnsi="Arial" w:cs="Arial"/>
                <w:sz w:val="16"/>
                <w:szCs w:val="16"/>
              </w:rPr>
            </w:pPr>
            <w:r w:rsidRPr="0057358A">
              <w:rPr>
                <w:rFonts w:ascii="Arial" w:eastAsia="Calibri" w:hAnsi="Arial" w:cs="Arial"/>
                <w:sz w:val="16"/>
                <w:szCs w:val="16"/>
              </w:rPr>
              <w:t>Manage domestic and international maritime policy, programs and regulation to support efficient sea trade, vessel safety</w:t>
            </w:r>
            <w:r>
              <w:rPr>
                <w:rFonts w:ascii="Arial" w:eastAsia="Calibri" w:hAnsi="Arial" w:cs="Arial"/>
                <w:sz w:val="16"/>
                <w:szCs w:val="16"/>
              </w:rPr>
              <w:t xml:space="preserve">, Australian maritime skills capability </w:t>
            </w:r>
            <w:r w:rsidRPr="0057358A">
              <w:rPr>
                <w:rFonts w:ascii="Arial" w:eastAsia="Calibri" w:hAnsi="Arial" w:cs="Arial"/>
                <w:sz w:val="16"/>
                <w:szCs w:val="16"/>
              </w:rPr>
              <w:t>and environment</w:t>
            </w:r>
            <w:r>
              <w:rPr>
                <w:rFonts w:ascii="Arial" w:eastAsia="Calibri" w:hAnsi="Arial" w:cs="Arial"/>
                <w:sz w:val="16"/>
                <w:szCs w:val="16"/>
              </w:rPr>
              <w:t>al</w:t>
            </w:r>
            <w:r w:rsidRPr="0057358A">
              <w:rPr>
                <w:rFonts w:ascii="Arial" w:eastAsia="Calibri" w:hAnsi="Arial" w:cs="Arial"/>
                <w:sz w:val="16"/>
                <w:szCs w:val="16"/>
              </w:rPr>
              <w:t xml:space="preserve"> protection</w:t>
            </w:r>
            <w:r>
              <w:rPr>
                <w:rFonts w:ascii="Arial" w:eastAsia="Calibri" w:hAnsi="Arial" w:cs="Arial"/>
                <w:sz w:val="16"/>
                <w:szCs w:val="16"/>
              </w:rPr>
              <w:t xml:space="preserve"> </w:t>
            </w:r>
            <w:r w:rsidRPr="00DD1C72">
              <w:rPr>
                <w:rFonts w:ascii="Arial" w:eastAsia="Calibri" w:hAnsi="Arial" w:cs="Arial"/>
                <w:sz w:val="16"/>
                <w:szCs w:val="16"/>
                <w:vertAlign w:val="superscript"/>
              </w:rPr>
              <w:t>(</w:t>
            </w:r>
            <w:r>
              <w:rPr>
                <w:rFonts w:ascii="Arial" w:eastAsia="Calibri" w:hAnsi="Arial" w:cs="Arial"/>
                <w:sz w:val="16"/>
                <w:szCs w:val="16"/>
                <w:vertAlign w:val="superscript"/>
              </w:rPr>
              <w:t>b</w:t>
            </w:r>
            <w:r w:rsidRPr="00DD1C72">
              <w:rPr>
                <w:rFonts w:ascii="Arial" w:eastAsia="Calibri" w:hAnsi="Arial" w:cs="Arial"/>
                <w:sz w:val="16"/>
                <w:szCs w:val="16"/>
                <w:vertAlign w:val="superscript"/>
              </w:rPr>
              <w:t>)</w:t>
            </w:r>
          </w:p>
          <w:p w14:paraId="1987EE76" w14:textId="77777777" w:rsidR="00115843" w:rsidRPr="00160C23" w:rsidRDefault="00115843" w:rsidP="00115843">
            <w:pPr>
              <w:numPr>
                <w:ilvl w:val="0"/>
                <w:numId w:val="13"/>
              </w:numPr>
              <w:spacing w:after="60" w:line="240" w:lineRule="auto"/>
              <w:ind w:left="321"/>
              <w:rPr>
                <w:rFonts w:ascii="Arial" w:hAnsi="Arial" w:cs="Arial"/>
                <w:i/>
                <w:sz w:val="16"/>
                <w:szCs w:val="16"/>
              </w:rPr>
            </w:pPr>
            <w:r w:rsidRPr="0057358A">
              <w:rPr>
                <w:rFonts w:ascii="Arial" w:eastAsia="Calibri" w:hAnsi="Arial" w:cs="Arial"/>
                <w:sz w:val="16"/>
                <w:szCs w:val="16"/>
              </w:rPr>
              <w:t>Implement the National Freight and Supply Chain Strategy and Action Plan</w:t>
            </w:r>
            <w:r>
              <w:rPr>
                <w:rFonts w:ascii="Arial" w:eastAsia="Calibri" w:hAnsi="Arial" w:cs="Arial"/>
                <w:sz w:val="16"/>
                <w:szCs w:val="16"/>
              </w:rPr>
              <w:t xml:space="preserve"> </w:t>
            </w:r>
            <w:r w:rsidRPr="00DD1C72">
              <w:rPr>
                <w:rFonts w:ascii="Arial" w:eastAsia="Calibri" w:hAnsi="Arial" w:cs="Arial"/>
                <w:sz w:val="16"/>
                <w:szCs w:val="16"/>
                <w:vertAlign w:val="superscript"/>
              </w:rPr>
              <w:t>(</w:t>
            </w:r>
            <w:r>
              <w:rPr>
                <w:rFonts w:ascii="Arial" w:eastAsia="Calibri" w:hAnsi="Arial" w:cs="Arial"/>
                <w:sz w:val="16"/>
                <w:szCs w:val="16"/>
                <w:vertAlign w:val="superscript"/>
              </w:rPr>
              <w:t>b</w:t>
            </w:r>
            <w:r w:rsidRPr="00DD1C72">
              <w:rPr>
                <w:rFonts w:ascii="Arial" w:eastAsia="Calibri" w:hAnsi="Arial" w:cs="Arial"/>
                <w:sz w:val="16"/>
                <w:szCs w:val="16"/>
                <w:vertAlign w:val="superscript"/>
              </w:rPr>
              <w:t>)</w:t>
            </w:r>
          </w:p>
        </w:tc>
      </w:tr>
      <w:tr w:rsidR="00115843" w:rsidRPr="001B2F81" w14:paraId="5AE19BD6" w14:textId="77777777" w:rsidTr="00FB0D02">
        <w:trPr>
          <w:gridAfter w:val="1"/>
          <w:wAfter w:w="10" w:type="pct"/>
          <w:trHeight w:val="258"/>
        </w:trPr>
        <w:tc>
          <w:tcPr>
            <w:tcW w:w="981" w:type="pct"/>
            <w:tcBorders>
              <w:top w:val="double" w:sz="4" w:space="0" w:color="auto"/>
              <w:bottom w:val="single" w:sz="4" w:space="0" w:color="auto"/>
              <w:right w:val="single" w:sz="4" w:space="0" w:color="auto"/>
            </w:tcBorders>
          </w:tcPr>
          <w:p w14:paraId="70BD9286" w14:textId="77777777" w:rsidR="00115843" w:rsidRPr="00707BCF" w:rsidRDefault="00115843" w:rsidP="00FB0D02">
            <w:pPr>
              <w:pStyle w:val="TableTextBase"/>
              <w:rPr>
                <w:b/>
                <w:sz w:val="16"/>
                <w:szCs w:val="16"/>
              </w:rPr>
            </w:pPr>
            <w:r w:rsidRPr="00707BCF">
              <w:rPr>
                <w:b/>
                <w:sz w:val="16"/>
                <w:szCs w:val="16"/>
              </w:rPr>
              <w:t>Year</w:t>
            </w:r>
          </w:p>
        </w:tc>
        <w:tc>
          <w:tcPr>
            <w:tcW w:w="1696" w:type="pct"/>
            <w:tcBorders>
              <w:top w:val="double" w:sz="4" w:space="0" w:color="auto"/>
              <w:left w:val="single" w:sz="4" w:space="0" w:color="auto"/>
              <w:bottom w:val="single" w:sz="4" w:space="0" w:color="auto"/>
              <w:right w:val="single" w:sz="4" w:space="0" w:color="auto"/>
            </w:tcBorders>
          </w:tcPr>
          <w:p w14:paraId="33AB21F5" w14:textId="77777777" w:rsidR="00115843" w:rsidRPr="00707BCF" w:rsidRDefault="00115843" w:rsidP="00FB0D02">
            <w:pPr>
              <w:pStyle w:val="TableTextBase"/>
              <w:rPr>
                <w:b/>
                <w:sz w:val="16"/>
                <w:szCs w:val="16"/>
              </w:rPr>
            </w:pPr>
            <w:r w:rsidRPr="00707BCF">
              <w:rPr>
                <w:b/>
                <w:sz w:val="16"/>
                <w:szCs w:val="16"/>
              </w:rPr>
              <w:t>Performance measures</w:t>
            </w:r>
          </w:p>
        </w:tc>
        <w:tc>
          <w:tcPr>
            <w:tcW w:w="2313" w:type="pct"/>
            <w:tcBorders>
              <w:top w:val="double" w:sz="4" w:space="0" w:color="auto"/>
              <w:left w:val="single" w:sz="4" w:space="0" w:color="auto"/>
              <w:bottom w:val="single" w:sz="4" w:space="0" w:color="auto"/>
            </w:tcBorders>
          </w:tcPr>
          <w:p w14:paraId="47427079" w14:textId="77777777" w:rsidR="00115843" w:rsidRPr="00707BCF" w:rsidRDefault="00115843" w:rsidP="00FB0D02">
            <w:pPr>
              <w:pStyle w:val="TableTextBase"/>
              <w:rPr>
                <w:b/>
                <w:sz w:val="16"/>
                <w:szCs w:val="16"/>
              </w:rPr>
            </w:pPr>
            <w:r w:rsidRPr="00707BCF">
              <w:rPr>
                <w:b/>
                <w:sz w:val="16"/>
                <w:szCs w:val="16"/>
              </w:rPr>
              <w:t>Expected Performance Results</w:t>
            </w:r>
          </w:p>
        </w:tc>
      </w:tr>
      <w:tr w:rsidR="00115843" w:rsidRPr="001B2F81" w14:paraId="502AAE44" w14:textId="77777777" w:rsidTr="00FB0D02">
        <w:trPr>
          <w:gridAfter w:val="1"/>
          <w:wAfter w:w="10" w:type="pct"/>
          <w:cantSplit/>
          <w:trHeight w:val="980"/>
        </w:trPr>
        <w:tc>
          <w:tcPr>
            <w:tcW w:w="981" w:type="pct"/>
            <w:tcBorders>
              <w:top w:val="single" w:sz="4" w:space="0" w:color="auto"/>
              <w:bottom w:val="nil"/>
              <w:right w:val="single" w:sz="4" w:space="0" w:color="auto"/>
            </w:tcBorders>
          </w:tcPr>
          <w:p w14:paraId="1C243E55"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w:t>
            </w:r>
          </w:p>
        </w:tc>
        <w:tc>
          <w:tcPr>
            <w:tcW w:w="1696" w:type="pct"/>
            <w:tcBorders>
              <w:top w:val="single" w:sz="4" w:space="0" w:color="auto"/>
              <w:left w:val="single" w:sz="4" w:space="0" w:color="auto"/>
              <w:bottom w:val="single" w:sz="4" w:space="0" w:color="auto"/>
              <w:right w:val="single" w:sz="4" w:space="0" w:color="auto"/>
            </w:tcBorders>
          </w:tcPr>
          <w:p w14:paraId="3577F156" w14:textId="77777777" w:rsidR="00115843" w:rsidRPr="00FD292C" w:rsidRDefault="00115843" w:rsidP="00FB0D02">
            <w:pPr>
              <w:pStyle w:val="TableTextBase"/>
              <w:rPr>
                <w:rFonts w:asciiTheme="minorHAnsi" w:hAnsiTheme="minorHAnsi" w:cstheme="minorHAnsi"/>
                <w:b/>
                <w:sz w:val="16"/>
                <w:szCs w:val="16"/>
              </w:rPr>
            </w:pPr>
            <w:r w:rsidRPr="00FD292C">
              <w:rPr>
                <w:rFonts w:eastAsia="Calibri" w:cs="Arial"/>
                <w:sz w:val="16"/>
                <w:szCs w:val="16"/>
                <w:lang w:eastAsia="en-US"/>
              </w:rPr>
              <w:t>Progress reforms for regulating vehicles and rail</w:t>
            </w:r>
          </w:p>
        </w:tc>
        <w:tc>
          <w:tcPr>
            <w:tcW w:w="2313" w:type="pct"/>
            <w:tcBorders>
              <w:top w:val="single" w:sz="4" w:space="0" w:color="auto"/>
              <w:left w:val="single" w:sz="4" w:space="0" w:color="auto"/>
              <w:bottom w:val="single" w:sz="4" w:space="0" w:color="auto"/>
            </w:tcBorders>
          </w:tcPr>
          <w:p w14:paraId="55723B65"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Target: Implementation milestones for the National Rail Action Plan are met </w:t>
            </w:r>
          </w:p>
          <w:p w14:paraId="1A5D72A7"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0E0425CC" w14:textId="69DA5BBA"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Actual: The milestones were met for 2021–22</w:t>
            </w:r>
            <w:r w:rsidR="002E7056">
              <w:rPr>
                <w:rFonts w:ascii="Arial" w:eastAsia="Calibri" w:hAnsi="Arial" w:cs="Arial"/>
                <w:sz w:val="16"/>
                <w:szCs w:val="16"/>
              </w:rPr>
              <w:t>.</w:t>
            </w:r>
          </w:p>
        </w:tc>
      </w:tr>
      <w:tr w:rsidR="00115843" w:rsidRPr="001B2F81" w14:paraId="76D48533" w14:textId="77777777" w:rsidTr="00FB0D02">
        <w:trPr>
          <w:gridAfter w:val="1"/>
          <w:wAfter w:w="10" w:type="pct"/>
          <w:cantSplit/>
          <w:trHeight w:val="642"/>
        </w:trPr>
        <w:tc>
          <w:tcPr>
            <w:tcW w:w="981" w:type="pct"/>
            <w:tcBorders>
              <w:top w:val="nil"/>
              <w:bottom w:val="nil"/>
              <w:right w:val="single" w:sz="4" w:space="0" w:color="auto"/>
            </w:tcBorders>
          </w:tcPr>
          <w:p w14:paraId="106C5886" w14:textId="77777777" w:rsidR="00115843" w:rsidRPr="00FD292C" w:rsidRDefault="00115843" w:rsidP="00FB0D02">
            <w:pPr>
              <w:pStyle w:val="TableTextBase"/>
              <w:rPr>
                <w:sz w:val="16"/>
                <w:szCs w:val="16"/>
              </w:rPr>
            </w:pPr>
          </w:p>
        </w:tc>
        <w:tc>
          <w:tcPr>
            <w:tcW w:w="1696" w:type="pct"/>
            <w:tcBorders>
              <w:top w:val="single" w:sz="4" w:space="0" w:color="auto"/>
              <w:left w:val="single" w:sz="4" w:space="0" w:color="auto"/>
              <w:bottom w:val="single" w:sz="4" w:space="0" w:color="auto"/>
              <w:right w:val="single" w:sz="4" w:space="0" w:color="auto"/>
            </w:tcBorders>
          </w:tcPr>
          <w:p w14:paraId="278CBCC9" w14:textId="4A3507E6" w:rsidR="00115843" w:rsidRPr="00FD292C" w:rsidRDefault="00115843" w:rsidP="00FB0D02">
            <w:pPr>
              <w:pStyle w:val="TableTextBase"/>
              <w:rPr>
                <w:sz w:val="16"/>
                <w:szCs w:val="16"/>
              </w:rPr>
            </w:pPr>
            <w:r w:rsidRPr="00FD292C">
              <w:rPr>
                <w:rFonts w:eastAsia="Calibri" w:cs="Arial"/>
                <w:sz w:val="16"/>
                <w:szCs w:val="16"/>
                <w:lang w:eastAsia="en-US"/>
              </w:rPr>
              <w:t>Progress of reforms to the disability standards for accessible public transport</w:t>
            </w:r>
            <w:r w:rsidRPr="00FD292C">
              <w:rPr>
                <w:rFonts w:asciiTheme="minorHAnsi" w:hAnsiTheme="minorHAnsi" w:cstheme="minorHAnsi"/>
                <w:b/>
                <w:color w:val="FFFFFF" w:themeColor="background1"/>
                <w:sz w:val="16"/>
                <w:szCs w:val="16"/>
                <w:shd w:val="clear" w:color="auto" w:fill="00B050"/>
                <w:lang w:val="en-US"/>
              </w:rPr>
              <w:t xml:space="preserve">                                         </w:t>
            </w:r>
          </w:p>
        </w:tc>
        <w:tc>
          <w:tcPr>
            <w:tcW w:w="2313" w:type="pct"/>
            <w:tcBorders>
              <w:top w:val="single" w:sz="4" w:space="0" w:color="auto"/>
              <w:left w:val="single" w:sz="4" w:space="0" w:color="auto"/>
              <w:bottom w:val="single" w:sz="4" w:space="0" w:color="auto"/>
            </w:tcBorders>
          </w:tcPr>
          <w:p w14:paraId="5D333605"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Target: Financial year delivery milestones set by the Infrastructure and Transport Ministers’ Meeting (ITMM) are met </w:t>
            </w:r>
          </w:p>
          <w:p w14:paraId="10AC5734"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met</w:t>
            </w:r>
          </w:p>
          <w:p w14:paraId="3E9A2342" w14:textId="77777777" w:rsidR="00115843" w:rsidRPr="00FD292C" w:rsidRDefault="00115843" w:rsidP="00FB0D02">
            <w:pPr>
              <w:pStyle w:val="TableTextBase"/>
              <w:rPr>
                <w:sz w:val="16"/>
                <w:szCs w:val="16"/>
              </w:rPr>
            </w:pPr>
            <w:r w:rsidRPr="00FD292C">
              <w:rPr>
                <w:sz w:val="16"/>
                <w:szCs w:val="16"/>
              </w:rPr>
              <w:t>The following milestones were met for 2021</w:t>
            </w:r>
            <w:r w:rsidRPr="00FD292C">
              <w:rPr>
                <w:sz w:val="16"/>
                <w:szCs w:val="16"/>
              </w:rPr>
              <w:noBreakHyphen/>
              <w:t>22:</w:t>
            </w:r>
          </w:p>
          <w:p w14:paraId="3A476BC0" w14:textId="03140BD1" w:rsidR="00115843" w:rsidRPr="00FD292C" w:rsidRDefault="00115843" w:rsidP="00FB0D02">
            <w:pPr>
              <w:pStyle w:val="TableTextBase"/>
              <w:rPr>
                <w:sz w:val="16"/>
                <w:szCs w:val="16"/>
              </w:rPr>
            </w:pPr>
            <w:r w:rsidRPr="00FD292C">
              <w:rPr>
                <w:sz w:val="16"/>
                <w:szCs w:val="16"/>
              </w:rPr>
              <w:t>Actual: In September 2021, reported to the Infrastructure and Transport Senior Officials’ Committee on second tranche of proposed new transport standards prior to the Regulation Impact Statement process</w:t>
            </w:r>
            <w:r w:rsidR="002E7056">
              <w:rPr>
                <w:sz w:val="16"/>
                <w:szCs w:val="16"/>
              </w:rPr>
              <w:t>.</w:t>
            </w:r>
          </w:p>
          <w:p w14:paraId="60FD773F" w14:textId="202C6533" w:rsidR="00115843" w:rsidRPr="00FD292C" w:rsidRDefault="00115843" w:rsidP="00FB0D02">
            <w:pPr>
              <w:pStyle w:val="TableTextBase"/>
              <w:rPr>
                <w:sz w:val="16"/>
                <w:szCs w:val="16"/>
              </w:rPr>
            </w:pPr>
            <w:r w:rsidRPr="00FD292C">
              <w:rPr>
                <w:sz w:val="16"/>
                <w:szCs w:val="16"/>
              </w:rPr>
              <w:t>In November 2021, Ministers considered and endorsed the first tranche of new standards to improve public transport accessibility</w:t>
            </w:r>
            <w:r w:rsidR="002E7056">
              <w:rPr>
                <w:sz w:val="16"/>
                <w:szCs w:val="16"/>
              </w:rPr>
              <w:t>.</w:t>
            </w:r>
          </w:p>
        </w:tc>
      </w:tr>
      <w:tr w:rsidR="00115843" w:rsidRPr="001B2F81" w14:paraId="194295CD" w14:textId="77777777" w:rsidTr="00FB0D02">
        <w:trPr>
          <w:gridAfter w:val="1"/>
          <w:wAfter w:w="10" w:type="pct"/>
          <w:cantSplit/>
          <w:trHeight w:val="642"/>
        </w:trPr>
        <w:tc>
          <w:tcPr>
            <w:tcW w:w="981" w:type="pct"/>
            <w:tcBorders>
              <w:top w:val="nil"/>
              <w:bottom w:val="single" w:sz="4" w:space="0" w:color="auto"/>
              <w:right w:val="single" w:sz="4" w:space="0" w:color="auto"/>
            </w:tcBorders>
          </w:tcPr>
          <w:p w14:paraId="5206E326" w14:textId="77777777" w:rsidR="00115843" w:rsidRPr="00FD292C" w:rsidRDefault="00115843" w:rsidP="00FB0D02">
            <w:pPr>
              <w:pStyle w:val="TableTextBase"/>
              <w:rPr>
                <w:sz w:val="16"/>
                <w:szCs w:val="16"/>
              </w:rPr>
            </w:pPr>
          </w:p>
        </w:tc>
        <w:tc>
          <w:tcPr>
            <w:tcW w:w="1696" w:type="pct"/>
            <w:tcBorders>
              <w:top w:val="single" w:sz="4" w:space="0" w:color="auto"/>
              <w:left w:val="single" w:sz="4" w:space="0" w:color="auto"/>
              <w:bottom w:val="single" w:sz="4" w:space="0" w:color="auto"/>
              <w:right w:val="single" w:sz="4" w:space="0" w:color="auto"/>
            </w:tcBorders>
          </w:tcPr>
          <w:p w14:paraId="6D44F8C0"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 xml:space="preserve">Satisfaction of regulated shipping entities </w:t>
            </w:r>
            <w:r w:rsidRPr="00FD292C">
              <w:rPr>
                <w:rFonts w:eastAsia="Calibri" w:cs="Arial"/>
                <w:sz w:val="16"/>
                <w:szCs w:val="16"/>
                <w:vertAlign w:val="superscript"/>
                <w:lang w:eastAsia="en-US"/>
              </w:rPr>
              <w:t>(c)</w:t>
            </w:r>
          </w:p>
        </w:tc>
        <w:tc>
          <w:tcPr>
            <w:tcW w:w="2313" w:type="pct"/>
            <w:tcBorders>
              <w:top w:val="single" w:sz="4" w:space="0" w:color="auto"/>
              <w:left w:val="single" w:sz="4" w:space="0" w:color="auto"/>
              <w:bottom w:val="single" w:sz="4" w:space="0" w:color="auto"/>
            </w:tcBorders>
          </w:tcPr>
          <w:p w14:paraId="0A07D6B0" w14:textId="719A26F0"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Financial year survey results indicate we are effective, communicate clearly, and seek continuous improvement</w:t>
            </w:r>
          </w:p>
          <w:p w14:paraId="69C3D801" w14:textId="10BC4EBE"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Data not available</w:t>
            </w:r>
            <w:r w:rsidR="002E7056">
              <w:rPr>
                <w:rFonts w:ascii="Arial" w:eastAsia="Calibri" w:hAnsi="Arial" w:cs="Arial"/>
                <w:sz w:val="16"/>
                <w:szCs w:val="16"/>
              </w:rPr>
              <w:t>.</w:t>
            </w:r>
          </w:p>
        </w:tc>
      </w:tr>
    </w:tbl>
    <w:p w14:paraId="2A79A17B"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2D4CA931" w14:textId="77777777" w:rsidTr="00FB0D02">
        <w:trPr>
          <w:trHeight w:val="258"/>
        </w:trPr>
        <w:tc>
          <w:tcPr>
            <w:tcW w:w="873" w:type="pct"/>
            <w:tcBorders>
              <w:top w:val="double" w:sz="4" w:space="0" w:color="auto"/>
              <w:bottom w:val="single" w:sz="4" w:space="0" w:color="auto"/>
              <w:right w:val="single" w:sz="4" w:space="0" w:color="auto"/>
            </w:tcBorders>
          </w:tcPr>
          <w:p w14:paraId="1734B484" w14:textId="77777777" w:rsidR="00115843" w:rsidRPr="00707BCF" w:rsidRDefault="00115843" w:rsidP="00FB0D02">
            <w:pPr>
              <w:pStyle w:val="TableTextBase"/>
              <w:rPr>
                <w:b/>
                <w:sz w:val="16"/>
                <w:szCs w:val="16"/>
              </w:rPr>
            </w:pPr>
            <w:r w:rsidRPr="00707BCF">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5BFDF4B5" w14:textId="77777777" w:rsidR="00115843" w:rsidRPr="00707BCF" w:rsidRDefault="00115843" w:rsidP="00FB0D02">
            <w:pPr>
              <w:pStyle w:val="TableTextBase"/>
              <w:rPr>
                <w:b/>
                <w:sz w:val="16"/>
                <w:szCs w:val="16"/>
              </w:rPr>
            </w:pPr>
            <w:r w:rsidRPr="00707BCF">
              <w:rPr>
                <w:b/>
                <w:sz w:val="16"/>
                <w:szCs w:val="16"/>
              </w:rPr>
              <w:t>Performance measures</w:t>
            </w:r>
          </w:p>
        </w:tc>
        <w:tc>
          <w:tcPr>
            <w:tcW w:w="2381" w:type="pct"/>
            <w:tcBorders>
              <w:top w:val="double" w:sz="4" w:space="0" w:color="auto"/>
              <w:left w:val="single" w:sz="4" w:space="0" w:color="auto"/>
              <w:bottom w:val="single" w:sz="4" w:space="0" w:color="auto"/>
            </w:tcBorders>
          </w:tcPr>
          <w:p w14:paraId="38A1ABE8" w14:textId="77777777" w:rsidR="00115843" w:rsidRPr="00707BCF" w:rsidRDefault="00115843" w:rsidP="00FB0D02">
            <w:pPr>
              <w:pStyle w:val="TableTextBase"/>
              <w:rPr>
                <w:b/>
                <w:sz w:val="16"/>
                <w:szCs w:val="16"/>
              </w:rPr>
            </w:pPr>
            <w:r w:rsidRPr="00707BCF">
              <w:rPr>
                <w:b/>
                <w:sz w:val="16"/>
                <w:szCs w:val="16"/>
              </w:rPr>
              <w:t>Expected Performance Results</w:t>
            </w:r>
          </w:p>
        </w:tc>
      </w:tr>
      <w:tr w:rsidR="00115843" w:rsidRPr="001B2F81" w14:paraId="74285E81" w14:textId="77777777" w:rsidTr="00FB0D02">
        <w:trPr>
          <w:cantSplit/>
          <w:trHeight w:val="2005"/>
        </w:trPr>
        <w:tc>
          <w:tcPr>
            <w:tcW w:w="873" w:type="pct"/>
            <w:tcBorders>
              <w:top w:val="single" w:sz="4" w:space="0" w:color="auto"/>
              <w:bottom w:val="nil"/>
              <w:right w:val="single" w:sz="4" w:space="0" w:color="auto"/>
            </w:tcBorders>
          </w:tcPr>
          <w:p w14:paraId="71038255"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 cont.</w:t>
            </w:r>
          </w:p>
        </w:tc>
        <w:tc>
          <w:tcPr>
            <w:tcW w:w="1746" w:type="pct"/>
            <w:tcBorders>
              <w:top w:val="single" w:sz="4" w:space="0" w:color="auto"/>
              <w:left w:val="single" w:sz="4" w:space="0" w:color="auto"/>
              <w:bottom w:val="single" w:sz="4" w:space="0" w:color="auto"/>
              <w:right w:val="single" w:sz="4" w:space="0" w:color="auto"/>
            </w:tcBorders>
          </w:tcPr>
          <w:p w14:paraId="2EABE64C"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Performance of Tasmanian shipping programs, indicated through number of:</w:t>
            </w:r>
          </w:p>
          <w:p w14:paraId="13AECF59" w14:textId="77777777" w:rsidR="00115843" w:rsidRPr="00FD292C" w:rsidRDefault="00115843" w:rsidP="00115843">
            <w:pPr>
              <w:numPr>
                <w:ilvl w:val="0"/>
                <w:numId w:val="186"/>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claims paid (Tasmanian Freight Equalisation Scheme (TFES))</w:t>
            </w:r>
          </w:p>
          <w:p w14:paraId="345545BA" w14:textId="77777777" w:rsidR="00115843" w:rsidRPr="00FD292C" w:rsidRDefault="00115843" w:rsidP="00115843">
            <w:pPr>
              <w:numPr>
                <w:ilvl w:val="0"/>
                <w:numId w:val="186"/>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rebates provided (Bass Strait Passenger Vehicle Equalisation Scheme (BSPVES))</w:t>
            </w:r>
            <w:r w:rsidRPr="00FD292C">
              <w:rPr>
                <w:rFonts w:cstheme="minorHAnsi"/>
                <w:b/>
                <w:sz w:val="16"/>
                <w:szCs w:val="16"/>
                <w:shd w:val="clear" w:color="auto" w:fill="00B050"/>
                <w:lang w:val="en-US"/>
              </w:rPr>
              <w:t xml:space="preserve"> </w:t>
            </w:r>
            <w:r w:rsidRPr="00FD292C">
              <w:rPr>
                <w:rFonts w:cstheme="minorHAnsi"/>
                <w:b/>
                <w:color w:val="FFFFFF" w:themeColor="background1"/>
                <w:sz w:val="16"/>
                <w:szCs w:val="16"/>
                <w:shd w:val="clear" w:color="auto" w:fill="00B050"/>
                <w:lang w:val="en-US"/>
              </w:rPr>
              <w:t xml:space="preserve">                                             </w:t>
            </w:r>
          </w:p>
        </w:tc>
        <w:tc>
          <w:tcPr>
            <w:tcW w:w="2381" w:type="pct"/>
            <w:tcBorders>
              <w:top w:val="single" w:sz="4" w:space="0" w:color="auto"/>
              <w:left w:val="single" w:sz="4" w:space="0" w:color="auto"/>
              <w:bottom w:val="single" w:sz="4" w:space="0" w:color="auto"/>
            </w:tcBorders>
          </w:tcPr>
          <w:p w14:paraId="4660B37B"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Programs are demand-driven </w:t>
            </w:r>
          </w:p>
          <w:p w14:paraId="06D25765"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w:t>
            </w:r>
          </w:p>
          <w:p w14:paraId="4E6F6BC6" w14:textId="1229DF27" w:rsidR="00115843" w:rsidRPr="00FD292C" w:rsidRDefault="00115843" w:rsidP="00115843">
            <w:pPr>
              <w:pStyle w:val="ListParagraph"/>
              <w:numPr>
                <w:ilvl w:val="0"/>
                <w:numId w:val="187"/>
              </w:numPr>
              <w:spacing w:before="60" w:after="60" w:line="240" w:lineRule="auto"/>
              <w:ind w:left="360"/>
              <w:rPr>
                <w:rFonts w:ascii="Arial" w:hAnsi="Arial" w:cs="Arial"/>
                <w:sz w:val="16"/>
                <w:szCs w:val="16"/>
              </w:rPr>
            </w:pPr>
            <w:r w:rsidRPr="00FD292C">
              <w:rPr>
                <w:rFonts w:ascii="Arial" w:hAnsi="Arial" w:cs="Arial"/>
                <w:sz w:val="16"/>
                <w:szCs w:val="16"/>
              </w:rPr>
              <w:t xml:space="preserve">During the 2021–22 financial year, 16,515 </w:t>
            </w:r>
            <w:r w:rsidRPr="00FD292C">
              <w:rPr>
                <w:rFonts w:ascii="Arial" w:hAnsi="Arial" w:cs="Arial"/>
                <w:sz w:val="16"/>
                <w:szCs w:val="16"/>
                <w:lang w:val="en-AU"/>
              </w:rPr>
              <w:t>TFES claims for assistance were</w:t>
            </w:r>
            <w:r w:rsidRPr="00FD292C">
              <w:rPr>
                <w:rFonts w:ascii="Arial" w:hAnsi="Arial" w:cs="Arial"/>
                <w:sz w:val="16"/>
                <w:szCs w:val="16"/>
              </w:rPr>
              <w:t xml:space="preserve"> paid</w:t>
            </w:r>
            <w:r w:rsidR="002E7056">
              <w:rPr>
                <w:rFonts w:ascii="Arial" w:hAnsi="Arial" w:cs="Arial"/>
                <w:sz w:val="16"/>
                <w:szCs w:val="16"/>
              </w:rPr>
              <w:t>.</w:t>
            </w:r>
          </w:p>
          <w:p w14:paraId="2386599B" w14:textId="2A0E2D18" w:rsidR="00115843" w:rsidRPr="00FD292C" w:rsidRDefault="00115843" w:rsidP="00115843">
            <w:pPr>
              <w:pStyle w:val="ListParagraph"/>
              <w:numPr>
                <w:ilvl w:val="0"/>
                <w:numId w:val="187"/>
              </w:numPr>
              <w:spacing w:before="60" w:after="60" w:line="240" w:lineRule="auto"/>
              <w:ind w:left="360"/>
              <w:rPr>
                <w:rFonts w:ascii="Arial" w:hAnsi="Arial" w:cs="Arial"/>
                <w:sz w:val="16"/>
                <w:szCs w:val="16"/>
              </w:rPr>
            </w:pPr>
            <w:r w:rsidRPr="00FD292C">
              <w:rPr>
                <w:rFonts w:ascii="Arial" w:hAnsi="Arial" w:cs="Arial"/>
                <w:sz w:val="16"/>
                <w:szCs w:val="16"/>
              </w:rPr>
              <w:t>During the 2021–22 financial year, 148,121 BSPVES rebates were provided</w:t>
            </w:r>
            <w:r w:rsidR="002E7056">
              <w:rPr>
                <w:rFonts w:ascii="Arial" w:hAnsi="Arial" w:cs="Arial"/>
                <w:sz w:val="16"/>
                <w:szCs w:val="16"/>
              </w:rPr>
              <w:t>.</w:t>
            </w:r>
          </w:p>
        </w:tc>
      </w:tr>
      <w:tr w:rsidR="00115843" w:rsidRPr="001B2F81" w14:paraId="7C6F9705" w14:textId="77777777" w:rsidTr="00FB0D02">
        <w:trPr>
          <w:cantSplit/>
          <w:trHeight w:val="642"/>
        </w:trPr>
        <w:tc>
          <w:tcPr>
            <w:tcW w:w="873" w:type="pct"/>
            <w:tcBorders>
              <w:top w:val="nil"/>
              <w:bottom w:val="nil"/>
              <w:right w:val="single" w:sz="4" w:space="0" w:color="auto"/>
            </w:tcBorders>
          </w:tcPr>
          <w:p w14:paraId="4BBE7AD7"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57B6D3C" w14:textId="77777777" w:rsidR="00115843" w:rsidRPr="00FD292C" w:rsidRDefault="00115843" w:rsidP="00FB0D02">
            <w:pPr>
              <w:pStyle w:val="TableTextBase"/>
              <w:spacing w:after="120"/>
              <w:rPr>
                <w:rFonts w:eastAsia="Calibri" w:cs="Arial"/>
                <w:sz w:val="16"/>
                <w:szCs w:val="16"/>
                <w:lang w:eastAsia="en-US"/>
              </w:rPr>
            </w:pPr>
            <w:r w:rsidRPr="00FD292C">
              <w:rPr>
                <w:rFonts w:eastAsia="Calibri" w:cs="Arial"/>
                <w:sz w:val="16"/>
                <w:szCs w:val="16"/>
                <w:lang w:eastAsia="en-US"/>
              </w:rPr>
              <w:t>Effectiveness of international engagement on maritime matters </w:t>
            </w:r>
            <w:r w:rsidRPr="00FD292C">
              <w:rPr>
                <w:rFonts w:eastAsia="Calibri" w:cs="Arial"/>
                <w:sz w:val="16"/>
                <w:szCs w:val="16"/>
                <w:vertAlign w:val="superscript"/>
                <w:lang w:eastAsia="en-US"/>
              </w:rPr>
              <w:t>(c)</w:t>
            </w:r>
            <w:r w:rsidRPr="00FD292C">
              <w:rPr>
                <w:rFonts w:asciiTheme="minorHAnsi" w:hAnsiTheme="minorHAnsi" w:cstheme="minorHAnsi"/>
                <w:b/>
                <w:color w:val="FFFFFF" w:themeColor="background1"/>
                <w:sz w:val="16"/>
                <w:szCs w:val="16"/>
                <w:shd w:val="clear" w:color="auto" w:fill="00B050"/>
                <w:lang w:val="en-US"/>
              </w:rPr>
              <w:t xml:space="preserve">                                                 </w:t>
            </w:r>
          </w:p>
        </w:tc>
        <w:tc>
          <w:tcPr>
            <w:tcW w:w="2381" w:type="pct"/>
            <w:tcBorders>
              <w:top w:val="single" w:sz="4" w:space="0" w:color="auto"/>
              <w:left w:val="single" w:sz="4" w:space="0" w:color="auto"/>
              <w:bottom w:val="single" w:sz="4" w:space="0" w:color="auto"/>
            </w:tcBorders>
          </w:tcPr>
          <w:p w14:paraId="4B1A7C8D"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Target: In each financial year, outcomes achieved in line with the negotiation mandate agreed by the Australian Government </w:t>
            </w:r>
          </w:p>
          <w:p w14:paraId="5228FA53"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09181879" w14:textId="3C4E37A9"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The Department achieved the Australian Government’s desired outcomes in a range of bilateral and multilateral forums</w:t>
            </w:r>
            <w:r w:rsidR="002E7056">
              <w:rPr>
                <w:rFonts w:ascii="Arial" w:eastAsia="Calibri" w:hAnsi="Arial" w:cs="Arial"/>
                <w:sz w:val="16"/>
                <w:szCs w:val="16"/>
              </w:rPr>
              <w:t>.</w:t>
            </w:r>
          </w:p>
        </w:tc>
      </w:tr>
      <w:tr w:rsidR="00115843" w:rsidRPr="001B2F81" w14:paraId="7BEECA97" w14:textId="77777777" w:rsidTr="00FB0D02">
        <w:trPr>
          <w:cantSplit/>
          <w:trHeight w:val="642"/>
        </w:trPr>
        <w:tc>
          <w:tcPr>
            <w:tcW w:w="873" w:type="pct"/>
            <w:tcBorders>
              <w:top w:val="nil"/>
              <w:bottom w:val="nil"/>
              <w:right w:val="single" w:sz="4" w:space="0" w:color="auto"/>
            </w:tcBorders>
          </w:tcPr>
          <w:p w14:paraId="60019C71"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8DB7E2F"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Progress implementing the National Freight and Supply Chain Strategy (the Strategy) for the next 20 years and beyond to 2040</w:t>
            </w:r>
          </w:p>
        </w:tc>
        <w:tc>
          <w:tcPr>
            <w:tcW w:w="2381" w:type="pct"/>
            <w:tcBorders>
              <w:top w:val="single" w:sz="4" w:space="0" w:color="auto"/>
              <w:left w:val="single" w:sz="4" w:space="0" w:color="auto"/>
              <w:bottom w:val="single" w:sz="4" w:space="0" w:color="auto"/>
            </w:tcBorders>
          </w:tcPr>
          <w:p w14:paraId="57849076"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Target: By June 2022, the 2020–21 annual report on national freight performance outcomes is complete, and the Strategy’s performance framework is updated </w:t>
            </w:r>
          </w:p>
          <w:p w14:paraId="13A6F256"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06AB7D33" w14:textId="033F8730" w:rsidR="00115843" w:rsidRPr="00FD292C" w:rsidRDefault="00115843" w:rsidP="00FB0D02">
            <w:pPr>
              <w:spacing w:before="60" w:after="60" w:line="240" w:lineRule="auto"/>
              <w:rPr>
                <w:rFonts w:ascii="Arial" w:eastAsia="Calibri" w:hAnsi="Arial" w:cs="Arial"/>
                <w:sz w:val="16"/>
                <w:szCs w:val="16"/>
              </w:rPr>
            </w:pPr>
            <w:r w:rsidRPr="00FD292C">
              <w:rPr>
                <w:rFonts w:ascii="Arial" w:hAnsi="Arial" w:cs="Arial"/>
                <w:sz w:val="16"/>
                <w:szCs w:val="16"/>
              </w:rPr>
              <w:t>Actual: In January 2022, the 2020–21 National Freight and Supply Chain Strategy Annual Report was released and the Strategy’s performance framework was updated to include 3 new indicators</w:t>
            </w:r>
            <w:r w:rsidR="002E7056">
              <w:rPr>
                <w:rFonts w:ascii="Arial" w:hAnsi="Arial" w:cs="Arial"/>
                <w:sz w:val="16"/>
                <w:szCs w:val="16"/>
              </w:rPr>
              <w:t>.</w:t>
            </w:r>
          </w:p>
        </w:tc>
      </w:tr>
      <w:tr w:rsidR="00115843" w:rsidRPr="001B2F81" w14:paraId="1889735D" w14:textId="77777777" w:rsidTr="00FB0D02">
        <w:trPr>
          <w:cantSplit/>
          <w:trHeight w:val="642"/>
        </w:trPr>
        <w:tc>
          <w:tcPr>
            <w:tcW w:w="873" w:type="pct"/>
            <w:tcBorders>
              <w:top w:val="nil"/>
              <w:bottom w:val="nil"/>
              <w:right w:val="single" w:sz="4" w:space="0" w:color="auto"/>
            </w:tcBorders>
          </w:tcPr>
          <w:p w14:paraId="12DF047C"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0BBC5D1" w14:textId="77777777" w:rsidR="00115843" w:rsidRPr="00FD292C" w:rsidRDefault="00115843" w:rsidP="00FB0D02">
            <w:pPr>
              <w:pStyle w:val="TableTextBase"/>
              <w:rPr>
                <w:rFonts w:eastAsia="Calibri" w:cs="Arial"/>
                <w:sz w:val="16"/>
                <w:szCs w:val="16"/>
                <w:vertAlign w:val="superscript"/>
              </w:rPr>
            </w:pPr>
            <w:r w:rsidRPr="00FD292C">
              <w:rPr>
                <w:rFonts w:eastAsia="Calibri" w:cs="Arial"/>
                <w:sz w:val="16"/>
                <w:szCs w:val="16"/>
              </w:rPr>
              <w:t xml:space="preserve">Transport costs for road freight </w:t>
            </w:r>
            <w:r w:rsidRPr="00FD292C">
              <w:rPr>
                <w:rFonts w:eastAsia="Calibri" w:cs="Arial"/>
                <w:sz w:val="16"/>
                <w:szCs w:val="16"/>
                <w:vertAlign w:val="superscript"/>
              </w:rPr>
              <w:t>(c)</w:t>
            </w:r>
          </w:p>
        </w:tc>
        <w:tc>
          <w:tcPr>
            <w:tcW w:w="2381" w:type="pct"/>
            <w:tcBorders>
              <w:top w:val="single" w:sz="4" w:space="0" w:color="auto"/>
              <w:left w:val="single" w:sz="4" w:space="0" w:color="auto"/>
              <w:bottom w:val="single" w:sz="4" w:space="0" w:color="auto"/>
            </w:tcBorders>
          </w:tcPr>
          <w:p w14:paraId="0EA0A252"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No target due to COVID-19 impacts</w:t>
            </w:r>
          </w:p>
          <w:p w14:paraId="437FCA87" w14:textId="68964315"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At the end of 2021–22, real road freight costs were 0.8% lower than the average of the 10 years up to 2020–21</w:t>
            </w:r>
            <w:r w:rsidR="002E7056">
              <w:rPr>
                <w:rFonts w:ascii="Arial" w:eastAsia="Calibri" w:hAnsi="Arial" w:cs="Arial"/>
                <w:sz w:val="16"/>
                <w:szCs w:val="16"/>
              </w:rPr>
              <w:t>.</w:t>
            </w:r>
          </w:p>
        </w:tc>
      </w:tr>
      <w:tr w:rsidR="00115843" w:rsidRPr="001B2F81" w14:paraId="49526748" w14:textId="77777777" w:rsidTr="00FB0D02">
        <w:trPr>
          <w:cantSplit/>
          <w:trHeight w:val="642"/>
        </w:trPr>
        <w:tc>
          <w:tcPr>
            <w:tcW w:w="873" w:type="pct"/>
            <w:tcBorders>
              <w:top w:val="nil"/>
              <w:bottom w:val="nil"/>
              <w:right w:val="single" w:sz="4" w:space="0" w:color="auto"/>
            </w:tcBorders>
          </w:tcPr>
          <w:p w14:paraId="6C1B73D9"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4384D75"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 xml:space="preserve">Transport costs for rail freight </w:t>
            </w:r>
            <w:r w:rsidRPr="00FD292C">
              <w:rPr>
                <w:rFonts w:eastAsia="Calibri" w:cs="Arial"/>
                <w:sz w:val="16"/>
                <w:szCs w:val="16"/>
                <w:vertAlign w:val="superscript"/>
              </w:rPr>
              <w:t>(c)</w:t>
            </w:r>
          </w:p>
        </w:tc>
        <w:tc>
          <w:tcPr>
            <w:tcW w:w="2381" w:type="pct"/>
            <w:tcBorders>
              <w:top w:val="single" w:sz="4" w:space="0" w:color="auto"/>
              <w:left w:val="single" w:sz="4" w:space="0" w:color="auto"/>
              <w:bottom w:val="single" w:sz="4" w:space="0" w:color="auto"/>
              <w:right w:val="single" w:sz="4" w:space="0" w:color="auto"/>
            </w:tcBorders>
          </w:tcPr>
          <w:p w14:paraId="2F0064A3"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 xml:space="preserve">No target due to COVID-19 impacts </w:t>
            </w:r>
          </w:p>
          <w:p w14:paraId="3D2180AE" w14:textId="46F8898D"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Actual: At the end of 2021–22, real rail freight costs were 1.6% lower than the average of the 10 years up to 2020–21</w:t>
            </w:r>
            <w:r w:rsidR="002E7056">
              <w:rPr>
                <w:rFonts w:ascii="Arial" w:eastAsia="Calibri" w:hAnsi="Arial" w:cs="Arial"/>
                <w:sz w:val="16"/>
                <w:szCs w:val="16"/>
              </w:rPr>
              <w:t>.</w:t>
            </w:r>
          </w:p>
        </w:tc>
      </w:tr>
      <w:tr w:rsidR="00115843" w:rsidRPr="001B2F81" w14:paraId="4BFD729F" w14:textId="77777777" w:rsidTr="00FB0D02">
        <w:trPr>
          <w:cantSplit/>
          <w:trHeight w:val="642"/>
        </w:trPr>
        <w:tc>
          <w:tcPr>
            <w:tcW w:w="873" w:type="pct"/>
            <w:tcBorders>
              <w:top w:val="nil"/>
              <w:right w:val="single" w:sz="4" w:space="0" w:color="auto"/>
            </w:tcBorders>
          </w:tcPr>
          <w:p w14:paraId="79510759"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493EB80"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Domestic CO2 emissions and rate of emissions: road (per vehicle kilometre)</w:t>
            </w:r>
          </w:p>
        </w:tc>
        <w:tc>
          <w:tcPr>
            <w:tcW w:w="2381" w:type="pct"/>
            <w:tcBorders>
              <w:top w:val="single" w:sz="4" w:space="0" w:color="auto"/>
              <w:left w:val="single" w:sz="4" w:space="0" w:color="auto"/>
              <w:bottom w:val="single" w:sz="4" w:space="0" w:color="auto"/>
              <w:right w:val="single" w:sz="4" w:space="0" w:color="auto"/>
            </w:tcBorders>
          </w:tcPr>
          <w:p w14:paraId="29BE653E" w14:textId="41342CDD"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The Department does not set targets for emissions as it reports against an economy-wide framework (the National Greenhouse Gas Inventory)</w:t>
            </w:r>
            <w:r w:rsidR="002E7056">
              <w:rPr>
                <w:rFonts w:ascii="Arial" w:eastAsia="Calibri" w:hAnsi="Arial" w:cs="Arial"/>
                <w:sz w:val="16"/>
                <w:szCs w:val="16"/>
              </w:rPr>
              <w:t>.</w:t>
            </w:r>
          </w:p>
          <w:p w14:paraId="083EC9E7" w14:textId="2BD261C3"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Road emissions in 2020–21 totalled 92,126 gigagrams (CO2 equivalent). This is higher than the 91,228 gigagrams in 2019–20</w:t>
            </w:r>
            <w:r w:rsidR="002E7056">
              <w:rPr>
                <w:rFonts w:ascii="Arial" w:eastAsia="Calibri" w:hAnsi="Arial" w:cs="Arial"/>
                <w:sz w:val="16"/>
                <w:szCs w:val="16"/>
              </w:rPr>
              <w:t>.</w:t>
            </w:r>
          </w:p>
          <w:p w14:paraId="6BD4563E" w14:textId="1FE1029D"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This was 369.7 gigagrams per billion vehicle kilometres. This is lower than the 371.0 gigagrams per billion vehicle kilometres in 2019</w:t>
            </w:r>
            <w:r w:rsidRPr="00FD292C">
              <w:rPr>
                <w:rFonts w:ascii="Arial" w:eastAsia="Calibri" w:hAnsi="Arial" w:cs="Arial"/>
                <w:sz w:val="16"/>
                <w:szCs w:val="16"/>
              </w:rPr>
              <w:noBreakHyphen/>
              <w:t>20</w:t>
            </w:r>
            <w:r w:rsidR="002E7056">
              <w:rPr>
                <w:rFonts w:ascii="Arial" w:eastAsia="Calibri" w:hAnsi="Arial" w:cs="Arial"/>
                <w:sz w:val="16"/>
                <w:szCs w:val="16"/>
              </w:rPr>
              <w:t>.</w:t>
            </w:r>
          </w:p>
        </w:tc>
      </w:tr>
    </w:tbl>
    <w:p w14:paraId="55231F64"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221107CE" w14:textId="77777777" w:rsidTr="00FB0D02">
        <w:trPr>
          <w:trHeight w:val="258"/>
        </w:trPr>
        <w:tc>
          <w:tcPr>
            <w:tcW w:w="873" w:type="pct"/>
            <w:tcBorders>
              <w:top w:val="double" w:sz="4" w:space="0" w:color="auto"/>
              <w:bottom w:val="single" w:sz="4" w:space="0" w:color="auto"/>
              <w:right w:val="single" w:sz="4" w:space="0" w:color="auto"/>
            </w:tcBorders>
          </w:tcPr>
          <w:p w14:paraId="3F78332B" w14:textId="77777777" w:rsidR="00115843" w:rsidRPr="00707BCF" w:rsidRDefault="00115843" w:rsidP="00FB0D02">
            <w:pPr>
              <w:pStyle w:val="TableTextBase"/>
              <w:rPr>
                <w:b/>
                <w:sz w:val="16"/>
                <w:szCs w:val="16"/>
              </w:rPr>
            </w:pPr>
            <w:r w:rsidRPr="00707BCF">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014FCB6C" w14:textId="77777777" w:rsidR="00115843" w:rsidRPr="00707BCF" w:rsidRDefault="00115843" w:rsidP="00FB0D02">
            <w:pPr>
              <w:pStyle w:val="TableTextBase"/>
              <w:rPr>
                <w:b/>
                <w:sz w:val="16"/>
                <w:szCs w:val="16"/>
              </w:rPr>
            </w:pPr>
            <w:r w:rsidRPr="00707BCF">
              <w:rPr>
                <w:b/>
                <w:sz w:val="16"/>
                <w:szCs w:val="16"/>
              </w:rPr>
              <w:t>Performance measures</w:t>
            </w:r>
          </w:p>
        </w:tc>
        <w:tc>
          <w:tcPr>
            <w:tcW w:w="2381" w:type="pct"/>
            <w:tcBorders>
              <w:top w:val="double" w:sz="4" w:space="0" w:color="auto"/>
              <w:left w:val="single" w:sz="4" w:space="0" w:color="auto"/>
              <w:bottom w:val="single" w:sz="4" w:space="0" w:color="auto"/>
            </w:tcBorders>
          </w:tcPr>
          <w:p w14:paraId="6D3B96B1" w14:textId="77777777" w:rsidR="00115843" w:rsidRPr="00707BCF" w:rsidRDefault="00115843" w:rsidP="00FB0D02">
            <w:pPr>
              <w:pStyle w:val="TableTextBase"/>
              <w:rPr>
                <w:b/>
                <w:sz w:val="16"/>
                <w:szCs w:val="16"/>
              </w:rPr>
            </w:pPr>
            <w:r w:rsidRPr="00707BCF">
              <w:rPr>
                <w:b/>
                <w:sz w:val="16"/>
                <w:szCs w:val="16"/>
              </w:rPr>
              <w:t>Expected Performance Results</w:t>
            </w:r>
          </w:p>
        </w:tc>
      </w:tr>
      <w:tr w:rsidR="00115843" w:rsidRPr="001B2F81" w14:paraId="3216CE93" w14:textId="77777777" w:rsidTr="00FB0D02">
        <w:trPr>
          <w:cantSplit/>
          <w:trHeight w:val="642"/>
        </w:trPr>
        <w:tc>
          <w:tcPr>
            <w:tcW w:w="873" w:type="pct"/>
            <w:vMerge w:val="restart"/>
            <w:tcBorders>
              <w:right w:val="single" w:sz="4" w:space="0" w:color="auto"/>
            </w:tcBorders>
          </w:tcPr>
          <w:p w14:paraId="02652076" w14:textId="77777777" w:rsidR="00115843" w:rsidRPr="00FD292C" w:rsidRDefault="00115843" w:rsidP="00FB0D02">
            <w:pPr>
              <w:pStyle w:val="TableTextBase"/>
              <w:spacing w:after="0"/>
              <w:rPr>
                <w:sz w:val="16"/>
                <w:szCs w:val="16"/>
              </w:rPr>
            </w:pPr>
            <w:r w:rsidRPr="00FD292C">
              <w:rPr>
                <w:sz w:val="16"/>
                <w:szCs w:val="16"/>
              </w:rPr>
              <w:t>Prior year 2021–22 cont.</w:t>
            </w:r>
          </w:p>
        </w:tc>
        <w:tc>
          <w:tcPr>
            <w:tcW w:w="1746" w:type="pct"/>
            <w:tcBorders>
              <w:top w:val="single" w:sz="4" w:space="0" w:color="auto"/>
              <w:left w:val="single" w:sz="4" w:space="0" w:color="auto"/>
              <w:bottom w:val="single" w:sz="4" w:space="0" w:color="auto"/>
              <w:right w:val="single" w:sz="4" w:space="0" w:color="auto"/>
            </w:tcBorders>
          </w:tcPr>
          <w:p w14:paraId="7C9B124D"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Domestic CO2 emissions and rate of emissions: rail (per tonne kilometre)</w:t>
            </w:r>
          </w:p>
        </w:tc>
        <w:tc>
          <w:tcPr>
            <w:tcW w:w="2381" w:type="pct"/>
            <w:tcBorders>
              <w:top w:val="single" w:sz="4" w:space="0" w:color="auto"/>
              <w:left w:val="single" w:sz="4" w:space="0" w:color="auto"/>
              <w:bottom w:val="single" w:sz="4" w:space="0" w:color="auto"/>
              <w:right w:val="single" w:sz="4" w:space="0" w:color="auto"/>
            </w:tcBorders>
          </w:tcPr>
          <w:p w14:paraId="641A0018" w14:textId="34755E2A"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The Department does not set targets for emissions as it reports against an economy-wide framework (the National Greenhouse Gas Inventory)</w:t>
            </w:r>
            <w:r w:rsidR="003342E6">
              <w:rPr>
                <w:rFonts w:ascii="Arial" w:eastAsia="Calibri" w:hAnsi="Arial" w:cs="Arial"/>
                <w:sz w:val="16"/>
                <w:szCs w:val="16"/>
              </w:rPr>
              <w:t>.</w:t>
            </w:r>
          </w:p>
          <w:p w14:paraId="54828DAE" w14:textId="0BF28C73"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Rail emissions in 2020–21 totalled 6,145 gigagrams (CO2 equivalent, full fuel cycle). This is lower than the 6,198 gigagrams in 2019–20</w:t>
            </w:r>
            <w:r w:rsidR="003342E6">
              <w:rPr>
                <w:rFonts w:ascii="Arial" w:eastAsia="Calibri" w:hAnsi="Arial" w:cs="Arial"/>
                <w:sz w:val="16"/>
                <w:szCs w:val="16"/>
              </w:rPr>
              <w:t>.</w:t>
            </w:r>
          </w:p>
          <w:p w14:paraId="2F823ACE" w14:textId="7BD08B26"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In 2020–21, rail emissions were 24.9 gigagrams per million train kilometres. This is lower than the 25.0 gigagrams per million train kilometre in 2019–20</w:t>
            </w:r>
            <w:r w:rsidR="003342E6">
              <w:rPr>
                <w:rFonts w:ascii="Arial" w:eastAsia="Calibri" w:hAnsi="Arial" w:cs="Arial"/>
                <w:sz w:val="16"/>
                <w:szCs w:val="16"/>
              </w:rPr>
              <w:t>.</w:t>
            </w:r>
          </w:p>
        </w:tc>
      </w:tr>
      <w:tr w:rsidR="00115843" w:rsidRPr="001B2F81" w14:paraId="5CA83A60" w14:textId="77777777" w:rsidTr="00FB0D02">
        <w:trPr>
          <w:cantSplit/>
          <w:trHeight w:val="642"/>
        </w:trPr>
        <w:tc>
          <w:tcPr>
            <w:tcW w:w="873" w:type="pct"/>
            <w:vMerge/>
            <w:tcBorders>
              <w:right w:val="single" w:sz="4" w:space="0" w:color="auto"/>
            </w:tcBorders>
          </w:tcPr>
          <w:p w14:paraId="2FFF99CC" w14:textId="77777777" w:rsidR="00115843" w:rsidRPr="00FD292C" w:rsidRDefault="00115843" w:rsidP="00FB0D02">
            <w:pPr>
              <w:pStyle w:val="TableTextBase"/>
              <w:spacing w:before="0" w:after="0"/>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BBBEA04"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Domestic CO2 emissions and rate of emissions: maritime (per tonne kilometre)</w:t>
            </w:r>
          </w:p>
        </w:tc>
        <w:tc>
          <w:tcPr>
            <w:tcW w:w="2381" w:type="pct"/>
            <w:tcBorders>
              <w:top w:val="single" w:sz="4" w:space="0" w:color="auto"/>
              <w:left w:val="single" w:sz="4" w:space="0" w:color="auto"/>
              <w:bottom w:val="single" w:sz="4" w:space="0" w:color="auto"/>
              <w:right w:val="single" w:sz="4" w:space="0" w:color="auto"/>
            </w:tcBorders>
          </w:tcPr>
          <w:p w14:paraId="730DA385"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The Department does not set targets for emissions as it reports against an economy-wide framework (the National Greenhouse Gas Inventory)</w:t>
            </w:r>
          </w:p>
          <w:p w14:paraId="6D47201F" w14:textId="756BD646"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Domestic maritime emissions in 2020–21 totalled 2,509 gigagrams (CO2 equivalent). This is higher than the 2,488 gigagrams in 2019–20</w:t>
            </w:r>
            <w:r w:rsidR="003342E6">
              <w:rPr>
                <w:rFonts w:ascii="Arial" w:eastAsia="Calibri" w:hAnsi="Arial" w:cs="Arial"/>
                <w:sz w:val="16"/>
                <w:szCs w:val="16"/>
              </w:rPr>
              <w:t>.</w:t>
            </w:r>
          </w:p>
        </w:tc>
      </w:tr>
      <w:tr w:rsidR="00115843" w:rsidRPr="001B2F81" w14:paraId="518BD163" w14:textId="77777777" w:rsidTr="00FB0D02">
        <w:trPr>
          <w:cantSplit/>
          <w:trHeight w:val="642"/>
        </w:trPr>
        <w:tc>
          <w:tcPr>
            <w:tcW w:w="873" w:type="pct"/>
            <w:vMerge/>
            <w:tcBorders>
              <w:right w:val="single" w:sz="4" w:space="0" w:color="auto"/>
            </w:tcBorders>
          </w:tcPr>
          <w:p w14:paraId="3CD44B1E" w14:textId="77777777" w:rsidR="00115843" w:rsidRPr="00FD292C" w:rsidRDefault="00115843" w:rsidP="00FB0D02">
            <w:pPr>
              <w:pStyle w:val="TableTextBase"/>
              <w:spacing w:before="0" w:after="0"/>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7529A5C"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 xml:space="preserve">Number of fatalities and fatality rate per 100,000 population: rail </w:t>
            </w:r>
            <w:r w:rsidRPr="00FD292C">
              <w:rPr>
                <w:rFonts w:eastAsia="Calibri" w:cs="Arial"/>
                <w:sz w:val="16"/>
                <w:szCs w:val="16"/>
                <w:vertAlign w:val="superscript"/>
              </w:rPr>
              <w:t>(c)</w:t>
            </w:r>
          </w:p>
        </w:tc>
        <w:tc>
          <w:tcPr>
            <w:tcW w:w="2381" w:type="pct"/>
            <w:tcBorders>
              <w:top w:val="single" w:sz="4" w:space="0" w:color="auto"/>
              <w:left w:val="single" w:sz="4" w:space="0" w:color="auto"/>
              <w:bottom w:val="single" w:sz="4" w:space="0" w:color="auto"/>
              <w:right w:val="single" w:sz="4" w:space="0" w:color="auto"/>
            </w:tcBorders>
          </w:tcPr>
          <w:p w14:paraId="76F89ACD" w14:textId="2FEAF3D5"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 xml:space="preserve">Annual target setting </w:t>
            </w:r>
            <w:r w:rsidR="003342E6">
              <w:rPr>
                <w:rFonts w:ascii="Arial" w:eastAsia="Calibri" w:hAnsi="Arial" w:cs="Arial"/>
                <w:sz w:val="16"/>
                <w:szCs w:val="16"/>
              </w:rPr>
              <w:t xml:space="preserve">is </w:t>
            </w:r>
            <w:r w:rsidRPr="00FD292C">
              <w:rPr>
                <w:rFonts w:ascii="Arial" w:eastAsia="Calibri" w:hAnsi="Arial" w:cs="Arial"/>
                <w:sz w:val="16"/>
                <w:szCs w:val="16"/>
              </w:rPr>
              <w:t>not appropriate, results sought are long term.</w:t>
            </w:r>
          </w:p>
          <w:p w14:paraId="3A57B371" w14:textId="5A92CCF2"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In 2021, there were 10 rail fatalities (excluding suicides and trespasses),14% higher than the average over the previous 4 years. In per-person terms, that corresponds to 0.039 per 100,000 people, 12% higher than the average over the previous 4 years</w:t>
            </w:r>
            <w:r w:rsidR="003342E6">
              <w:rPr>
                <w:rFonts w:ascii="Arial" w:eastAsia="Calibri" w:hAnsi="Arial" w:cs="Arial"/>
                <w:sz w:val="16"/>
                <w:szCs w:val="16"/>
              </w:rPr>
              <w:t>.</w:t>
            </w:r>
          </w:p>
        </w:tc>
      </w:tr>
      <w:tr w:rsidR="00115843" w:rsidRPr="001B2F81" w14:paraId="4FB27F1A" w14:textId="77777777" w:rsidTr="00FB0D02">
        <w:trPr>
          <w:cantSplit/>
          <w:trHeight w:val="642"/>
        </w:trPr>
        <w:tc>
          <w:tcPr>
            <w:tcW w:w="873" w:type="pct"/>
            <w:vMerge/>
            <w:tcBorders>
              <w:bottom w:val="double" w:sz="4" w:space="0" w:color="auto"/>
              <w:right w:val="single" w:sz="4" w:space="0" w:color="auto"/>
            </w:tcBorders>
          </w:tcPr>
          <w:p w14:paraId="7BECACE9" w14:textId="77777777" w:rsidR="00115843" w:rsidRPr="00FD292C" w:rsidRDefault="00115843" w:rsidP="00FB0D02">
            <w:pPr>
              <w:pStyle w:val="TableTextBase"/>
              <w:spacing w:before="0" w:after="0"/>
              <w:rPr>
                <w:sz w:val="16"/>
                <w:szCs w:val="16"/>
              </w:rPr>
            </w:pPr>
          </w:p>
        </w:tc>
        <w:tc>
          <w:tcPr>
            <w:tcW w:w="1746" w:type="pct"/>
            <w:tcBorders>
              <w:top w:val="single" w:sz="4" w:space="0" w:color="auto"/>
              <w:left w:val="single" w:sz="4" w:space="0" w:color="auto"/>
              <w:bottom w:val="double" w:sz="4" w:space="0" w:color="auto"/>
              <w:right w:val="single" w:sz="4" w:space="0" w:color="auto"/>
            </w:tcBorders>
          </w:tcPr>
          <w:p w14:paraId="41B260B4"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Number of fatalities and fatality rate per 100,000 population: maritime</w:t>
            </w:r>
          </w:p>
        </w:tc>
        <w:tc>
          <w:tcPr>
            <w:tcW w:w="2381" w:type="pct"/>
            <w:tcBorders>
              <w:top w:val="single" w:sz="4" w:space="0" w:color="auto"/>
              <w:left w:val="single" w:sz="4" w:space="0" w:color="auto"/>
              <w:bottom w:val="double" w:sz="4" w:space="0" w:color="auto"/>
              <w:right w:val="single" w:sz="4" w:space="0" w:color="auto"/>
            </w:tcBorders>
          </w:tcPr>
          <w:p w14:paraId="7334AF2E" w14:textId="348C81F3"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Annual target setting not appropriate, results sought are long term</w:t>
            </w:r>
            <w:r w:rsidR="003342E6">
              <w:rPr>
                <w:rFonts w:ascii="Arial" w:eastAsia="Calibri" w:hAnsi="Arial" w:cs="Arial"/>
                <w:sz w:val="16"/>
                <w:szCs w:val="16"/>
              </w:rPr>
              <w:t>.</w:t>
            </w:r>
          </w:p>
          <w:p w14:paraId="47317717" w14:textId="004390B0"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In 2021, there were 9 maritime transport fatalities, 76% higher than the average over the previous 10 years. In per-person terms, that corresponds to 0.035 per 100,000 people, 4% lower than the average over the previous 10</w:t>
            </w:r>
            <w:r w:rsidR="003342E6">
              <w:rPr>
                <w:rFonts w:ascii="Arial" w:eastAsia="Calibri" w:hAnsi="Arial" w:cs="Arial"/>
                <w:sz w:val="16"/>
                <w:szCs w:val="16"/>
              </w:rPr>
              <w:t> </w:t>
            </w:r>
            <w:r w:rsidRPr="00FD292C">
              <w:rPr>
                <w:rFonts w:ascii="Arial" w:eastAsia="Calibri" w:hAnsi="Arial" w:cs="Arial"/>
                <w:sz w:val="16"/>
                <w:szCs w:val="16"/>
              </w:rPr>
              <w:t>years</w:t>
            </w:r>
            <w:r w:rsidR="003342E6">
              <w:rPr>
                <w:rFonts w:ascii="Arial" w:eastAsia="Calibri" w:hAnsi="Arial" w:cs="Arial"/>
                <w:sz w:val="16"/>
                <w:szCs w:val="16"/>
              </w:rPr>
              <w:t>.</w:t>
            </w:r>
          </w:p>
        </w:tc>
      </w:tr>
      <w:tr w:rsidR="00115843" w:rsidRPr="00160C23" w14:paraId="68DEF0AA" w14:textId="77777777" w:rsidTr="00FB0D02">
        <w:trPr>
          <w:trHeight w:val="258"/>
        </w:trPr>
        <w:tc>
          <w:tcPr>
            <w:tcW w:w="873" w:type="pct"/>
            <w:tcBorders>
              <w:top w:val="double" w:sz="4" w:space="0" w:color="auto"/>
              <w:bottom w:val="single" w:sz="4" w:space="0" w:color="auto"/>
              <w:right w:val="single" w:sz="4" w:space="0" w:color="auto"/>
            </w:tcBorders>
          </w:tcPr>
          <w:p w14:paraId="0DC2E8CE" w14:textId="77777777" w:rsidR="00115843" w:rsidRPr="00707BCF" w:rsidRDefault="00115843" w:rsidP="00FB0D02">
            <w:pPr>
              <w:pStyle w:val="TableTextBase"/>
              <w:rPr>
                <w:b/>
                <w:sz w:val="16"/>
                <w:szCs w:val="16"/>
              </w:rPr>
            </w:pPr>
            <w:r w:rsidRPr="00707BCF">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0969F0F2" w14:textId="77777777" w:rsidR="00115843" w:rsidRPr="00707BCF" w:rsidRDefault="00115843" w:rsidP="00FB0D02">
            <w:pPr>
              <w:pStyle w:val="TableTextBase"/>
              <w:rPr>
                <w:b/>
                <w:sz w:val="16"/>
                <w:szCs w:val="16"/>
              </w:rPr>
            </w:pPr>
            <w:r w:rsidRPr="00707BCF">
              <w:rPr>
                <w:b/>
                <w:sz w:val="16"/>
                <w:szCs w:val="16"/>
              </w:rPr>
              <w:t>Performance measures</w:t>
            </w:r>
          </w:p>
        </w:tc>
        <w:tc>
          <w:tcPr>
            <w:tcW w:w="2381" w:type="pct"/>
            <w:tcBorders>
              <w:top w:val="double" w:sz="4" w:space="0" w:color="auto"/>
              <w:left w:val="single" w:sz="4" w:space="0" w:color="auto"/>
              <w:bottom w:val="single" w:sz="4" w:space="0" w:color="auto"/>
            </w:tcBorders>
          </w:tcPr>
          <w:p w14:paraId="404D19AE" w14:textId="77777777" w:rsidR="00115843" w:rsidRPr="00707BCF" w:rsidRDefault="00115843" w:rsidP="00FB0D02">
            <w:pPr>
              <w:pStyle w:val="TableTextBase"/>
              <w:rPr>
                <w:b/>
                <w:sz w:val="16"/>
                <w:szCs w:val="16"/>
              </w:rPr>
            </w:pPr>
            <w:r w:rsidRPr="00707BCF">
              <w:rPr>
                <w:b/>
                <w:sz w:val="16"/>
                <w:szCs w:val="16"/>
              </w:rPr>
              <w:t>Planned Performance Results</w:t>
            </w:r>
          </w:p>
        </w:tc>
      </w:tr>
      <w:tr w:rsidR="00115843" w14:paraId="4E7BC4D2" w14:textId="77777777" w:rsidTr="00FB0D02">
        <w:trPr>
          <w:cantSplit/>
          <w:trHeight w:val="642"/>
        </w:trPr>
        <w:tc>
          <w:tcPr>
            <w:tcW w:w="873" w:type="pct"/>
            <w:vMerge w:val="restart"/>
            <w:tcBorders>
              <w:top w:val="nil"/>
              <w:left w:val="single" w:sz="4" w:space="0" w:color="auto"/>
              <w:right w:val="single" w:sz="4" w:space="0" w:color="auto"/>
            </w:tcBorders>
          </w:tcPr>
          <w:p w14:paraId="4BC39C66" w14:textId="77777777" w:rsidR="00115843" w:rsidRPr="00FD292C" w:rsidRDefault="00115843" w:rsidP="00FB0D02">
            <w:pPr>
              <w:pStyle w:val="TableTextBase"/>
              <w:spacing w:before="0" w:after="0"/>
              <w:rPr>
                <w:sz w:val="16"/>
                <w:szCs w:val="16"/>
              </w:rPr>
            </w:pPr>
            <w:r w:rsidRPr="00FD292C">
              <w:rPr>
                <w:sz w:val="16"/>
                <w:szCs w:val="16"/>
              </w:rPr>
              <w:t>Budget year 2022–23</w:t>
            </w:r>
          </w:p>
        </w:tc>
        <w:tc>
          <w:tcPr>
            <w:tcW w:w="1746" w:type="pct"/>
            <w:tcBorders>
              <w:top w:val="single" w:sz="4" w:space="0" w:color="auto"/>
              <w:left w:val="single" w:sz="4" w:space="0" w:color="auto"/>
              <w:bottom w:val="single" w:sz="4" w:space="0" w:color="auto"/>
              <w:right w:val="single" w:sz="4" w:space="0" w:color="auto"/>
            </w:tcBorders>
          </w:tcPr>
          <w:p w14:paraId="2A53CB73"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Progress reforms for regulating vehicles and rail that support safety and productivity</w:t>
            </w:r>
          </w:p>
        </w:tc>
        <w:tc>
          <w:tcPr>
            <w:tcW w:w="2381" w:type="pct"/>
            <w:tcBorders>
              <w:top w:val="single" w:sz="4" w:space="0" w:color="auto"/>
              <w:left w:val="single" w:sz="4" w:space="0" w:color="auto"/>
              <w:bottom w:val="single" w:sz="4" w:space="0" w:color="auto"/>
              <w:right w:val="single" w:sz="4" w:space="0" w:color="auto"/>
            </w:tcBorders>
          </w:tcPr>
          <w:p w14:paraId="6BB0BECF"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Policy advice is high-quality, timely and evidence-based to support decision making on heavy vehicle and rail productivity and safety matters.</w:t>
            </w:r>
          </w:p>
          <w:p w14:paraId="769508B3"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Funding is delivered for relevant programs such as the Heavy Vehicle Safety Initiative, Strategic Local Government Asset Assessment Project and rail programs.</w:t>
            </w:r>
            <w:r w:rsidRPr="00FD292C" w:rsidDel="004902D3">
              <w:rPr>
                <w:rFonts w:ascii="Arial" w:eastAsia="Calibri" w:hAnsi="Arial" w:cs="Arial"/>
                <w:sz w:val="16"/>
                <w:szCs w:val="16"/>
              </w:rPr>
              <w:t xml:space="preserve"> </w:t>
            </w:r>
          </w:p>
        </w:tc>
      </w:tr>
      <w:tr w:rsidR="00115843" w14:paraId="5C4AA60A" w14:textId="77777777" w:rsidTr="00FB0D02">
        <w:trPr>
          <w:cantSplit/>
          <w:trHeight w:val="642"/>
        </w:trPr>
        <w:tc>
          <w:tcPr>
            <w:tcW w:w="873" w:type="pct"/>
            <w:vMerge/>
            <w:tcBorders>
              <w:left w:val="single" w:sz="4" w:space="0" w:color="auto"/>
              <w:right w:val="single" w:sz="4" w:space="0" w:color="auto"/>
            </w:tcBorders>
          </w:tcPr>
          <w:p w14:paraId="7D3A87A0" w14:textId="77777777" w:rsidR="00115843" w:rsidRPr="00FD292C" w:rsidRDefault="00115843" w:rsidP="00FB0D02">
            <w:pPr>
              <w:pStyle w:val="TableTextBase"/>
              <w:spacing w:before="0" w:after="0"/>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971EF13"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 xml:space="preserve">Progress of reforms to the Disability Standards for Accessible Public Transport </w:t>
            </w:r>
          </w:p>
        </w:tc>
        <w:tc>
          <w:tcPr>
            <w:tcW w:w="2381" w:type="pct"/>
            <w:tcBorders>
              <w:top w:val="single" w:sz="4" w:space="0" w:color="auto"/>
              <w:left w:val="single" w:sz="4" w:space="0" w:color="auto"/>
              <w:bottom w:val="single" w:sz="4" w:space="0" w:color="auto"/>
              <w:right w:val="single" w:sz="4" w:space="0" w:color="auto"/>
            </w:tcBorders>
          </w:tcPr>
          <w:p w14:paraId="32ED7FC0" w14:textId="5A8A264F"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Financial year delivery milestones set by ITMM are met</w:t>
            </w:r>
            <w:r w:rsidR="003342E6">
              <w:rPr>
                <w:rFonts w:ascii="Arial" w:eastAsia="Calibri" w:hAnsi="Arial" w:cs="Arial"/>
                <w:sz w:val="16"/>
                <w:szCs w:val="16"/>
              </w:rPr>
              <w:t>.</w:t>
            </w:r>
          </w:p>
        </w:tc>
      </w:tr>
    </w:tbl>
    <w:p w14:paraId="36D0BDCD"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479"/>
        <w:gridCol w:w="3876"/>
      </w:tblGrid>
      <w:tr w:rsidR="00115843" w:rsidRPr="001B2F81" w14:paraId="0EE976F3" w14:textId="77777777" w:rsidTr="00FB0D02">
        <w:trPr>
          <w:trHeight w:val="258"/>
        </w:trPr>
        <w:tc>
          <w:tcPr>
            <w:tcW w:w="873" w:type="pct"/>
            <w:tcBorders>
              <w:top w:val="double" w:sz="4" w:space="0" w:color="auto"/>
              <w:bottom w:val="single" w:sz="4" w:space="0" w:color="auto"/>
              <w:right w:val="single" w:sz="4" w:space="0" w:color="auto"/>
            </w:tcBorders>
          </w:tcPr>
          <w:p w14:paraId="010E3818" w14:textId="77777777" w:rsidR="00115843" w:rsidRPr="00707BCF" w:rsidRDefault="00115843" w:rsidP="00FB0D02">
            <w:pPr>
              <w:pStyle w:val="TableTextBase"/>
              <w:rPr>
                <w:b/>
                <w:sz w:val="16"/>
                <w:szCs w:val="16"/>
              </w:rPr>
            </w:pPr>
            <w:r w:rsidRPr="00707BCF">
              <w:rPr>
                <w:b/>
                <w:sz w:val="16"/>
                <w:szCs w:val="16"/>
              </w:rPr>
              <w:lastRenderedPageBreak/>
              <w:t>Year</w:t>
            </w:r>
          </w:p>
        </w:tc>
        <w:tc>
          <w:tcPr>
            <w:tcW w:w="1610" w:type="pct"/>
            <w:tcBorders>
              <w:top w:val="double" w:sz="4" w:space="0" w:color="auto"/>
              <w:left w:val="single" w:sz="4" w:space="0" w:color="auto"/>
              <w:bottom w:val="single" w:sz="4" w:space="0" w:color="auto"/>
              <w:right w:val="single" w:sz="4" w:space="0" w:color="auto"/>
            </w:tcBorders>
          </w:tcPr>
          <w:p w14:paraId="198AA34C"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518" w:type="pct"/>
            <w:tcBorders>
              <w:top w:val="double" w:sz="4" w:space="0" w:color="auto"/>
              <w:left w:val="single" w:sz="4" w:space="0" w:color="auto"/>
              <w:bottom w:val="single" w:sz="4" w:space="0" w:color="auto"/>
            </w:tcBorders>
          </w:tcPr>
          <w:p w14:paraId="76A76563" w14:textId="77777777" w:rsidR="00115843" w:rsidRPr="00707BCF" w:rsidRDefault="00115843" w:rsidP="00FB0D02">
            <w:pPr>
              <w:pStyle w:val="TableTextBase"/>
              <w:rPr>
                <w:rFonts w:cs="Arial"/>
                <w:b/>
                <w:sz w:val="16"/>
                <w:szCs w:val="16"/>
              </w:rPr>
            </w:pPr>
            <w:r w:rsidRPr="00707BCF">
              <w:rPr>
                <w:b/>
                <w:sz w:val="16"/>
                <w:szCs w:val="16"/>
              </w:rPr>
              <w:t xml:space="preserve">Planned </w:t>
            </w:r>
            <w:r w:rsidRPr="00707BCF">
              <w:rPr>
                <w:rFonts w:cs="Arial"/>
                <w:b/>
                <w:sz w:val="16"/>
                <w:szCs w:val="16"/>
              </w:rPr>
              <w:t>Performance Results</w:t>
            </w:r>
          </w:p>
        </w:tc>
      </w:tr>
      <w:tr w:rsidR="00115843" w14:paraId="31580E71" w14:textId="77777777" w:rsidTr="00FB0D02">
        <w:trPr>
          <w:cantSplit/>
          <w:trHeight w:val="642"/>
        </w:trPr>
        <w:tc>
          <w:tcPr>
            <w:tcW w:w="873" w:type="pct"/>
            <w:vMerge w:val="restart"/>
            <w:tcBorders>
              <w:left w:val="single" w:sz="4" w:space="0" w:color="auto"/>
              <w:right w:val="single" w:sz="4" w:space="0" w:color="auto"/>
            </w:tcBorders>
          </w:tcPr>
          <w:p w14:paraId="2D84FA68" w14:textId="77777777" w:rsidR="00115843" w:rsidRPr="00FD292C" w:rsidRDefault="00115843" w:rsidP="00FB0D02">
            <w:pPr>
              <w:pStyle w:val="TableTextBase"/>
              <w:spacing w:after="0"/>
              <w:rPr>
                <w:sz w:val="16"/>
                <w:szCs w:val="16"/>
              </w:rPr>
            </w:pPr>
            <w:r w:rsidRPr="00FD292C">
              <w:rPr>
                <w:sz w:val="16"/>
                <w:szCs w:val="16"/>
              </w:rPr>
              <w:t>Budget year 2022–23 cont.</w:t>
            </w:r>
          </w:p>
        </w:tc>
        <w:tc>
          <w:tcPr>
            <w:tcW w:w="1610" w:type="pct"/>
            <w:tcBorders>
              <w:top w:val="single" w:sz="4" w:space="0" w:color="auto"/>
              <w:left w:val="single" w:sz="4" w:space="0" w:color="auto"/>
              <w:bottom w:val="single" w:sz="4" w:space="0" w:color="auto"/>
              <w:right w:val="single" w:sz="4" w:space="0" w:color="auto"/>
            </w:tcBorders>
          </w:tcPr>
          <w:p w14:paraId="61872F1C" w14:textId="77777777" w:rsidR="00115843" w:rsidRPr="00FD292C" w:rsidRDefault="00115843" w:rsidP="00FB0D02">
            <w:pPr>
              <w:pStyle w:val="TableTextBase"/>
              <w:spacing w:after="0"/>
              <w:rPr>
                <w:rFonts w:eastAsia="Calibri" w:cs="Arial"/>
                <w:sz w:val="16"/>
                <w:szCs w:val="16"/>
              </w:rPr>
            </w:pPr>
            <w:r w:rsidRPr="00FD292C">
              <w:rPr>
                <w:rFonts w:eastAsia="Calibri" w:cs="Arial"/>
                <w:sz w:val="16"/>
                <w:szCs w:val="16"/>
              </w:rPr>
              <w:t xml:space="preserve">Develop policy and regulatory advice, including supporting of trials and research, to support progress towards the safe, legal and nationally consistent introduction and uptake of Connected and Automated Vehicles (CAV) in Australia </w:t>
            </w:r>
          </w:p>
        </w:tc>
        <w:tc>
          <w:tcPr>
            <w:tcW w:w="2518" w:type="pct"/>
            <w:tcBorders>
              <w:top w:val="single" w:sz="4" w:space="0" w:color="auto"/>
              <w:left w:val="single" w:sz="4" w:space="0" w:color="auto"/>
              <w:bottom w:val="single" w:sz="4" w:space="0" w:color="auto"/>
              <w:right w:val="single" w:sz="4" w:space="0" w:color="auto"/>
            </w:tcBorders>
          </w:tcPr>
          <w:p w14:paraId="1A274261" w14:textId="6C455754" w:rsidR="00115843" w:rsidRPr="00FD292C" w:rsidRDefault="00115843" w:rsidP="003D45DF">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Policy advice is high-quality, timely and evidence-based, adapts to the changing environment and developed in partnership with states and territories, the National Transport Commission (NTC) and key industry stakeholders</w:t>
            </w:r>
            <w:r w:rsidR="003D45DF">
              <w:rPr>
                <w:rFonts w:ascii="Arial" w:eastAsia="Calibri" w:hAnsi="Arial" w:cs="Arial"/>
                <w:sz w:val="16"/>
                <w:szCs w:val="16"/>
              </w:rPr>
              <w:t>.</w:t>
            </w:r>
          </w:p>
          <w:p w14:paraId="6F2A4AB8" w14:textId="0D6FC13F" w:rsidR="00115843" w:rsidRPr="00FD292C" w:rsidRDefault="00115843" w:rsidP="003D45DF">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Commonwealth-led actions in the National Land Transport Technology Action Plan (NLTTAP) 2020–23 are substantially complete and progress is made towards developing the next iteration of the NLTTAP</w:t>
            </w:r>
            <w:r w:rsidR="003D45DF">
              <w:rPr>
                <w:rFonts w:ascii="Arial" w:eastAsia="Calibri" w:hAnsi="Arial" w:cs="Arial"/>
                <w:sz w:val="16"/>
                <w:szCs w:val="16"/>
              </w:rPr>
              <w:t>.</w:t>
            </w:r>
          </w:p>
          <w:p w14:paraId="4481599F" w14:textId="1A9E1311" w:rsidR="00115843" w:rsidRPr="00FD292C" w:rsidDel="008E1A6E" w:rsidRDefault="00115843" w:rsidP="003D45DF">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Progress on a national Automated Vehicle Safety Law (AVSL) and associated in-service framework meets the timeframes set by ITMM</w:t>
            </w:r>
            <w:r w:rsidR="003D45DF">
              <w:rPr>
                <w:rFonts w:ascii="Arial" w:eastAsia="Calibri" w:hAnsi="Arial" w:cs="Arial"/>
                <w:sz w:val="16"/>
                <w:szCs w:val="16"/>
              </w:rPr>
              <w:t>.</w:t>
            </w:r>
          </w:p>
        </w:tc>
      </w:tr>
      <w:tr w:rsidR="00115843" w14:paraId="085BE1A3" w14:textId="77777777" w:rsidTr="00FB0D02">
        <w:trPr>
          <w:cantSplit/>
          <w:trHeight w:val="1558"/>
        </w:trPr>
        <w:tc>
          <w:tcPr>
            <w:tcW w:w="873" w:type="pct"/>
            <w:vMerge/>
            <w:tcBorders>
              <w:left w:val="single" w:sz="4" w:space="0" w:color="auto"/>
              <w:right w:val="single" w:sz="4" w:space="0" w:color="auto"/>
            </w:tcBorders>
          </w:tcPr>
          <w:p w14:paraId="1A2ECB30" w14:textId="77777777" w:rsidR="00115843" w:rsidRPr="00FD292C" w:rsidRDefault="00115843" w:rsidP="00FB0D02">
            <w:pPr>
              <w:pStyle w:val="TableTextBase"/>
              <w:spacing w:before="0" w:after="0"/>
              <w:rPr>
                <w:sz w:val="16"/>
                <w:szCs w:val="16"/>
              </w:rPr>
            </w:pPr>
          </w:p>
        </w:tc>
        <w:tc>
          <w:tcPr>
            <w:tcW w:w="1610" w:type="pct"/>
            <w:tcBorders>
              <w:top w:val="single" w:sz="4" w:space="0" w:color="auto"/>
              <w:left w:val="single" w:sz="4" w:space="0" w:color="auto"/>
              <w:bottom w:val="single" w:sz="4" w:space="0" w:color="auto"/>
              <w:right w:val="single" w:sz="4" w:space="0" w:color="auto"/>
            </w:tcBorders>
          </w:tcPr>
          <w:p w14:paraId="1035A484" w14:textId="77777777" w:rsidR="00115843" w:rsidRPr="00FD292C" w:rsidRDefault="00115843" w:rsidP="00FB0D02">
            <w:pPr>
              <w:pStyle w:val="TableTextBase"/>
              <w:spacing w:after="0"/>
              <w:rPr>
                <w:rFonts w:eastAsia="Calibri" w:cs="Arial"/>
                <w:sz w:val="16"/>
                <w:szCs w:val="16"/>
              </w:rPr>
            </w:pPr>
            <w:r w:rsidRPr="00FD292C">
              <w:rPr>
                <w:rFonts w:eastAsia="Calibri" w:cs="Arial"/>
                <w:sz w:val="16"/>
                <w:szCs w:val="16"/>
              </w:rPr>
              <w:t>Performance of Tasmanian shipping programs, indicated through number of:</w:t>
            </w:r>
          </w:p>
          <w:p w14:paraId="74F518A4" w14:textId="77777777" w:rsidR="00115843" w:rsidRPr="00FD292C" w:rsidRDefault="00115843" w:rsidP="00115843">
            <w:pPr>
              <w:numPr>
                <w:ilvl w:val="0"/>
                <w:numId w:val="188"/>
              </w:numPr>
              <w:spacing w:after="0" w:line="240" w:lineRule="auto"/>
              <w:contextualSpacing/>
              <w:rPr>
                <w:rFonts w:ascii="Arial" w:eastAsia="Calibri" w:hAnsi="Arial" w:cs="Arial"/>
                <w:sz w:val="16"/>
                <w:szCs w:val="16"/>
              </w:rPr>
            </w:pPr>
            <w:r w:rsidRPr="00FD292C">
              <w:rPr>
                <w:rFonts w:ascii="Arial" w:eastAsia="Calibri" w:hAnsi="Arial" w:cs="Arial"/>
                <w:sz w:val="16"/>
                <w:szCs w:val="16"/>
              </w:rPr>
              <w:t>claims paid (Tasmanian Freight Equalisation Scheme)</w:t>
            </w:r>
          </w:p>
          <w:p w14:paraId="79BF50B9" w14:textId="77777777" w:rsidR="00115843" w:rsidRPr="00FD292C" w:rsidRDefault="00115843" w:rsidP="00115843">
            <w:pPr>
              <w:numPr>
                <w:ilvl w:val="0"/>
                <w:numId w:val="188"/>
              </w:numPr>
              <w:spacing w:after="60" w:line="240" w:lineRule="auto"/>
              <w:contextualSpacing/>
              <w:rPr>
                <w:rFonts w:ascii="Arial" w:eastAsia="Calibri" w:hAnsi="Arial" w:cs="Arial"/>
                <w:sz w:val="16"/>
                <w:szCs w:val="16"/>
              </w:rPr>
            </w:pPr>
            <w:r w:rsidRPr="00FD292C">
              <w:rPr>
                <w:rFonts w:ascii="Arial" w:eastAsia="Calibri" w:hAnsi="Arial" w:cs="Arial"/>
                <w:sz w:val="16"/>
                <w:szCs w:val="16"/>
              </w:rPr>
              <w:t>rebates provided (Bass Strait Passenger Vehicle Equalisation Scheme)</w:t>
            </w:r>
          </w:p>
        </w:tc>
        <w:tc>
          <w:tcPr>
            <w:tcW w:w="2518" w:type="pct"/>
            <w:tcBorders>
              <w:top w:val="single" w:sz="4" w:space="0" w:color="auto"/>
              <w:left w:val="single" w:sz="4" w:space="0" w:color="auto"/>
              <w:bottom w:val="single" w:sz="4" w:space="0" w:color="auto"/>
              <w:right w:val="single" w:sz="4" w:space="0" w:color="auto"/>
            </w:tcBorders>
          </w:tcPr>
          <w:p w14:paraId="3B88C0DE" w14:textId="39D73F50" w:rsidR="00115843" w:rsidRPr="00FD292C" w:rsidDel="008E1A6E" w:rsidRDefault="00115843" w:rsidP="00FB0D02">
            <w:pPr>
              <w:spacing w:before="60" w:after="0" w:line="240" w:lineRule="auto"/>
              <w:ind w:right="-11"/>
              <w:rPr>
                <w:rFonts w:ascii="Arial" w:eastAsia="Calibri" w:hAnsi="Arial" w:cs="Arial"/>
                <w:sz w:val="16"/>
                <w:szCs w:val="16"/>
              </w:rPr>
            </w:pPr>
            <w:r w:rsidRPr="00FD292C">
              <w:rPr>
                <w:rFonts w:ascii="Arial" w:eastAsia="Calibri" w:hAnsi="Arial" w:cs="Arial"/>
                <w:sz w:val="16"/>
                <w:szCs w:val="16"/>
              </w:rPr>
              <w:t>Programs are demand-driven</w:t>
            </w:r>
            <w:r w:rsidR="003D45DF">
              <w:rPr>
                <w:rFonts w:ascii="Arial" w:eastAsia="Calibri" w:hAnsi="Arial" w:cs="Arial"/>
                <w:sz w:val="16"/>
                <w:szCs w:val="16"/>
              </w:rPr>
              <w:t>.</w:t>
            </w:r>
          </w:p>
        </w:tc>
      </w:tr>
      <w:tr w:rsidR="00115843" w14:paraId="465C933F" w14:textId="77777777" w:rsidTr="00FB0D02">
        <w:trPr>
          <w:cantSplit/>
          <w:trHeight w:val="642"/>
        </w:trPr>
        <w:tc>
          <w:tcPr>
            <w:tcW w:w="873" w:type="pct"/>
            <w:vMerge/>
            <w:tcBorders>
              <w:left w:val="single" w:sz="4" w:space="0" w:color="auto"/>
              <w:right w:val="single" w:sz="4" w:space="0" w:color="auto"/>
            </w:tcBorders>
          </w:tcPr>
          <w:p w14:paraId="47EBEDA6" w14:textId="77777777" w:rsidR="00115843" w:rsidRPr="00FD292C" w:rsidRDefault="00115843" w:rsidP="00FB0D02">
            <w:pPr>
              <w:pStyle w:val="TableTextBase"/>
              <w:spacing w:before="0" w:after="0"/>
              <w:rPr>
                <w:sz w:val="16"/>
                <w:szCs w:val="16"/>
              </w:rPr>
            </w:pPr>
          </w:p>
        </w:tc>
        <w:tc>
          <w:tcPr>
            <w:tcW w:w="1610" w:type="pct"/>
            <w:tcBorders>
              <w:top w:val="single" w:sz="4" w:space="0" w:color="auto"/>
              <w:left w:val="single" w:sz="4" w:space="0" w:color="auto"/>
              <w:bottom w:val="single" w:sz="4" w:space="0" w:color="auto"/>
              <w:right w:val="single" w:sz="4" w:space="0" w:color="auto"/>
            </w:tcBorders>
          </w:tcPr>
          <w:p w14:paraId="4108E56D" w14:textId="406F5D53" w:rsidR="00115843" w:rsidRPr="00FD292C" w:rsidRDefault="00115843" w:rsidP="00FB0D02">
            <w:pPr>
              <w:pStyle w:val="TableTextBase"/>
              <w:spacing w:after="0"/>
              <w:rPr>
                <w:rFonts w:eastAsia="Calibri" w:cs="Arial"/>
                <w:sz w:val="16"/>
                <w:szCs w:val="16"/>
              </w:rPr>
            </w:pPr>
            <w:bookmarkStart w:id="20" w:name="_Hlk114135252"/>
            <w:r w:rsidRPr="00FD292C">
              <w:rPr>
                <w:rFonts w:eastAsia="Calibri" w:cs="Arial"/>
                <w:sz w:val="16"/>
                <w:szCs w:val="16"/>
              </w:rPr>
              <w:t>Progress implementing the National Freight and Supply Chain Strategy for the next 20</w:t>
            </w:r>
            <w:r w:rsidR="003D45DF">
              <w:rPr>
                <w:rFonts w:eastAsia="Calibri" w:cs="Arial"/>
                <w:sz w:val="16"/>
                <w:szCs w:val="16"/>
              </w:rPr>
              <w:t> </w:t>
            </w:r>
            <w:r w:rsidRPr="00FD292C">
              <w:rPr>
                <w:rFonts w:eastAsia="Calibri" w:cs="Arial"/>
                <w:sz w:val="16"/>
                <w:szCs w:val="16"/>
              </w:rPr>
              <w:t>years and beyond to 2040</w:t>
            </w:r>
            <w:bookmarkEnd w:id="20"/>
          </w:p>
        </w:tc>
        <w:tc>
          <w:tcPr>
            <w:tcW w:w="2518" w:type="pct"/>
            <w:tcBorders>
              <w:top w:val="single" w:sz="4" w:space="0" w:color="auto"/>
              <w:left w:val="single" w:sz="4" w:space="0" w:color="auto"/>
              <w:bottom w:val="single" w:sz="4" w:space="0" w:color="auto"/>
              <w:right w:val="single" w:sz="4" w:space="0" w:color="auto"/>
            </w:tcBorders>
          </w:tcPr>
          <w:p w14:paraId="0D566490" w14:textId="156A54B3"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The 2021–22 annual report on National Freight and Supply Chain Strategy is complete and published by end December 2022, and the Strategy’s performance framework is updated June 2023</w:t>
            </w:r>
            <w:r w:rsidR="003D45DF">
              <w:rPr>
                <w:rFonts w:ascii="Arial" w:eastAsia="Calibri" w:hAnsi="Arial" w:cs="Arial"/>
                <w:sz w:val="16"/>
                <w:szCs w:val="16"/>
              </w:rPr>
              <w:t>.</w:t>
            </w:r>
          </w:p>
        </w:tc>
      </w:tr>
      <w:tr w:rsidR="00115843" w:rsidRPr="00A917A8" w14:paraId="73E7B3A1" w14:textId="77777777" w:rsidTr="00FB0D02">
        <w:trPr>
          <w:cantSplit/>
          <w:trHeight w:val="642"/>
        </w:trPr>
        <w:tc>
          <w:tcPr>
            <w:tcW w:w="873" w:type="pct"/>
            <w:vMerge/>
            <w:tcBorders>
              <w:left w:val="single" w:sz="4" w:space="0" w:color="auto"/>
              <w:right w:val="single" w:sz="4" w:space="0" w:color="auto"/>
            </w:tcBorders>
          </w:tcPr>
          <w:p w14:paraId="6889B4CC" w14:textId="77777777" w:rsidR="00115843" w:rsidRPr="00FD292C" w:rsidRDefault="00115843" w:rsidP="00FB0D02">
            <w:pPr>
              <w:pStyle w:val="TableTextBase"/>
              <w:spacing w:before="0" w:after="0"/>
              <w:rPr>
                <w:sz w:val="16"/>
                <w:szCs w:val="16"/>
              </w:rPr>
            </w:pPr>
          </w:p>
        </w:tc>
        <w:tc>
          <w:tcPr>
            <w:tcW w:w="1610" w:type="pct"/>
            <w:tcBorders>
              <w:top w:val="single" w:sz="4" w:space="0" w:color="auto"/>
              <w:left w:val="single" w:sz="4" w:space="0" w:color="auto"/>
              <w:bottom w:val="single" w:sz="4" w:space="0" w:color="auto"/>
              <w:right w:val="single" w:sz="4" w:space="0" w:color="auto"/>
            </w:tcBorders>
          </w:tcPr>
          <w:p w14:paraId="05E9D8F2" w14:textId="77777777" w:rsidR="00115843" w:rsidRPr="00FD292C" w:rsidRDefault="00115843" w:rsidP="00FB0D02">
            <w:pPr>
              <w:pStyle w:val="TableTextBase"/>
              <w:spacing w:after="0"/>
              <w:rPr>
                <w:rFonts w:eastAsia="Calibri" w:cs="Arial"/>
                <w:sz w:val="16"/>
                <w:szCs w:val="16"/>
              </w:rPr>
            </w:pPr>
            <w:r w:rsidRPr="00FD292C">
              <w:rPr>
                <w:rFonts w:eastAsia="Calibri" w:cs="Arial"/>
                <w:sz w:val="16"/>
                <w:szCs w:val="16"/>
              </w:rPr>
              <w:t xml:space="preserve">Provide policy advice on reducing CO2 emissions consistent with Government commitments for the transport sector </w:t>
            </w:r>
            <w:r w:rsidRPr="00FD292C">
              <w:rPr>
                <w:rFonts w:eastAsia="Calibri" w:cs="Arial"/>
                <w:sz w:val="16"/>
                <w:szCs w:val="16"/>
                <w:vertAlign w:val="superscript"/>
              </w:rPr>
              <w:t>(d)</w:t>
            </w:r>
          </w:p>
        </w:tc>
        <w:tc>
          <w:tcPr>
            <w:tcW w:w="2518" w:type="pct"/>
            <w:tcBorders>
              <w:top w:val="single" w:sz="4" w:space="0" w:color="auto"/>
              <w:left w:val="single" w:sz="4" w:space="0" w:color="auto"/>
              <w:bottom w:val="single" w:sz="4" w:space="0" w:color="auto"/>
              <w:right w:val="single" w:sz="4" w:space="0" w:color="auto"/>
            </w:tcBorders>
          </w:tcPr>
          <w:p w14:paraId="77345F6D" w14:textId="23123D13"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Policy advice is high-quality, timely and evidence-based and adapts to the changing environment</w:t>
            </w:r>
            <w:r w:rsidR="00542470">
              <w:rPr>
                <w:rFonts w:ascii="Arial" w:eastAsia="Calibri" w:hAnsi="Arial" w:cs="Arial"/>
                <w:sz w:val="16"/>
                <w:szCs w:val="16"/>
              </w:rPr>
              <w:t>.</w:t>
            </w:r>
          </w:p>
          <w:p w14:paraId="2F3DDC8C" w14:textId="5FCE87F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 xml:space="preserve">Active participation in relevant international </w:t>
            </w:r>
            <w:r w:rsidR="00542470">
              <w:rPr>
                <w:rFonts w:ascii="Arial" w:eastAsia="Calibri" w:hAnsi="Arial" w:cs="Arial"/>
                <w:sz w:val="16"/>
                <w:szCs w:val="16"/>
              </w:rPr>
              <w:t>for a.</w:t>
            </w:r>
          </w:p>
          <w:p w14:paraId="7342BBC0" w14:textId="56CD83C6"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Progress Australia’s engagement and activities under the Clydebank Declaration, Quad Green Shipping Taskforce and maritime low emission technology initiative with Singapore</w:t>
            </w:r>
            <w:r w:rsidR="003D45DF">
              <w:rPr>
                <w:rFonts w:ascii="Arial" w:eastAsia="Calibri" w:hAnsi="Arial" w:cs="Arial"/>
                <w:sz w:val="16"/>
                <w:szCs w:val="16"/>
              </w:rPr>
              <w:t>.</w:t>
            </w:r>
          </w:p>
          <w:p w14:paraId="6229AD3C" w14:textId="6772B3B3"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Updates to the Green Vehicle Guide to improve information on electric vehicles and charging infrastructure</w:t>
            </w:r>
            <w:r w:rsidR="003D45DF">
              <w:rPr>
                <w:rFonts w:ascii="Arial" w:eastAsia="Calibri" w:hAnsi="Arial" w:cs="Arial"/>
                <w:sz w:val="16"/>
                <w:szCs w:val="16"/>
              </w:rPr>
              <w:t>.</w:t>
            </w:r>
          </w:p>
        </w:tc>
      </w:tr>
      <w:tr w:rsidR="00115843" w:rsidRPr="00A917A8" w14:paraId="0C1B9351" w14:textId="77777777" w:rsidTr="00FB0D02">
        <w:trPr>
          <w:cantSplit/>
          <w:trHeight w:val="642"/>
        </w:trPr>
        <w:tc>
          <w:tcPr>
            <w:tcW w:w="873" w:type="pct"/>
            <w:vMerge/>
            <w:tcBorders>
              <w:left w:val="single" w:sz="4" w:space="0" w:color="auto"/>
              <w:bottom w:val="single" w:sz="4" w:space="0" w:color="auto"/>
              <w:right w:val="single" w:sz="4" w:space="0" w:color="auto"/>
            </w:tcBorders>
          </w:tcPr>
          <w:p w14:paraId="1AE329B7" w14:textId="77777777" w:rsidR="00115843" w:rsidRPr="00FD292C" w:rsidRDefault="00115843" w:rsidP="00FB0D02">
            <w:pPr>
              <w:pStyle w:val="TableTextBase"/>
              <w:spacing w:before="0" w:after="0"/>
              <w:rPr>
                <w:sz w:val="16"/>
                <w:szCs w:val="16"/>
              </w:rPr>
            </w:pPr>
          </w:p>
        </w:tc>
        <w:tc>
          <w:tcPr>
            <w:tcW w:w="1610" w:type="pct"/>
            <w:tcBorders>
              <w:top w:val="single" w:sz="4" w:space="0" w:color="auto"/>
              <w:left w:val="single" w:sz="4" w:space="0" w:color="auto"/>
              <w:bottom w:val="single" w:sz="4" w:space="0" w:color="auto"/>
              <w:right w:val="single" w:sz="4" w:space="0" w:color="auto"/>
            </w:tcBorders>
          </w:tcPr>
          <w:p w14:paraId="17C41FA2" w14:textId="77777777" w:rsidR="00115843" w:rsidRPr="00FD292C" w:rsidRDefault="00115843" w:rsidP="00FB0D02">
            <w:pPr>
              <w:pStyle w:val="TableTextBase"/>
              <w:spacing w:after="0"/>
              <w:rPr>
                <w:rFonts w:eastAsia="Calibri" w:cs="Arial"/>
                <w:sz w:val="16"/>
                <w:szCs w:val="16"/>
              </w:rPr>
            </w:pPr>
            <w:r w:rsidRPr="00FD292C">
              <w:rPr>
                <w:rFonts w:eastAsia="Calibri" w:cs="Arial"/>
                <w:sz w:val="16"/>
                <w:szCs w:val="16"/>
              </w:rPr>
              <w:t xml:space="preserve">Provide policy advice supporting maritime safety </w:t>
            </w:r>
          </w:p>
        </w:tc>
        <w:tc>
          <w:tcPr>
            <w:tcW w:w="2518" w:type="pct"/>
            <w:tcBorders>
              <w:top w:val="single" w:sz="4" w:space="0" w:color="auto"/>
              <w:left w:val="single" w:sz="4" w:space="0" w:color="auto"/>
              <w:bottom w:val="single" w:sz="4" w:space="0" w:color="auto"/>
              <w:right w:val="single" w:sz="4" w:space="0" w:color="auto"/>
            </w:tcBorders>
          </w:tcPr>
          <w:p w14:paraId="59FE4EA2"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Policy advice is high-quality, timely and evidence-based to support decision making on the Review of Domestic Commercial Vessels Safety Legislation and Costs and Charging Arrangements.</w:t>
            </w:r>
          </w:p>
        </w:tc>
      </w:tr>
      <w:tr w:rsidR="00115843" w:rsidRPr="00E85F43" w:rsidDel="008E1A6E" w14:paraId="63D8A920" w14:textId="77777777" w:rsidTr="00FB0D02">
        <w:trPr>
          <w:cantSplit/>
          <w:trHeight w:val="642"/>
        </w:trPr>
        <w:tc>
          <w:tcPr>
            <w:tcW w:w="873" w:type="pct"/>
            <w:vMerge w:val="restart"/>
            <w:tcBorders>
              <w:top w:val="nil"/>
              <w:left w:val="single" w:sz="4" w:space="0" w:color="auto"/>
              <w:right w:val="single" w:sz="4" w:space="0" w:color="auto"/>
            </w:tcBorders>
          </w:tcPr>
          <w:p w14:paraId="18EF4493" w14:textId="77777777" w:rsidR="00115843" w:rsidRPr="00FD292C" w:rsidRDefault="00115843" w:rsidP="00FB0D02">
            <w:pPr>
              <w:pStyle w:val="TableTextBase"/>
              <w:spacing w:before="0" w:after="0"/>
              <w:rPr>
                <w:sz w:val="16"/>
                <w:szCs w:val="16"/>
              </w:rPr>
            </w:pPr>
            <w:r w:rsidRPr="00FD292C">
              <w:rPr>
                <w:sz w:val="16"/>
                <w:szCs w:val="16"/>
              </w:rPr>
              <w:t>Forward Estimates</w:t>
            </w:r>
            <w:r w:rsidRPr="00FD292C">
              <w:rPr>
                <w:sz w:val="16"/>
                <w:szCs w:val="16"/>
              </w:rPr>
              <w:br/>
              <w:t>2023–26</w:t>
            </w:r>
          </w:p>
        </w:tc>
        <w:tc>
          <w:tcPr>
            <w:tcW w:w="1610" w:type="pct"/>
            <w:tcBorders>
              <w:top w:val="single" w:sz="4" w:space="0" w:color="auto"/>
              <w:left w:val="single" w:sz="4" w:space="0" w:color="auto"/>
              <w:bottom w:val="single" w:sz="4" w:space="0" w:color="auto"/>
              <w:right w:val="single" w:sz="4" w:space="0" w:color="auto"/>
            </w:tcBorders>
          </w:tcPr>
          <w:p w14:paraId="2E266D15" w14:textId="77777777" w:rsidR="00115843" w:rsidRPr="00FD292C" w:rsidRDefault="00115843" w:rsidP="00FB0D02">
            <w:pPr>
              <w:pStyle w:val="TableTextBase"/>
              <w:spacing w:after="0"/>
              <w:rPr>
                <w:rFonts w:eastAsia="Calibri" w:cs="Arial"/>
                <w:sz w:val="16"/>
                <w:szCs w:val="16"/>
              </w:rPr>
            </w:pPr>
            <w:r w:rsidRPr="00FD292C">
              <w:rPr>
                <w:rFonts w:eastAsia="Calibri" w:cs="Arial"/>
                <w:sz w:val="16"/>
                <w:szCs w:val="16"/>
              </w:rPr>
              <w:t>Progress reforms for regulating vehicles and rail that support safety and productivity</w:t>
            </w:r>
          </w:p>
        </w:tc>
        <w:tc>
          <w:tcPr>
            <w:tcW w:w="2518" w:type="pct"/>
            <w:tcBorders>
              <w:top w:val="single" w:sz="4" w:space="0" w:color="auto"/>
              <w:left w:val="single" w:sz="4" w:space="0" w:color="auto"/>
              <w:bottom w:val="single" w:sz="4" w:space="0" w:color="auto"/>
              <w:right w:val="single" w:sz="4" w:space="0" w:color="auto"/>
            </w:tcBorders>
          </w:tcPr>
          <w:p w14:paraId="13338284" w14:textId="77777777" w:rsidR="00115843" w:rsidRPr="00FD292C"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 xml:space="preserve">Advice provided to ministers is timely to support decision making on heavy vehicle and rail productivity and safety matters. </w:t>
            </w:r>
          </w:p>
          <w:p w14:paraId="3A22CB29" w14:textId="77777777" w:rsidR="00115843" w:rsidRPr="00FD292C" w:rsidDel="008E1A6E"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Funding is delivered for relevant programs such as the Heavy Vehicle Safety Initiative, Strategic Local Government Asset Assessment Project and rail programs.</w:t>
            </w:r>
          </w:p>
        </w:tc>
      </w:tr>
      <w:tr w:rsidR="00115843" w:rsidRPr="00E85F43" w:rsidDel="008E1A6E" w14:paraId="6F567EB5" w14:textId="77777777" w:rsidTr="00FB0D02">
        <w:trPr>
          <w:cantSplit/>
          <w:trHeight w:val="642"/>
        </w:trPr>
        <w:tc>
          <w:tcPr>
            <w:tcW w:w="873" w:type="pct"/>
            <w:vMerge/>
            <w:tcBorders>
              <w:left w:val="single" w:sz="4" w:space="0" w:color="auto"/>
              <w:right w:val="single" w:sz="4" w:space="0" w:color="auto"/>
            </w:tcBorders>
          </w:tcPr>
          <w:p w14:paraId="09DD2A89" w14:textId="77777777" w:rsidR="00115843" w:rsidRPr="00FD292C" w:rsidRDefault="00115843" w:rsidP="00FB0D02">
            <w:pPr>
              <w:pStyle w:val="TableTextBase"/>
              <w:spacing w:before="0" w:after="0"/>
              <w:rPr>
                <w:sz w:val="16"/>
                <w:szCs w:val="16"/>
              </w:rPr>
            </w:pPr>
          </w:p>
        </w:tc>
        <w:tc>
          <w:tcPr>
            <w:tcW w:w="1610" w:type="pct"/>
            <w:tcBorders>
              <w:top w:val="single" w:sz="4" w:space="0" w:color="auto"/>
              <w:left w:val="single" w:sz="4" w:space="0" w:color="auto"/>
              <w:bottom w:val="single" w:sz="4" w:space="0" w:color="auto"/>
              <w:right w:val="single" w:sz="4" w:space="0" w:color="auto"/>
            </w:tcBorders>
          </w:tcPr>
          <w:p w14:paraId="04B5918E"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 xml:space="preserve">Progress of reforms to the Disability Standards for Accessible Public Transport </w:t>
            </w:r>
          </w:p>
        </w:tc>
        <w:tc>
          <w:tcPr>
            <w:tcW w:w="2518" w:type="pct"/>
            <w:tcBorders>
              <w:top w:val="single" w:sz="4" w:space="0" w:color="auto"/>
              <w:left w:val="single" w:sz="4" w:space="0" w:color="auto"/>
              <w:bottom w:val="single" w:sz="4" w:space="0" w:color="auto"/>
              <w:right w:val="single" w:sz="4" w:space="0" w:color="auto"/>
            </w:tcBorders>
          </w:tcPr>
          <w:p w14:paraId="449DA883" w14:textId="5815BF7F" w:rsidR="00115843" w:rsidRPr="00FD292C" w:rsidDel="008E1A6E"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Financial year delivery milestones set by ITMM are met</w:t>
            </w:r>
            <w:r w:rsidR="003D45DF">
              <w:rPr>
                <w:rFonts w:ascii="Arial" w:eastAsia="Calibri" w:hAnsi="Arial" w:cs="Arial"/>
                <w:sz w:val="16"/>
                <w:szCs w:val="16"/>
              </w:rPr>
              <w:t>.</w:t>
            </w:r>
          </w:p>
        </w:tc>
      </w:tr>
    </w:tbl>
    <w:p w14:paraId="6447CCC7"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6DDE42EF" w14:textId="77777777" w:rsidTr="00FB0D02">
        <w:trPr>
          <w:trHeight w:val="258"/>
        </w:trPr>
        <w:tc>
          <w:tcPr>
            <w:tcW w:w="873" w:type="pct"/>
            <w:tcBorders>
              <w:top w:val="double" w:sz="4" w:space="0" w:color="auto"/>
              <w:bottom w:val="single" w:sz="4" w:space="0" w:color="auto"/>
              <w:right w:val="single" w:sz="4" w:space="0" w:color="auto"/>
            </w:tcBorders>
          </w:tcPr>
          <w:p w14:paraId="3187E535" w14:textId="77777777" w:rsidR="00115843" w:rsidRPr="00707BCF" w:rsidRDefault="00115843" w:rsidP="00FB0D02">
            <w:pPr>
              <w:pStyle w:val="TableTextBase"/>
              <w:rPr>
                <w:b/>
                <w:sz w:val="16"/>
                <w:szCs w:val="16"/>
              </w:rPr>
            </w:pPr>
            <w:r w:rsidRPr="00707BCF">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4570DFD8"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16484726" w14:textId="77777777" w:rsidR="00115843" w:rsidRPr="00707BCF" w:rsidRDefault="00115843" w:rsidP="00FB0D02">
            <w:pPr>
              <w:pStyle w:val="TableTextBase"/>
              <w:rPr>
                <w:rFonts w:cs="Arial"/>
                <w:b/>
                <w:sz w:val="16"/>
                <w:szCs w:val="16"/>
              </w:rPr>
            </w:pPr>
            <w:r w:rsidRPr="00707BCF">
              <w:rPr>
                <w:b/>
                <w:sz w:val="16"/>
                <w:szCs w:val="16"/>
              </w:rPr>
              <w:t>Planned</w:t>
            </w:r>
            <w:r w:rsidRPr="00707BCF">
              <w:rPr>
                <w:rFonts w:cs="Arial"/>
                <w:b/>
                <w:sz w:val="16"/>
                <w:szCs w:val="16"/>
              </w:rPr>
              <w:t xml:space="preserve"> Performance Results</w:t>
            </w:r>
          </w:p>
        </w:tc>
      </w:tr>
      <w:tr w:rsidR="00115843" w:rsidRPr="00A5765A" w:rsidDel="008E1A6E" w14:paraId="05DEAD42" w14:textId="77777777" w:rsidTr="00FB0D02">
        <w:trPr>
          <w:cantSplit/>
          <w:trHeight w:val="642"/>
        </w:trPr>
        <w:tc>
          <w:tcPr>
            <w:tcW w:w="873" w:type="pct"/>
            <w:vMerge w:val="restart"/>
            <w:tcBorders>
              <w:left w:val="single" w:sz="4" w:space="0" w:color="auto"/>
              <w:right w:val="single" w:sz="4" w:space="0" w:color="auto"/>
            </w:tcBorders>
          </w:tcPr>
          <w:p w14:paraId="02BACBA1" w14:textId="77777777" w:rsidR="00115843" w:rsidRPr="00FD292C" w:rsidRDefault="00115843" w:rsidP="00FB0D02">
            <w:pPr>
              <w:pStyle w:val="TableTextBase"/>
              <w:rPr>
                <w:sz w:val="16"/>
                <w:szCs w:val="16"/>
              </w:rPr>
            </w:pPr>
            <w:r w:rsidRPr="00FD292C">
              <w:rPr>
                <w:sz w:val="16"/>
                <w:szCs w:val="16"/>
              </w:rPr>
              <w:t>Forward Estimates</w:t>
            </w:r>
            <w:r w:rsidRPr="00FD292C">
              <w:rPr>
                <w:sz w:val="16"/>
                <w:szCs w:val="16"/>
              </w:rPr>
              <w:br/>
              <w:t>2023–26 cont.</w:t>
            </w:r>
          </w:p>
        </w:tc>
        <w:tc>
          <w:tcPr>
            <w:tcW w:w="1746" w:type="pct"/>
            <w:tcBorders>
              <w:top w:val="single" w:sz="4" w:space="0" w:color="auto"/>
              <w:left w:val="single" w:sz="4" w:space="0" w:color="auto"/>
              <w:bottom w:val="single" w:sz="4" w:space="0" w:color="auto"/>
              <w:right w:val="single" w:sz="4" w:space="0" w:color="auto"/>
            </w:tcBorders>
          </w:tcPr>
          <w:p w14:paraId="53229C41"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Develop policy and regulatory advice, including supporting of trials and research, to support progress towards the safe, legal and nationally consistent introduction and uptake of Connected and Automated Vehicles (CAV) in Australia</w:t>
            </w:r>
          </w:p>
        </w:tc>
        <w:tc>
          <w:tcPr>
            <w:tcW w:w="2381" w:type="pct"/>
            <w:tcBorders>
              <w:top w:val="single" w:sz="4" w:space="0" w:color="auto"/>
              <w:left w:val="single" w:sz="4" w:space="0" w:color="auto"/>
              <w:bottom w:val="single" w:sz="4" w:space="0" w:color="auto"/>
              <w:right w:val="single" w:sz="4" w:space="0" w:color="auto"/>
            </w:tcBorders>
          </w:tcPr>
          <w:p w14:paraId="71D14F5E" w14:textId="46FE0753" w:rsidR="00115843" w:rsidRPr="00FD292C" w:rsidDel="008E1A6E" w:rsidRDefault="00115843" w:rsidP="00FB0D02">
            <w:pPr>
              <w:spacing w:before="60" w:after="60" w:line="240" w:lineRule="auto"/>
              <w:ind w:right="-11"/>
              <w:rPr>
                <w:rFonts w:ascii="Arial" w:eastAsia="Calibri" w:hAnsi="Arial" w:cs="Arial"/>
                <w:sz w:val="16"/>
                <w:szCs w:val="16"/>
              </w:rPr>
            </w:pPr>
            <w:r w:rsidRPr="00FD292C">
              <w:rPr>
                <w:rFonts w:ascii="Arial" w:eastAsia="Calibri" w:hAnsi="Arial" w:cs="Arial"/>
                <w:sz w:val="16"/>
                <w:szCs w:val="16"/>
              </w:rPr>
              <w:t>Drafting instructions for a national Automated Vehicle Safety Law (AVSL) to be implemented through Commonwealth law are complete, the national AVSL is introduced, and a national regulator is established, consistent with the roadmap for implementing a national safety framework for automated vehicles agreed by Infrastructure and Transport Ministers</w:t>
            </w:r>
            <w:r w:rsidR="00A50FE9">
              <w:rPr>
                <w:rFonts w:ascii="Arial" w:eastAsia="Calibri" w:hAnsi="Arial" w:cs="Arial"/>
                <w:sz w:val="16"/>
                <w:szCs w:val="16"/>
              </w:rPr>
              <w:t>.</w:t>
            </w:r>
          </w:p>
        </w:tc>
      </w:tr>
      <w:tr w:rsidR="00115843" w14:paraId="4A8A581D" w14:textId="77777777" w:rsidTr="00FB0D02">
        <w:trPr>
          <w:cantSplit/>
          <w:trHeight w:val="1656"/>
        </w:trPr>
        <w:tc>
          <w:tcPr>
            <w:tcW w:w="873" w:type="pct"/>
            <w:vMerge/>
            <w:tcBorders>
              <w:left w:val="single" w:sz="4" w:space="0" w:color="auto"/>
              <w:right w:val="single" w:sz="4" w:space="0" w:color="auto"/>
            </w:tcBorders>
          </w:tcPr>
          <w:p w14:paraId="4AA963DD"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5F68F98A"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Performance of Tasmanian shipping programs, indicated through number of:</w:t>
            </w:r>
          </w:p>
          <w:p w14:paraId="5939FE52" w14:textId="77777777" w:rsidR="00115843" w:rsidRPr="00FD292C" w:rsidRDefault="00115843" w:rsidP="00115843">
            <w:pPr>
              <w:numPr>
                <w:ilvl w:val="0"/>
                <w:numId w:val="189"/>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claims paid (Tasmanian Freight Equalisation Scheme)</w:t>
            </w:r>
          </w:p>
          <w:p w14:paraId="20DE6BCE" w14:textId="77777777" w:rsidR="00115843" w:rsidRPr="00FD292C" w:rsidRDefault="00115843" w:rsidP="00115843">
            <w:pPr>
              <w:numPr>
                <w:ilvl w:val="0"/>
                <w:numId w:val="189"/>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 xml:space="preserve">rebates provided (Bass Strait Passenger Vehicle Equalisation Scheme) </w:t>
            </w:r>
          </w:p>
        </w:tc>
        <w:tc>
          <w:tcPr>
            <w:tcW w:w="2381" w:type="pct"/>
            <w:tcBorders>
              <w:top w:val="single" w:sz="4" w:space="0" w:color="auto"/>
              <w:left w:val="single" w:sz="4" w:space="0" w:color="auto"/>
              <w:bottom w:val="single" w:sz="4" w:space="0" w:color="auto"/>
              <w:right w:val="single" w:sz="4" w:space="0" w:color="auto"/>
            </w:tcBorders>
          </w:tcPr>
          <w:p w14:paraId="0FDA736A" w14:textId="3ED52452" w:rsidR="00115843" w:rsidRPr="00FD292C" w:rsidDel="008E1A6E" w:rsidRDefault="00115843" w:rsidP="00FB0D02">
            <w:pPr>
              <w:spacing w:before="60" w:after="60"/>
              <w:ind w:right="-11"/>
              <w:rPr>
                <w:rFonts w:ascii="Arial" w:eastAsia="Calibri" w:hAnsi="Arial" w:cs="Arial"/>
                <w:sz w:val="16"/>
                <w:szCs w:val="16"/>
              </w:rPr>
            </w:pPr>
            <w:r w:rsidRPr="00FD292C">
              <w:rPr>
                <w:rFonts w:ascii="Arial" w:eastAsia="Calibri" w:hAnsi="Arial" w:cs="Arial"/>
                <w:sz w:val="16"/>
                <w:szCs w:val="16"/>
              </w:rPr>
              <w:t>Programs are demand-driven</w:t>
            </w:r>
            <w:r w:rsidR="00A50FE9">
              <w:rPr>
                <w:rFonts w:ascii="Arial" w:eastAsia="Calibri" w:hAnsi="Arial" w:cs="Arial"/>
                <w:sz w:val="16"/>
                <w:szCs w:val="16"/>
              </w:rPr>
              <w:t>.</w:t>
            </w:r>
          </w:p>
        </w:tc>
      </w:tr>
      <w:tr w:rsidR="00115843" w14:paraId="355CED73" w14:textId="77777777" w:rsidTr="00FB0D02">
        <w:trPr>
          <w:cantSplit/>
          <w:trHeight w:val="642"/>
        </w:trPr>
        <w:tc>
          <w:tcPr>
            <w:tcW w:w="873" w:type="pct"/>
            <w:vMerge/>
            <w:tcBorders>
              <w:left w:val="single" w:sz="4" w:space="0" w:color="auto"/>
              <w:right w:val="single" w:sz="4" w:space="0" w:color="auto"/>
            </w:tcBorders>
          </w:tcPr>
          <w:p w14:paraId="386329A0"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F40B7D7" w14:textId="77777777" w:rsidR="00115843" w:rsidRPr="00FD292C" w:rsidRDefault="00115843" w:rsidP="00FB0D02">
            <w:pPr>
              <w:pStyle w:val="TableTextBase"/>
              <w:rPr>
                <w:rFonts w:eastAsia="Calibri" w:cs="Arial"/>
                <w:i/>
                <w:sz w:val="16"/>
                <w:szCs w:val="16"/>
                <w:highlight w:val="green"/>
                <w:lang w:eastAsia="en-US"/>
              </w:rPr>
            </w:pPr>
            <w:r w:rsidRPr="00FD292C">
              <w:rPr>
                <w:rFonts w:eastAsia="Calibri" w:cs="Arial"/>
                <w:sz w:val="16"/>
                <w:szCs w:val="16"/>
                <w:lang w:eastAsia="en-US"/>
              </w:rPr>
              <w:t>Progress implementing the National Freight and Supply Chain Strategy for the next 20 years and beyond to 2040</w:t>
            </w:r>
          </w:p>
        </w:tc>
        <w:tc>
          <w:tcPr>
            <w:tcW w:w="2381" w:type="pct"/>
            <w:tcBorders>
              <w:top w:val="single" w:sz="4" w:space="0" w:color="auto"/>
              <w:left w:val="single" w:sz="4" w:space="0" w:color="auto"/>
              <w:bottom w:val="single" w:sz="4" w:space="0" w:color="auto"/>
            </w:tcBorders>
          </w:tcPr>
          <w:p w14:paraId="00D98F59" w14:textId="18DDE312" w:rsidR="00115843" w:rsidRPr="00FD292C" w:rsidDel="008E1A6E" w:rsidRDefault="00115843" w:rsidP="00FB0D02">
            <w:pPr>
              <w:pStyle w:val="TableTextBase"/>
              <w:rPr>
                <w:rFonts w:eastAsia="Calibri" w:cs="Arial"/>
                <w:b/>
                <w:sz w:val="16"/>
                <w:szCs w:val="16"/>
                <w:lang w:eastAsia="en-US"/>
              </w:rPr>
            </w:pPr>
            <w:r w:rsidRPr="00FD292C">
              <w:rPr>
                <w:rFonts w:eastAsia="Calibri" w:cs="Arial"/>
                <w:sz w:val="16"/>
                <w:szCs w:val="16"/>
                <w:lang w:eastAsia="en-US"/>
              </w:rPr>
              <w:t>Delivery milestones specified in the National Freight and Supply Chain Strategy are met for the financial year, and a 5 year review of the Strategy and Action Plan is completed</w:t>
            </w:r>
            <w:r w:rsidR="00A50FE9">
              <w:rPr>
                <w:rFonts w:eastAsia="Calibri" w:cs="Arial"/>
                <w:sz w:val="16"/>
                <w:szCs w:val="16"/>
                <w:lang w:eastAsia="en-US"/>
              </w:rPr>
              <w:t>.</w:t>
            </w:r>
          </w:p>
        </w:tc>
      </w:tr>
      <w:tr w:rsidR="00115843" w14:paraId="33CE6E7F" w14:textId="77777777" w:rsidTr="00FB0D02">
        <w:trPr>
          <w:cantSplit/>
          <w:trHeight w:val="642"/>
        </w:trPr>
        <w:tc>
          <w:tcPr>
            <w:tcW w:w="873" w:type="pct"/>
            <w:vMerge/>
            <w:tcBorders>
              <w:left w:val="single" w:sz="4" w:space="0" w:color="auto"/>
              <w:right w:val="single" w:sz="4" w:space="0" w:color="auto"/>
            </w:tcBorders>
          </w:tcPr>
          <w:p w14:paraId="490E1D62"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D8A1E51" w14:textId="77777777" w:rsidR="00115843" w:rsidRPr="00FD292C" w:rsidRDefault="00115843" w:rsidP="00FB0D02">
            <w:pPr>
              <w:pStyle w:val="TableTextBase"/>
              <w:rPr>
                <w:rFonts w:eastAsia="Calibri" w:cs="Arial"/>
                <w:i/>
                <w:sz w:val="16"/>
                <w:szCs w:val="16"/>
                <w:highlight w:val="green"/>
                <w:lang w:eastAsia="en-US"/>
              </w:rPr>
            </w:pPr>
            <w:r w:rsidRPr="00FD292C">
              <w:rPr>
                <w:rFonts w:eastAsia="Calibri" w:cs="Arial"/>
                <w:i/>
                <w:iCs/>
                <w:sz w:val="16"/>
                <w:szCs w:val="16"/>
                <w:lang w:eastAsia="en-US"/>
              </w:rPr>
              <w:t>Provide policy advice on reducing CO</w:t>
            </w:r>
            <w:r w:rsidRPr="00FD292C">
              <w:rPr>
                <w:rFonts w:eastAsia="Calibri" w:cs="Arial"/>
                <w:i/>
                <w:iCs/>
                <w:sz w:val="16"/>
                <w:szCs w:val="16"/>
                <w:vertAlign w:val="subscript"/>
                <w:lang w:eastAsia="en-US"/>
              </w:rPr>
              <w:t>2</w:t>
            </w:r>
            <w:r w:rsidRPr="00FD292C">
              <w:rPr>
                <w:rFonts w:eastAsia="Calibri" w:cs="Arial"/>
                <w:i/>
                <w:iCs/>
                <w:sz w:val="16"/>
                <w:szCs w:val="16"/>
                <w:lang w:eastAsia="en-US"/>
              </w:rPr>
              <w:t xml:space="preserve"> emissions consistent with Government commitments for the transport sector </w:t>
            </w:r>
            <w:r w:rsidRPr="00FD292C">
              <w:rPr>
                <w:rFonts w:eastAsia="Calibri" w:cs="Arial"/>
                <w:i/>
                <w:iCs/>
                <w:sz w:val="16"/>
                <w:szCs w:val="16"/>
                <w:vertAlign w:val="superscript"/>
                <w:lang w:eastAsia="en-US"/>
              </w:rPr>
              <w:t>(d)</w:t>
            </w:r>
          </w:p>
        </w:tc>
        <w:tc>
          <w:tcPr>
            <w:tcW w:w="2381" w:type="pct"/>
            <w:tcBorders>
              <w:top w:val="single" w:sz="4" w:space="0" w:color="auto"/>
              <w:left w:val="single" w:sz="4" w:space="0" w:color="auto"/>
              <w:bottom w:val="single" w:sz="4" w:space="0" w:color="auto"/>
            </w:tcBorders>
          </w:tcPr>
          <w:p w14:paraId="76B9E62F" w14:textId="1A6BF5CA" w:rsidR="00115843" w:rsidRPr="00FD292C" w:rsidRDefault="00115843" w:rsidP="00FB0D02">
            <w:pPr>
              <w:pStyle w:val="TableTextBase"/>
              <w:rPr>
                <w:sz w:val="16"/>
                <w:szCs w:val="16"/>
              </w:rPr>
            </w:pPr>
            <w:r w:rsidRPr="00FD292C">
              <w:rPr>
                <w:sz w:val="16"/>
                <w:szCs w:val="16"/>
              </w:rPr>
              <w:t>Implement a Net Zero Unit within the Department to provide Whole-of-Government high quality, timely and evidence-based policy advice on responding to climate change in transport, communications and infrastructure</w:t>
            </w:r>
            <w:r w:rsidR="00A50FE9">
              <w:rPr>
                <w:sz w:val="16"/>
                <w:szCs w:val="16"/>
              </w:rPr>
              <w:t>.</w:t>
            </w:r>
          </w:p>
          <w:p w14:paraId="54C09455" w14:textId="0DB153B5" w:rsidR="00115843" w:rsidRPr="00FD292C" w:rsidRDefault="00115843" w:rsidP="00FB0D02">
            <w:pPr>
              <w:pStyle w:val="TableTextBase"/>
              <w:rPr>
                <w:sz w:val="16"/>
                <w:szCs w:val="16"/>
              </w:rPr>
            </w:pPr>
            <w:r w:rsidRPr="00FD292C">
              <w:rPr>
                <w:sz w:val="16"/>
                <w:szCs w:val="16"/>
              </w:rPr>
              <w:t>Actively participate in relevant international standards setting fora on emissions reduction</w:t>
            </w:r>
            <w:r w:rsidR="00A50FE9">
              <w:rPr>
                <w:sz w:val="16"/>
                <w:szCs w:val="16"/>
              </w:rPr>
              <w:t>.</w:t>
            </w:r>
          </w:p>
          <w:p w14:paraId="7B075312" w14:textId="0B8F9871" w:rsidR="00115843" w:rsidRPr="00FD292C" w:rsidRDefault="00115843" w:rsidP="00FB0D02">
            <w:pPr>
              <w:pStyle w:val="TableTextBase"/>
              <w:rPr>
                <w:sz w:val="16"/>
                <w:szCs w:val="16"/>
              </w:rPr>
            </w:pPr>
            <w:r w:rsidRPr="00FD292C">
              <w:rPr>
                <w:sz w:val="16"/>
                <w:szCs w:val="16"/>
              </w:rPr>
              <w:t>Progress Australia’s engagement in maritime decarbonisation activities under the Clydebank Declaration, Quad Green Shipping Taskforce and low emission technology initiative with Singapore</w:t>
            </w:r>
            <w:r w:rsidR="00A50FE9">
              <w:rPr>
                <w:sz w:val="16"/>
                <w:szCs w:val="16"/>
              </w:rPr>
              <w:t>.</w:t>
            </w:r>
          </w:p>
          <w:p w14:paraId="630AE3B4" w14:textId="6BD91402" w:rsidR="00115843" w:rsidRPr="00FD292C" w:rsidDel="008E1A6E" w:rsidRDefault="00115843" w:rsidP="00FB0D02">
            <w:pPr>
              <w:pStyle w:val="TableTextBase"/>
              <w:rPr>
                <w:rFonts w:eastAsia="Calibri" w:cs="Arial"/>
                <w:b/>
                <w:sz w:val="16"/>
                <w:szCs w:val="16"/>
                <w:lang w:eastAsia="en-US"/>
              </w:rPr>
            </w:pPr>
            <w:r w:rsidRPr="00FD292C">
              <w:rPr>
                <w:sz w:val="16"/>
                <w:szCs w:val="16"/>
              </w:rPr>
              <w:t>Update the Green Vehicle Guide to improve information on electric vehicles and charging infrastructure</w:t>
            </w:r>
            <w:r w:rsidR="00A50FE9">
              <w:rPr>
                <w:sz w:val="16"/>
                <w:szCs w:val="16"/>
              </w:rPr>
              <w:t>.</w:t>
            </w:r>
          </w:p>
        </w:tc>
      </w:tr>
      <w:tr w:rsidR="00115843" w14:paraId="6093D475" w14:textId="77777777" w:rsidTr="00FB0D02">
        <w:trPr>
          <w:cantSplit/>
          <w:trHeight w:val="642"/>
        </w:trPr>
        <w:tc>
          <w:tcPr>
            <w:tcW w:w="873" w:type="pct"/>
            <w:vMerge/>
            <w:tcBorders>
              <w:left w:val="single" w:sz="4" w:space="0" w:color="auto"/>
              <w:bottom w:val="single" w:sz="4" w:space="0" w:color="auto"/>
              <w:right w:val="single" w:sz="4" w:space="0" w:color="auto"/>
            </w:tcBorders>
          </w:tcPr>
          <w:p w14:paraId="1171CC84"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55BF9747" w14:textId="77777777" w:rsidR="00115843" w:rsidRPr="00FD292C" w:rsidRDefault="00115843" w:rsidP="00FB0D02">
            <w:pPr>
              <w:pStyle w:val="TableTextBase"/>
              <w:rPr>
                <w:rFonts w:eastAsia="Calibri" w:cs="Arial"/>
                <w:i/>
                <w:sz w:val="16"/>
                <w:szCs w:val="16"/>
                <w:lang w:eastAsia="en-US"/>
              </w:rPr>
            </w:pPr>
            <w:r w:rsidRPr="00FD292C">
              <w:rPr>
                <w:rFonts w:eastAsia="Calibri" w:cs="Arial"/>
                <w:i/>
                <w:sz w:val="16"/>
                <w:szCs w:val="16"/>
                <w:lang w:eastAsia="en-US"/>
              </w:rPr>
              <w:t>Provide policy advice supporting maritime safety</w:t>
            </w:r>
          </w:p>
        </w:tc>
        <w:tc>
          <w:tcPr>
            <w:tcW w:w="2381" w:type="pct"/>
            <w:tcBorders>
              <w:top w:val="single" w:sz="4" w:space="0" w:color="auto"/>
              <w:left w:val="single" w:sz="4" w:space="0" w:color="auto"/>
              <w:bottom w:val="single" w:sz="4" w:space="0" w:color="auto"/>
            </w:tcBorders>
          </w:tcPr>
          <w:p w14:paraId="321B68E5" w14:textId="0B81D775" w:rsidR="00115843" w:rsidRPr="00FD292C" w:rsidDel="008E1A6E" w:rsidRDefault="00115843" w:rsidP="00FB0D02">
            <w:pPr>
              <w:pStyle w:val="TableTextBase"/>
              <w:rPr>
                <w:rFonts w:eastAsia="Calibri" w:cs="Arial"/>
                <w:b/>
                <w:sz w:val="16"/>
                <w:szCs w:val="16"/>
                <w:lang w:eastAsia="en-US"/>
              </w:rPr>
            </w:pPr>
            <w:r w:rsidRPr="00FD292C">
              <w:rPr>
                <w:sz w:val="16"/>
                <w:szCs w:val="16"/>
              </w:rPr>
              <w:t>Policy advice is high-quality, timely and evidence-based to support decision making on the Review of Domestic Commercial Vessels Safety Legislation and Costs and Charging Arrangements</w:t>
            </w:r>
            <w:r w:rsidR="00A50FE9">
              <w:rPr>
                <w:sz w:val="16"/>
                <w:szCs w:val="16"/>
              </w:rPr>
              <w:t>.</w:t>
            </w:r>
          </w:p>
        </w:tc>
      </w:tr>
    </w:tbl>
    <w:p w14:paraId="224A8058" w14:textId="77777777" w:rsidR="00115843" w:rsidRPr="003D46F4" w:rsidRDefault="00115843" w:rsidP="00115843">
      <w:pPr>
        <w:spacing w:before="60" w:after="0"/>
        <w:rPr>
          <w:rFonts w:ascii="Arial" w:hAnsi="Arial" w:cs="Arial"/>
          <w:sz w:val="16"/>
        </w:rPr>
      </w:pPr>
      <w:r w:rsidRPr="0016575D">
        <w:rPr>
          <w:rFonts w:ascii="Arial" w:hAnsi="Arial" w:cs="Arial"/>
          <w:sz w:val="16"/>
        </w:rPr>
        <w:t xml:space="preserve">New or modified performance measures that reflect new or materially changed programs are shown in </w:t>
      </w:r>
      <w:r w:rsidRPr="008D55A3">
        <w:rPr>
          <w:rFonts w:ascii="Arial" w:hAnsi="Arial" w:cs="Arial"/>
          <w:i/>
          <w:sz w:val="16"/>
        </w:rPr>
        <w:t>i</w:t>
      </w:r>
      <w:r w:rsidRPr="0016575D">
        <w:rPr>
          <w:rFonts w:ascii="Arial" w:hAnsi="Arial" w:cs="Arial"/>
          <w:i/>
          <w:sz w:val="16"/>
        </w:rPr>
        <w:t>talics.</w:t>
      </w:r>
      <w:r w:rsidRPr="0016575D">
        <w:rPr>
          <w:rFonts w:ascii="Arial" w:hAnsi="Arial" w:cs="Arial"/>
          <w:sz w:val="16"/>
        </w:rPr>
        <w:t xml:space="preserve"> </w:t>
      </w:r>
    </w:p>
    <w:p w14:paraId="1F2A82C4" w14:textId="1A163F44" w:rsidR="00115843" w:rsidRPr="002B334F" w:rsidRDefault="00115843" w:rsidP="00115843">
      <w:pPr>
        <w:pStyle w:val="ListParagraph"/>
        <w:numPr>
          <w:ilvl w:val="0"/>
          <w:numId w:val="260"/>
        </w:numPr>
        <w:spacing w:after="0" w:line="259" w:lineRule="auto"/>
        <w:rPr>
          <w:rFonts w:ascii="Arial" w:hAnsi="Arial" w:cs="Arial"/>
          <w:sz w:val="16"/>
          <w:szCs w:val="16"/>
        </w:rPr>
      </w:pPr>
      <w:r w:rsidRPr="002B334F">
        <w:rPr>
          <w:rFonts w:ascii="Arial" w:hAnsi="Arial" w:cs="Arial"/>
          <w:sz w:val="16"/>
          <w:szCs w:val="16"/>
        </w:rPr>
        <w:t>New key activity that is reflected in the 2022–23 Corporate Plan</w:t>
      </w:r>
      <w:r w:rsidR="00D7504F">
        <w:rPr>
          <w:rFonts w:ascii="Arial" w:hAnsi="Arial" w:cs="Arial"/>
          <w:sz w:val="16"/>
          <w:szCs w:val="16"/>
        </w:rPr>
        <w:t>.</w:t>
      </w:r>
    </w:p>
    <w:p w14:paraId="3CE76807" w14:textId="4F185E87" w:rsidR="00115843" w:rsidRPr="002B334F" w:rsidRDefault="00115843" w:rsidP="00115843">
      <w:pPr>
        <w:pStyle w:val="ListParagraph"/>
        <w:numPr>
          <w:ilvl w:val="0"/>
          <w:numId w:val="260"/>
        </w:numPr>
        <w:spacing w:after="0" w:line="259" w:lineRule="auto"/>
        <w:rPr>
          <w:rFonts w:ascii="Arial" w:hAnsi="Arial" w:cs="Arial"/>
          <w:sz w:val="16"/>
          <w:szCs w:val="16"/>
        </w:rPr>
      </w:pPr>
      <w:r w:rsidRPr="002B334F">
        <w:rPr>
          <w:rFonts w:ascii="Arial" w:hAnsi="Arial" w:cs="Arial"/>
          <w:sz w:val="16"/>
          <w:szCs w:val="16"/>
        </w:rPr>
        <w:t>Refers to updated key activity that is reflected in the 2022–23 Corporate Plan</w:t>
      </w:r>
      <w:r w:rsidR="00D7504F">
        <w:rPr>
          <w:rFonts w:ascii="Arial" w:hAnsi="Arial" w:cs="Arial"/>
          <w:sz w:val="16"/>
          <w:szCs w:val="16"/>
        </w:rPr>
        <w:t>.</w:t>
      </w:r>
    </w:p>
    <w:p w14:paraId="148EB1AF" w14:textId="2BE33406" w:rsidR="00115843" w:rsidRPr="002B334F" w:rsidRDefault="00115843" w:rsidP="00115843">
      <w:pPr>
        <w:pStyle w:val="ListParagraph"/>
        <w:numPr>
          <w:ilvl w:val="0"/>
          <w:numId w:val="260"/>
        </w:numPr>
        <w:spacing w:after="0" w:line="259" w:lineRule="auto"/>
        <w:rPr>
          <w:rFonts w:ascii="Arial" w:hAnsi="Arial" w:cs="Arial"/>
          <w:sz w:val="16"/>
          <w:szCs w:val="16"/>
        </w:rPr>
      </w:pPr>
      <w:r w:rsidRPr="002B334F">
        <w:rPr>
          <w:rFonts w:ascii="Arial" w:hAnsi="Arial" w:cs="Arial"/>
          <w:sz w:val="16"/>
          <w:szCs w:val="16"/>
        </w:rPr>
        <w:t>Final reporting period for this measure. Further details are included in the 2022–23 Corporate Plan</w:t>
      </w:r>
      <w:r w:rsidR="00D7504F">
        <w:rPr>
          <w:rFonts w:ascii="Arial" w:hAnsi="Arial" w:cs="Arial"/>
          <w:sz w:val="16"/>
          <w:szCs w:val="16"/>
        </w:rPr>
        <w:t>.</w:t>
      </w:r>
    </w:p>
    <w:p w14:paraId="41433195" w14:textId="77777777" w:rsidR="00115843" w:rsidRPr="002B334F" w:rsidRDefault="00115843" w:rsidP="00115843">
      <w:pPr>
        <w:pStyle w:val="ListParagraph"/>
        <w:numPr>
          <w:ilvl w:val="0"/>
          <w:numId w:val="260"/>
        </w:numPr>
        <w:spacing w:after="0" w:line="259" w:lineRule="auto"/>
        <w:rPr>
          <w:rFonts w:ascii="Arial" w:hAnsi="Arial" w:cs="Arial"/>
          <w:sz w:val="16"/>
          <w:szCs w:val="16"/>
        </w:rPr>
      </w:pPr>
      <w:r w:rsidRPr="002B334F">
        <w:rPr>
          <w:rFonts w:ascii="Arial" w:hAnsi="Arial" w:cs="Arial"/>
          <w:sz w:val="16"/>
          <w:szCs w:val="16"/>
        </w:rPr>
        <w:t>This 2022–23 measure combines three 2021–22 measures.</w:t>
      </w:r>
    </w:p>
    <w:p w14:paraId="1916FC70" w14:textId="77777777" w:rsidR="00115843" w:rsidRDefault="00115843" w:rsidP="00115843">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C71FCE" w14:paraId="73ECB69C" w14:textId="77777777" w:rsidTr="002F3AAF">
        <w:trPr>
          <w:trHeight w:val="522"/>
          <w:tblHeader/>
        </w:trPr>
        <w:tc>
          <w:tcPr>
            <w:tcW w:w="5000" w:type="pct"/>
            <w:gridSpan w:val="3"/>
            <w:tcBorders>
              <w:bottom w:val="single" w:sz="4" w:space="0" w:color="auto"/>
            </w:tcBorders>
            <w:shd w:val="clear" w:color="auto" w:fill="E6E6E6"/>
          </w:tcPr>
          <w:p w14:paraId="21DF1EF2" w14:textId="77777777" w:rsidR="00115843" w:rsidRPr="00C71FCE" w:rsidRDefault="00115843" w:rsidP="00FB0D02">
            <w:pPr>
              <w:spacing w:before="60" w:after="120" w:line="240" w:lineRule="auto"/>
              <w:rPr>
                <w:rFonts w:ascii="Arial" w:eastAsia="Calibri" w:hAnsi="Arial" w:cs="Arial"/>
                <w:sz w:val="18"/>
                <w:szCs w:val="16"/>
                <w:lang w:eastAsia="en-US"/>
              </w:rPr>
            </w:pPr>
            <w:r w:rsidRPr="00C71FCE">
              <w:rPr>
                <w:rFonts w:ascii="Arial" w:eastAsia="Calibri" w:hAnsi="Arial" w:cs="Arial"/>
                <w:b/>
                <w:sz w:val="18"/>
                <w:szCs w:val="16"/>
                <w:lang w:eastAsia="en-US"/>
              </w:rPr>
              <w:lastRenderedPageBreak/>
              <w:t>Program 2.2 – Road Safety</w:t>
            </w:r>
          </w:p>
          <w:p w14:paraId="07B2DD9E" w14:textId="77777777" w:rsidR="00115843" w:rsidRPr="00C71FCE" w:rsidRDefault="00115843" w:rsidP="00FB0D02">
            <w:pPr>
              <w:spacing w:before="60" w:after="60" w:line="240" w:lineRule="auto"/>
              <w:rPr>
                <w:rFonts w:ascii="Arial" w:hAnsi="Arial" w:cs="Arial"/>
                <w:sz w:val="18"/>
                <w:szCs w:val="16"/>
                <w:highlight w:val="yellow"/>
              </w:rPr>
            </w:pPr>
            <w:r w:rsidRPr="00C71FCE">
              <w:rPr>
                <w:rFonts w:ascii="Arial" w:eastAsia="Calibri" w:hAnsi="Arial" w:cs="Arial"/>
                <w:sz w:val="18"/>
                <w:szCs w:val="16"/>
                <w:lang w:eastAsia="en-US"/>
              </w:rPr>
              <w:t>The road safety program makes travel safer through coordinating a national strategic approach to improving road safety and working to make vehicles safer for all road users.</w:t>
            </w:r>
          </w:p>
        </w:tc>
      </w:tr>
      <w:tr w:rsidR="00115843" w:rsidRPr="00927EDB" w14:paraId="0FB32375" w14:textId="77777777" w:rsidTr="00FB0D02">
        <w:trPr>
          <w:trHeight w:val="174"/>
        </w:trPr>
        <w:tc>
          <w:tcPr>
            <w:tcW w:w="1010" w:type="pct"/>
            <w:tcBorders>
              <w:bottom w:val="double" w:sz="4" w:space="0" w:color="auto"/>
            </w:tcBorders>
          </w:tcPr>
          <w:p w14:paraId="5B26720F" w14:textId="77777777" w:rsidR="00115843" w:rsidRPr="0053211D" w:rsidRDefault="00115843" w:rsidP="00FB0D02">
            <w:pPr>
              <w:tabs>
                <w:tab w:val="left" w:pos="709"/>
              </w:tabs>
              <w:spacing w:before="60" w:after="60" w:line="259" w:lineRule="auto"/>
              <w:rPr>
                <w:rFonts w:ascii="Arial" w:eastAsiaTheme="minorHAnsi" w:hAnsi="Arial" w:cs="Arial"/>
                <w:b/>
                <w:sz w:val="16"/>
                <w:szCs w:val="16"/>
                <w:lang w:eastAsia="en-US"/>
              </w:rPr>
            </w:pPr>
            <w:r w:rsidRPr="0053211D">
              <w:rPr>
                <w:rFonts w:ascii="Arial" w:eastAsia="Calibri" w:hAnsi="Arial" w:cs="Arial"/>
                <w:b/>
                <w:sz w:val="16"/>
                <w:szCs w:val="16"/>
                <w:lang w:eastAsia="en-US"/>
              </w:rPr>
              <w:t>Key Activities</w:t>
            </w:r>
          </w:p>
        </w:tc>
        <w:tc>
          <w:tcPr>
            <w:tcW w:w="3990" w:type="pct"/>
            <w:gridSpan w:val="2"/>
            <w:tcBorders>
              <w:bottom w:val="double" w:sz="4" w:space="0" w:color="auto"/>
            </w:tcBorders>
          </w:tcPr>
          <w:p w14:paraId="6CF29F29" w14:textId="77777777" w:rsidR="00115843" w:rsidRPr="0053211D" w:rsidRDefault="00115843" w:rsidP="00115843">
            <w:pPr>
              <w:numPr>
                <w:ilvl w:val="0"/>
                <w:numId w:val="13"/>
              </w:numPr>
              <w:spacing w:before="60" w:after="60" w:line="240" w:lineRule="auto"/>
              <w:ind w:left="321"/>
              <w:rPr>
                <w:rFonts w:ascii="Arial" w:eastAsia="Calibri" w:hAnsi="Arial" w:cs="Arial"/>
                <w:sz w:val="16"/>
                <w:szCs w:val="16"/>
                <w:lang w:eastAsia="en-US"/>
              </w:rPr>
            </w:pPr>
            <w:r w:rsidRPr="0053211D">
              <w:rPr>
                <w:rFonts w:ascii="Arial" w:eastAsia="Calibri" w:hAnsi="Arial" w:cs="Arial"/>
                <w:sz w:val="16"/>
                <w:szCs w:val="16"/>
                <w:lang w:eastAsia="en-US"/>
              </w:rPr>
              <w:t>Advise on and deliver better road safety as well as vehicle and rail regulation</w:t>
            </w:r>
          </w:p>
          <w:p w14:paraId="32D0CF72" w14:textId="77777777" w:rsidR="00115843" w:rsidRPr="0053211D" w:rsidRDefault="00115843" w:rsidP="00115843">
            <w:pPr>
              <w:numPr>
                <w:ilvl w:val="0"/>
                <w:numId w:val="13"/>
              </w:numPr>
              <w:spacing w:before="60" w:after="60" w:line="240" w:lineRule="auto"/>
              <w:ind w:left="321"/>
              <w:rPr>
                <w:rFonts w:ascii="Arial" w:eastAsia="Calibri" w:hAnsi="Arial" w:cs="Arial"/>
                <w:sz w:val="16"/>
                <w:szCs w:val="16"/>
                <w:lang w:eastAsia="en-US"/>
              </w:rPr>
            </w:pPr>
            <w:r w:rsidRPr="0053211D">
              <w:rPr>
                <w:rFonts w:ascii="Arial" w:eastAsia="Calibri" w:hAnsi="Arial" w:cs="Arial"/>
                <w:sz w:val="16"/>
                <w:szCs w:val="16"/>
                <w:lang w:eastAsia="en-US"/>
              </w:rPr>
              <w:t>Regulate the supply of all road vehicles to the Australian market</w:t>
            </w:r>
            <w:r w:rsidRPr="0053211D">
              <w:rPr>
                <w:rFonts w:ascii="Arial" w:eastAsia="Calibri" w:hAnsi="Arial" w:cs="Arial"/>
                <w:b/>
                <w:sz w:val="16"/>
                <w:szCs w:val="16"/>
                <w:lang w:eastAsia="en-US"/>
              </w:rPr>
              <w:t xml:space="preserve"> </w:t>
            </w:r>
            <w:r w:rsidRPr="0053211D">
              <w:rPr>
                <w:rFonts w:ascii="Arial" w:eastAsia="Calibri" w:hAnsi="Arial" w:cs="Arial"/>
                <w:b/>
                <w:sz w:val="16"/>
                <w:szCs w:val="16"/>
                <w:vertAlign w:val="superscript"/>
                <w:lang w:eastAsia="en-US"/>
              </w:rPr>
              <w:t>(a)</w:t>
            </w:r>
          </w:p>
        </w:tc>
      </w:tr>
      <w:tr w:rsidR="00115843" w:rsidRPr="005C11A1" w14:paraId="6F08E2AA" w14:textId="77777777" w:rsidTr="00FB0D02">
        <w:trPr>
          <w:trHeight w:val="258"/>
        </w:trPr>
        <w:tc>
          <w:tcPr>
            <w:tcW w:w="1010" w:type="pct"/>
            <w:tcBorders>
              <w:top w:val="double" w:sz="4" w:space="0" w:color="auto"/>
              <w:bottom w:val="single" w:sz="4" w:space="0" w:color="auto"/>
              <w:right w:val="single" w:sz="4" w:space="0" w:color="auto"/>
            </w:tcBorders>
          </w:tcPr>
          <w:p w14:paraId="6663E737"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1AA0D29"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13C7B21E"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Expected Performance Results</w:t>
            </w:r>
          </w:p>
        </w:tc>
      </w:tr>
      <w:tr w:rsidR="00115843" w:rsidRPr="005C11A1" w14:paraId="6E55924E" w14:textId="77777777" w:rsidTr="00FB0D02">
        <w:trPr>
          <w:cantSplit/>
          <w:trHeight w:val="2067"/>
        </w:trPr>
        <w:tc>
          <w:tcPr>
            <w:tcW w:w="1010" w:type="pct"/>
            <w:vMerge w:val="restart"/>
            <w:tcBorders>
              <w:top w:val="single" w:sz="4" w:space="0" w:color="auto"/>
              <w:right w:val="single" w:sz="4" w:space="0" w:color="auto"/>
            </w:tcBorders>
          </w:tcPr>
          <w:p w14:paraId="42EC95AF" w14:textId="77777777" w:rsidR="00115843" w:rsidRPr="005C11A1" w:rsidRDefault="00115843" w:rsidP="00FB0D02">
            <w:pPr>
              <w:spacing w:before="60" w:after="60" w:line="240" w:lineRule="auto"/>
              <w:rPr>
                <w:rFonts w:ascii="Arial" w:hAnsi="Arial" w:cs="Arial"/>
                <w:sz w:val="16"/>
                <w:szCs w:val="16"/>
              </w:rPr>
            </w:pPr>
            <w:r w:rsidRPr="005C11A1">
              <w:rPr>
                <w:rFonts w:ascii="Arial" w:hAnsi="Arial" w:cs="Arial"/>
                <w:sz w:val="16"/>
                <w:szCs w:val="16"/>
              </w:rPr>
              <w:t xml:space="preserve">Prior year </w:t>
            </w:r>
            <w:r w:rsidRPr="005C11A1">
              <w:rPr>
                <w:rFonts w:ascii="Arial" w:hAnsi="Arial" w:cs="Arial"/>
                <w:sz w:val="16"/>
                <w:szCs w:val="16"/>
              </w:rPr>
              <w:br/>
              <w:t>2021–22</w:t>
            </w:r>
          </w:p>
        </w:tc>
        <w:tc>
          <w:tcPr>
            <w:tcW w:w="1656" w:type="pct"/>
            <w:tcBorders>
              <w:top w:val="single" w:sz="4" w:space="0" w:color="auto"/>
              <w:left w:val="single" w:sz="4" w:space="0" w:color="auto"/>
              <w:bottom w:val="single" w:sz="4" w:space="0" w:color="auto"/>
              <w:right w:val="single" w:sz="4" w:space="0" w:color="auto"/>
            </w:tcBorders>
          </w:tcPr>
          <w:p w14:paraId="09373338" w14:textId="77777777" w:rsidR="00115843" w:rsidRPr="005C11A1" w:rsidRDefault="00115843" w:rsidP="00FB0D02">
            <w:pPr>
              <w:spacing w:before="60" w:after="60" w:line="240" w:lineRule="auto"/>
              <w:rPr>
                <w:rFonts w:ascii="Arial" w:eastAsia="Calibri" w:hAnsi="Arial" w:cs="Arial"/>
                <w:sz w:val="16"/>
                <w:szCs w:val="16"/>
                <w:lang w:eastAsia="en-US"/>
              </w:rPr>
            </w:pPr>
            <w:r w:rsidRPr="005C11A1">
              <w:rPr>
                <w:rFonts w:ascii="Arial" w:eastAsia="Calibri" w:hAnsi="Arial" w:cs="Arial"/>
                <w:sz w:val="16"/>
                <w:szCs w:val="16"/>
                <w:lang w:eastAsia="en-US"/>
              </w:rPr>
              <w:t>Progress of the implementation of:</w:t>
            </w:r>
          </w:p>
          <w:p w14:paraId="25B49A40" w14:textId="77777777" w:rsidR="00115843" w:rsidRPr="005C11A1" w:rsidRDefault="00115843" w:rsidP="00115843">
            <w:pPr>
              <w:numPr>
                <w:ilvl w:val="0"/>
                <w:numId w:val="190"/>
              </w:numPr>
              <w:spacing w:before="60" w:after="60" w:line="240" w:lineRule="auto"/>
              <w:contextualSpacing/>
              <w:rPr>
                <w:rFonts w:ascii="Arial" w:eastAsia="Calibri" w:hAnsi="Arial" w:cs="Arial"/>
                <w:sz w:val="16"/>
                <w:szCs w:val="16"/>
                <w:lang w:eastAsia="en-US"/>
              </w:rPr>
            </w:pPr>
            <w:r w:rsidRPr="005C11A1">
              <w:rPr>
                <w:rFonts w:ascii="Arial" w:eastAsia="Calibri" w:hAnsi="Arial" w:cs="Arial"/>
                <w:sz w:val="16"/>
                <w:szCs w:val="16"/>
                <w:lang w:eastAsia="en-US"/>
              </w:rPr>
              <w:t>the National Road Safety Strategy for the decade 2021 to 2030; and</w:t>
            </w:r>
          </w:p>
          <w:p w14:paraId="1C8E57DA" w14:textId="77777777" w:rsidR="00115843" w:rsidRPr="005C11A1" w:rsidRDefault="00115843" w:rsidP="00115843">
            <w:pPr>
              <w:numPr>
                <w:ilvl w:val="0"/>
                <w:numId w:val="190"/>
              </w:numPr>
              <w:spacing w:before="60" w:after="60" w:line="240" w:lineRule="auto"/>
              <w:contextualSpacing/>
              <w:rPr>
                <w:rFonts w:ascii="Arial" w:eastAsiaTheme="minorHAnsi" w:hAnsi="Arial" w:cs="Arial"/>
                <w:sz w:val="16"/>
                <w:szCs w:val="16"/>
                <w:lang w:eastAsia="en-US"/>
              </w:rPr>
            </w:pPr>
            <w:r w:rsidRPr="005C11A1">
              <w:rPr>
                <w:rFonts w:ascii="Arial" w:eastAsia="Calibri" w:hAnsi="Arial" w:cs="Arial"/>
                <w:sz w:val="16"/>
                <w:szCs w:val="16"/>
                <w:lang w:eastAsia="en-US"/>
              </w:rPr>
              <w:t>the National Road Safety Data Hub</w:t>
            </w:r>
          </w:p>
        </w:tc>
        <w:tc>
          <w:tcPr>
            <w:tcW w:w="2334" w:type="pct"/>
            <w:tcBorders>
              <w:top w:val="single" w:sz="4" w:space="0" w:color="auto"/>
              <w:left w:val="single" w:sz="4" w:space="0" w:color="auto"/>
              <w:bottom w:val="single" w:sz="4" w:space="0" w:color="auto"/>
            </w:tcBorders>
          </w:tcPr>
          <w:p w14:paraId="1BCD0E6E" w14:textId="77777777" w:rsidR="00115843" w:rsidRDefault="00115843" w:rsidP="00FB0D02">
            <w:pPr>
              <w:spacing w:before="60" w:after="60" w:line="240" w:lineRule="auto"/>
              <w:contextualSpacing/>
              <w:rPr>
                <w:rFonts w:ascii="Arial" w:eastAsia="Calibri" w:hAnsi="Arial" w:cs="Arial"/>
                <w:sz w:val="16"/>
                <w:szCs w:val="16"/>
                <w:lang w:val="en-US" w:eastAsia="en-US"/>
              </w:rPr>
            </w:pPr>
            <w:r>
              <w:rPr>
                <w:rFonts w:ascii="Arial" w:eastAsia="Calibri" w:hAnsi="Arial" w:cs="Arial"/>
                <w:sz w:val="16"/>
                <w:szCs w:val="16"/>
                <w:lang w:val="en-US" w:eastAsia="en-US"/>
              </w:rPr>
              <w:t>Target:</w:t>
            </w:r>
          </w:p>
          <w:p w14:paraId="24AF4956" w14:textId="77777777" w:rsidR="00115843" w:rsidRPr="005C11A1" w:rsidRDefault="00115843" w:rsidP="00115843">
            <w:pPr>
              <w:numPr>
                <w:ilvl w:val="0"/>
                <w:numId w:val="195"/>
              </w:numPr>
              <w:spacing w:before="60" w:after="60" w:line="240" w:lineRule="auto"/>
              <w:contextualSpacing/>
              <w:rPr>
                <w:rFonts w:ascii="Arial" w:eastAsia="Calibri" w:hAnsi="Arial" w:cs="Arial"/>
                <w:sz w:val="16"/>
                <w:szCs w:val="16"/>
                <w:lang w:val="en-US" w:eastAsia="en-US"/>
              </w:rPr>
            </w:pPr>
            <w:r w:rsidRPr="005C11A1">
              <w:rPr>
                <w:rFonts w:ascii="Arial" w:eastAsia="Calibri" w:hAnsi="Arial" w:cs="Arial"/>
                <w:sz w:val="16"/>
                <w:szCs w:val="16"/>
                <w:lang w:val="en-US" w:eastAsia="en-US"/>
              </w:rPr>
              <w:t>Establish an ongoing consistent source of updated national serious injury data by June 2022</w:t>
            </w:r>
          </w:p>
          <w:p w14:paraId="739D24A2" w14:textId="77777777" w:rsidR="00115843" w:rsidRPr="005C11A1" w:rsidRDefault="00115843" w:rsidP="00115843">
            <w:pPr>
              <w:numPr>
                <w:ilvl w:val="0"/>
                <w:numId w:val="195"/>
              </w:numPr>
              <w:spacing w:before="60" w:after="60" w:line="240" w:lineRule="auto"/>
              <w:contextualSpacing/>
              <w:rPr>
                <w:rFonts w:ascii="Arial" w:eastAsia="Calibri" w:hAnsi="Arial" w:cs="Arial"/>
                <w:sz w:val="16"/>
                <w:szCs w:val="16"/>
                <w:lang w:val="en-US" w:eastAsia="en-US"/>
              </w:rPr>
            </w:pPr>
            <w:r w:rsidRPr="005C11A1">
              <w:rPr>
                <w:rFonts w:ascii="Arial" w:eastAsia="Calibri" w:hAnsi="Arial" w:cs="Arial"/>
                <w:sz w:val="16"/>
                <w:szCs w:val="16"/>
                <w:lang w:val="en-US" w:eastAsia="en-US"/>
              </w:rPr>
              <w:t>Data Hub is established</w:t>
            </w:r>
          </w:p>
          <w:p w14:paraId="6E934420" w14:textId="77777777" w:rsidR="00115843" w:rsidRDefault="00115843" w:rsidP="00FB0D02">
            <w:pPr>
              <w:spacing w:before="120" w:after="120" w:line="240" w:lineRule="auto"/>
              <w:rPr>
                <w:rFonts w:ascii="Arial" w:eastAsiaTheme="minorHAnsi" w:hAnsi="Arial" w:cs="Arial"/>
                <w:sz w:val="16"/>
                <w:szCs w:val="16"/>
                <w:lang w:eastAsia="en-US"/>
              </w:rPr>
            </w:pPr>
            <w:r w:rsidRPr="005C11A1">
              <w:rPr>
                <w:rFonts w:ascii="Arial" w:eastAsiaTheme="minorHAnsi" w:hAnsi="Arial" w:cs="Arial"/>
                <w:sz w:val="16"/>
                <w:szCs w:val="16"/>
                <w:lang w:eastAsia="en-US"/>
              </w:rPr>
              <w:t>Target partially met</w:t>
            </w:r>
          </w:p>
          <w:p w14:paraId="22A96169" w14:textId="77777777" w:rsidR="00115843" w:rsidRPr="005C11A1" w:rsidRDefault="00115843" w:rsidP="00FB0D02">
            <w:pPr>
              <w:spacing w:after="0" w:line="240" w:lineRule="auto"/>
              <w:rPr>
                <w:rFonts w:ascii="Arial" w:eastAsiaTheme="minorHAnsi" w:hAnsi="Arial" w:cs="Arial"/>
                <w:sz w:val="16"/>
                <w:szCs w:val="16"/>
                <w:lang w:eastAsia="en-US"/>
              </w:rPr>
            </w:pPr>
            <w:r>
              <w:rPr>
                <w:rFonts w:ascii="Arial" w:eastAsiaTheme="minorHAnsi" w:hAnsi="Arial" w:cs="Arial"/>
                <w:sz w:val="16"/>
                <w:szCs w:val="16"/>
                <w:lang w:eastAsia="en-US"/>
              </w:rPr>
              <w:t>Actual:</w:t>
            </w:r>
          </w:p>
          <w:p w14:paraId="570AAE45" w14:textId="6E517D16" w:rsidR="00115843" w:rsidRPr="005C11A1" w:rsidRDefault="00115843" w:rsidP="00115843">
            <w:pPr>
              <w:numPr>
                <w:ilvl w:val="0"/>
                <w:numId w:val="196"/>
              </w:numPr>
              <w:spacing w:after="0" w:line="240" w:lineRule="auto"/>
              <w:contextualSpacing/>
              <w:rPr>
                <w:rFonts w:ascii="Arial" w:eastAsia="Calibri" w:hAnsi="Arial" w:cs="Arial"/>
                <w:sz w:val="16"/>
                <w:szCs w:val="16"/>
                <w:lang w:val="en-US" w:eastAsia="en-US"/>
              </w:rPr>
            </w:pPr>
            <w:r w:rsidRPr="005C11A1">
              <w:rPr>
                <w:rFonts w:ascii="Arial" w:eastAsia="Calibri" w:hAnsi="Arial" w:cs="Arial"/>
                <w:sz w:val="16"/>
                <w:szCs w:val="16"/>
                <w:lang w:val="en-US" w:eastAsia="en-US"/>
              </w:rPr>
              <w:t>Target partially met - Work is progressing to establish the ongoing consistent source of national serious injury data</w:t>
            </w:r>
            <w:r w:rsidR="00A50FE9">
              <w:rPr>
                <w:rFonts w:ascii="Arial" w:eastAsia="Calibri" w:hAnsi="Arial" w:cs="Arial"/>
                <w:sz w:val="16"/>
                <w:szCs w:val="16"/>
                <w:lang w:val="en-US" w:eastAsia="en-US"/>
              </w:rPr>
              <w:t>.</w:t>
            </w:r>
          </w:p>
          <w:p w14:paraId="4FCC5E96" w14:textId="7496795C" w:rsidR="00115843" w:rsidRPr="005C11A1" w:rsidRDefault="00115843" w:rsidP="00115843">
            <w:pPr>
              <w:numPr>
                <w:ilvl w:val="0"/>
                <w:numId w:val="196"/>
              </w:numPr>
              <w:spacing w:before="60" w:after="60" w:line="240" w:lineRule="auto"/>
              <w:contextualSpacing/>
              <w:rPr>
                <w:rFonts w:ascii="Arial" w:eastAsia="Calibri" w:hAnsi="Arial" w:cs="Arial"/>
                <w:sz w:val="16"/>
                <w:szCs w:val="16"/>
                <w:lang w:val="en-US" w:eastAsia="en-US"/>
              </w:rPr>
            </w:pPr>
            <w:r w:rsidRPr="005C11A1">
              <w:rPr>
                <w:rFonts w:ascii="Arial" w:eastAsia="Calibri" w:hAnsi="Arial" w:cs="Arial"/>
                <w:sz w:val="16"/>
                <w:szCs w:val="16"/>
                <w:lang w:val="en-US" w:eastAsia="en-US"/>
              </w:rPr>
              <w:t xml:space="preserve">Target met - The Road Safety Data Hub has been established in </w:t>
            </w:r>
            <w:r>
              <w:rPr>
                <w:rFonts w:ascii="Arial" w:eastAsia="Calibri" w:hAnsi="Arial" w:cs="Arial"/>
                <w:sz w:val="16"/>
                <w:szCs w:val="16"/>
                <w:lang w:val="en-US" w:eastAsia="en-US"/>
              </w:rPr>
              <w:t>the Department</w:t>
            </w:r>
            <w:r w:rsidR="00A50FE9">
              <w:rPr>
                <w:rFonts w:ascii="Arial" w:eastAsia="Calibri" w:hAnsi="Arial" w:cs="Arial"/>
                <w:sz w:val="16"/>
                <w:szCs w:val="16"/>
                <w:lang w:val="en-US" w:eastAsia="en-US"/>
              </w:rPr>
              <w:t>.</w:t>
            </w:r>
          </w:p>
        </w:tc>
      </w:tr>
      <w:tr w:rsidR="00115843" w:rsidRPr="005C11A1" w14:paraId="0986E42B" w14:textId="77777777" w:rsidTr="00FB0D02">
        <w:trPr>
          <w:cantSplit/>
          <w:trHeight w:val="642"/>
        </w:trPr>
        <w:tc>
          <w:tcPr>
            <w:tcW w:w="1010" w:type="pct"/>
            <w:vMerge/>
            <w:tcBorders>
              <w:bottom w:val="double" w:sz="4" w:space="0" w:color="auto"/>
              <w:right w:val="single" w:sz="4" w:space="0" w:color="auto"/>
            </w:tcBorders>
          </w:tcPr>
          <w:p w14:paraId="63DAB72A" w14:textId="77777777" w:rsidR="00115843" w:rsidRPr="005C11A1" w:rsidRDefault="00115843" w:rsidP="00FB0D02">
            <w:pPr>
              <w:spacing w:before="60" w:after="60" w:line="240" w:lineRule="auto"/>
              <w:rPr>
                <w:rFonts w:ascii="Arial" w:hAnsi="Arial" w:cs="Arial"/>
                <w:sz w:val="16"/>
                <w:szCs w:val="16"/>
              </w:rPr>
            </w:pPr>
          </w:p>
        </w:tc>
        <w:tc>
          <w:tcPr>
            <w:tcW w:w="1656" w:type="pct"/>
            <w:tcBorders>
              <w:top w:val="single" w:sz="4" w:space="0" w:color="auto"/>
              <w:left w:val="single" w:sz="4" w:space="0" w:color="auto"/>
              <w:bottom w:val="double" w:sz="4" w:space="0" w:color="auto"/>
              <w:right w:val="single" w:sz="4" w:space="0" w:color="auto"/>
            </w:tcBorders>
          </w:tcPr>
          <w:p w14:paraId="58B1B7C6" w14:textId="77777777" w:rsidR="00115843" w:rsidRPr="005C11A1" w:rsidRDefault="00115843" w:rsidP="00FB0D02">
            <w:pPr>
              <w:spacing w:before="60" w:after="60" w:line="240" w:lineRule="auto"/>
              <w:rPr>
                <w:rFonts w:ascii="Arial" w:hAnsi="Arial" w:cs="Arial"/>
                <w:b/>
                <w:sz w:val="16"/>
                <w:szCs w:val="16"/>
                <w:lang w:val="en-US"/>
              </w:rPr>
            </w:pPr>
            <w:r w:rsidRPr="005C11A1">
              <w:rPr>
                <w:rFonts w:ascii="Arial" w:eastAsia="Calibri" w:hAnsi="Arial" w:cs="Arial"/>
                <w:sz w:val="16"/>
                <w:szCs w:val="16"/>
                <w:lang w:eastAsia="en-US"/>
              </w:rPr>
              <w:t>Number of fatalities and fatality rate per 100,000 population: road</w:t>
            </w:r>
          </w:p>
        </w:tc>
        <w:tc>
          <w:tcPr>
            <w:tcW w:w="2334" w:type="pct"/>
            <w:tcBorders>
              <w:top w:val="single" w:sz="4" w:space="0" w:color="auto"/>
              <w:left w:val="single" w:sz="4" w:space="0" w:color="auto"/>
              <w:bottom w:val="double" w:sz="4" w:space="0" w:color="auto"/>
            </w:tcBorders>
          </w:tcPr>
          <w:p w14:paraId="34E407E3" w14:textId="77777777" w:rsidR="00115843" w:rsidRPr="005C11A1" w:rsidRDefault="00115843" w:rsidP="00FB0D02">
            <w:pPr>
              <w:spacing w:before="60" w:after="60" w:line="240" w:lineRule="auto"/>
              <w:rPr>
                <w:rFonts w:ascii="Arial" w:eastAsia="Calibri" w:hAnsi="Arial" w:cs="Arial"/>
                <w:sz w:val="16"/>
                <w:szCs w:val="16"/>
                <w:lang w:eastAsia="en-US"/>
              </w:rPr>
            </w:pPr>
            <w:r w:rsidRPr="005C11A1">
              <w:rPr>
                <w:rFonts w:ascii="Arial" w:eastAsia="Calibri" w:hAnsi="Arial" w:cs="Arial"/>
                <w:sz w:val="16"/>
                <w:szCs w:val="16"/>
                <w:lang w:eastAsia="en-US"/>
              </w:rPr>
              <w:t>Annual target setting not appropriate, results sought are long term</w:t>
            </w:r>
          </w:p>
          <w:p w14:paraId="2B0F6AF4" w14:textId="51C81EDD" w:rsidR="00115843" w:rsidRPr="005C11A1" w:rsidRDefault="00115843" w:rsidP="00FB0D02">
            <w:pPr>
              <w:spacing w:before="60" w:after="60" w:line="240" w:lineRule="auto"/>
              <w:rPr>
                <w:rFonts w:ascii="Arial" w:hAnsi="Arial" w:cs="Arial"/>
                <w:sz w:val="16"/>
                <w:szCs w:val="16"/>
              </w:rPr>
            </w:pPr>
            <w:r>
              <w:rPr>
                <w:rFonts w:ascii="Arial" w:hAnsi="Arial" w:cs="Arial"/>
                <w:sz w:val="16"/>
                <w:szCs w:val="16"/>
              </w:rPr>
              <w:t xml:space="preserve">Actual: </w:t>
            </w:r>
            <w:r w:rsidRPr="005C11A1">
              <w:rPr>
                <w:rFonts w:ascii="Arial" w:hAnsi="Arial" w:cs="Arial"/>
                <w:sz w:val="16"/>
                <w:szCs w:val="16"/>
              </w:rPr>
              <w:t>In 2021, the preliminary figures (at March 2022, for calendar year 2021) show a rate of annual deaths per 100,000 population of 4.36. This is down from the baseline of 4.5</w:t>
            </w:r>
            <w:r w:rsidR="00A50FE9">
              <w:rPr>
                <w:rFonts w:ascii="Arial" w:hAnsi="Arial" w:cs="Arial"/>
                <w:sz w:val="16"/>
                <w:szCs w:val="16"/>
              </w:rPr>
              <w:t>.</w:t>
            </w:r>
          </w:p>
        </w:tc>
      </w:tr>
      <w:tr w:rsidR="00115843" w:rsidRPr="005C11A1" w14:paraId="25C37A3C" w14:textId="77777777" w:rsidTr="00FB0D02">
        <w:trPr>
          <w:trHeight w:val="258"/>
        </w:trPr>
        <w:tc>
          <w:tcPr>
            <w:tcW w:w="1010" w:type="pct"/>
            <w:tcBorders>
              <w:top w:val="double" w:sz="4" w:space="0" w:color="auto"/>
              <w:bottom w:val="single" w:sz="4" w:space="0" w:color="auto"/>
              <w:right w:val="single" w:sz="4" w:space="0" w:color="auto"/>
            </w:tcBorders>
          </w:tcPr>
          <w:p w14:paraId="16EBEAB7"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73981E95" w14:textId="77777777" w:rsidR="00115843" w:rsidRPr="005C11A1" w:rsidRDefault="00115843" w:rsidP="00FB0D02">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DDA2B7F" w14:textId="08DC3489" w:rsidR="00115843" w:rsidRPr="005C11A1" w:rsidRDefault="00A50FE9" w:rsidP="00FB0D02">
            <w:pPr>
              <w:spacing w:before="60" w:after="60" w:line="240" w:lineRule="auto"/>
              <w:rPr>
                <w:rFonts w:ascii="Arial" w:hAnsi="Arial" w:cs="Arial"/>
                <w:b/>
                <w:sz w:val="16"/>
                <w:szCs w:val="16"/>
              </w:rPr>
            </w:pPr>
            <w:r>
              <w:rPr>
                <w:rFonts w:ascii="Arial" w:hAnsi="Arial" w:cs="Arial"/>
                <w:b/>
                <w:sz w:val="16"/>
                <w:szCs w:val="16"/>
              </w:rPr>
              <w:t>Plann</w:t>
            </w:r>
            <w:r w:rsidR="00115843" w:rsidRPr="005C11A1">
              <w:rPr>
                <w:rFonts w:ascii="Arial" w:hAnsi="Arial" w:cs="Arial"/>
                <w:b/>
                <w:sz w:val="16"/>
                <w:szCs w:val="16"/>
              </w:rPr>
              <w:t>ed Performance Results</w:t>
            </w:r>
          </w:p>
        </w:tc>
      </w:tr>
      <w:tr w:rsidR="00115843" w:rsidRPr="005C11A1" w14:paraId="6B441CD5" w14:textId="77777777" w:rsidTr="00FB0D02">
        <w:trPr>
          <w:cantSplit/>
          <w:trHeight w:val="1193"/>
        </w:trPr>
        <w:tc>
          <w:tcPr>
            <w:tcW w:w="1010" w:type="pct"/>
            <w:vMerge w:val="restart"/>
            <w:tcBorders>
              <w:top w:val="single" w:sz="4" w:space="0" w:color="auto"/>
              <w:right w:val="single" w:sz="4" w:space="0" w:color="auto"/>
            </w:tcBorders>
          </w:tcPr>
          <w:p w14:paraId="57351421" w14:textId="77777777" w:rsidR="00115843" w:rsidRPr="005C11A1" w:rsidRDefault="00115843" w:rsidP="00FB0D02">
            <w:pPr>
              <w:spacing w:before="60" w:after="60" w:line="240" w:lineRule="auto"/>
              <w:rPr>
                <w:rFonts w:ascii="Arial" w:hAnsi="Arial" w:cs="Arial"/>
                <w:sz w:val="16"/>
                <w:szCs w:val="16"/>
              </w:rPr>
            </w:pPr>
            <w:r w:rsidRPr="005C11A1">
              <w:rPr>
                <w:rFonts w:ascii="Arial" w:eastAsia="Calibri" w:hAnsi="Arial" w:cs="Arial"/>
                <w:sz w:val="16"/>
                <w:szCs w:val="16"/>
                <w:lang w:eastAsia="en-US"/>
              </w:rPr>
              <w:t>Budget year</w:t>
            </w:r>
            <w:r>
              <w:rPr>
                <w:rFonts w:ascii="Arial" w:eastAsia="Calibri" w:hAnsi="Arial" w:cs="Arial"/>
                <w:sz w:val="16"/>
                <w:szCs w:val="16"/>
                <w:lang w:eastAsia="en-US"/>
              </w:rPr>
              <w:br/>
            </w:r>
            <w:r w:rsidRPr="005C11A1">
              <w:rPr>
                <w:rFonts w:ascii="Arial" w:eastAsia="Calibri" w:hAnsi="Arial" w:cs="Arial"/>
                <w:sz w:val="16"/>
                <w:szCs w:val="16"/>
                <w:lang w:eastAsia="en-US"/>
              </w:rPr>
              <w:t>2022–23</w:t>
            </w:r>
          </w:p>
        </w:tc>
        <w:tc>
          <w:tcPr>
            <w:tcW w:w="1656" w:type="pct"/>
            <w:tcBorders>
              <w:top w:val="single" w:sz="4" w:space="0" w:color="auto"/>
              <w:left w:val="single" w:sz="4" w:space="0" w:color="auto"/>
              <w:bottom w:val="single" w:sz="4" w:space="0" w:color="auto"/>
              <w:right w:val="single" w:sz="4" w:space="0" w:color="auto"/>
            </w:tcBorders>
          </w:tcPr>
          <w:p w14:paraId="2A522901" w14:textId="77777777" w:rsidR="00115843" w:rsidRPr="005C11A1" w:rsidRDefault="00115843" w:rsidP="00FB0D02">
            <w:pPr>
              <w:spacing w:before="60" w:after="60" w:line="240" w:lineRule="auto"/>
              <w:rPr>
                <w:rFonts w:ascii="Arial" w:eastAsia="Calibri" w:hAnsi="Arial" w:cs="Arial"/>
                <w:sz w:val="16"/>
                <w:szCs w:val="16"/>
                <w:lang w:eastAsia="en-US"/>
              </w:rPr>
            </w:pPr>
            <w:r w:rsidRPr="005C11A1">
              <w:rPr>
                <w:rFonts w:ascii="Arial" w:eastAsia="Calibri" w:hAnsi="Arial" w:cs="Arial"/>
                <w:sz w:val="16"/>
                <w:szCs w:val="16"/>
                <w:lang w:eastAsia="en-US"/>
              </w:rPr>
              <w:t>Progress of the implementation of:</w:t>
            </w:r>
          </w:p>
          <w:p w14:paraId="2CFBDE3C" w14:textId="77777777" w:rsidR="00115843" w:rsidRPr="005C11A1" w:rsidRDefault="00115843" w:rsidP="00115843">
            <w:pPr>
              <w:numPr>
                <w:ilvl w:val="0"/>
                <w:numId w:val="191"/>
              </w:numPr>
              <w:spacing w:before="60" w:after="60" w:line="240" w:lineRule="auto"/>
              <w:contextualSpacing/>
              <w:rPr>
                <w:rFonts w:ascii="Arial" w:eastAsia="Calibri" w:hAnsi="Arial" w:cs="Arial"/>
                <w:sz w:val="16"/>
                <w:szCs w:val="16"/>
                <w:lang w:eastAsia="en-US"/>
              </w:rPr>
            </w:pPr>
            <w:r w:rsidRPr="005C11A1">
              <w:rPr>
                <w:rFonts w:ascii="Arial" w:eastAsia="Calibri" w:hAnsi="Arial" w:cs="Arial"/>
                <w:sz w:val="16"/>
                <w:szCs w:val="16"/>
                <w:lang w:eastAsia="en-US"/>
              </w:rPr>
              <w:t>the National Road Safety Strategy for the decade 2021 to 2030; and</w:t>
            </w:r>
          </w:p>
          <w:p w14:paraId="55897997" w14:textId="77777777" w:rsidR="00115843" w:rsidRPr="005C11A1" w:rsidRDefault="00115843" w:rsidP="00115843">
            <w:pPr>
              <w:numPr>
                <w:ilvl w:val="0"/>
                <w:numId w:val="191"/>
              </w:numPr>
              <w:spacing w:before="60" w:after="60" w:line="240" w:lineRule="auto"/>
              <w:contextualSpacing/>
              <w:rPr>
                <w:rFonts w:ascii="Arial" w:eastAsia="Calibri" w:hAnsi="Arial" w:cs="Arial"/>
                <w:sz w:val="16"/>
                <w:szCs w:val="16"/>
                <w:lang w:eastAsia="en-US"/>
              </w:rPr>
            </w:pPr>
            <w:r w:rsidRPr="005C11A1">
              <w:rPr>
                <w:rFonts w:ascii="Arial" w:eastAsia="Calibri" w:hAnsi="Arial" w:cs="Arial"/>
                <w:sz w:val="16"/>
                <w:szCs w:val="16"/>
                <w:lang w:eastAsia="en-US"/>
              </w:rPr>
              <w:t>the National Road Safety Data Hub</w:t>
            </w:r>
          </w:p>
        </w:tc>
        <w:tc>
          <w:tcPr>
            <w:tcW w:w="2334" w:type="pct"/>
            <w:tcBorders>
              <w:top w:val="single" w:sz="4" w:space="0" w:color="auto"/>
              <w:left w:val="single" w:sz="4" w:space="0" w:color="auto"/>
              <w:bottom w:val="single" w:sz="4" w:space="0" w:color="auto"/>
            </w:tcBorders>
          </w:tcPr>
          <w:p w14:paraId="160A6EE0" w14:textId="784D08C3" w:rsidR="00115843" w:rsidRPr="005C11A1" w:rsidRDefault="00115843" w:rsidP="00115843">
            <w:pPr>
              <w:numPr>
                <w:ilvl w:val="0"/>
                <w:numId w:val="197"/>
              </w:numPr>
              <w:spacing w:before="60" w:after="60" w:line="240" w:lineRule="auto"/>
              <w:rPr>
                <w:rFonts w:ascii="Arial" w:eastAsia="Calibri" w:hAnsi="Arial" w:cs="Arial"/>
                <w:sz w:val="16"/>
                <w:szCs w:val="16"/>
              </w:rPr>
            </w:pPr>
            <w:r w:rsidRPr="005C11A1">
              <w:rPr>
                <w:rFonts w:ascii="Arial" w:eastAsia="Calibri" w:hAnsi="Arial" w:cs="Arial"/>
                <w:sz w:val="16"/>
                <w:szCs w:val="16"/>
              </w:rPr>
              <w:t>Implement and report using newly established consistent source of national serious injury data</w:t>
            </w:r>
            <w:r w:rsidR="00A50FE9">
              <w:rPr>
                <w:rFonts w:ascii="Arial" w:eastAsia="Calibri" w:hAnsi="Arial" w:cs="Arial"/>
                <w:sz w:val="16"/>
                <w:szCs w:val="16"/>
              </w:rPr>
              <w:t>.</w:t>
            </w:r>
          </w:p>
          <w:p w14:paraId="294C32C3" w14:textId="77A72E4D" w:rsidR="00115843" w:rsidRPr="005C11A1" w:rsidRDefault="00115843" w:rsidP="00115843">
            <w:pPr>
              <w:numPr>
                <w:ilvl w:val="0"/>
                <w:numId w:val="197"/>
              </w:numPr>
              <w:spacing w:before="60" w:after="60" w:line="240" w:lineRule="auto"/>
              <w:rPr>
                <w:rFonts w:ascii="Arial" w:eastAsia="Calibri" w:hAnsi="Arial" w:cs="Arial"/>
                <w:sz w:val="16"/>
                <w:szCs w:val="16"/>
              </w:rPr>
            </w:pPr>
            <w:r w:rsidRPr="005C11A1">
              <w:rPr>
                <w:rFonts w:ascii="Arial" w:eastAsia="Calibri" w:hAnsi="Arial" w:cs="Arial"/>
                <w:sz w:val="16"/>
                <w:szCs w:val="16"/>
              </w:rPr>
              <w:t>Data hub is established</w:t>
            </w:r>
            <w:r w:rsidR="00A50FE9">
              <w:rPr>
                <w:rFonts w:ascii="Arial" w:eastAsia="Calibri" w:hAnsi="Arial" w:cs="Arial"/>
                <w:sz w:val="16"/>
                <w:szCs w:val="16"/>
              </w:rPr>
              <w:t>.</w:t>
            </w:r>
          </w:p>
        </w:tc>
      </w:tr>
      <w:tr w:rsidR="00115843" w:rsidRPr="005C11A1" w14:paraId="05E32723" w14:textId="77777777" w:rsidTr="00FB0D02">
        <w:trPr>
          <w:cantSplit/>
          <w:trHeight w:val="642"/>
        </w:trPr>
        <w:tc>
          <w:tcPr>
            <w:tcW w:w="1010" w:type="pct"/>
            <w:vMerge/>
            <w:tcBorders>
              <w:right w:val="single" w:sz="4" w:space="0" w:color="auto"/>
            </w:tcBorders>
          </w:tcPr>
          <w:p w14:paraId="2F1307D9" w14:textId="77777777" w:rsidR="00115843" w:rsidRPr="005C11A1" w:rsidRDefault="00115843" w:rsidP="00FB0D02">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820DC0A" w14:textId="77777777" w:rsidR="00115843" w:rsidRPr="005C11A1" w:rsidRDefault="00115843" w:rsidP="00FB0D02">
            <w:pPr>
              <w:spacing w:before="60" w:after="60" w:line="240" w:lineRule="auto"/>
              <w:rPr>
                <w:rFonts w:ascii="Arial" w:hAnsi="Arial" w:cs="Arial"/>
                <w:i/>
                <w:sz w:val="16"/>
                <w:szCs w:val="16"/>
              </w:rPr>
            </w:pPr>
            <w:r w:rsidRPr="005C11A1">
              <w:rPr>
                <w:rFonts w:ascii="Arial" w:hAnsi="Arial" w:cs="Arial"/>
                <w:i/>
                <w:sz w:val="16"/>
                <w:szCs w:val="16"/>
              </w:rPr>
              <w:t>Average time taken to assess applications for road vehicle imports, and the implementation of Road Vehicle Standards legislation</w:t>
            </w:r>
          </w:p>
        </w:tc>
        <w:tc>
          <w:tcPr>
            <w:tcW w:w="2334" w:type="pct"/>
            <w:tcBorders>
              <w:top w:val="single" w:sz="4" w:space="0" w:color="auto"/>
              <w:left w:val="single" w:sz="4" w:space="0" w:color="auto"/>
              <w:bottom w:val="single" w:sz="4" w:space="0" w:color="auto"/>
            </w:tcBorders>
          </w:tcPr>
          <w:p w14:paraId="6FA614B1" w14:textId="795DC9C3" w:rsidR="00115843" w:rsidRPr="005C11A1" w:rsidRDefault="00115843" w:rsidP="00115843">
            <w:pPr>
              <w:numPr>
                <w:ilvl w:val="0"/>
                <w:numId w:val="193"/>
              </w:numPr>
              <w:spacing w:before="60" w:after="60" w:line="240" w:lineRule="auto"/>
              <w:rPr>
                <w:rFonts w:ascii="Arial" w:hAnsi="Arial" w:cs="Arial"/>
                <w:sz w:val="16"/>
                <w:szCs w:val="16"/>
              </w:rPr>
            </w:pPr>
            <w:r w:rsidRPr="005C11A1">
              <w:rPr>
                <w:rFonts w:ascii="Arial" w:hAnsi="Arial" w:cs="Arial"/>
                <w:sz w:val="16"/>
                <w:szCs w:val="16"/>
              </w:rPr>
              <w:t>95% of applications are assessed within legislative timeframes</w:t>
            </w:r>
            <w:r w:rsidR="00A50FE9">
              <w:rPr>
                <w:rFonts w:ascii="Arial" w:hAnsi="Arial" w:cs="Arial"/>
                <w:sz w:val="16"/>
                <w:szCs w:val="16"/>
              </w:rPr>
              <w:t>.</w:t>
            </w:r>
          </w:p>
          <w:p w14:paraId="5174B8D2" w14:textId="03875E3A" w:rsidR="00115843" w:rsidRPr="005C11A1" w:rsidRDefault="00115843" w:rsidP="00115843">
            <w:pPr>
              <w:numPr>
                <w:ilvl w:val="0"/>
                <w:numId w:val="193"/>
              </w:numPr>
              <w:spacing w:before="60" w:after="60" w:line="240" w:lineRule="auto"/>
              <w:rPr>
                <w:rFonts w:ascii="Arial" w:eastAsia="Calibri" w:hAnsi="Arial" w:cs="Arial"/>
                <w:sz w:val="16"/>
                <w:szCs w:val="16"/>
                <w:lang w:eastAsia="en-US"/>
              </w:rPr>
            </w:pPr>
            <w:r w:rsidRPr="005C11A1">
              <w:rPr>
                <w:rFonts w:ascii="Arial" w:hAnsi="Arial" w:cs="Arial"/>
                <w:sz w:val="16"/>
                <w:szCs w:val="16"/>
              </w:rPr>
              <w:t>All relevant legislation and legislative instruments are in place prior to the end of the transitional period</w:t>
            </w:r>
            <w:r w:rsidR="00A50FE9">
              <w:rPr>
                <w:rFonts w:ascii="Arial" w:hAnsi="Arial" w:cs="Arial"/>
                <w:sz w:val="16"/>
                <w:szCs w:val="16"/>
              </w:rPr>
              <w:t>.</w:t>
            </w:r>
          </w:p>
        </w:tc>
      </w:tr>
      <w:tr w:rsidR="00115843" w:rsidRPr="005C11A1" w14:paraId="383E33C0" w14:textId="77777777" w:rsidTr="00FB0D02">
        <w:trPr>
          <w:cantSplit/>
          <w:trHeight w:val="642"/>
        </w:trPr>
        <w:tc>
          <w:tcPr>
            <w:tcW w:w="1010" w:type="pct"/>
            <w:vMerge/>
            <w:tcBorders>
              <w:bottom w:val="single" w:sz="4" w:space="0" w:color="auto"/>
              <w:right w:val="single" w:sz="4" w:space="0" w:color="auto"/>
            </w:tcBorders>
          </w:tcPr>
          <w:p w14:paraId="76610AD5" w14:textId="77777777" w:rsidR="00115843" w:rsidRPr="005C11A1" w:rsidRDefault="00115843" w:rsidP="00FB0D02">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3E97229" w14:textId="77777777" w:rsidR="00115843" w:rsidRPr="005C11A1" w:rsidRDefault="00115843" w:rsidP="00FB0D02">
            <w:pPr>
              <w:spacing w:before="60" w:after="60" w:line="240" w:lineRule="auto"/>
              <w:rPr>
                <w:rFonts w:ascii="Arial" w:eastAsia="Calibri" w:hAnsi="Arial" w:cs="Arial"/>
                <w:sz w:val="16"/>
                <w:szCs w:val="16"/>
                <w:lang w:eastAsia="en-US"/>
              </w:rPr>
            </w:pPr>
            <w:r w:rsidRPr="005C11A1">
              <w:rPr>
                <w:rFonts w:ascii="Arial" w:hAnsi="Arial" w:cs="Arial"/>
                <w:sz w:val="16"/>
                <w:szCs w:val="16"/>
              </w:rPr>
              <w:t>Reduction in the number of road fatalities and fatality rate per 100,000 population</w:t>
            </w:r>
            <w:r w:rsidRPr="005C11A1">
              <w:rPr>
                <w:rFonts w:ascii="Arial" w:eastAsia="Calibri" w:hAnsi="Arial" w:cs="Arial"/>
                <w:sz w:val="16"/>
                <w:szCs w:val="16"/>
                <w:lang w:eastAsia="en-US"/>
              </w:rPr>
              <w:t xml:space="preserve"> </w:t>
            </w:r>
          </w:p>
        </w:tc>
        <w:tc>
          <w:tcPr>
            <w:tcW w:w="2334" w:type="pct"/>
            <w:tcBorders>
              <w:top w:val="single" w:sz="4" w:space="0" w:color="auto"/>
              <w:left w:val="single" w:sz="4" w:space="0" w:color="auto"/>
              <w:bottom w:val="single" w:sz="4" w:space="0" w:color="auto"/>
            </w:tcBorders>
          </w:tcPr>
          <w:p w14:paraId="2DCD4E36" w14:textId="19DE8DAC" w:rsidR="00115843" w:rsidRPr="005C11A1" w:rsidRDefault="00115843" w:rsidP="00FB0D02">
            <w:pPr>
              <w:spacing w:before="60" w:after="60" w:line="240" w:lineRule="auto"/>
              <w:rPr>
                <w:rFonts w:ascii="Arial" w:eastAsia="Calibri" w:hAnsi="Arial" w:cs="Arial"/>
                <w:b/>
                <w:sz w:val="16"/>
                <w:szCs w:val="16"/>
                <w:lang w:eastAsia="en-US"/>
              </w:rPr>
            </w:pPr>
            <w:r w:rsidRPr="005C11A1">
              <w:rPr>
                <w:rFonts w:ascii="Arial" w:hAnsi="Arial" w:cs="Arial"/>
                <w:sz w:val="16"/>
                <w:szCs w:val="16"/>
              </w:rPr>
              <w:t>The rolling ten-year annual average road fatalities is maintained or reduced</w:t>
            </w:r>
            <w:r w:rsidR="00A50FE9">
              <w:rPr>
                <w:rFonts w:ascii="Arial" w:hAnsi="Arial" w:cs="Arial"/>
                <w:sz w:val="16"/>
                <w:szCs w:val="16"/>
              </w:rPr>
              <w:t>.</w:t>
            </w:r>
          </w:p>
        </w:tc>
      </w:tr>
      <w:tr w:rsidR="00115843" w:rsidRPr="005C11A1" w14:paraId="2D6EAA20" w14:textId="77777777" w:rsidTr="00FB0D02">
        <w:trPr>
          <w:cantSplit/>
          <w:trHeight w:val="642"/>
        </w:trPr>
        <w:tc>
          <w:tcPr>
            <w:tcW w:w="1010" w:type="pct"/>
            <w:tcBorders>
              <w:top w:val="single" w:sz="4" w:space="0" w:color="auto"/>
              <w:bottom w:val="nil"/>
              <w:right w:val="single" w:sz="4" w:space="0" w:color="auto"/>
            </w:tcBorders>
          </w:tcPr>
          <w:p w14:paraId="45542730" w14:textId="77777777" w:rsidR="00115843" w:rsidRPr="005C11A1" w:rsidRDefault="00115843" w:rsidP="00FB0D02">
            <w:pPr>
              <w:spacing w:before="60" w:after="60" w:line="240" w:lineRule="auto"/>
              <w:rPr>
                <w:rFonts w:ascii="Arial" w:hAnsi="Arial" w:cs="Arial"/>
                <w:sz w:val="16"/>
                <w:szCs w:val="16"/>
              </w:rPr>
            </w:pPr>
            <w:r w:rsidRPr="005C11A1">
              <w:rPr>
                <w:rFonts w:ascii="Arial" w:eastAsia="Calibri" w:hAnsi="Arial" w:cs="Arial"/>
                <w:sz w:val="16"/>
                <w:szCs w:val="16"/>
              </w:rPr>
              <w:t>Forward Estimates</w:t>
            </w:r>
            <w:r w:rsidRPr="005C11A1">
              <w:rPr>
                <w:rFonts w:ascii="Arial" w:eastAsia="Calibri" w:hAnsi="Arial" w:cs="Arial"/>
                <w:sz w:val="16"/>
                <w:szCs w:val="16"/>
              </w:rPr>
              <w:br/>
              <w:t>2023–26</w:t>
            </w:r>
          </w:p>
        </w:tc>
        <w:tc>
          <w:tcPr>
            <w:tcW w:w="1656" w:type="pct"/>
            <w:tcBorders>
              <w:top w:val="single" w:sz="4" w:space="0" w:color="auto"/>
              <w:left w:val="single" w:sz="4" w:space="0" w:color="auto"/>
              <w:bottom w:val="single" w:sz="4" w:space="0" w:color="auto"/>
              <w:right w:val="single" w:sz="4" w:space="0" w:color="auto"/>
            </w:tcBorders>
          </w:tcPr>
          <w:p w14:paraId="48703F7E" w14:textId="77777777" w:rsidR="00115843" w:rsidRPr="005C11A1" w:rsidRDefault="00115843" w:rsidP="00FB0D02">
            <w:pPr>
              <w:spacing w:before="60" w:after="60" w:line="240" w:lineRule="auto"/>
              <w:rPr>
                <w:rFonts w:ascii="Arial" w:eastAsia="Calibri" w:hAnsi="Arial" w:cs="Arial"/>
                <w:sz w:val="16"/>
                <w:szCs w:val="16"/>
                <w:lang w:eastAsia="en-US"/>
              </w:rPr>
            </w:pPr>
            <w:r w:rsidRPr="005C11A1">
              <w:rPr>
                <w:rFonts w:ascii="Arial" w:eastAsia="Calibri" w:hAnsi="Arial" w:cs="Arial"/>
                <w:sz w:val="16"/>
                <w:szCs w:val="16"/>
                <w:lang w:eastAsia="en-US"/>
              </w:rPr>
              <w:t>Progress of the implementation of:</w:t>
            </w:r>
          </w:p>
          <w:p w14:paraId="1540A390" w14:textId="77777777" w:rsidR="00115843" w:rsidRPr="005C11A1" w:rsidRDefault="00115843" w:rsidP="00115843">
            <w:pPr>
              <w:numPr>
                <w:ilvl w:val="0"/>
                <w:numId w:val="192"/>
              </w:numPr>
              <w:spacing w:before="60" w:after="60" w:line="240" w:lineRule="auto"/>
              <w:contextualSpacing/>
              <w:rPr>
                <w:rFonts w:ascii="Arial" w:eastAsia="Calibri" w:hAnsi="Arial" w:cs="Arial"/>
                <w:sz w:val="16"/>
                <w:szCs w:val="16"/>
                <w:lang w:val="en-US" w:eastAsia="en-US"/>
              </w:rPr>
            </w:pPr>
            <w:r w:rsidRPr="005C11A1">
              <w:rPr>
                <w:rFonts w:ascii="Arial" w:eastAsia="Calibri" w:hAnsi="Arial" w:cs="Arial"/>
                <w:sz w:val="16"/>
                <w:szCs w:val="16"/>
                <w:lang w:val="en-US" w:eastAsia="en-US"/>
              </w:rPr>
              <w:t>the National Road Safety Strategy for the decade 2021 to 2030; and</w:t>
            </w:r>
          </w:p>
          <w:p w14:paraId="6BCF762B" w14:textId="77777777" w:rsidR="00115843" w:rsidRPr="005C11A1" w:rsidRDefault="00115843" w:rsidP="00115843">
            <w:pPr>
              <w:numPr>
                <w:ilvl w:val="0"/>
                <w:numId w:val="192"/>
              </w:numPr>
              <w:spacing w:before="60" w:after="60" w:line="240" w:lineRule="auto"/>
              <w:contextualSpacing/>
              <w:rPr>
                <w:rFonts w:ascii="Arial" w:eastAsia="Calibri" w:hAnsi="Arial" w:cs="Arial"/>
                <w:sz w:val="16"/>
                <w:szCs w:val="16"/>
                <w:lang w:val="en-US" w:eastAsia="en-US"/>
              </w:rPr>
            </w:pPr>
            <w:r w:rsidRPr="005C11A1">
              <w:rPr>
                <w:rFonts w:ascii="Arial" w:eastAsia="Calibri" w:hAnsi="Arial" w:cs="Arial"/>
                <w:sz w:val="16"/>
                <w:szCs w:val="16"/>
                <w:lang w:val="en-US" w:eastAsia="en-US"/>
              </w:rPr>
              <w:t>the National Road Safety Data Hub</w:t>
            </w:r>
          </w:p>
        </w:tc>
        <w:tc>
          <w:tcPr>
            <w:tcW w:w="2334" w:type="pct"/>
            <w:tcBorders>
              <w:top w:val="single" w:sz="4" w:space="0" w:color="auto"/>
              <w:left w:val="single" w:sz="4" w:space="0" w:color="auto"/>
              <w:bottom w:val="single" w:sz="4" w:space="0" w:color="auto"/>
            </w:tcBorders>
          </w:tcPr>
          <w:p w14:paraId="10F54BEE" w14:textId="7968CF75" w:rsidR="00115843" w:rsidRPr="005C11A1" w:rsidDel="008E1A6E" w:rsidRDefault="00115843" w:rsidP="00FB0D02">
            <w:pPr>
              <w:spacing w:before="60" w:after="60" w:line="240" w:lineRule="auto"/>
              <w:rPr>
                <w:rFonts w:ascii="Arial" w:eastAsia="Calibri" w:hAnsi="Arial" w:cs="Arial"/>
                <w:b/>
                <w:sz w:val="16"/>
                <w:szCs w:val="16"/>
                <w:lang w:eastAsia="en-US"/>
              </w:rPr>
            </w:pPr>
            <w:r w:rsidRPr="005C11A1">
              <w:rPr>
                <w:rFonts w:ascii="Arial" w:eastAsia="Calibri" w:hAnsi="Arial" w:cs="Arial"/>
                <w:sz w:val="16"/>
                <w:szCs w:val="16"/>
                <w:lang w:eastAsia="en-US"/>
              </w:rPr>
              <w:t>Delivery milestones in the National Road Safety Strategy are met for each financial year</w:t>
            </w:r>
            <w:r w:rsidR="00A50FE9">
              <w:rPr>
                <w:rFonts w:ascii="Arial" w:eastAsia="Calibri" w:hAnsi="Arial" w:cs="Arial"/>
                <w:sz w:val="16"/>
                <w:szCs w:val="16"/>
                <w:lang w:eastAsia="en-US"/>
              </w:rPr>
              <w:t>.</w:t>
            </w:r>
          </w:p>
        </w:tc>
      </w:tr>
      <w:tr w:rsidR="00115843" w:rsidRPr="005C11A1" w14:paraId="09717EBB" w14:textId="77777777" w:rsidTr="00FB0D02">
        <w:trPr>
          <w:cantSplit/>
          <w:trHeight w:val="642"/>
        </w:trPr>
        <w:tc>
          <w:tcPr>
            <w:tcW w:w="1010" w:type="pct"/>
            <w:tcBorders>
              <w:top w:val="nil"/>
              <w:right w:val="single" w:sz="4" w:space="0" w:color="auto"/>
            </w:tcBorders>
          </w:tcPr>
          <w:p w14:paraId="09815E1A" w14:textId="77777777" w:rsidR="00115843" w:rsidRPr="005C11A1" w:rsidRDefault="00115843" w:rsidP="00FB0D02">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303C211" w14:textId="77777777" w:rsidR="00115843" w:rsidRPr="005C11A1" w:rsidRDefault="00115843" w:rsidP="00FB0D02">
            <w:pPr>
              <w:spacing w:before="60" w:after="60" w:line="240" w:lineRule="auto"/>
              <w:rPr>
                <w:rFonts w:ascii="Arial" w:hAnsi="Arial" w:cs="Arial"/>
                <w:i/>
                <w:sz w:val="16"/>
                <w:szCs w:val="16"/>
              </w:rPr>
            </w:pPr>
            <w:r w:rsidRPr="005C11A1">
              <w:rPr>
                <w:rFonts w:ascii="Arial" w:hAnsi="Arial" w:cs="Arial"/>
                <w:i/>
                <w:sz w:val="16"/>
                <w:szCs w:val="16"/>
              </w:rPr>
              <w:t>Average time taken to assess applications for road vehicle imports, and the implementation of Road Vehicle Standards legislation</w:t>
            </w:r>
          </w:p>
        </w:tc>
        <w:tc>
          <w:tcPr>
            <w:tcW w:w="2334" w:type="pct"/>
            <w:tcBorders>
              <w:top w:val="single" w:sz="4" w:space="0" w:color="auto"/>
              <w:left w:val="single" w:sz="4" w:space="0" w:color="auto"/>
              <w:bottom w:val="single" w:sz="4" w:space="0" w:color="auto"/>
            </w:tcBorders>
          </w:tcPr>
          <w:p w14:paraId="0238EFFB" w14:textId="0B1806E4" w:rsidR="00115843" w:rsidRPr="005C11A1" w:rsidRDefault="00115843" w:rsidP="00115843">
            <w:pPr>
              <w:numPr>
                <w:ilvl w:val="0"/>
                <w:numId w:val="194"/>
              </w:numPr>
              <w:spacing w:before="60" w:after="60" w:line="240" w:lineRule="auto"/>
              <w:ind w:left="360"/>
              <w:rPr>
                <w:rFonts w:ascii="Arial" w:hAnsi="Arial" w:cs="Arial"/>
                <w:sz w:val="16"/>
                <w:szCs w:val="16"/>
              </w:rPr>
            </w:pPr>
            <w:r w:rsidRPr="005C11A1">
              <w:rPr>
                <w:rFonts w:ascii="Arial" w:hAnsi="Arial" w:cs="Arial"/>
                <w:sz w:val="16"/>
                <w:szCs w:val="16"/>
              </w:rPr>
              <w:t>95% of applications are assessed within legislative timeframes</w:t>
            </w:r>
            <w:r w:rsidR="00A50FE9">
              <w:rPr>
                <w:rFonts w:ascii="Arial" w:hAnsi="Arial" w:cs="Arial"/>
                <w:sz w:val="16"/>
                <w:szCs w:val="16"/>
              </w:rPr>
              <w:t>.</w:t>
            </w:r>
          </w:p>
          <w:p w14:paraId="5D5B0F94" w14:textId="003AF9BE" w:rsidR="00115843" w:rsidRPr="005C11A1" w:rsidDel="008E1A6E" w:rsidRDefault="00115843" w:rsidP="00115843">
            <w:pPr>
              <w:numPr>
                <w:ilvl w:val="0"/>
                <w:numId w:val="194"/>
              </w:numPr>
              <w:spacing w:before="60" w:after="60" w:line="240" w:lineRule="auto"/>
              <w:ind w:left="360"/>
              <w:rPr>
                <w:rFonts w:ascii="Arial" w:hAnsi="Arial" w:cs="Arial"/>
                <w:sz w:val="16"/>
                <w:szCs w:val="16"/>
              </w:rPr>
            </w:pPr>
            <w:r w:rsidRPr="005C11A1">
              <w:rPr>
                <w:rFonts w:ascii="Arial" w:hAnsi="Arial" w:cs="Arial"/>
                <w:sz w:val="16"/>
                <w:szCs w:val="16"/>
              </w:rPr>
              <w:t>A two-year review of legislation will be undertaken</w:t>
            </w:r>
            <w:r w:rsidR="00A50FE9">
              <w:rPr>
                <w:rFonts w:ascii="Arial" w:hAnsi="Arial" w:cs="Arial"/>
                <w:sz w:val="16"/>
                <w:szCs w:val="16"/>
              </w:rPr>
              <w:t>.</w:t>
            </w:r>
          </w:p>
        </w:tc>
      </w:tr>
    </w:tbl>
    <w:p w14:paraId="30CEEBB3" w14:textId="7FFAF681" w:rsidR="00C26B16" w:rsidRDefault="00C26B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C26B16" w:rsidRPr="005C11A1" w14:paraId="40B0DD25" w14:textId="77777777" w:rsidTr="00B14412">
        <w:trPr>
          <w:trHeight w:val="258"/>
        </w:trPr>
        <w:tc>
          <w:tcPr>
            <w:tcW w:w="1010" w:type="pct"/>
            <w:tcBorders>
              <w:top w:val="double" w:sz="4" w:space="0" w:color="auto"/>
              <w:bottom w:val="single" w:sz="4" w:space="0" w:color="auto"/>
              <w:right w:val="single" w:sz="4" w:space="0" w:color="auto"/>
            </w:tcBorders>
          </w:tcPr>
          <w:p w14:paraId="207B9CBB" w14:textId="77777777" w:rsidR="00C26B16" w:rsidRPr="005C11A1" w:rsidRDefault="00C26B16" w:rsidP="00B14412">
            <w:pPr>
              <w:spacing w:before="60" w:after="60" w:line="240" w:lineRule="auto"/>
              <w:rPr>
                <w:rFonts w:ascii="Arial" w:hAnsi="Arial" w:cs="Arial"/>
                <w:b/>
                <w:sz w:val="16"/>
                <w:szCs w:val="16"/>
              </w:rPr>
            </w:pPr>
            <w:r w:rsidRPr="005C11A1">
              <w:rPr>
                <w:rFonts w:ascii="Arial" w:hAnsi="Arial" w:cs="Arial"/>
                <w:b/>
                <w:sz w:val="16"/>
                <w:szCs w:val="16"/>
              </w:rPr>
              <w:lastRenderedPageBreak/>
              <w:t>Year</w:t>
            </w:r>
          </w:p>
        </w:tc>
        <w:tc>
          <w:tcPr>
            <w:tcW w:w="1656" w:type="pct"/>
            <w:tcBorders>
              <w:top w:val="double" w:sz="4" w:space="0" w:color="auto"/>
              <w:left w:val="single" w:sz="4" w:space="0" w:color="auto"/>
              <w:bottom w:val="single" w:sz="4" w:space="0" w:color="auto"/>
              <w:right w:val="single" w:sz="4" w:space="0" w:color="auto"/>
            </w:tcBorders>
          </w:tcPr>
          <w:p w14:paraId="413862DD" w14:textId="77777777" w:rsidR="00C26B16" w:rsidRPr="005C11A1" w:rsidRDefault="00C26B16" w:rsidP="00B14412">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B358EB7" w14:textId="77777777" w:rsidR="00C26B16" w:rsidRPr="005C11A1" w:rsidRDefault="00C26B16" w:rsidP="00B14412">
            <w:pPr>
              <w:spacing w:before="60" w:after="60" w:line="240" w:lineRule="auto"/>
              <w:rPr>
                <w:rFonts w:ascii="Arial" w:hAnsi="Arial" w:cs="Arial"/>
                <w:b/>
                <w:sz w:val="16"/>
                <w:szCs w:val="16"/>
              </w:rPr>
            </w:pPr>
            <w:r>
              <w:rPr>
                <w:rFonts w:ascii="Arial" w:hAnsi="Arial" w:cs="Arial"/>
                <w:b/>
                <w:sz w:val="16"/>
                <w:szCs w:val="16"/>
              </w:rPr>
              <w:t>Plann</w:t>
            </w:r>
            <w:r w:rsidRPr="005C11A1">
              <w:rPr>
                <w:rFonts w:ascii="Arial" w:hAnsi="Arial" w:cs="Arial"/>
                <w:b/>
                <w:sz w:val="16"/>
                <w:szCs w:val="16"/>
              </w:rPr>
              <w:t>ed Performance Results</w:t>
            </w:r>
          </w:p>
        </w:tc>
      </w:tr>
      <w:tr w:rsidR="00115843" w:rsidRPr="005C11A1" w14:paraId="084037CA" w14:textId="77777777" w:rsidTr="00FB0D02">
        <w:trPr>
          <w:cantSplit/>
          <w:trHeight w:val="642"/>
        </w:trPr>
        <w:tc>
          <w:tcPr>
            <w:tcW w:w="1010" w:type="pct"/>
            <w:tcBorders>
              <w:bottom w:val="single" w:sz="4" w:space="0" w:color="auto"/>
              <w:right w:val="single" w:sz="4" w:space="0" w:color="auto"/>
            </w:tcBorders>
          </w:tcPr>
          <w:p w14:paraId="62178DDE" w14:textId="126B1345" w:rsidR="00115843" w:rsidRPr="005C11A1" w:rsidRDefault="00C26B16" w:rsidP="00FB0D02">
            <w:pPr>
              <w:spacing w:before="60" w:after="60" w:line="240" w:lineRule="auto"/>
              <w:rPr>
                <w:rFonts w:ascii="Arial" w:hAnsi="Arial" w:cs="Arial"/>
                <w:sz w:val="16"/>
                <w:szCs w:val="16"/>
              </w:rPr>
            </w:pPr>
            <w:r>
              <w:br w:type="page"/>
            </w:r>
            <w:r w:rsidR="00115843" w:rsidRPr="005C11A1">
              <w:rPr>
                <w:rFonts w:ascii="Arial" w:eastAsia="Calibri" w:hAnsi="Arial" w:cs="Arial"/>
                <w:sz w:val="16"/>
                <w:szCs w:val="16"/>
              </w:rPr>
              <w:t>Forward Estimates</w:t>
            </w:r>
            <w:r w:rsidR="00115843" w:rsidRPr="005C11A1">
              <w:rPr>
                <w:rFonts w:ascii="Arial" w:eastAsia="Calibri" w:hAnsi="Arial" w:cs="Arial"/>
                <w:sz w:val="16"/>
                <w:szCs w:val="16"/>
              </w:rPr>
              <w:br/>
              <w:t>2023–26</w:t>
            </w:r>
            <w:r w:rsidR="00115843">
              <w:rPr>
                <w:rFonts w:ascii="Arial" w:eastAsia="Calibri" w:hAnsi="Arial" w:cs="Arial"/>
                <w:sz w:val="16"/>
                <w:szCs w:val="16"/>
              </w:rPr>
              <w:t xml:space="preserve"> cont.</w:t>
            </w:r>
          </w:p>
        </w:tc>
        <w:tc>
          <w:tcPr>
            <w:tcW w:w="1656" w:type="pct"/>
            <w:tcBorders>
              <w:top w:val="single" w:sz="4" w:space="0" w:color="auto"/>
              <w:left w:val="single" w:sz="4" w:space="0" w:color="auto"/>
              <w:bottom w:val="single" w:sz="4" w:space="0" w:color="auto"/>
              <w:right w:val="single" w:sz="4" w:space="0" w:color="auto"/>
            </w:tcBorders>
          </w:tcPr>
          <w:p w14:paraId="3CAA77DB" w14:textId="77777777" w:rsidR="00115843" w:rsidRPr="005C11A1" w:rsidRDefault="00115843" w:rsidP="00FB0D02">
            <w:pPr>
              <w:spacing w:before="60" w:after="60" w:line="240" w:lineRule="auto"/>
              <w:rPr>
                <w:rFonts w:ascii="Arial" w:eastAsia="Calibri" w:hAnsi="Arial" w:cs="Arial"/>
                <w:sz w:val="16"/>
                <w:szCs w:val="16"/>
                <w:lang w:eastAsia="en-US"/>
              </w:rPr>
            </w:pPr>
            <w:r w:rsidRPr="005C11A1">
              <w:rPr>
                <w:rFonts w:ascii="Arial" w:hAnsi="Arial" w:cs="Arial"/>
                <w:sz w:val="16"/>
                <w:szCs w:val="16"/>
              </w:rPr>
              <w:t>Reduction in the number of road fatalities and fatality rate per 100,000 population</w:t>
            </w:r>
            <w:r w:rsidRPr="005C11A1">
              <w:rPr>
                <w:rFonts w:ascii="Arial" w:eastAsia="Calibri" w:hAnsi="Arial" w:cs="Arial"/>
                <w:sz w:val="16"/>
                <w:szCs w:val="16"/>
                <w:lang w:eastAsia="en-US"/>
              </w:rPr>
              <w:t xml:space="preserve"> </w:t>
            </w:r>
          </w:p>
        </w:tc>
        <w:tc>
          <w:tcPr>
            <w:tcW w:w="2334" w:type="pct"/>
            <w:tcBorders>
              <w:top w:val="single" w:sz="4" w:space="0" w:color="auto"/>
              <w:left w:val="single" w:sz="4" w:space="0" w:color="auto"/>
              <w:bottom w:val="single" w:sz="4" w:space="0" w:color="auto"/>
            </w:tcBorders>
          </w:tcPr>
          <w:p w14:paraId="72C4F036" w14:textId="72EF9875" w:rsidR="00115843" w:rsidRPr="005C11A1" w:rsidDel="008E1A6E" w:rsidRDefault="00115843" w:rsidP="00FB0D02">
            <w:pPr>
              <w:spacing w:before="60" w:after="60" w:line="240" w:lineRule="auto"/>
              <w:rPr>
                <w:rFonts w:ascii="Arial" w:eastAsia="Calibri" w:hAnsi="Arial" w:cs="Arial"/>
                <w:b/>
                <w:sz w:val="16"/>
                <w:szCs w:val="16"/>
                <w:lang w:eastAsia="en-US"/>
              </w:rPr>
            </w:pPr>
            <w:r w:rsidRPr="005C11A1">
              <w:rPr>
                <w:rFonts w:ascii="Arial" w:hAnsi="Arial" w:cs="Arial"/>
                <w:sz w:val="16"/>
                <w:szCs w:val="16"/>
              </w:rPr>
              <w:t>As per the National Road Safety Strategy for the decade 2021 to 2030, a reduction in the annual number of fatalities by at least 50% by 2030</w:t>
            </w:r>
            <w:r w:rsidR="00C26B16">
              <w:rPr>
                <w:rFonts w:ascii="Arial" w:hAnsi="Arial" w:cs="Arial"/>
                <w:sz w:val="16"/>
                <w:szCs w:val="16"/>
              </w:rPr>
              <w:t>.</w:t>
            </w:r>
          </w:p>
        </w:tc>
      </w:tr>
    </w:tbl>
    <w:p w14:paraId="22A8F0B7" w14:textId="77777777" w:rsidR="00115843" w:rsidRPr="0016575D" w:rsidRDefault="00115843" w:rsidP="00115843">
      <w:pPr>
        <w:spacing w:before="60" w:after="0" w:line="240" w:lineRule="auto"/>
        <w:rPr>
          <w:rFonts w:ascii="Arial" w:hAnsi="Arial" w:cs="Arial"/>
          <w:sz w:val="16"/>
        </w:rPr>
      </w:pPr>
      <w:r w:rsidRPr="0016575D">
        <w:rPr>
          <w:rFonts w:ascii="Arial" w:hAnsi="Arial" w:cs="Arial"/>
          <w:sz w:val="16"/>
        </w:rPr>
        <w:t xml:space="preserve">New or modified performance </w:t>
      </w:r>
      <w:r>
        <w:rPr>
          <w:rFonts w:ascii="Arial" w:hAnsi="Arial" w:cs="Arial"/>
          <w:sz w:val="16"/>
        </w:rPr>
        <w:t>m</w:t>
      </w:r>
      <w:r w:rsidRPr="0016575D">
        <w:rPr>
          <w:rFonts w:ascii="Arial" w:hAnsi="Arial" w:cs="Arial"/>
          <w:sz w:val="16"/>
        </w:rPr>
        <w:t>easure</w:t>
      </w:r>
      <w:r>
        <w:rPr>
          <w:rFonts w:ascii="Arial" w:hAnsi="Arial" w:cs="Arial"/>
          <w:sz w:val="16"/>
        </w:rPr>
        <w:t>s</w:t>
      </w:r>
      <w:r w:rsidRPr="0016575D">
        <w:rPr>
          <w:rFonts w:ascii="Arial" w:hAnsi="Arial" w:cs="Arial"/>
          <w:sz w:val="16"/>
        </w:rPr>
        <w:t xml:space="preserve"> that reflect new or materially changed programs are shown in </w:t>
      </w:r>
      <w:r>
        <w:rPr>
          <w:rFonts w:ascii="Arial" w:hAnsi="Arial" w:cs="Arial"/>
          <w:sz w:val="16"/>
        </w:rPr>
        <w:t>i</w:t>
      </w:r>
      <w:r w:rsidRPr="0016575D">
        <w:rPr>
          <w:rFonts w:ascii="Arial" w:hAnsi="Arial" w:cs="Arial"/>
          <w:i/>
          <w:sz w:val="16"/>
        </w:rPr>
        <w:t>talics.</w:t>
      </w:r>
      <w:r w:rsidRPr="0016575D">
        <w:rPr>
          <w:rFonts w:ascii="Arial" w:hAnsi="Arial" w:cs="Arial"/>
          <w:sz w:val="16"/>
        </w:rPr>
        <w:t xml:space="preserve"> </w:t>
      </w:r>
    </w:p>
    <w:p w14:paraId="46275606" w14:textId="77777777" w:rsidR="00115843" w:rsidRPr="005C11A1" w:rsidRDefault="00115843" w:rsidP="00115843">
      <w:pPr>
        <w:pStyle w:val="ListParagraph"/>
        <w:numPr>
          <w:ilvl w:val="0"/>
          <w:numId w:val="198"/>
        </w:numPr>
        <w:spacing w:after="0" w:line="240" w:lineRule="auto"/>
        <w:rPr>
          <w:rFonts w:ascii="Arial" w:hAnsi="Arial" w:cs="Arial"/>
          <w:sz w:val="16"/>
        </w:rPr>
      </w:pPr>
      <w:r w:rsidRPr="00AE3E41">
        <w:rPr>
          <w:rFonts w:ascii="Arial" w:hAnsi="Arial" w:cs="Arial"/>
          <w:sz w:val="16"/>
          <w:szCs w:val="16"/>
        </w:rPr>
        <w:t>New key activity reflected in the 2022–23 Corporate Plan.</w:t>
      </w:r>
    </w:p>
    <w:p w14:paraId="6E1C1133" w14:textId="77777777" w:rsidR="00115843" w:rsidRDefault="00115843" w:rsidP="00115843">
      <w:pPr>
        <w:spacing w:after="0" w:line="240" w:lineRule="auto"/>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4810CF" w14:paraId="41A20D59" w14:textId="77777777" w:rsidTr="002F3AAF">
        <w:trPr>
          <w:trHeight w:val="522"/>
        </w:trPr>
        <w:tc>
          <w:tcPr>
            <w:tcW w:w="5000" w:type="pct"/>
            <w:gridSpan w:val="3"/>
            <w:shd w:val="clear" w:color="auto" w:fill="E6E6E6"/>
          </w:tcPr>
          <w:p w14:paraId="45CCB661" w14:textId="77777777" w:rsidR="00115843" w:rsidRPr="004810CF" w:rsidRDefault="00115843" w:rsidP="00FB0D02">
            <w:pPr>
              <w:spacing w:before="60" w:after="120" w:line="240" w:lineRule="auto"/>
              <w:rPr>
                <w:rFonts w:ascii="Arial" w:eastAsia="Calibri" w:hAnsi="Arial" w:cs="Arial"/>
                <w:b/>
                <w:sz w:val="18"/>
                <w:szCs w:val="18"/>
                <w:lang w:eastAsia="en-US"/>
              </w:rPr>
            </w:pPr>
            <w:bookmarkStart w:id="21" w:name="AirTransport2_3"/>
            <w:r w:rsidRPr="004810CF">
              <w:rPr>
                <w:rFonts w:ascii="Arial" w:eastAsia="Calibri" w:hAnsi="Arial" w:cs="Arial"/>
                <w:b/>
                <w:sz w:val="18"/>
                <w:szCs w:val="18"/>
                <w:lang w:eastAsia="en-US"/>
              </w:rPr>
              <w:t>Program 2.3 – Air Transport</w:t>
            </w:r>
            <w:bookmarkEnd w:id="21"/>
          </w:p>
          <w:p w14:paraId="597D93F5" w14:textId="77777777" w:rsidR="00115843" w:rsidRPr="004810CF" w:rsidRDefault="00115843" w:rsidP="00FB0D02">
            <w:pPr>
              <w:spacing w:before="60" w:after="60" w:line="240" w:lineRule="auto"/>
              <w:rPr>
                <w:rFonts w:ascii="Arial" w:hAnsi="Arial"/>
                <w:sz w:val="18"/>
                <w:highlight w:val="yellow"/>
              </w:rPr>
            </w:pPr>
            <w:r w:rsidRPr="004810CF">
              <w:rPr>
                <w:rFonts w:ascii="Arial" w:eastAsia="Calibri" w:hAnsi="Arial" w:cs="Arial"/>
                <w:sz w:val="18"/>
                <w:szCs w:val="18"/>
                <w:lang w:eastAsia="en-US"/>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regional and remote areas.</w:t>
            </w:r>
          </w:p>
        </w:tc>
      </w:tr>
      <w:tr w:rsidR="00115843" w:rsidRPr="004810CF" w14:paraId="75990C71" w14:textId="77777777" w:rsidTr="00FB0D02">
        <w:trPr>
          <w:trHeight w:val="174"/>
        </w:trPr>
        <w:tc>
          <w:tcPr>
            <w:tcW w:w="1010" w:type="pct"/>
            <w:tcBorders>
              <w:bottom w:val="double" w:sz="4" w:space="0" w:color="auto"/>
            </w:tcBorders>
          </w:tcPr>
          <w:p w14:paraId="00E6E607" w14:textId="77777777" w:rsidR="00115843" w:rsidRPr="004810CF" w:rsidRDefault="00115843" w:rsidP="00FB0D02">
            <w:pPr>
              <w:tabs>
                <w:tab w:val="left" w:pos="709"/>
              </w:tabs>
              <w:spacing w:before="60" w:after="60" w:line="259" w:lineRule="auto"/>
              <w:rPr>
                <w:rFonts w:ascii="Arial" w:eastAsiaTheme="minorHAnsi" w:hAnsi="Arial" w:cs="Arial"/>
                <w:b/>
                <w:sz w:val="16"/>
                <w:szCs w:val="16"/>
                <w:lang w:eastAsia="en-US"/>
              </w:rPr>
            </w:pPr>
            <w:r w:rsidRPr="004810CF">
              <w:rPr>
                <w:rFonts w:ascii="Arial" w:eastAsia="Calibri" w:hAnsi="Arial" w:cs="Arial"/>
                <w:b/>
                <w:sz w:val="16"/>
                <w:szCs w:val="16"/>
                <w:lang w:eastAsia="en-US"/>
              </w:rPr>
              <w:t xml:space="preserve">Key </w:t>
            </w:r>
            <w:r w:rsidRPr="0002192E">
              <w:rPr>
                <w:rFonts w:ascii="Arial" w:eastAsia="Calibri" w:hAnsi="Arial" w:cs="Arial"/>
                <w:b/>
                <w:sz w:val="16"/>
                <w:szCs w:val="16"/>
                <w:lang w:eastAsia="en-US"/>
              </w:rPr>
              <w:t xml:space="preserve">Activities </w:t>
            </w:r>
            <w:r w:rsidRPr="0002192E">
              <w:rPr>
                <w:rFonts w:ascii="Arial" w:eastAsia="Calibri" w:hAnsi="Arial" w:cs="Arial"/>
                <w:b/>
                <w:sz w:val="16"/>
                <w:szCs w:val="16"/>
                <w:vertAlign w:val="superscript"/>
                <w:lang w:eastAsia="en-US"/>
              </w:rPr>
              <w:t>(a)</w:t>
            </w:r>
          </w:p>
        </w:tc>
        <w:tc>
          <w:tcPr>
            <w:tcW w:w="3990" w:type="pct"/>
            <w:gridSpan w:val="2"/>
            <w:tcBorders>
              <w:bottom w:val="double" w:sz="4" w:space="0" w:color="auto"/>
            </w:tcBorders>
          </w:tcPr>
          <w:p w14:paraId="35135417" w14:textId="77777777" w:rsidR="00115843" w:rsidRPr="004810CF" w:rsidRDefault="00115843" w:rsidP="00115843">
            <w:pPr>
              <w:numPr>
                <w:ilvl w:val="0"/>
                <w:numId w:val="13"/>
              </w:numPr>
              <w:spacing w:before="60" w:after="0" w:line="240" w:lineRule="auto"/>
              <w:ind w:left="321"/>
              <w:rPr>
                <w:rFonts w:ascii="Arial" w:eastAsia="Calibri" w:hAnsi="Arial" w:cs="Arial"/>
                <w:sz w:val="16"/>
                <w:szCs w:val="16"/>
                <w:lang w:eastAsia="en-US"/>
              </w:rPr>
            </w:pPr>
            <w:r w:rsidRPr="004810CF">
              <w:rPr>
                <w:rFonts w:ascii="Arial" w:eastAsia="Calibri" w:hAnsi="Arial" w:cs="Arial"/>
                <w:sz w:val="16"/>
                <w:szCs w:val="16"/>
                <w:lang w:eastAsia="en-US"/>
              </w:rPr>
              <w:t xml:space="preserve">Lead the design of the Western Sydney Airport flight path </w:t>
            </w:r>
            <w:r w:rsidRPr="004810CF">
              <w:rPr>
                <w:rFonts w:ascii="Arial" w:eastAsia="Calibri" w:hAnsi="Arial" w:cs="Arial"/>
                <w:sz w:val="16"/>
                <w:szCs w:val="16"/>
                <w:vertAlign w:val="superscript"/>
                <w:lang w:eastAsia="en-US"/>
              </w:rPr>
              <w:t>(b)</w:t>
            </w:r>
          </w:p>
          <w:p w14:paraId="418DBD04" w14:textId="77777777" w:rsidR="00115843" w:rsidRPr="004810CF" w:rsidRDefault="00115843" w:rsidP="00115843">
            <w:pPr>
              <w:numPr>
                <w:ilvl w:val="0"/>
                <w:numId w:val="13"/>
              </w:numPr>
              <w:spacing w:after="60" w:line="240" w:lineRule="auto"/>
              <w:ind w:left="321"/>
              <w:rPr>
                <w:rFonts w:ascii="Arial" w:eastAsia="Calibri" w:hAnsi="Arial" w:cs="Arial"/>
                <w:sz w:val="16"/>
                <w:szCs w:val="16"/>
                <w:lang w:eastAsia="en-US"/>
              </w:rPr>
            </w:pPr>
            <w:r w:rsidRPr="004810CF">
              <w:rPr>
                <w:rFonts w:ascii="Arial" w:eastAsia="Calibri" w:hAnsi="Arial" w:cs="Arial"/>
                <w:sz w:val="16"/>
                <w:szCs w:val="16"/>
                <w:lang w:eastAsia="en-US"/>
              </w:rPr>
              <w:t xml:space="preserve">Manage domestic aviation policy, program and regulation </w:t>
            </w:r>
            <w:r w:rsidRPr="004810CF">
              <w:rPr>
                <w:rFonts w:ascii="Arial" w:eastAsia="Calibri" w:hAnsi="Arial" w:cs="Arial"/>
                <w:sz w:val="16"/>
                <w:szCs w:val="16"/>
                <w:vertAlign w:val="superscript"/>
                <w:lang w:eastAsia="en-US"/>
              </w:rPr>
              <w:t>(c)</w:t>
            </w:r>
          </w:p>
        </w:tc>
      </w:tr>
      <w:tr w:rsidR="00115843" w:rsidRPr="004810CF" w14:paraId="380E7E49" w14:textId="77777777" w:rsidTr="00FB0D02">
        <w:trPr>
          <w:trHeight w:val="258"/>
        </w:trPr>
        <w:tc>
          <w:tcPr>
            <w:tcW w:w="1010" w:type="pct"/>
            <w:tcBorders>
              <w:top w:val="double" w:sz="4" w:space="0" w:color="auto"/>
              <w:bottom w:val="single" w:sz="4" w:space="0" w:color="auto"/>
              <w:right w:val="single" w:sz="4" w:space="0" w:color="auto"/>
            </w:tcBorders>
          </w:tcPr>
          <w:p w14:paraId="0B7F463D" w14:textId="77777777" w:rsidR="00115843" w:rsidRPr="004810CF" w:rsidRDefault="00115843" w:rsidP="00FB0D02">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CB636F4"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6566E93C" w14:textId="77777777" w:rsidR="00115843" w:rsidRPr="004810CF" w:rsidRDefault="00115843" w:rsidP="00FB0D02">
            <w:pPr>
              <w:spacing w:before="60" w:after="60" w:line="240" w:lineRule="auto"/>
              <w:rPr>
                <w:rFonts w:ascii="Arial" w:hAnsi="Arial" w:cs="Arial"/>
                <w:b/>
                <w:sz w:val="16"/>
                <w:szCs w:val="16"/>
              </w:rPr>
            </w:pPr>
            <w:r>
              <w:rPr>
                <w:rFonts w:ascii="Arial" w:hAnsi="Arial" w:cs="Arial"/>
                <w:b/>
                <w:sz w:val="16"/>
                <w:szCs w:val="16"/>
              </w:rPr>
              <w:t>Expected</w:t>
            </w:r>
            <w:r w:rsidRPr="004810CF">
              <w:rPr>
                <w:rFonts w:ascii="Arial" w:hAnsi="Arial" w:cs="Arial"/>
                <w:b/>
                <w:sz w:val="16"/>
                <w:szCs w:val="16"/>
              </w:rPr>
              <w:t xml:space="preserve"> Performance Results</w:t>
            </w:r>
          </w:p>
        </w:tc>
      </w:tr>
      <w:tr w:rsidR="00115843" w:rsidRPr="004810CF" w14:paraId="22F92790" w14:textId="77777777" w:rsidTr="00FB0D02">
        <w:trPr>
          <w:cantSplit/>
          <w:trHeight w:val="642"/>
        </w:trPr>
        <w:tc>
          <w:tcPr>
            <w:tcW w:w="1010" w:type="pct"/>
            <w:tcBorders>
              <w:top w:val="single" w:sz="4" w:space="0" w:color="auto"/>
              <w:bottom w:val="nil"/>
              <w:right w:val="single" w:sz="4" w:space="0" w:color="auto"/>
            </w:tcBorders>
          </w:tcPr>
          <w:p w14:paraId="1F0F880B" w14:textId="77777777" w:rsidR="00115843" w:rsidRPr="00DB0E5D" w:rsidRDefault="00115843" w:rsidP="00FB0D02">
            <w:pPr>
              <w:spacing w:before="60" w:after="60" w:line="240" w:lineRule="auto"/>
              <w:rPr>
                <w:rFonts w:ascii="Arial" w:hAnsi="Arial"/>
                <w:sz w:val="16"/>
                <w:szCs w:val="16"/>
              </w:rPr>
            </w:pPr>
            <w:r w:rsidRPr="008D55A3">
              <w:rPr>
                <w:rFonts w:ascii="Arial" w:hAnsi="Arial"/>
                <w:sz w:val="16"/>
                <w:szCs w:val="16"/>
              </w:rPr>
              <w:t xml:space="preserve">Prior </w:t>
            </w:r>
            <w:r>
              <w:rPr>
                <w:rFonts w:ascii="Arial" w:hAnsi="Arial"/>
                <w:sz w:val="16"/>
                <w:szCs w:val="16"/>
              </w:rPr>
              <w:t>y</w:t>
            </w:r>
            <w:r w:rsidRPr="008D55A3">
              <w:rPr>
                <w:rFonts w:ascii="Arial" w:hAnsi="Arial"/>
                <w:sz w:val="16"/>
                <w:szCs w:val="16"/>
              </w:rPr>
              <w:t xml:space="preserve">ear </w:t>
            </w:r>
            <w:r>
              <w:rPr>
                <w:rFonts w:ascii="Arial" w:hAnsi="Arial"/>
                <w:sz w:val="16"/>
                <w:szCs w:val="16"/>
              </w:rPr>
              <w:br/>
            </w:r>
            <w:r w:rsidRPr="008D55A3">
              <w:rPr>
                <w:rFonts w:ascii="Arial" w:hAnsi="Arial"/>
                <w:sz w:val="16"/>
                <w:szCs w:val="16"/>
              </w:rPr>
              <w:t>2021–22</w:t>
            </w:r>
          </w:p>
        </w:tc>
        <w:tc>
          <w:tcPr>
            <w:tcW w:w="1656" w:type="pct"/>
            <w:tcBorders>
              <w:top w:val="single" w:sz="4" w:space="0" w:color="auto"/>
              <w:left w:val="single" w:sz="4" w:space="0" w:color="auto"/>
              <w:bottom w:val="single" w:sz="4" w:space="0" w:color="auto"/>
              <w:right w:val="single" w:sz="4" w:space="0" w:color="auto"/>
            </w:tcBorders>
          </w:tcPr>
          <w:p w14:paraId="31E2D973" w14:textId="77777777" w:rsidR="00115843" w:rsidRPr="004810CF" w:rsidRDefault="00115843" w:rsidP="00FB0D02">
            <w:pPr>
              <w:spacing w:before="60" w:after="60" w:line="240" w:lineRule="auto"/>
              <w:contextualSpacing/>
              <w:rPr>
                <w:rFonts w:ascii="Arial" w:eastAsia="Calibri" w:hAnsi="Arial" w:cs="Arial"/>
                <w:sz w:val="16"/>
                <w:szCs w:val="16"/>
                <w:vertAlign w:val="superscript"/>
                <w:lang w:eastAsia="en-US"/>
              </w:rPr>
            </w:pPr>
            <w:r w:rsidRPr="004810CF">
              <w:rPr>
                <w:rFonts w:ascii="Arial" w:eastAsia="Calibri" w:hAnsi="Arial" w:cs="Arial"/>
                <w:sz w:val="16"/>
                <w:szCs w:val="16"/>
                <w:lang w:eastAsia="en-US"/>
              </w:rPr>
              <w:t>Implementation of Western Sydney International (Nancy-Bird Walton) Airport </w:t>
            </w:r>
            <w:r w:rsidRPr="004810CF">
              <w:rPr>
                <w:rFonts w:ascii="Arial" w:eastAsia="Calibri" w:hAnsi="Arial" w:cs="Arial"/>
                <w:sz w:val="16"/>
                <w:szCs w:val="16"/>
                <w:vertAlign w:val="superscript"/>
                <w:lang w:eastAsia="en-US"/>
              </w:rPr>
              <w:t>(d)</w:t>
            </w:r>
            <w:r w:rsidRPr="004810CF">
              <w:rPr>
                <w:rFonts w:asciiTheme="minorHAnsi" w:eastAsiaTheme="minorHAnsi" w:hAnsiTheme="minorHAnsi" w:cstheme="minorBidi"/>
                <w:b/>
                <w:color w:val="FFFFFF" w:themeColor="background1"/>
                <w:sz w:val="16"/>
                <w:szCs w:val="16"/>
                <w:shd w:val="clear" w:color="auto" w:fill="000066"/>
                <w:lang w:val="en-US" w:eastAsia="en-US"/>
              </w:rPr>
              <w:t xml:space="preserve"> </w:t>
            </w:r>
          </w:p>
        </w:tc>
        <w:tc>
          <w:tcPr>
            <w:tcW w:w="2334" w:type="pct"/>
            <w:tcBorders>
              <w:top w:val="single" w:sz="4" w:space="0" w:color="auto"/>
              <w:left w:val="single" w:sz="4" w:space="0" w:color="auto"/>
              <w:bottom w:val="single" w:sz="4" w:space="0" w:color="auto"/>
            </w:tcBorders>
          </w:tcPr>
          <w:p w14:paraId="66BCE73E" w14:textId="3D41711E" w:rsidR="00115843" w:rsidRPr="004810CF" w:rsidRDefault="00115843" w:rsidP="00FB0D02">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Delivery milestones are met for 2021</w:t>
            </w:r>
            <w:r w:rsidR="00C26B16">
              <w:rPr>
                <w:rFonts w:ascii="Arial" w:eastAsia="Calibri" w:hAnsi="Arial" w:cs="Arial"/>
                <w:sz w:val="16"/>
                <w:szCs w:val="16"/>
                <w:lang w:eastAsia="en-US"/>
              </w:rPr>
              <w:noBreakHyphen/>
            </w:r>
            <w:r w:rsidRPr="004810CF">
              <w:rPr>
                <w:rFonts w:ascii="Arial" w:eastAsia="Calibri" w:hAnsi="Arial" w:cs="Arial"/>
                <w:sz w:val="16"/>
                <w:szCs w:val="16"/>
                <w:lang w:eastAsia="en-US"/>
              </w:rPr>
              <w:t>22</w:t>
            </w:r>
          </w:p>
          <w:p w14:paraId="780026E3"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Target met</w:t>
            </w:r>
          </w:p>
          <w:p w14:paraId="38E0CBD9" w14:textId="77777777" w:rsidR="00115843" w:rsidRPr="004810CF" w:rsidRDefault="00115843" w:rsidP="00FB0D02">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Actual: </w:t>
            </w:r>
            <w:r w:rsidRPr="004810CF">
              <w:rPr>
                <w:rFonts w:ascii="Arial" w:eastAsia="Calibri" w:hAnsi="Arial" w:cs="Arial"/>
                <w:sz w:val="16"/>
                <w:szCs w:val="16"/>
                <w:lang w:eastAsia="en-US"/>
              </w:rPr>
              <w:t>Western Sydney International (Nancy-Bird Walton) Airport (WSI) is progressing well. It is over 33% complete (as at June 2022), and on track to commence operations in late 2026</w:t>
            </w:r>
          </w:p>
        </w:tc>
      </w:tr>
      <w:tr w:rsidR="00115843" w:rsidRPr="004810CF" w14:paraId="6F51C294" w14:textId="77777777" w:rsidTr="00FB0D02">
        <w:trPr>
          <w:cantSplit/>
          <w:trHeight w:val="642"/>
        </w:trPr>
        <w:tc>
          <w:tcPr>
            <w:tcW w:w="1010" w:type="pct"/>
            <w:tcBorders>
              <w:top w:val="nil"/>
              <w:bottom w:val="nil"/>
              <w:right w:val="single" w:sz="4" w:space="0" w:color="auto"/>
            </w:tcBorders>
          </w:tcPr>
          <w:p w14:paraId="4B6F9016"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11F76E7E"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5C568AB9" w14:textId="77777777" w:rsidR="00115843" w:rsidRPr="004810CF" w:rsidRDefault="00115843" w:rsidP="00FB0D02">
            <w:pPr>
              <w:spacing w:before="60" w:after="60" w:line="240" w:lineRule="auto"/>
              <w:ind w:right="-12"/>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100% in each financial year</w:t>
            </w:r>
          </w:p>
          <w:p w14:paraId="7F14C8D3"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Target met</w:t>
            </w:r>
          </w:p>
          <w:p w14:paraId="5B693CE3" w14:textId="77777777" w:rsidR="00115843" w:rsidRPr="004810CF" w:rsidRDefault="00115843" w:rsidP="00FB0D02">
            <w:pPr>
              <w:spacing w:before="60" w:after="60" w:line="240" w:lineRule="auto"/>
              <w:rPr>
                <w:rFonts w:ascii="Arial" w:hAnsi="Arial"/>
                <w:sz w:val="16"/>
                <w:szCs w:val="16"/>
              </w:rPr>
            </w:pPr>
            <w:r>
              <w:rPr>
                <w:rFonts w:ascii="Arial" w:hAnsi="Arial"/>
                <w:sz w:val="16"/>
                <w:szCs w:val="16"/>
              </w:rPr>
              <w:t xml:space="preserve">Actual: </w:t>
            </w:r>
            <w:r w:rsidRPr="004810CF">
              <w:rPr>
                <w:rFonts w:ascii="Arial" w:hAnsi="Arial"/>
                <w:sz w:val="16"/>
                <w:szCs w:val="16"/>
              </w:rPr>
              <w:t>All Master Plans and Major Development Plans were assessed within statutory timeframes</w:t>
            </w:r>
          </w:p>
        </w:tc>
      </w:tr>
      <w:tr w:rsidR="00115843" w:rsidRPr="004810CF" w14:paraId="2AB2E6B3" w14:textId="77777777" w:rsidTr="00FB0D02">
        <w:trPr>
          <w:cantSplit/>
          <w:trHeight w:val="2465"/>
        </w:trPr>
        <w:tc>
          <w:tcPr>
            <w:tcW w:w="1010" w:type="pct"/>
            <w:tcBorders>
              <w:top w:val="nil"/>
              <w:right w:val="single" w:sz="4" w:space="0" w:color="auto"/>
            </w:tcBorders>
          </w:tcPr>
          <w:p w14:paraId="2EA29A1C"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EFEDED8"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Performance of the Domestic Aviation Network Support (DANS) and Regional Airline Network Support (RANS) programs, indicated through number of:</w:t>
            </w:r>
          </w:p>
          <w:p w14:paraId="02B7C091" w14:textId="77777777" w:rsidR="00115843" w:rsidRPr="004810CF" w:rsidRDefault="00115843" w:rsidP="00115843">
            <w:pPr>
              <w:numPr>
                <w:ilvl w:val="0"/>
                <w:numId w:val="199"/>
              </w:numPr>
              <w:spacing w:before="60" w:after="60" w:line="240" w:lineRule="auto"/>
              <w:contextualSpacing/>
              <w:rPr>
                <w:rFonts w:ascii="Arial" w:eastAsia="Calibri" w:hAnsi="Arial" w:cs="Arial"/>
                <w:sz w:val="16"/>
                <w:szCs w:val="16"/>
                <w:lang w:eastAsia="en-US"/>
              </w:rPr>
            </w:pPr>
            <w:r w:rsidRPr="004810CF">
              <w:rPr>
                <w:rFonts w:ascii="Arial" w:eastAsia="Calibri" w:hAnsi="Arial" w:cs="Arial"/>
                <w:sz w:val="16"/>
                <w:szCs w:val="16"/>
                <w:lang w:eastAsia="en-US"/>
              </w:rPr>
              <w:t>domestic commercial airlines receiving DANS or RANS support</w:t>
            </w:r>
          </w:p>
          <w:p w14:paraId="5E6321B6" w14:textId="77777777" w:rsidR="00115843" w:rsidRPr="004810CF" w:rsidRDefault="00115843" w:rsidP="00115843">
            <w:pPr>
              <w:numPr>
                <w:ilvl w:val="0"/>
                <w:numId w:val="199"/>
              </w:numPr>
              <w:spacing w:before="60" w:after="60" w:line="240" w:lineRule="auto"/>
              <w:contextualSpacing/>
              <w:rPr>
                <w:rFonts w:ascii="Arial" w:eastAsia="Calibri" w:hAnsi="Arial" w:cs="Arial"/>
                <w:sz w:val="16"/>
                <w:szCs w:val="16"/>
                <w:lang w:eastAsia="en-US"/>
              </w:rPr>
            </w:pPr>
            <w:r w:rsidRPr="004810CF">
              <w:rPr>
                <w:rFonts w:ascii="Arial" w:eastAsia="Calibri" w:hAnsi="Arial" w:cs="Arial"/>
                <w:sz w:val="16"/>
                <w:szCs w:val="16"/>
                <w:lang w:eastAsia="en-US"/>
              </w:rPr>
              <w:t xml:space="preserve">locations receiving DANS or RANS flights </w:t>
            </w:r>
            <w:r w:rsidRPr="004810CF">
              <w:rPr>
                <w:rFonts w:ascii="Arial" w:eastAsia="Calibri" w:hAnsi="Arial" w:cs="Arial"/>
                <w:sz w:val="16"/>
                <w:szCs w:val="16"/>
                <w:vertAlign w:val="superscript"/>
                <w:lang w:eastAsia="en-US"/>
              </w:rPr>
              <w:t>(d)</w:t>
            </w:r>
          </w:p>
        </w:tc>
        <w:tc>
          <w:tcPr>
            <w:tcW w:w="2334" w:type="pct"/>
            <w:tcBorders>
              <w:top w:val="single" w:sz="4" w:space="0" w:color="auto"/>
              <w:left w:val="single" w:sz="4" w:space="0" w:color="auto"/>
              <w:bottom w:val="single" w:sz="4" w:space="0" w:color="auto"/>
            </w:tcBorders>
          </w:tcPr>
          <w:p w14:paraId="1C113550" w14:textId="77777777" w:rsidR="00115843" w:rsidRPr="004810CF" w:rsidRDefault="00115843" w:rsidP="00FB0D02">
            <w:pPr>
              <w:spacing w:before="60" w:after="60" w:line="240" w:lineRule="auto"/>
              <w:ind w:right="-12"/>
              <w:rPr>
                <w:rFonts w:ascii="Arial" w:eastAsia="Calibri" w:hAnsi="Arial" w:cs="Arial"/>
                <w:sz w:val="16"/>
                <w:szCs w:val="16"/>
                <w:lang w:eastAsia="en-US"/>
              </w:rPr>
            </w:pPr>
            <w:r>
              <w:rPr>
                <w:rFonts w:ascii="Arial" w:eastAsia="Calibri" w:hAnsi="Arial" w:cs="Arial"/>
                <w:sz w:val="16"/>
                <w:szCs w:val="16"/>
                <w:lang w:eastAsia="en-US"/>
              </w:rPr>
              <w:t xml:space="preserve">Target: </w:t>
            </w:r>
            <w:r w:rsidRPr="004810CF">
              <w:rPr>
                <w:rFonts w:ascii="Arial" w:eastAsia="Calibri" w:hAnsi="Arial" w:cs="Arial"/>
                <w:sz w:val="16"/>
                <w:szCs w:val="16"/>
                <w:lang w:eastAsia="en-US"/>
              </w:rPr>
              <w:t>DANS and RANS operate as a safety net, with the number of flights supported dependent on how the aviation industry moves through the pandemic</w:t>
            </w:r>
          </w:p>
          <w:p w14:paraId="5B3701A6" w14:textId="77777777" w:rsidR="00115843" w:rsidRDefault="00115843" w:rsidP="00FB0D02">
            <w:pPr>
              <w:spacing w:before="60" w:after="60" w:line="240" w:lineRule="auto"/>
              <w:ind w:right="-12"/>
              <w:rPr>
                <w:rFonts w:ascii="Arial" w:eastAsia="Calibri" w:hAnsi="Arial" w:cs="Arial"/>
                <w:sz w:val="16"/>
                <w:szCs w:val="16"/>
                <w:lang w:eastAsia="en-US"/>
              </w:rPr>
            </w:pPr>
            <w:r w:rsidRPr="004810CF">
              <w:rPr>
                <w:rFonts w:ascii="Arial" w:eastAsia="Calibri" w:hAnsi="Arial" w:cs="Arial"/>
                <w:sz w:val="16"/>
                <w:szCs w:val="16"/>
                <w:lang w:eastAsia="en-US"/>
              </w:rPr>
              <w:t>Target met</w:t>
            </w:r>
          </w:p>
          <w:p w14:paraId="684710FF" w14:textId="77777777" w:rsidR="00115843" w:rsidRPr="004810CF" w:rsidRDefault="00115843" w:rsidP="00FB0D02">
            <w:pPr>
              <w:spacing w:before="60" w:after="60" w:line="240" w:lineRule="auto"/>
              <w:ind w:right="-12"/>
              <w:rPr>
                <w:rFonts w:ascii="Arial" w:eastAsia="Calibri" w:hAnsi="Arial" w:cs="Arial"/>
                <w:sz w:val="16"/>
                <w:szCs w:val="16"/>
                <w:lang w:eastAsia="en-US"/>
              </w:rPr>
            </w:pPr>
            <w:r>
              <w:rPr>
                <w:rFonts w:ascii="Arial" w:eastAsia="Calibri" w:hAnsi="Arial" w:cs="Arial"/>
                <w:sz w:val="16"/>
                <w:szCs w:val="16"/>
                <w:lang w:eastAsia="en-US"/>
              </w:rPr>
              <w:t>Actual:</w:t>
            </w:r>
          </w:p>
          <w:p w14:paraId="096402B9" w14:textId="009404D0" w:rsidR="00115843" w:rsidRPr="004810CF" w:rsidRDefault="00115843" w:rsidP="00115843">
            <w:pPr>
              <w:numPr>
                <w:ilvl w:val="0"/>
                <w:numId w:val="200"/>
              </w:numPr>
              <w:spacing w:before="60" w:after="60" w:line="240" w:lineRule="auto"/>
              <w:contextualSpacing/>
              <w:rPr>
                <w:rFonts w:ascii="Arial" w:eastAsia="Calibri" w:hAnsi="Arial" w:cs="Arial"/>
                <w:sz w:val="16"/>
                <w:szCs w:val="16"/>
                <w:lang w:eastAsia="en-US"/>
              </w:rPr>
            </w:pPr>
            <w:r w:rsidRPr="004810CF">
              <w:rPr>
                <w:rFonts w:ascii="Arial" w:eastAsia="Calibri" w:hAnsi="Arial" w:cs="Arial"/>
                <w:sz w:val="16"/>
                <w:szCs w:val="16"/>
                <w:lang w:eastAsia="en-US"/>
              </w:rPr>
              <w:t>The DANS program ceased on 31</w:t>
            </w:r>
            <w:r w:rsidR="00C26B16">
              <w:rPr>
                <w:rFonts w:ascii="Arial" w:eastAsia="Calibri" w:hAnsi="Arial" w:cs="Arial"/>
                <w:sz w:val="16"/>
                <w:szCs w:val="16"/>
                <w:lang w:eastAsia="en-US"/>
              </w:rPr>
              <w:t> </w:t>
            </w:r>
            <w:r w:rsidRPr="004810CF">
              <w:rPr>
                <w:rFonts w:ascii="Arial" w:eastAsia="Calibri" w:hAnsi="Arial" w:cs="Arial"/>
                <w:sz w:val="16"/>
                <w:szCs w:val="16"/>
                <w:lang w:eastAsia="en-US"/>
              </w:rPr>
              <w:t>December 2021, and supported 4 airlines across the top 50 routes</w:t>
            </w:r>
          </w:p>
          <w:p w14:paraId="5CC91EE4" w14:textId="77777777" w:rsidR="00115843" w:rsidRPr="004810CF" w:rsidRDefault="00115843" w:rsidP="00115843">
            <w:pPr>
              <w:numPr>
                <w:ilvl w:val="0"/>
                <w:numId w:val="200"/>
              </w:numPr>
              <w:spacing w:before="60" w:after="60" w:line="240" w:lineRule="auto"/>
              <w:contextualSpacing/>
              <w:rPr>
                <w:rFonts w:ascii="Arial" w:eastAsia="Calibri" w:hAnsi="Arial" w:cs="Arial"/>
                <w:sz w:val="16"/>
                <w:szCs w:val="16"/>
                <w:lang w:eastAsia="en-US"/>
              </w:rPr>
            </w:pPr>
            <w:r w:rsidRPr="004810CF">
              <w:rPr>
                <w:rFonts w:ascii="Arial" w:eastAsia="Calibri" w:hAnsi="Arial" w:cs="Arial"/>
                <w:sz w:val="16"/>
                <w:szCs w:val="16"/>
                <w:lang w:eastAsia="en-US"/>
              </w:rPr>
              <w:t>The RANS program supported 14 airlines, with 121 locations serviced through eligible RANS flights. The RANS program closed on 30 June 2022</w:t>
            </w:r>
          </w:p>
        </w:tc>
      </w:tr>
    </w:tbl>
    <w:p w14:paraId="52DA38F8" w14:textId="77777777" w:rsidR="00C26B16" w:rsidRDefault="00C26B1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C26B16" w:rsidRPr="004810CF" w14:paraId="2ED27B89" w14:textId="77777777" w:rsidTr="00B14412">
        <w:trPr>
          <w:trHeight w:val="258"/>
        </w:trPr>
        <w:tc>
          <w:tcPr>
            <w:tcW w:w="1010" w:type="pct"/>
            <w:tcBorders>
              <w:top w:val="double" w:sz="4" w:space="0" w:color="auto"/>
              <w:bottom w:val="single" w:sz="4" w:space="0" w:color="auto"/>
              <w:right w:val="single" w:sz="4" w:space="0" w:color="auto"/>
            </w:tcBorders>
          </w:tcPr>
          <w:p w14:paraId="5B92A7F6" w14:textId="77777777" w:rsidR="00C26B16" w:rsidRPr="004810CF" w:rsidRDefault="00C26B16" w:rsidP="00B14412">
            <w:pPr>
              <w:spacing w:before="60" w:after="60" w:line="240" w:lineRule="auto"/>
              <w:rPr>
                <w:rFonts w:ascii="Arial" w:hAnsi="Arial"/>
                <w:b/>
                <w:sz w:val="16"/>
                <w:szCs w:val="16"/>
              </w:rPr>
            </w:pPr>
            <w:r w:rsidRPr="004810CF">
              <w:rPr>
                <w:rFonts w:ascii="Arial" w:hAnsi="Arial"/>
                <w:b/>
                <w:sz w:val="16"/>
                <w:szCs w:val="16"/>
              </w:rPr>
              <w:lastRenderedPageBreak/>
              <w:t>Year</w:t>
            </w:r>
          </w:p>
        </w:tc>
        <w:tc>
          <w:tcPr>
            <w:tcW w:w="1656" w:type="pct"/>
            <w:tcBorders>
              <w:top w:val="double" w:sz="4" w:space="0" w:color="auto"/>
              <w:left w:val="single" w:sz="4" w:space="0" w:color="auto"/>
              <w:bottom w:val="single" w:sz="4" w:space="0" w:color="auto"/>
              <w:right w:val="single" w:sz="4" w:space="0" w:color="auto"/>
            </w:tcBorders>
          </w:tcPr>
          <w:p w14:paraId="24425F70" w14:textId="77777777" w:rsidR="00C26B16" w:rsidRPr="004810CF" w:rsidRDefault="00C26B16" w:rsidP="00B1441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15401B7" w14:textId="77777777" w:rsidR="00C26B16" w:rsidRPr="004810CF" w:rsidRDefault="00C26B16" w:rsidP="00B14412">
            <w:pPr>
              <w:spacing w:before="60" w:after="60" w:line="240" w:lineRule="auto"/>
              <w:rPr>
                <w:rFonts w:ascii="Arial" w:hAnsi="Arial" w:cs="Arial"/>
                <w:b/>
                <w:sz w:val="16"/>
                <w:szCs w:val="16"/>
              </w:rPr>
            </w:pPr>
            <w:r>
              <w:rPr>
                <w:rFonts w:ascii="Arial" w:hAnsi="Arial" w:cs="Arial"/>
                <w:b/>
                <w:sz w:val="16"/>
                <w:szCs w:val="16"/>
              </w:rPr>
              <w:t>Expected</w:t>
            </w:r>
            <w:r w:rsidRPr="004810CF">
              <w:rPr>
                <w:rFonts w:ascii="Arial" w:hAnsi="Arial" w:cs="Arial"/>
                <w:b/>
                <w:sz w:val="16"/>
                <w:szCs w:val="16"/>
              </w:rPr>
              <w:t xml:space="preserve"> Performance Results</w:t>
            </w:r>
          </w:p>
        </w:tc>
      </w:tr>
      <w:tr w:rsidR="00115843" w:rsidRPr="004810CF" w14:paraId="163C22C7" w14:textId="77777777" w:rsidTr="00FB0D02">
        <w:trPr>
          <w:cantSplit/>
          <w:trHeight w:val="642"/>
        </w:trPr>
        <w:tc>
          <w:tcPr>
            <w:tcW w:w="1010" w:type="pct"/>
            <w:tcBorders>
              <w:bottom w:val="nil"/>
              <w:right w:val="single" w:sz="4" w:space="0" w:color="auto"/>
            </w:tcBorders>
          </w:tcPr>
          <w:p w14:paraId="2C491AA6" w14:textId="77777777" w:rsidR="00115843" w:rsidRPr="004810CF" w:rsidRDefault="00115843" w:rsidP="00FB0D02">
            <w:pPr>
              <w:spacing w:before="60" w:after="60" w:line="240" w:lineRule="auto"/>
              <w:rPr>
                <w:rFonts w:ascii="Arial" w:hAnsi="Arial"/>
                <w:sz w:val="16"/>
                <w:szCs w:val="16"/>
              </w:rPr>
            </w:pPr>
            <w:r w:rsidRPr="008D55A3">
              <w:rPr>
                <w:rFonts w:ascii="Arial" w:hAnsi="Arial"/>
                <w:sz w:val="16"/>
                <w:szCs w:val="16"/>
              </w:rPr>
              <w:t xml:space="preserve">Prior </w:t>
            </w:r>
            <w:r>
              <w:rPr>
                <w:rFonts w:ascii="Arial" w:hAnsi="Arial"/>
                <w:sz w:val="16"/>
                <w:szCs w:val="16"/>
              </w:rPr>
              <w:t>y</w:t>
            </w:r>
            <w:r w:rsidRPr="008D55A3">
              <w:rPr>
                <w:rFonts w:ascii="Arial" w:hAnsi="Arial"/>
                <w:sz w:val="16"/>
                <w:szCs w:val="16"/>
              </w:rPr>
              <w:t xml:space="preserve">ear </w:t>
            </w:r>
            <w:r>
              <w:rPr>
                <w:rFonts w:ascii="Arial" w:hAnsi="Arial"/>
                <w:sz w:val="16"/>
                <w:szCs w:val="16"/>
              </w:rPr>
              <w:br/>
            </w:r>
            <w:r w:rsidRPr="008D55A3">
              <w:rPr>
                <w:rFonts w:ascii="Arial" w:hAnsi="Arial"/>
                <w:sz w:val="16"/>
                <w:szCs w:val="16"/>
              </w:rPr>
              <w:t>2021–22</w:t>
            </w:r>
            <w:r>
              <w:rPr>
                <w:rFonts w:ascii="Arial" w:hAnsi="Arial"/>
                <w:sz w:val="16"/>
                <w:szCs w:val="16"/>
              </w:rPr>
              <w:t xml:space="preserve"> cont.</w:t>
            </w:r>
          </w:p>
        </w:tc>
        <w:tc>
          <w:tcPr>
            <w:tcW w:w="1656" w:type="pct"/>
            <w:tcBorders>
              <w:top w:val="single" w:sz="4" w:space="0" w:color="auto"/>
              <w:left w:val="single" w:sz="4" w:space="0" w:color="auto"/>
              <w:bottom w:val="single" w:sz="4" w:space="0" w:color="auto"/>
              <w:right w:val="single" w:sz="4" w:space="0" w:color="auto"/>
            </w:tcBorders>
          </w:tcPr>
          <w:p w14:paraId="0B901FEF"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Performance of the Regional Airports Program (RAP) and the Remote Airstrip Upgrade (RAU) program, indicated through number of completed projects:</w:t>
            </w:r>
          </w:p>
          <w:p w14:paraId="3325CE32" w14:textId="77777777" w:rsidR="00115843" w:rsidRPr="004810CF" w:rsidRDefault="00115843" w:rsidP="00115843">
            <w:pPr>
              <w:numPr>
                <w:ilvl w:val="0"/>
                <w:numId w:val="201"/>
              </w:numPr>
              <w:spacing w:before="60" w:after="60" w:line="240" w:lineRule="auto"/>
              <w:contextualSpacing/>
              <w:rPr>
                <w:rFonts w:ascii="Arial" w:eastAsia="Calibri" w:hAnsi="Arial" w:cs="Arial"/>
                <w:sz w:val="16"/>
                <w:szCs w:val="16"/>
                <w:lang w:eastAsia="en-US"/>
              </w:rPr>
            </w:pPr>
            <w:r w:rsidRPr="004810CF">
              <w:rPr>
                <w:rFonts w:ascii="Arial" w:eastAsia="Calibri" w:hAnsi="Arial" w:cs="Arial"/>
                <w:sz w:val="16"/>
                <w:szCs w:val="16"/>
                <w:lang w:eastAsia="en-US"/>
              </w:rPr>
              <w:t xml:space="preserve">RAP funding to regional Australia </w:t>
            </w:r>
          </w:p>
          <w:p w14:paraId="4C641ABF" w14:textId="77777777" w:rsidR="00115843" w:rsidRPr="00C71FCE" w:rsidRDefault="00115843" w:rsidP="00115843">
            <w:pPr>
              <w:numPr>
                <w:ilvl w:val="0"/>
                <w:numId w:val="201"/>
              </w:numPr>
              <w:spacing w:before="60" w:after="60" w:line="240" w:lineRule="auto"/>
              <w:contextualSpacing/>
              <w:rPr>
                <w:rFonts w:ascii="Arial" w:eastAsia="Calibri" w:hAnsi="Arial" w:cs="Arial"/>
                <w:sz w:val="16"/>
                <w:szCs w:val="16"/>
                <w:lang w:eastAsia="en-US"/>
              </w:rPr>
            </w:pPr>
            <w:r w:rsidRPr="004810CF">
              <w:rPr>
                <w:rFonts w:ascii="Arial" w:eastAsia="Calibri" w:hAnsi="Arial" w:cs="Arial"/>
                <w:sz w:val="16"/>
                <w:szCs w:val="16"/>
                <w:lang w:eastAsia="en-US"/>
              </w:rPr>
              <w:t>RAU funding in remote Australia</w:t>
            </w:r>
          </w:p>
        </w:tc>
        <w:tc>
          <w:tcPr>
            <w:tcW w:w="2334" w:type="pct"/>
            <w:tcBorders>
              <w:top w:val="single" w:sz="4" w:space="0" w:color="auto"/>
              <w:left w:val="single" w:sz="4" w:space="0" w:color="auto"/>
              <w:bottom w:val="single" w:sz="4" w:space="0" w:color="auto"/>
            </w:tcBorders>
          </w:tcPr>
          <w:p w14:paraId="3762EF46" w14:textId="77777777" w:rsidR="00115843" w:rsidRDefault="00115843" w:rsidP="00C26B16">
            <w:pPr>
              <w:spacing w:before="60" w:after="60" w:line="240" w:lineRule="auto"/>
              <w:ind w:left="-115" w:right="-12"/>
              <w:contextualSpacing/>
              <w:rPr>
                <w:rFonts w:ascii="Arial" w:eastAsia="Calibri" w:hAnsi="Arial" w:cs="Arial"/>
                <w:sz w:val="16"/>
                <w:szCs w:val="16"/>
                <w:lang w:eastAsia="en-US"/>
              </w:rPr>
            </w:pPr>
            <w:r>
              <w:rPr>
                <w:rFonts w:ascii="Arial" w:eastAsia="Calibri" w:hAnsi="Arial" w:cs="Arial"/>
                <w:sz w:val="16"/>
                <w:szCs w:val="16"/>
                <w:lang w:eastAsia="en-US"/>
              </w:rPr>
              <w:t>Target:</w:t>
            </w:r>
          </w:p>
          <w:p w14:paraId="69821AC2" w14:textId="77777777" w:rsidR="00115843" w:rsidRPr="004810CF" w:rsidRDefault="00115843" w:rsidP="00115843">
            <w:pPr>
              <w:numPr>
                <w:ilvl w:val="0"/>
                <w:numId w:val="202"/>
              </w:numPr>
              <w:spacing w:before="60" w:after="60" w:line="240" w:lineRule="auto"/>
              <w:ind w:right="-12"/>
              <w:contextualSpacing/>
              <w:rPr>
                <w:rFonts w:ascii="Arial" w:eastAsia="Calibri" w:hAnsi="Arial" w:cs="Arial"/>
                <w:sz w:val="16"/>
                <w:szCs w:val="16"/>
                <w:lang w:eastAsia="en-US"/>
              </w:rPr>
            </w:pPr>
            <w:r w:rsidRPr="004810CF">
              <w:rPr>
                <w:rFonts w:ascii="Arial" w:eastAsia="Calibri" w:hAnsi="Arial" w:cs="Arial"/>
                <w:sz w:val="16"/>
                <w:szCs w:val="16"/>
                <w:lang w:eastAsia="en-US"/>
              </w:rPr>
              <w:t>100% of RAP projects with funding agreements in place are completed by 30 June 2025, with a third round of RAP grants to be offered on a competitive basis in 2022</w:t>
            </w:r>
          </w:p>
          <w:p w14:paraId="3F496582" w14:textId="77777777" w:rsidR="00115843" w:rsidRPr="004810CF" w:rsidRDefault="00115843" w:rsidP="00115843">
            <w:pPr>
              <w:numPr>
                <w:ilvl w:val="0"/>
                <w:numId w:val="202"/>
              </w:numPr>
              <w:spacing w:before="60" w:after="60" w:line="240" w:lineRule="auto"/>
              <w:ind w:right="-12"/>
              <w:contextualSpacing/>
              <w:rPr>
                <w:rFonts w:ascii="Arial" w:eastAsia="Calibri" w:hAnsi="Arial" w:cs="Arial"/>
                <w:sz w:val="16"/>
                <w:szCs w:val="16"/>
                <w:lang w:eastAsia="en-US"/>
              </w:rPr>
            </w:pPr>
            <w:r w:rsidRPr="004810CF">
              <w:rPr>
                <w:rFonts w:ascii="Arial" w:eastAsia="Calibri" w:hAnsi="Arial" w:cs="Arial"/>
                <w:sz w:val="16"/>
                <w:szCs w:val="16"/>
                <w:lang w:eastAsia="en-US"/>
              </w:rPr>
              <w:t>100% of RAU projects with funding agreements in place are completed by 30 June 2024, with a ninth round of RAU grants to be offered on a competitive basis in 2022</w:t>
            </w:r>
          </w:p>
          <w:p w14:paraId="7DC80EAE" w14:textId="77777777" w:rsidR="00115843"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Target met</w:t>
            </w:r>
          </w:p>
          <w:p w14:paraId="7EE81CF9" w14:textId="77777777" w:rsidR="00115843" w:rsidRPr="0002192E" w:rsidRDefault="00115843" w:rsidP="00FB0D02">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Actual: </w:t>
            </w:r>
            <w:r w:rsidRPr="004810CF">
              <w:rPr>
                <w:rFonts w:ascii="Arial" w:hAnsi="Arial"/>
                <w:sz w:val="16"/>
                <w:szCs w:val="16"/>
              </w:rPr>
              <w:t>Further rounds of the RAP and RAU were open for applications in the first half of 2022</w:t>
            </w:r>
            <w:r>
              <w:rPr>
                <w:rFonts w:ascii="Arial" w:hAnsi="Arial"/>
                <w:sz w:val="16"/>
                <w:szCs w:val="16"/>
              </w:rPr>
              <w:t>.</w:t>
            </w:r>
          </w:p>
          <w:p w14:paraId="29AC6EB9" w14:textId="10ED79B8" w:rsidR="00115843" w:rsidRPr="004810CF" w:rsidRDefault="00115843" w:rsidP="00FB0D02">
            <w:pPr>
              <w:spacing w:before="60" w:after="60" w:line="240" w:lineRule="auto"/>
              <w:rPr>
                <w:rFonts w:ascii="Arial" w:hAnsi="Arial"/>
                <w:sz w:val="16"/>
                <w:szCs w:val="16"/>
              </w:rPr>
            </w:pPr>
            <w:r w:rsidRPr="004810CF">
              <w:rPr>
                <w:rFonts w:ascii="Arial" w:hAnsi="Arial"/>
                <w:sz w:val="16"/>
                <w:szCs w:val="16"/>
              </w:rPr>
              <w:t>Of the 60 RAP round one projects, 26 were completed. Grant agreements were executed for 85 of the 88 RAP round 2 projects, with work commencing in line with agreed milestones</w:t>
            </w:r>
            <w:r w:rsidR="00A776E8">
              <w:rPr>
                <w:rFonts w:ascii="Arial" w:hAnsi="Arial"/>
                <w:sz w:val="16"/>
                <w:szCs w:val="16"/>
              </w:rPr>
              <w:t>.</w:t>
            </w:r>
          </w:p>
          <w:p w14:paraId="57208932" w14:textId="4583C6DD" w:rsidR="00115843" w:rsidRPr="004810CF" w:rsidRDefault="00115843" w:rsidP="00FB0D02">
            <w:pPr>
              <w:spacing w:before="60" w:after="60" w:line="240" w:lineRule="auto"/>
              <w:rPr>
                <w:rFonts w:ascii="Arial" w:hAnsi="Arial"/>
                <w:sz w:val="16"/>
                <w:szCs w:val="16"/>
              </w:rPr>
            </w:pPr>
            <w:r w:rsidRPr="004810CF">
              <w:rPr>
                <w:rFonts w:ascii="Arial" w:hAnsi="Arial"/>
                <w:sz w:val="16"/>
                <w:szCs w:val="16"/>
              </w:rPr>
              <w:t>Of the RAU round 6 to 8 projects, 57 of the 121 were completed</w:t>
            </w:r>
            <w:r w:rsidR="00A776E8">
              <w:rPr>
                <w:rFonts w:ascii="Arial" w:hAnsi="Arial"/>
                <w:sz w:val="16"/>
                <w:szCs w:val="16"/>
              </w:rPr>
              <w:t>.</w:t>
            </w:r>
          </w:p>
        </w:tc>
      </w:tr>
      <w:tr w:rsidR="00115843" w:rsidRPr="004810CF" w14:paraId="142D6069" w14:textId="77777777" w:rsidTr="00FB0D02">
        <w:trPr>
          <w:cantSplit/>
          <w:trHeight w:val="1085"/>
        </w:trPr>
        <w:tc>
          <w:tcPr>
            <w:tcW w:w="1010" w:type="pct"/>
            <w:vMerge w:val="restart"/>
            <w:tcBorders>
              <w:top w:val="nil"/>
              <w:bottom w:val="double" w:sz="4" w:space="0" w:color="auto"/>
              <w:right w:val="single" w:sz="4" w:space="0" w:color="auto"/>
            </w:tcBorders>
          </w:tcPr>
          <w:p w14:paraId="1C0ED714"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05DE93F"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Performance of the Remote Air Services Subsidy Scheme (RASS Scheme), indicated through the number of remote communities directly visited on the regular “mail plane” service</w:t>
            </w:r>
          </w:p>
        </w:tc>
        <w:tc>
          <w:tcPr>
            <w:tcW w:w="2334" w:type="pct"/>
            <w:tcBorders>
              <w:top w:val="single" w:sz="4" w:space="0" w:color="auto"/>
              <w:left w:val="single" w:sz="4" w:space="0" w:color="auto"/>
              <w:bottom w:val="single" w:sz="4" w:space="0" w:color="auto"/>
            </w:tcBorders>
          </w:tcPr>
          <w:p w14:paraId="2DC9B43C" w14:textId="56F12C62" w:rsidR="00115843" w:rsidRPr="004810CF" w:rsidRDefault="00115843" w:rsidP="00FB0D02">
            <w:pPr>
              <w:spacing w:before="60" w:after="60" w:line="240" w:lineRule="auto"/>
              <w:ind w:right="-12"/>
              <w:rPr>
                <w:rFonts w:ascii="Arial" w:eastAsia="Calibri" w:hAnsi="Arial" w:cs="Arial"/>
                <w:sz w:val="16"/>
                <w:szCs w:val="16"/>
                <w:lang w:eastAsia="en-US"/>
              </w:rPr>
            </w:pPr>
            <w:r w:rsidRPr="004810CF">
              <w:rPr>
                <w:rFonts w:ascii="Arial" w:eastAsia="Calibri" w:hAnsi="Arial" w:cs="Arial"/>
                <w:sz w:val="16"/>
                <w:szCs w:val="16"/>
                <w:lang w:eastAsia="en-US"/>
              </w:rPr>
              <w:t>Communities can apply for admission to the RASS Scheme at any time</w:t>
            </w:r>
            <w:r w:rsidR="00A776E8">
              <w:rPr>
                <w:rFonts w:ascii="Arial" w:eastAsia="Calibri" w:hAnsi="Arial" w:cs="Arial"/>
                <w:sz w:val="16"/>
                <w:szCs w:val="16"/>
                <w:lang w:eastAsia="en-US"/>
              </w:rPr>
              <w:t>.</w:t>
            </w:r>
          </w:p>
          <w:p w14:paraId="2E142AEE" w14:textId="77777777" w:rsidR="00115843" w:rsidRPr="004810CF" w:rsidRDefault="00115843" w:rsidP="00C26B16">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Target met</w:t>
            </w:r>
          </w:p>
          <w:p w14:paraId="56BFB91D" w14:textId="38CA42A8" w:rsidR="00115843" w:rsidRPr="004810CF" w:rsidRDefault="00115843" w:rsidP="00C26B16">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There are 269 communities listed under the RASS Scheme, a slight increase from last year</w:t>
            </w:r>
            <w:r w:rsidR="00A776E8">
              <w:rPr>
                <w:rFonts w:ascii="Arial" w:eastAsia="Calibri" w:hAnsi="Arial" w:cs="Arial"/>
                <w:sz w:val="16"/>
                <w:szCs w:val="16"/>
                <w:lang w:eastAsia="en-US"/>
              </w:rPr>
              <w:t>.</w:t>
            </w:r>
          </w:p>
        </w:tc>
      </w:tr>
      <w:tr w:rsidR="00115843" w:rsidRPr="004810CF" w14:paraId="06965243" w14:textId="77777777" w:rsidTr="00FB0D02">
        <w:trPr>
          <w:cantSplit/>
          <w:trHeight w:val="1111"/>
        </w:trPr>
        <w:tc>
          <w:tcPr>
            <w:tcW w:w="1010" w:type="pct"/>
            <w:vMerge/>
            <w:tcBorders>
              <w:bottom w:val="double" w:sz="4" w:space="0" w:color="auto"/>
              <w:right w:val="single" w:sz="4" w:space="0" w:color="auto"/>
            </w:tcBorders>
          </w:tcPr>
          <w:p w14:paraId="2BD84B93"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3D81F6B" w14:textId="77777777" w:rsidR="00115843" w:rsidRPr="004810CF" w:rsidRDefault="00115843" w:rsidP="00FB0D02">
            <w:pPr>
              <w:spacing w:before="60" w:after="60" w:line="240" w:lineRule="auto"/>
              <w:rPr>
                <w:rFonts w:ascii="Arial" w:eastAsia="Calibri" w:hAnsi="Arial" w:cs="Arial"/>
                <w:sz w:val="16"/>
                <w:szCs w:val="16"/>
                <w:vertAlign w:val="superscript"/>
                <w:lang w:eastAsia="en-US"/>
              </w:rPr>
            </w:pPr>
            <w:r w:rsidRPr="004810CF">
              <w:rPr>
                <w:rFonts w:ascii="Arial" w:eastAsia="Calibri" w:hAnsi="Arial" w:cs="Arial"/>
                <w:sz w:val="16"/>
                <w:szCs w:val="16"/>
                <w:lang w:eastAsia="en-US"/>
              </w:rPr>
              <w:t>Effectiveness of international engagement on aviation matters</w:t>
            </w:r>
            <w:r w:rsidRPr="004810CF">
              <w:rPr>
                <w:rFonts w:ascii="Arial" w:eastAsia="Calibri" w:hAnsi="Arial" w:cs="Arial"/>
                <w:sz w:val="16"/>
                <w:szCs w:val="16"/>
                <w:vertAlign w:val="superscript"/>
                <w:lang w:eastAsia="en-US"/>
              </w:rPr>
              <w:t xml:space="preserve"> (d)</w:t>
            </w:r>
          </w:p>
        </w:tc>
        <w:tc>
          <w:tcPr>
            <w:tcW w:w="2334" w:type="pct"/>
            <w:tcBorders>
              <w:top w:val="single" w:sz="4" w:space="0" w:color="auto"/>
              <w:left w:val="single" w:sz="4" w:space="0" w:color="auto"/>
              <w:bottom w:val="single" w:sz="4" w:space="0" w:color="auto"/>
            </w:tcBorders>
          </w:tcPr>
          <w:p w14:paraId="353A1D9E" w14:textId="77777777" w:rsidR="00115843" w:rsidRPr="004810CF" w:rsidRDefault="00115843" w:rsidP="00FB0D02">
            <w:pPr>
              <w:spacing w:before="60" w:after="60" w:line="240" w:lineRule="auto"/>
              <w:ind w:right="-12"/>
              <w:rPr>
                <w:rFonts w:ascii="Arial" w:eastAsia="Calibri" w:hAnsi="Arial" w:cs="Arial"/>
                <w:sz w:val="16"/>
                <w:szCs w:val="16"/>
                <w:lang w:eastAsia="en-US"/>
              </w:rPr>
            </w:pPr>
            <w:r w:rsidRPr="004810CF">
              <w:rPr>
                <w:rFonts w:ascii="Arial" w:eastAsia="Calibri" w:hAnsi="Arial" w:cs="Arial"/>
                <w:sz w:val="16"/>
                <w:szCs w:val="16"/>
                <w:lang w:eastAsia="en-US"/>
              </w:rPr>
              <w:t>In financial year, outcomes achieved in line with prevailing aviation conditions.</w:t>
            </w:r>
          </w:p>
          <w:p w14:paraId="118F16C2" w14:textId="77777777" w:rsidR="00115843" w:rsidRPr="00C26B16" w:rsidRDefault="00115843" w:rsidP="00C26B16">
            <w:pPr>
              <w:spacing w:before="60" w:after="60" w:line="240" w:lineRule="auto"/>
              <w:rPr>
                <w:rFonts w:ascii="Arial" w:eastAsia="Calibri" w:hAnsi="Arial" w:cs="Arial"/>
                <w:sz w:val="16"/>
                <w:szCs w:val="16"/>
                <w:lang w:eastAsia="en-US"/>
              </w:rPr>
            </w:pPr>
            <w:r w:rsidRPr="00C26B16">
              <w:rPr>
                <w:rFonts w:ascii="Arial" w:eastAsia="Calibri" w:hAnsi="Arial" w:cs="Arial"/>
                <w:sz w:val="16"/>
                <w:szCs w:val="16"/>
                <w:lang w:eastAsia="en-US"/>
              </w:rPr>
              <w:t>Target met</w:t>
            </w:r>
          </w:p>
          <w:p w14:paraId="3968DA95" w14:textId="58478B95" w:rsidR="00115843" w:rsidRPr="004810CF" w:rsidRDefault="00115843" w:rsidP="00C26B16">
            <w:pPr>
              <w:spacing w:before="60" w:after="60" w:line="240" w:lineRule="auto"/>
              <w:rPr>
                <w:rFonts w:ascii="Arial" w:eastAsia="Calibri" w:hAnsi="Arial" w:cs="Arial"/>
                <w:sz w:val="16"/>
                <w:szCs w:val="16"/>
                <w:lang w:eastAsia="en-US"/>
              </w:rPr>
            </w:pPr>
            <w:r w:rsidRPr="00C26B16">
              <w:rPr>
                <w:rFonts w:ascii="Arial" w:eastAsia="Calibri" w:hAnsi="Arial" w:cs="Arial"/>
                <w:sz w:val="16"/>
                <w:szCs w:val="16"/>
                <w:lang w:eastAsia="en-US"/>
              </w:rPr>
              <w:t>In 2021–22, positive</w:t>
            </w:r>
            <w:r w:rsidRPr="004810CF">
              <w:rPr>
                <w:rFonts w:ascii="Arial" w:eastAsia="Calibri" w:hAnsi="Arial" w:cs="Arial"/>
                <w:sz w:val="16"/>
                <w:szCs w:val="16"/>
                <w:lang w:eastAsia="en-US"/>
              </w:rPr>
              <w:t xml:space="preserve"> international engagement and results were achieved</w:t>
            </w:r>
            <w:r w:rsidR="00A776E8">
              <w:rPr>
                <w:rFonts w:ascii="Arial" w:eastAsia="Calibri" w:hAnsi="Arial" w:cs="Arial"/>
                <w:sz w:val="16"/>
                <w:szCs w:val="16"/>
                <w:lang w:eastAsia="en-US"/>
              </w:rPr>
              <w:t>.</w:t>
            </w:r>
          </w:p>
        </w:tc>
      </w:tr>
      <w:tr w:rsidR="00115843" w:rsidRPr="004810CF" w14:paraId="568319B8" w14:textId="77777777" w:rsidTr="00FB0D02">
        <w:trPr>
          <w:cantSplit/>
          <w:trHeight w:val="642"/>
        </w:trPr>
        <w:tc>
          <w:tcPr>
            <w:tcW w:w="1010" w:type="pct"/>
            <w:vMerge/>
            <w:tcBorders>
              <w:bottom w:val="double" w:sz="4" w:space="0" w:color="auto"/>
              <w:right w:val="single" w:sz="4" w:space="0" w:color="auto"/>
            </w:tcBorders>
          </w:tcPr>
          <w:p w14:paraId="4FDE766E" w14:textId="77777777" w:rsidR="00115843" w:rsidRPr="004810CF" w:rsidRDefault="00115843" w:rsidP="00FB0D02">
            <w:pPr>
              <w:spacing w:before="60" w:after="60" w:line="240" w:lineRule="auto"/>
              <w:rPr>
                <w:rFonts w:ascii="Arial" w:hAnsi="Arial"/>
                <w:b/>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4724C9A" w14:textId="77777777" w:rsidR="00115843" w:rsidRPr="004810CF" w:rsidRDefault="00115843" w:rsidP="00FB0D02">
            <w:pPr>
              <w:spacing w:before="60" w:after="60" w:line="240" w:lineRule="auto"/>
              <w:rPr>
                <w:rFonts w:ascii="Arial" w:eastAsia="Calibri" w:hAnsi="Arial" w:cs="Arial"/>
                <w:sz w:val="16"/>
                <w:szCs w:val="16"/>
                <w:vertAlign w:val="superscript"/>
                <w:lang w:eastAsia="en-US"/>
              </w:rPr>
            </w:pPr>
            <w:r w:rsidRPr="004810CF">
              <w:rPr>
                <w:rFonts w:ascii="Arial" w:eastAsia="Calibri" w:hAnsi="Arial" w:cs="Arial"/>
                <w:sz w:val="16"/>
                <w:szCs w:val="16"/>
                <w:lang w:eastAsia="en-US"/>
              </w:rPr>
              <w:t>Domestic CO2 emissions and rate of emissions: aviation (per passenger kilometre)</w:t>
            </w:r>
            <w:r w:rsidRPr="004810CF">
              <w:rPr>
                <w:rFonts w:ascii="Arial" w:eastAsia="Calibri" w:hAnsi="Arial" w:cs="Arial"/>
                <w:sz w:val="16"/>
                <w:szCs w:val="16"/>
                <w:vertAlign w:val="superscript"/>
                <w:lang w:eastAsia="en-US"/>
              </w:rPr>
              <w:t xml:space="preserve"> (d)</w:t>
            </w:r>
          </w:p>
        </w:tc>
        <w:tc>
          <w:tcPr>
            <w:tcW w:w="2334" w:type="pct"/>
            <w:tcBorders>
              <w:top w:val="single" w:sz="4" w:space="0" w:color="auto"/>
              <w:left w:val="single" w:sz="4" w:space="0" w:color="auto"/>
              <w:bottom w:val="single" w:sz="4" w:space="0" w:color="auto"/>
            </w:tcBorders>
          </w:tcPr>
          <w:p w14:paraId="4FF18656" w14:textId="16B52DC8" w:rsidR="00115843" w:rsidRPr="004810CF" w:rsidRDefault="00115843" w:rsidP="00FB0D02">
            <w:pPr>
              <w:spacing w:before="60" w:after="60" w:line="240" w:lineRule="auto"/>
              <w:ind w:right="-12"/>
              <w:rPr>
                <w:rFonts w:ascii="Arial" w:eastAsia="Calibri" w:hAnsi="Arial" w:cs="Arial"/>
                <w:sz w:val="16"/>
                <w:szCs w:val="16"/>
                <w:lang w:eastAsia="en-US"/>
              </w:rPr>
            </w:pPr>
            <w:r>
              <w:rPr>
                <w:rFonts w:ascii="Arial" w:eastAsia="Calibri" w:hAnsi="Arial" w:cs="Arial"/>
                <w:sz w:val="16"/>
                <w:szCs w:val="16"/>
                <w:lang w:eastAsia="en-US"/>
              </w:rPr>
              <w:t>The Department</w:t>
            </w:r>
            <w:r w:rsidRPr="004810CF">
              <w:rPr>
                <w:rFonts w:ascii="Arial" w:eastAsia="Calibri" w:hAnsi="Arial" w:cs="Arial"/>
                <w:sz w:val="16"/>
                <w:szCs w:val="16"/>
                <w:lang w:eastAsia="en-US"/>
              </w:rPr>
              <w:t xml:space="preserve"> does not set targets for emissions as it reports against an economy-wide framework (the National Greenhouse Gas Inventory)</w:t>
            </w:r>
            <w:r w:rsidR="00A776E8">
              <w:rPr>
                <w:rFonts w:ascii="Arial" w:eastAsia="Calibri" w:hAnsi="Arial" w:cs="Arial"/>
                <w:sz w:val="16"/>
                <w:szCs w:val="16"/>
                <w:lang w:eastAsia="en-US"/>
              </w:rPr>
              <w:t>.</w:t>
            </w:r>
          </w:p>
          <w:p w14:paraId="7FBB7BA3" w14:textId="16BF58D5"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Domestic aviation emissions in 2020–21 totalled 5,538 gigagrams (CO2 equivalent). This is lower than the 8,179 gigagrams in 2019–20</w:t>
            </w:r>
            <w:r w:rsidR="00A776E8">
              <w:rPr>
                <w:rFonts w:ascii="Arial" w:eastAsia="Calibri" w:hAnsi="Arial" w:cs="Arial"/>
                <w:sz w:val="16"/>
                <w:szCs w:val="16"/>
                <w:lang w:eastAsia="en-US"/>
              </w:rPr>
              <w:t>.</w:t>
            </w:r>
          </w:p>
        </w:tc>
      </w:tr>
      <w:tr w:rsidR="00115843" w:rsidRPr="004810CF" w14:paraId="6E221A94" w14:textId="77777777" w:rsidTr="00FB0D02">
        <w:trPr>
          <w:cantSplit/>
          <w:trHeight w:val="642"/>
        </w:trPr>
        <w:tc>
          <w:tcPr>
            <w:tcW w:w="1010" w:type="pct"/>
            <w:vMerge/>
            <w:tcBorders>
              <w:bottom w:val="double" w:sz="4" w:space="0" w:color="auto"/>
              <w:right w:val="single" w:sz="4" w:space="0" w:color="auto"/>
            </w:tcBorders>
          </w:tcPr>
          <w:p w14:paraId="7E7E8B45"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57B1D7B1"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Number of fatalities and fatality rate per 100,000 population: aviation</w:t>
            </w:r>
            <w:r w:rsidRPr="004810CF">
              <w:rPr>
                <w:rFonts w:asciiTheme="minorHAnsi" w:eastAsiaTheme="minorHAnsi" w:hAnsiTheme="minorHAnsi" w:cstheme="minorHAnsi"/>
                <w:b/>
                <w:color w:val="FFFFFF" w:themeColor="background1"/>
                <w:sz w:val="16"/>
                <w:szCs w:val="16"/>
                <w:shd w:val="clear" w:color="auto" w:fill="D9D9D9" w:themeFill="background1" w:themeFillShade="D9"/>
                <w:lang w:val="en-US" w:eastAsia="en-US"/>
              </w:rPr>
              <w:t xml:space="preserve">                                                    </w:t>
            </w:r>
            <w:r w:rsidRPr="004810CF">
              <w:rPr>
                <w:rFonts w:asciiTheme="minorHAnsi" w:eastAsiaTheme="minorHAnsi" w:hAnsiTheme="minorHAnsi" w:cstheme="minorHAnsi"/>
                <w:b/>
                <w:color w:val="FFFFFF" w:themeColor="background1"/>
                <w:sz w:val="16"/>
                <w:szCs w:val="16"/>
                <w:shd w:val="clear" w:color="auto" w:fill="D9D9D9" w:themeFill="background1" w:themeFillShade="D9"/>
                <w:lang w:val="en-US" w:eastAsia="en-US"/>
              </w:rPr>
              <w:br/>
            </w:r>
            <w:r w:rsidRPr="004810CF">
              <w:rPr>
                <w:rFonts w:asciiTheme="minorHAnsi" w:eastAsiaTheme="minorHAnsi" w:hAnsiTheme="minorHAnsi" w:cstheme="minorHAnsi"/>
                <w:b/>
                <w:color w:val="FFFFFF" w:themeColor="background1"/>
                <w:sz w:val="16"/>
                <w:szCs w:val="16"/>
                <w:shd w:val="clear" w:color="auto" w:fill="00B0F0"/>
                <w:lang w:val="en-US" w:eastAsia="en-US"/>
              </w:rPr>
              <w:t xml:space="preserve"> </w:t>
            </w:r>
          </w:p>
        </w:tc>
        <w:tc>
          <w:tcPr>
            <w:tcW w:w="2334" w:type="pct"/>
            <w:tcBorders>
              <w:top w:val="single" w:sz="4" w:space="0" w:color="auto"/>
              <w:left w:val="single" w:sz="4" w:space="0" w:color="auto"/>
              <w:bottom w:val="single" w:sz="4" w:space="0" w:color="auto"/>
            </w:tcBorders>
          </w:tcPr>
          <w:p w14:paraId="5CAC846E" w14:textId="7C28D782"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Annual target setting not appropriate, results sought are long term</w:t>
            </w:r>
            <w:r w:rsidR="00A776E8">
              <w:rPr>
                <w:rFonts w:ascii="Arial" w:eastAsia="Calibri" w:hAnsi="Arial" w:cs="Arial"/>
                <w:sz w:val="16"/>
                <w:szCs w:val="16"/>
                <w:lang w:eastAsia="en-US"/>
              </w:rPr>
              <w:t>.</w:t>
            </w:r>
          </w:p>
          <w:p w14:paraId="616155B6" w14:textId="69DB24A2" w:rsidR="00115843" w:rsidRPr="004810CF" w:rsidRDefault="00115843" w:rsidP="00FB0D02">
            <w:pPr>
              <w:spacing w:before="60" w:after="60" w:line="240" w:lineRule="auto"/>
              <w:ind w:right="-12"/>
              <w:rPr>
                <w:rFonts w:ascii="Arial" w:eastAsia="Calibri" w:hAnsi="Arial" w:cs="Arial"/>
                <w:sz w:val="16"/>
                <w:szCs w:val="16"/>
                <w:lang w:eastAsia="en-US"/>
              </w:rPr>
            </w:pPr>
            <w:r w:rsidRPr="004810CF">
              <w:rPr>
                <w:rFonts w:ascii="Arial" w:eastAsia="Calibri" w:hAnsi="Arial" w:cs="Arial"/>
                <w:sz w:val="16"/>
                <w:szCs w:val="16"/>
                <w:lang w:eastAsia="en-US"/>
              </w:rPr>
              <w:t>In 2021, there were 20 aviation fatalities, 39% lower than the average over the previous 10 years. In per-person terms, this corresponds to 0.078 per 100,000 people, 44% lower than the average over the previous 10 years</w:t>
            </w:r>
            <w:r w:rsidR="00A776E8">
              <w:rPr>
                <w:rFonts w:ascii="Arial" w:eastAsia="Calibri" w:hAnsi="Arial" w:cs="Arial"/>
                <w:sz w:val="16"/>
                <w:szCs w:val="16"/>
                <w:lang w:eastAsia="en-US"/>
              </w:rPr>
              <w:t>.</w:t>
            </w:r>
          </w:p>
        </w:tc>
      </w:tr>
      <w:tr w:rsidR="00115843" w:rsidRPr="004810CF" w14:paraId="247961EA" w14:textId="77777777" w:rsidTr="00FB0D02">
        <w:trPr>
          <w:trHeight w:val="258"/>
        </w:trPr>
        <w:tc>
          <w:tcPr>
            <w:tcW w:w="1010" w:type="pct"/>
            <w:tcBorders>
              <w:top w:val="double" w:sz="4" w:space="0" w:color="auto"/>
              <w:bottom w:val="single" w:sz="4" w:space="0" w:color="auto"/>
              <w:right w:val="single" w:sz="4" w:space="0" w:color="auto"/>
            </w:tcBorders>
          </w:tcPr>
          <w:p w14:paraId="2D629C73" w14:textId="77777777" w:rsidR="00115843" w:rsidRPr="004810CF" w:rsidRDefault="00115843" w:rsidP="00FB0D02">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3B18A4D8"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3B78CDBB"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Planned Performance Results</w:t>
            </w:r>
          </w:p>
        </w:tc>
      </w:tr>
      <w:tr w:rsidR="00115843" w:rsidRPr="004810CF" w14:paraId="6E84155C" w14:textId="77777777" w:rsidTr="00FB0D02">
        <w:trPr>
          <w:cantSplit/>
          <w:trHeight w:val="642"/>
        </w:trPr>
        <w:tc>
          <w:tcPr>
            <w:tcW w:w="1010" w:type="pct"/>
            <w:tcBorders>
              <w:top w:val="single" w:sz="4" w:space="0" w:color="auto"/>
              <w:right w:val="single" w:sz="4" w:space="0" w:color="auto"/>
            </w:tcBorders>
          </w:tcPr>
          <w:p w14:paraId="5FAE25D2" w14:textId="77777777" w:rsidR="00115843" w:rsidRPr="004810CF" w:rsidRDefault="00115843" w:rsidP="00FB0D02">
            <w:pPr>
              <w:spacing w:before="60" w:after="60" w:line="240" w:lineRule="auto"/>
              <w:rPr>
                <w:rFonts w:ascii="Arial" w:hAnsi="Arial"/>
                <w:sz w:val="16"/>
                <w:szCs w:val="16"/>
              </w:rPr>
            </w:pPr>
            <w:r w:rsidRPr="008D55A3">
              <w:rPr>
                <w:rFonts w:ascii="Arial" w:eastAsia="Calibri" w:hAnsi="Arial" w:cs="Arial"/>
                <w:sz w:val="16"/>
                <w:szCs w:val="16"/>
                <w:lang w:eastAsia="en-US"/>
              </w:rPr>
              <w:t xml:space="preserve">Budget </w:t>
            </w:r>
            <w:r>
              <w:rPr>
                <w:rFonts w:ascii="Arial" w:eastAsia="Calibri" w:hAnsi="Arial" w:cs="Arial"/>
                <w:sz w:val="16"/>
                <w:szCs w:val="16"/>
                <w:lang w:eastAsia="en-US"/>
              </w:rPr>
              <w:t>year</w:t>
            </w:r>
            <w:r>
              <w:rPr>
                <w:rFonts w:ascii="Arial" w:eastAsia="Calibri" w:hAnsi="Arial" w:cs="Arial"/>
                <w:sz w:val="16"/>
                <w:szCs w:val="16"/>
                <w:lang w:eastAsia="en-US"/>
              </w:rPr>
              <w:br/>
            </w:r>
            <w:r w:rsidRPr="008D55A3">
              <w:rPr>
                <w:rFonts w:ascii="Arial" w:eastAsia="Calibri" w:hAnsi="Arial" w:cs="Arial"/>
                <w:sz w:val="16"/>
                <w:szCs w:val="16"/>
                <w:lang w:eastAsia="en-US"/>
              </w:rPr>
              <w:t>2022–23</w:t>
            </w:r>
          </w:p>
        </w:tc>
        <w:tc>
          <w:tcPr>
            <w:tcW w:w="1656" w:type="pct"/>
            <w:tcBorders>
              <w:top w:val="single" w:sz="4" w:space="0" w:color="auto"/>
              <w:left w:val="single" w:sz="4" w:space="0" w:color="auto"/>
              <w:bottom w:val="single" w:sz="4" w:space="0" w:color="auto"/>
              <w:right w:val="single" w:sz="4" w:space="0" w:color="auto"/>
            </w:tcBorders>
          </w:tcPr>
          <w:p w14:paraId="36EDE4FF"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i/>
                <w:sz w:val="16"/>
                <w:szCs w:val="16"/>
                <w:lang w:eastAsia="en-US"/>
              </w:rPr>
              <w:t>Development and Environmental Assessment of Preliminary Flight Paths for Western Sydney International (Nancy-Bird Walton) Airport</w:t>
            </w:r>
          </w:p>
        </w:tc>
        <w:tc>
          <w:tcPr>
            <w:tcW w:w="2334" w:type="pct"/>
            <w:tcBorders>
              <w:top w:val="single" w:sz="4" w:space="0" w:color="auto"/>
              <w:left w:val="single" w:sz="4" w:space="0" w:color="auto"/>
              <w:bottom w:val="single" w:sz="4" w:space="0" w:color="auto"/>
            </w:tcBorders>
          </w:tcPr>
          <w:p w14:paraId="5F76E034" w14:textId="540ACE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Delivery milestones are met for 2022–23</w:t>
            </w:r>
            <w:r w:rsidR="00C26B16">
              <w:rPr>
                <w:rFonts w:ascii="Arial" w:eastAsia="Calibri" w:hAnsi="Arial" w:cs="Arial"/>
                <w:sz w:val="16"/>
                <w:szCs w:val="16"/>
                <w:lang w:eastAsia="en-US"/>
              </w:rPr>
              <w:t>.</w:t>
            </w:r>
          </w:p>
        </w:tc>
      </w:tr>
      <w:tr w:rsidR="00C26B16" w:rsidRPr="004810CF" w14:paraId="2DB4D0AD" w14:textId="77777777" w:rsidTr="00B14412">
        <w:trPr>
          <w:trHeight w:val="258"/>
        </w:trPr>
        <w:tc>
          <w:tcPr>
            <w:tcW w:w="1010" w:type="pct"/>
            <w:tcBorders>
              <w:top w:val="double" w:sz="4" w:space="0" w:color="auto"/>
              <w:bottom w:val="single" w:sz="4" w:space="0" w:color="auto"/>
              <w:right w:val="single" w:sz="4" w:space="0" w:color="auto"/>
            </w:tcBorders>
          </w:tcPr>
          <w:p w14:paraId="49048C0D" w14:textId="77777777" w:rsidR="00C26B16" w:rsidRPr="004810CF" w:rsidRDefault="00C26B16" w:rsidP="00B14412">
            <w:pPr>
              <w:spacing w:before="60" w:after="60" w:line="240" w:lineRule="auto"/>
              <w:rPr>
                <w:rFonts w:ascii="Arial" w:hAnsi="Arial"/>
                <w:b/>
                <w:sz w:val="16"/>
                <w:szCs w:val="16"/>
              </w:rPr>
            </w:pPr>
            <w:r w:rsidRPr="004810CF">
              <w:rPr>
                <w:rFonts w:ascii="Arial" w:hAnsi="Arial"/>
                <w:b/>
                <w:sz w:val="16"/>
                <w:szCs w:val="16"/>
              </w:rPr>
              <w:lastRenderedPageBreak/>
              <w:t>Year</w:t>
            </w:r>
          </w:p>
        </w:tc>
        <w:tc>
          <w:tcPr>
            <w:tcW w:w="1656" w:type="pct"/>
            <w:tcBorders>
              <w:top w:val="double" w:sz="4" w:space="0" w:color="auto"/>
              <w:left w:val="single" w:sz="4" w:space="0" w:color="auto"/>
              <w:bottom w:val="single" w:sz="4" w:space="0" w:color="auto"/>
              <w:right w:val="single" w:sz="4" w:space="0" w:color="auto"/>
            </w:tcBorders>
          </w:tcPr>
          <w:p w14:paraId="4E7DB047" w14:textId="77777777" w:rsidR="00C26B16" w:rsidRPr="004810CF" w:rsidRDefault="00C26B16" w:rsidP="00B1441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46E080AA" w14:textId="77777777" w:rsidR="00C26B16" w:rsidRPr="004810CF" w:rsidRDefault="00C26B16" w:rsidP="00B14412">
            <w:pPr>
              <w:spacing w:before="60" w:after="60" w:line="240" w:lineRule="auto"/>
              <w:rPr>
                <w:rFonts w:ascii="Arial" w:hAnsi="Arial" w:cs="Arial"/>
                <w:b/>
                <w:sz w:val="16"/>
                <w:szCs w:val="16"/>
              </w:rPr>
            </w:pPr>
            <w:r>
              <w:rPr>
                <w:rFonts w:ascii="Arial" w:hAnsi="Arial" w:cs="Arial"/>
                <w:b/>
                <w:sz w:val="16"/>
                <w:szCs w:val="16"/>
              </w:rPr>
              <w:t>Expected</w:t>
            </w:r>
            <w:r w:rsidRPr="004810CF">
              <w:rPr>
                <w:rFonts w:ascii="Arial" w:hAnsi="Arial" w:cs="Arial"/>
                <w:b/>
                <w:sz w:val="16"/>
                <w:szCs w:val="16"/>
              </w:rPr>
              <w:t xml:space="preserve"> Performance Results</w:t>
            </w:r>
          </w:p>
        </w:tc>
      </w:tr>
      <w:tr w:rsidR="00115843" w:rsidRPr="004810CF" w14:paraId="345E2C49" w14:textId="77777777" w:rsidTr="00FB0D02">
        <w:trPr>
          <w:cantSplit/>
          <w:trHeight w:val="642"/>
        </w:trPr>
        <w:tc>
          <w:tcPr>
            <w:tcW w:w="1010" w:type="pct"/>
            <w:tcBorders>
              <w:bottom w:val="nil"/>
              <w:right w:val="single" w:sz="4" w:space="0" w:color="auto"/>
            </w:tcBorders>
          </w:tcPr>
          <w:p w14:paraId="5C346EE5" w14:textId="77777777" w:rsidR="00115843" w:rsidRPr="004810CF" w:rsidRDefault="00115843" w:rsidP="00FB0D02">
            <w:pPr>
              <w:spacing w:before="60" w:after="60" w:line="240" w:lineRule="auto"/>
              <w:rPr>
                <w:rFonts w:ascii="Arial" w:hAnsi="Arial"/>
                <w:sz w:val="16"/>
                <w:szCs w:val="16"/>
              </w:rPr>
            </w:pPr>
            <w:r w:rsidRPr="008D55A3">
              <w:rPr>
                <w:rFonts w:ascii="Arial" w:eastAsia="Calibri" w:hAnsi="Arial" w:cs="Arial"/>
                <w:sz w:val="16"/>
                <w:szCs w:val="16"/>
                <w:lang w:eastAsia="en-US"/>
              </w:rPr>
              <w:t xml:space="preserve">Budget </w:t>
            </w:r>
            <w:r>
              <w:rPr>
                <w:rFonts w:ascii="Arial" w:eastAsia="Calibri" w:hAnsi="Arial" w:cs="Arial"/>
                <w:sz w:val="16"/>
                <w:szCs w:val="16"/>
                <w:lang w:eastAsia="en-US"/>
              </w:rPr>
              <w:t>year</w:t>
            </w:r>
            <w:r>
              <w:rPr>
                <w:rFonts w:ascii="Arial" w:eastAsia="Calibri" w:hAnsi="Arial" w:cs="Arial"/>
                <w:sz w:val="16"/>
                <w:szCs w:val="16"/>
                <w:lang w:eastAsia="en-US"/>
              </w:rPr>
              <w:br/>
            </w:r>
            <w:r w:rsidRPr="008D55A3">
              <w:rPr>
                <w:rFonts w:ascii="Arial" w:eastAsia="Calibri" w:hAnsi="Arial" w:cs="Arial"/>
                <w:sz w:val="16"/>
                <w:szCs w:val="16"/>
                <w:lang w:eastAsia="en-US"/>
              </w:rPr>
              <w:t>2022–23</w:t>
            </w:r>
            <w:r>
              <w:rPr>
                <w:rFonts w:ascii="Arial" w:eastAsia="Calibri" w:hAnsi="Arial" w:cs="Arial"/>
                <w:sz w:val="16"/>
                <w:szCs w:val="16"/>
                <w:lang w:eastAsia="en-US"/>
              </w:rPr>
              <w:t xml:space="preserve"> cont.</w:t>
            </w:r>
          </w:p>
        </w:tc>
        <w:tc>
          <w:tcPr>
            <w:tcW w:w="1656" w:type="pct"/>
            <w:tcBorders>
              <w:top w:val="single" w:sz="4" w:space="0" w:color="auto"/>
              <w:left w:val="single" w:sz="4" w:space="0" w:color="auto"/>
              <w:bottom w:val="single" w:sz="4" w:space="0" w:color="auto"/>
              <w:right w:val="single" w:sz="4" w:space="0" w:color="auto"/>
            </w:tcBorders>
          </w:tcPr>
          <w:p w14:paraId="628F266C"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28C1F845" w14:textId="345F179A"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100% in each financial year</w:t>
            </w:r>
            <w:r w:rsidR="00C26B16">
              <w:rPr>
                <w:rFonts w:ascii="Arial" w:eastAsia="Calibri" w:hAnsi="Arial" w:cs="Arial"/>
                <w:sz w:val="16"/>
                <w:szCs w:val="16"/>
                <w:lang w:eastAsia="en-US"/>
              </w:rPr>
              <w:t>.</w:t>
            </w:r>
          </w:p>
        </w:tc>
      </w:tr>
      <w:tr w:rsidR="00115843" w:rsidRPr="004810CF" w14:paraId="5862BFAE" w14:textId="77777777" w:rsidTr="00FB0D02">
        <w:trPr>
          <w:cantSplit/>
          <w:trHeight w:val="1257"/>
        </w:trPr>
        <w:tc>
          <w:tcPr>
            <w:tcW w:w="1010" w:type="pct"/>
            <w:tcBorders>
              <w:top w:val="nil"/>
              <w:bottom w:val="nil"/>
              <w:right w:val="single" w:sz="4" w:space="0" w:color="auto"/>
            </w:tcBorders>
          </w:tcPr>
          <w:p w14:paraId="1BD5AF5C"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6FB510CB"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 xml:space="preserve">Performance of the Regional Airports Program (RAP) and the Remote Airstrip Upgrade (RAU) program, indicated through number of completed projects: </w:t>
            </w:r>
          </w:p>
          <w:p w14:paraId="10523AAE" w14:textId="77777777" w:rsidR="00115843" w:rsidRPr="004810CF" w:rsidRDefault="00115843" w:rsidP="00A776E8">
            <w:pPr>
              <w:numPr>
                <w:ilvl w:val="0"/>
                <w:numId w:val="203"/>
              </w:numPr>
              <w:spacing w:before="60" w:after="60" w:line="240" w:lineRule="auto"/>
              <w:ind w:left="313" w:hanging="313"/>
              <w:contextualSpacing/>
              <w:rPr>
                <w:rFonts w:ascii="Arial" w:eastAsia="Calibri" w:hAnsi="Arial" w:cs="Arial"/>
                <w:sz w:val="16"/>
                <w:szCs w:val="16"/>
                <w:lang w:eastAsia="en-US"/>
              </w:rPr>
            </w:pPr>
            <w:r w:rsidRPr="004810CF">
              <w:rPr>
                <w:rFonts w:ascii="Arial" w:eastAsia="Calibri" w:hAnsi="Arial" w:cs="Arial"/>
                <w:sz w:val="16"/>
                <w:szCs w:val="16"/>
                <w:lang w:eastAsia="en-US"/>
              </w:rPr>
              <w:t>in regional Australia (RAP)</w:t>
            </w:r>
          </w:p>
          <w:p w14:paraId="3DA1CD4C" w14:textId="77777777" w:rsidR="00115843" w:rsidRPr="004810CF" w:rsidRDefault="00115843" w:rsidP="00A776E8">
            <w:pPr>
              <w:numPr>
                <w:ilvl w:val="0"/>
                <w:numId w:val="203"/>
              </w:numPr>
              <w:spacing w:before="60" w:after="60" w:line="240" w:lineRule="auto"/>
              <w:ind w:left="313" w:hanging="313"/>
              <w:contextualSpacing/>
              <w:rPr>
                <w:rFonts w:ascii="Arial" w:eastAsia="Calibri" w:hAnsi="Arial" w:cs="Arial"/>
                <w:sz w:val="16"/>
                <w:szCs w:val="16"/>
                <w:lang w:eastAsia="en-US"/>
              </w:rPr>
            </w:pPr>
            <w:r w:rsidRPr="004810CF">
              <w:rPr>
                <w:rFonts w:ascii="Arial" w:eastAsia="Calibri" w:hAnsi="Arial" w:cs="Arial"/>
                <w:sz w:val="16"/>
                <w:szCs w:val="16"/>
                <w:lang w:eastAsia="en-US"/>
              </w:rPr>
              <w:t>in remote Australia (RAU)</w:t>
            </w:r>
          </w:p>
        </w:tc>
        <w:tc>
          <w:tcPr>
            <w:tcW w:w="2334" w:type="pct"/>
            <w:tcBorders>
              <w:top w:val="single" w:sz="4" w:space="0" w:color="auto"/>
              <w:left w:val="single" w:sz="4" w:space="0" w:color="auto"/>
              <w:bottom w:val="single" w:sz="4" w:space="0" w:color="auto"/>
            </w:tcBorders>
          </w:tcPr>
          <w:p w14:paraId="034DBD45" w14:textId="30B309FE" w:rsidR="00115843" w:rsidRPr="004810CF" w:rsidRDefault="00115843" w:rsidP="00FB0D02">
            <w:pPr>
              <w:spacing w:before="60" w:after="60" w:line="240" w:lineRule="auto"/>
              <w:ind w:right="-12"/>
              <w:contextualSpacing/>
              <w:rPr>
                <w:rFonts w:ascii="Arial" w:eastAsia="Calibri" w:hAnsi="Arial" w:cs="Arial"/>
                <w:sz w:val="16"/>
                <w:szCs w:val="16"/>
                <w:lang w:eastAsia="en-US"/>
              </w:rPr>
            </w:pPr>
            <w:r w:rsidRPr="004810CF">
              <w:rPr>
                <w:rFonts w:ascii="Arial" w:eastAsia="Calibri" w:hAnsi="Arial" w:cs="Arial"/>
                <w:sz w:val="16"/>
                <w:szCs w:val="16"/>
                <w:lang w:eastAsia="en-US"/>
              </w:rPr>
              <w:t>In 2022–23, RAP and RAU projects are completed in line with their funding agreements. Both RAP and RAU continue for one round with RAP funding to 2024–25; RAU funding to 2023–24</w:t>
            </w:r>
            <w:r w:rsidR="00A776E8">
              <w:rPr>
                <w:rFonts w:ascii="Arial" w:eastAsia="Calibri" w:hAnsi="Arial" w:cs="Arial"/>
                <w:sz w:val="16"/>
                <w:szCs w:val="16"/>
                <w:lang w:eastAsia="en-US"/>
              </w:rPr>
              <w:t>.</w:t>
            </w:r>
          </w:p>
        </w:tc>
      </w:tr>
      <w:tr w:rsidR="00115843" w:rsidRPr="004810CF" w14:paraId="2E3F1664" w14:textId="77777777" w:rsidTr="00FB0D02">
        <w:trPr>
          <w:cantSplit/>
          <w:trHeight w:val="642"/>
        </w:trPr>
        <w:tc>
          <w:tcPr>
            <w:tcW w:w="1010" w:type="pct"/>
            <w:tcBorders>
              <w:top w:val="nil"/>
              <w:bottom w:val="nil"/>
              <w:right w:val="single" w:sz="4" w:space="0" w:color="auto"/>
            </w:tcBorders>
          </w:tcPr>
          <w:p w14:paraId="5F605838"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E253D4E" w14:textId="77777777" w:rsidR="00115843" w:rsidRPr="004810CF" w:rsidRDefault="00115843" w:rsidP="00FB0D02">
            <w:pPr>
              <w:spacing w:before="60" w:after="60" w:line="240" w:lineRule="auto"/>
              <w:rPr>
                <w:rFonts w:ascii="Arial" w:eastAsia="Calibri" w:hAnsi="Arial" w:cs="Arial"/>
                <w:i/>
                <w:sz w:val="16"/>
                <w:szCs w:val="16"/>
                <w:lang w:eastAsia="en-US"/>
              </w:rPr>
            </w:pPr>
            <w:r w:rsidRPr="004810CF">
              <w:rPr>
                <w:rFonts w:ascii="Arial" w:eastAsia="Calibri" w:hAnsi="Arial" w:cs="Arial"/>
                <w:i/>
                <w:sz w:val="16"/>
                <w:szCs w:val="16"/>
                <w:lang w:eastAsia="en-US"/>
              </w:rPr>
              <w:t>Remote Air Services Subsidy (RASS) Scheme performance is indicated by eligible communities in remote and isolated areas of Australia having access to a regular air transport service for the carriage of passengers and goods.</w:t>
            </w:r>
          </w:p>
        </w:tc>
        <w:tc>
          <w:tcPr>
            <w:tcW w:w="2334" w:type="pct"/>
            <w:tcBorders>
              <w:top w:val="single" w:sz="4" w:space="0" w:color="auto"/>
              <w:left w:val="single" w:sz="4" w:space="0" w:color="auto"/>
              <w:bottom w:val="single" w:sz="4" w:space="0" w:color="auto"/>
            </w:tcBorders>
          </w:tcPr>
          <w:p w14:paraId="45AD8E76" w14:textId="0169DF96" w:rsidR="00115843" w:rsidRPr="004810CF" w:rsidDel="008E1A6E" w:rsidRDefault="00115843" w:rsidP="00FB0D02">
            <w:pPr>
              <w:spacing w:before="60" w:after="60" w:line="240" w:lineRule="auto"/>
              <w:ind w:right="-12"/>
              <w:rPr>
                <w:rFonts w:ascii="Arial" w:eastAsia="Calibri" w:hAnsi="Arial" w:cs="Arial"/>
                <w:b/>
                <w:sz w:val="16"/>
                <w:szCs w:val="16"/>
                <w:lang w:eastAsia="en-US"/>
              </w:rPr>
            </w:pPr>
            <w:r w:rsidRPr="004810CF">
              <w:rPr>
                <w:rFonts w:ascii="Arial" w:eastAsia="Calibri" w:hAnsi="Arial" w:cs="Arial"/>
                <w:sz w:val="16"/>
                <w:szCs w:val="16"/>
                <w:lang w:eastAsia="en-US"/>
              </w:rPr>
              <w:t>All eligible communities are admitted and maintained in the RASS Scheme</w:t>
            </w:r>
            <w:r w:rsidR="00A776E8">
              <w:rPr>
                <w:rFonts w:ascii="Arial" w:eastAsia="Calibri" w:hAnsi="Arial" w:cs="Arial"/>
                <w:sz w:val="16"/>
                <w:szCs w:val="16"/>
                <w:lang w:eastAsia="en-US"/>
              </w:rPr>
              <w:t>.</w:t>
            </w:r>
          </w:p>
        </w:tc>
      </w:tr>
      <w:tr w:rsidR="00115843" w:rsidRPr="004810CF" w14:paraId="1099D183" w14:textId="77777777" w:rsidTr="00A776E8">
        <w:trPr>
          <w:cantSplit/>
          <w:trHeight w:val="415"/>
        </w:trPr>
        <w:tc>
          <w:tcPr>
            <w:tcW w:w="1010" w:type="pct"/>
            <w:tcBorders>
              <w:top w:val="nil"/>
              <w:bottom w:val="double" w:sz="4" w:space="0" w:color="auto"/>
              <w:right w:val="single" w:sz="4" w:space="0" w:color="auto"/>
            </w:tcBorders>
          </w:tcPr>
          <w:p w14:paraId="454AC5C8" w14:textId="77777777" w:rsidR="00115843" w:rsidRPr="00DB0E5D"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6092601F" w14:textId="77777777" w:rsidR="00115843" w:rsidRPr="004810CF" w:rsidRDefault="00115843" w:rsidP="00FB0D02">
            <w:pPr>
              <w:spacing w:before="60" w:after="60" w:line="240" w:lineRule="auto"/>
              <w:rPr>
                <w:rFonts w:ascii="Arial" w:eastAsia="Calibri" w:hAnsi="Arial" w:cs="Arial"/>
                <w:i/>
                <w:sz w:val="16"/>
                <w:szCs w:val="16"/>
                <w:lang w:eastAsia="en-US"/>
              </w:rPr>
            </w:pPr>
            <w:r w:rsidRPr="004810CF">
              <w:rPr>
                <w:rFonts w:ascii="Arial" w:eastAsia="Calibri" w:hAnsi="Arial" w:cs="Arial"/>
                <w:i/>
                <w:sz w:val="16"/>
                <w:szCs w:val="16"/>
                <w:lang w:eastAsia="en-US"/>
              </w:rPr>
              <w:t>Provide policy advice supporting aviation safety</w:t>
            </w:r>
          </w:p>
        </w:tc>
        <w:tc>
          <w:tcPr>
            <w:tcW w:w="2334" w:type="pct"/>
            <w:tcBorders>
              <w:top w:val="single" w:sz="4" w:space="0" w:color="auto"/>
              <w:left w:val="single" w:sz="4" w:space="0" w:color="auto"/>
              <w:bottom w:val="single" w:sz="4" w:space="0" w:color="auto"/>
            </w:tcBorders>
          </w:tcPr>
          <w:p w14:paraId="6A7E76A0" w14:textId="74FB23EE" w:rsidR="00115843" w:rsidRPr="004810CF" w:rsidDel="008E1A6E" w:rsidRDefault="00115843" w:rsidP="00FB0D02">
            <w:pPr>
              <w:spacing w:before="60" w:after="60" w:line="240" w:lineRule="auto"/>
              <w:ind w:right="-12"/>
              <w:rPr>
                <w:rFonts w:ascii="Arial" w:eastAsia="Calibri" w:hAnsi="Arial" w:cs="Arial"/>
                <w:b/>
                <w:sz w:val="16"/>
                <w:szCs w:val="16"/>
                <w:lang w:eastAsia="en-US"/>
              </w:rPr>
            </w:pPr>
            <w:r w:rsidRPr="004810CF">
              <w:rPr>
                <w:rFonts w:ascii="Arial" w:eastAsia="Calibri" w:hAnsi="Arial" w:cs="Arial"/>
                <w:sz w:val="16"/>
                <w:szCs w:val="16"/>
                <w:lang w:eastAsia="en-US"/>
              </w:rPr>
              <w:t>Policy advice is high-quality, timely and evidence-based</w:t>
            </w:r>
            <w:r w:rsidR="00A776E8">
              <w:rPr>
                <w:rFonts w:ascii="Arial" w:eastAsia="Calibri" w:hAnsi="Arial" w:cs="Arial"/>
                <w:sz w:val="16"/>
                <w:szCs w:val="16"/>
                <w:lang w:eastAsia="en-US"/>
              </w:rPr>
              <w:t>.</w:t>
            </w:r>
          </w:p>
        </w:tc>
      </w:tr>
      <w:tr w:rsidR="00115843" w:rsidRPr="004810CF" w14:paraId="4D50E870" w14:textId="77777777" w:rsidTr="00FB0D02">
        <w:trPr>
          <w:trHeight w:val="258"/>
        </w:trPr>
        <w:tc>
          <w:tcPr>
            <w:tcW w:w="1010" w:type="pct"/>
            <w:tcBorders>
              <w:top w:val="double" w:sz="4" w:space="0" w:color="auto"/>
              <w:bottom w:val="single" w:sz="4" w:space="0" w:color="auto"/>
              <w:right w:val="single" w:sz="4" w:space="0" w:color="auto"/>
            </w:tcBorders>
          </w:tcPr>
          <w:p w14:paraId="78074BF4" w14:textId="77777777" w:rsidR="00115843" w:rsidRPr="004810CF" w:rsidRDefault="00115843" w:rsidP="00FB0D02">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AF9C6C7"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6B4B92F0" w14:textId="77777777" w:rsidR="00115843" w:rsidRPr="004810CF" w:rsidRDefault="00115843" w:rsidP="00FB0D02">
            <w:pPr>
              <w:spacing w:before="60" w:after="60" w:line="240" w:lineRule="auto"/>
              <w:rPr>
                <w:rFonts w:ascii="Arial" w:hAnsi="Arial" w:cs="Arial"/>
                <w:b/>
                <w:sz w:val="16"/>
                <w:szCs w:val="16"/>
              </w:rPr>
            </w:pPr>
            <w:r w:rsidRPr="004810CF">
              <w:rPr>
                <w:rFonts w:ascii="Arial" w:hAnsi="Arial" w:cs="Arial"/>
                <w:b/>
                <w:sz w:val="16"/>
                <w:szCs w:val="16"/>
              </w:rPr>
              <w:t>Planned Performance Results</w:t>
            </w:r>
          </w:p>
        </w:tc>
      </w:tr>
      <w:tr w:rsidR="00115843" w:rsidRPr="004810CF" w14:paraId="7CE627DD" w14:textId="77777777" w:rsidTr="00FB0D02">
        <w:trPr>
          <w:cantSplit/>
          <w:trHeight w:val="642"/>
        </w:trPr>
        <w:tc>
          <w:tcPr>
            <w:tcW w:w="1010" w:type="pct"/>
            <w:vMerge w:val="restart"/>
            <w:tcBorders>
              <w:top w:val="single" w:sz="4" w:space="0" w:color="auto"/>
              <w:right w:val="single" w:sz="4" w:space="0" w:color="auto"/>
            </w:tcBorders>
          </w:tcPr>
          <w:p w14:paraId="33F1F637" w14:textId="77777777" w:rsidR="00115843" w:rsidRPr="008D55A3" w:rsidRDefault="00115843" w:rsidP="00FB0D02">
            <w:pPr>
              <w:spacing w:before="60" w:after="60" w:line="240" w:lineRule="auto"/>
              <w:rPr>
                <w:rFonts w:ascii="Arial" w:hAnsi="Arial"/>
                <w:sz w:val="16"/>
                <w:szCs w:val="16"/>
              </w:rPr>
            </w:pPr>
            <w:r w:rsidRPr="008D55A3">
              <w:rPr>
                <w:rFonts w:ascii="Arial" w:eastAsia="Calibri" w:hAnsi="Arial" w:cs="Arial"/>
                <w:sz w:val="16"/>
                <w:szCs w:val="16"/>
              </w:rPr>
              <w:t>Forward Estimates</w:t>
            </w:r>
            <w:r w:rsidRPr="008D55A3">
              <w:rPr>
                <w:rFonts w:ascii="Arial" w:eastAsia="Calibri" w:hAnsi="Arial" w:cs="Arial"/>
                <w:sz w:val="16"/>
                <w:szCs w:val="16"/>
              </w:rPr>
              <w:br/>
              <w:t>2023–26</w:t>
            </w:r>
          </w:p>
        </w:tc>
        <w:tc>
          <w:tcPr>
            <w:tcW w:w="1656" w:type="pct"/>
            <w:tcBorders>
              <w:top w:val="single" w:sz="4" w:space="0" w:color="auto"/>
              <w:left w:val="single" w:sz="4" w:space="0" w:color="auto"/>
              <w:bottom w:val="single" w:sz="4" w:space="0" w:color="auto"/>
              <w:right w:val="single" w:sz="4" w:space="0" w:color="auto"/>
            </w:tcBorders>
          </w:tcPr>
          <w:p w14:paraId="647F7A8A" w14:textId="77777777" w:rsidR="00115843" w:rsidRPr="004810CF" w:rsidRDefault="00115843" w:rsidP="00FB0D02">
            <w:pPr>
              <w:spacing w:before="60" w:after="60" w:line="240" w:lineRule="auto"/>
              <w:rPr>
                <w:rFonts w:ascii="Arial" w:eastAsia="Calibri" w:hAnsi="Arial" w:cs="Arial"/>
                <w:i/>
                <w:sz w:val="16"/>
                <w:szCs w:val="16"/>
                <w:lang w:eastAsia="en-US"/>
              </w:rPr>
            </w:pPr>
            <w:r w:rsidRPr="004810CF">
              <w:rPr>
                <w:rFonts w:ascii="Arial" w:eastAsia="Calibri" w:hAnsi="Arial" w:cs="Arial"/>
                <w:i/>
                <w:sz w:val="16"/>
                <w:szCs w:val="16"/>
                <w:lang w:eastAsia="en-US"/>
              </w:rPr>
              <w:t>Development and Environmental Assessment of Preliminary Flight Paths for Western Sydney International (Nancy-Bird Walton) Airport</w:t>
            </w:r>
          </w:p>
        </w:tc>
        <w:tc>
          <w:tcPr>
            <w:tcW w:w="2334" w:type="pct"/>
            <w:tcBorders>
              <w:top w:val="single" w:sz="4" w:space="0" w:color="auto"/>
              <w:left w:val="single" w:sz="4" w:space="0" w:color="auto"/>
              <w:bottom w:val="single" w:sz="4" w:space="0" w:color="auto"/>
            </w:tcBorders>
          </w:tcPr>
          <w:p w14:paraId="098CE2D1" w14:textId="77777777" w:rsidR="00115843" w:rsidRPr="004810CF" w:rsidRDefault="00115843" w:rsidP="00FB0D02">
            <w:pPr>
              <w:spacing w:before="60" w:after="60" w:line="240" w:lineRule="auto"/>
              <w:ind w:right="-12"/>
              <w:rPr>
                <w:rFonts w:ascii="Arial" w:eastAsia="Calibri" w:hAnsi="Arial" w:cs="Arial"/>
                <w:b/>
                <w:sz w:val="16"/>
                <w:szCs w:val="16"/>
                <w:lang w:eastAsia="en-US"/>
              </w:rPr>
            </w:pPr>
            <w:r w:rsidRPr="004810CF">
              <w:rPr>
                <w:rFonts w:ascii="Arial" w:eastAsia="Calibri" w:hAnsi="Arial" w:cs="Arial"/>
                <w:sz w:val="16"/>
                <w:szCs w:val="16"/>
                <w:lang w:eastAsia="en-US"/>
              </w:rPr>
              <w:t>Flight Paths finalised and approved following community consultation to enable airport opening in 2026</w:t>
            </w:r>
          </w:p>
        </w:tc>
      </w:tr>
      <w:tr w:rsidR="00115843" w:rsidRPr="004810CF" w14:paraId="527BDD60" w14:textId="77777777" w:rsidTr="00FB0D02">
        <w:trPr>
          <w:cantSplit/>
          <w:trHeight w:val="642"/>
        </w:trPr>
        <w:tc>
          <w:tcPr>
            <w:tcW w:w="1010" w:type="pct"/>
            <w:vMerge/>
            <w:tcBorders>
              <w:right w:val="single" w:sz="4" w:space="0" w:color="auto"/>
            </w:tcBorders>
          </w:tcPr>
          <w:p w14:paraId="2494557A"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699FFD76"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39CB9765" w14:textId="77777777" w:rsidR="00115843" w:rsidRPr="004810CF" w:rsidRDefault="00115843" w:rsidP="00FB0D02">
            <w:pPr>
              <w:spacing w:before="60" w:after="60" w:line="240" w:lineRule="auto"/>
              <w:ind w:right="-12"/>
              <w:rPr>
                <w:rFonts w:ascii="Arial" w:eastAsia="Calibri" w:hAnsi="Arial" w:cs="Arial"/>
                <w:b/>
                <w:sz w:val="16"/>
                <w:szCs w:val="16"/>
                <w:lang w:eastAsia="en-US"/>
              </w:rPr>
            </w:pPr>
            <w:r w:rsidRPr="004810CF">
              <w:rPr>
                <w:rFonts w:ascii="Arial" w:eastAsia="Calibri" w:hAnsi="Arial" w:cs="Arial"/>
                <w:sz w:val="16"/>
                <w:szCs w:val="16"/>
                <w:lang w:eastAsia="en-US"/>
              </w:rPr>
              <w:t>100% in each financial year</w:t>
            </w:r>
          </w:p>
        </w:tc>
      </w:tr>
      <w:tr w:rsidR="00115843" w:rsidRPr="004810CF" w14:paraId="47035AEF" w14:textId="77777777" w:rsidTr="00FB0D02">
        <w:trPr>
          <w:cantSplit/>
          <w:trHeight w:val="1907"/>
        </w:trPr>
        <w:tc>
          <w:tcPr>
            <w:tcW w:w="1010" w:type="pct"/>
            <w:vMerge/>
            <w:tcBorders>
              <w:right w:val="single" w:sz="4" w:space="0" w:color="auto"/>
            </w:tcBorders>
          </w:tcPr>
          <w:p w14:paraId="74E883FD" w14:textId="77777777" w:rsidR="00115843" w:rsidRPr="004810CF"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171C7221" w14:textId="77777777" w:rsidR="00115843" w:rsidRPr="004810CF" w:rsidRDefault="00115843" w:rsidP="00FB0D02">
            <w:pPr>
              <w:spacing w:before="60" w:after="60" w:line="240" w:lineRule="auto"/>
              <w:rPr>
                <w:rFonts w:ascii="Arial" w:eastAsia="Calibri" w:hAnsi="Arial" w:cs="Arial"/>
                <w:sz w:val="16"/>
                <w:szCs w:val="16"/>
                <w:lang w:eastAsia="en-US"/>
              </w:rPr>
            </w:pPr>
            <w:r w:rsidRPr="004810CF">
              <w:rPr>
                <w:rFonts w:ascii="Arial" w:eastAsia="Calibri" w:hAnsi="Arial" w:cs="Arial"/>
                <w:sz w:val="16"/>
                <w:szCs w:val="16"/>
                <w:lang w:eastAsia="en-US"/>
              </w:rPr>
              <w:t xml:space="preserve">Performance of the Regional Airports Program (RAP) and the Remote Airstrip Upgrade (RAU) program, indicated through number of completed projects: </w:t>
            </w:r>
          </w:p>
          <w:p w14:paraId="39532126" w14:textId="77777777" w:rsidR="00115843" w:rsidRPr="004810CF" w:rsidRDefault="00115843" w:rsidP="00115843">
            <w:pPr>
              <w:numPr>
                <w:ilvl w:val="0"/>
                <w:numId w:val="265"/>
              </w:numPr>
              <w:spacing w:before="60" w:after="60" w:line="240" w:lineRule="auto"/>
              <w:ind w:left="352" w:hanging="352"/>
              <w:contextualSpacing/>
              <w:rPr>
                <w:rFonts w:ascii="Arial" w:eastAsia="Calibri" w:hAnsi="Arial" w:cs="Arial"/>
                <w:sz w:val="16"/>
                <w:szCs w:val="16"/>
                <w:lang w:eastAsia="en-US"/>
              </w:rPr>
            </w:pPr>
            <w:r w:rsidRPr="004810CF">
              <w:rPr>
                <w:rFonts w:ascii="Arial" w:eastAsia="Calibri" w:hAnsi="Arial" w:cs="Arial"/>
                <w:sz w:val="16"/>
                <w:szCs w:val="16"/>
                <w:lang w:eastAsia="en-US"/>
              </w:rPr>
              <w:t>in regional Australia (RAP)</w:t>
            </w:r>
          </w:p>
          <w:p w14:paraId="452B7B62" w14:textId="77777777" w:rsidR="00115843" w:rsidRPr="004810CF" w:rsidRDefault="00115843" w:rsidP="00115843">
            <w:pPr>
              <w:numPr>
                <w:ilvl w:val="0"/>
                <w:numId w:val="265"/>
              </w:numPr>
              <w:spacing w:before="60" w:after="60" w:line="240" w:lineRule="auto"/>
              <w:ind w:left="360"/>
              <w:contextualSpacing/>
              <w:rPr>
                <w:rFonts w:ascii="Arial" w:eastAsia="Calibri" w:hAnsi="Arial" w:cs="Arial"/>
                <w:sz w:val="16"/>
                <w:szCs w:val="16"/>
                <w:lang w:eastAsia="en-US"/>
              </w:rPr>
            </w:pPr>
            <w:r w:rsidRPr="004810CF">
              <w:rPr>
                <w:rFonts w:ascii="Arial" w:eastAsia="Calibri" w:hAnsi="Arial" w:cs="Arial"/>
                <w:sz w:val="16"/>
                <w:szCs w:val="16"/>
                <w:lang w:eastAsia="en-US"/>
              </w:rPr>
              <w:t>in remote Australia (RAU)</w:t>
            </w:r>
          </w:p>
        </w:tc>
        <w:tc>
          <w:tcPr>
            <w:tcW w:w="2334" w:type="pct"/>
            <w:tcBorders>
              <w:top w:val="single" w:sz="4" w:space="0" w:color="auto"/>
              <w:left w:val="single" w:sz="4" w:space="0" w:color="auto"/>
              <w:bottom w:val="single" w:sz="4" w:space="0" w:color="auto"/>
            </w:tcBorders>
          </w:tcPr>
          <w:p w14:paraId="30292A81" w14:textId="77777777" w:rsidR="00115843" w:rsidRPr="004810CF" w:rsidRDefault="00115843" w:rsidP="00115843">
            <w:pPr>
              <w:numPr>
                <w:ilvl w:val="0"/>
                <w:numId w:val="204"/>
              </w:numPr>
              <w:spacing w:before="60" w:after="60" w:line="240" w:lineRule="auto"/>
              <w:ind w:left="357" w:right="-11" w:hanging="357"/>
              <w:rPr>
                <w:rFonts w:ascii="Arial" w:eastAsia="Calibri" w:hAnsi="Arial" w:cs="Arial"/>
                <w:sz w:val="16"/>
                <w:szCs w:val="16"/>
                <w:lang w:eastAsia="en-US"/>
              </w:rPr>
            </w:pPr>
            <w:r w:rsidRPr="004810CF">
              <w:rPr>
                <w:rFonts w:ascii="Arial" w:eastAsia="Calibri" w:hAnsi="Arial" w:cs="Arial"/>
                <w:sz w:val="16"/>
                <w:szCs w:val="16"/>
                <w:lang w:eastAsia="en-US"/>
              </w:rPr>
              <w:t>100% of RAP projects with funding agreements in place are completed by 30 June 2025, with a third round of RAP grants to be offered on a competitive basis in 2022</w:t>
            </w:r>
          </w:p>
          <w:p w14:paraId="365070C7" w14:textId="77777777" w:rsidR="00115843" w:rsidRPr="004810CF" w:rsidRDefault="00115843" w:rsidP="00115843">
            <w:pPr>
              <w:numPr>
                <w:ilvl w:val="0"/>
                <w:numId w:val="204"/>
              </w:numPr>
              <w:spacing w:before="60" w:after="60" w:line="240" w:lineRule="auto"/>
              <w:ind w:left="360" w:right="-12"/>
              <w:contextualSpacing/>
              <w:rPr>
                <w:rFonts w:ascii="Arial" w:eastAsia="Calibri" w:hAnsi="Arial" w:cs="Arial"/>
                <w:sz w:val="16"/>
                <w:szCs w:val="16"/>
                <w:lang w:eastAsia="en-US"/>
              </w:rPr>
            </w:pPr>
            <w:r w:rsidRPr="004810CF">
              <w:rPr>
                <w:rFonts w:ascii="Arial" w:eastAsia="Calibri" w:hAnsi="Arial" w:cs="Arial"/>
                <w:sz w:val="16"/>
                <w:szCs w:val="16"/>
                <w:lang w:eastAsia="en-US"/>
              </w:rPr>
              <w:t>100% of RAU projects with funding agreements in place are completed by 30 June 2024, with a ninth round of RAU grants to be offered on a competitive basis in 2022</w:t>
            </w:r>
          </w:p>
        </w:tc>
      </w:tr>
      <w:tr w:rsidR="00115843" w:rsidRPr="004810CF" w14:paraId="4F56BE8D" w14:textId="77777777" w:rsidTr="00FB0D02">
        <w:trPr>
          <w:cantSplit/>
          <w:trHeight w:val="411"/>
        </w:trPr>
        <w:tc>
          <w:tcPr>
            <w:tcW w:w="1010" w:type="pct"/>
            <w:vMerge/>
            <w:tcBorders>
              <w:right w:val="single" w:sz="4" w:space="0" w:color="auto"/>
            </w:tcBorders>
          </w:tcPr>
          <w:p w14:paraId="66C45817" w14:textId="77777777" w:rsidR="00115843" w:rsidRPr="004810CF" w:rsidRDefault="00115843" w:rsidP="00FB0D02">
            <w:pPr>
              <w:spacing w:before="60" w:after="60" w:line="240" w:lineRule="auto"/>
              <w:rPr>
                <w:rFonts w:ascii="Arial" w:hAnsi="Arial" w:cs="Arial"/>
                <w:b/>
                <w:sz w:val="16"/>
                <w:szCs w:val="16"/>
              </w:rPr>
            </w:pPr>
          </w:p>
        </w:tc>
        <w:tc>
          <w:tcPr>
            <w:tcW w:w="1656" w:type="pct"/>
            <w:tcBorders>
              <w:top w:val="single" w:sz="4" w:space="0" w:color="auto"/>
              <w:left w:val="single" w:sz="4" w:space="0" w:color="auto"/>
              <w:bottom w:val="single" w:sz="4" w:space="0" w:color="auto"/>
              <w:right w:val="single" w:sz="4" w:space="0" w:color="auto"/>
            </w:tcBorders>
          </w:tcPr>
          <w:p w14:paraId="15745F52" w14:textId="77777777" w:rsidR="00115843" w:rsidRPr="004810CF" w:rsidRDefault="00115843" w:rsidP="00FB0D02">
            <w:pPr>
              <w:spacing w:before="60" w:after="60" w:line="240" w:lineRule="auto"/>
              <w:rPr>
                <w:rFonts w:ascii="Arial" w:eastAsia="Calibri" w:hAnsi="Arial" w:cs="Arial"/>
                <w:i/>
                <w:sz w:val="16"/>
                <w:szCs w:val="16"/>
                <w:lang w:eastAsia="en-US"/>
              </w:rPr>
            </w:pPr>
            <w:r w:rsidRPr="004810CF">
              <w:rPr>
                <w:rFonts w:ascii="Arial" w:eastAsia="Calibri" w:hAnsi="Arial" w:cs="Arial"/>
                <w:i/>
                <w:sz w:val="16"/>
                <w:szCs w:val="16"/>
                <w:lang w:eastAsia="en-US"/>
              </w:rPr>
              <w:t>Remote Air Services Subsidy (RASS) Scheme performance is indicated by eligible communities in remote and isolated areas of Australia having access to a regular air transport service for the carriage of passengers and goods.</w:t>
            </w:r>
          </w:p>
        </w:tc>
        <w:tc>
          <w:tcPr>
            <w:tcW w:w="2334" w:type="pct"/>
            <w:tcBorders>
              <w:top w:val="single" w:sz="4" w:space="0" w:color="auto"/>
              <w:left w:val="single" w:sz="4" w:space="0" w:color="auto"/>
              <w:bottom w:val="single" w:sz="4" w:space="0" w:color="auto"/>
            </w:tcBorders>
          </w:tcPr>
          <w:p w14:paraId="2C799505" w14:textId="77777777" w:rsidR="00115843" w:rsidRPr="004810CF" w:rsidRDefault="00115843" w:rsidP="00FB0D02">
            <w:pPr>
              <w:spacing w:before="60" w:after="60" w:line="240" w:lineRule="auto"/>
              <w:ind w:right="-11"/>
              <w:rPr>
                <w:rFonts w:ascii="Arial" w:eastAsiaTheme="minorHAnsi" w:hAnsi="Arial" w:cs="Arial"/>
                <w:b/>
                <w:sz w:val="16"/>
                <w:szCs w:val="16"/>
                <w:lang w:eastAsia="en-US"/>
              </w:rPr>
            </w:pPr>
            <w:r w:rsidRPr="004810CF">
              <w:rPr>
                <w:rFonts w:ascii="Arial" w:eastAsia="Calibri" w:hAnsi="Arial" w:cs="Arial"/>
                <w:sz w:val="16"/>
                <w:szCs w:val="16"/>
                <w:lang w:eastAsia="en-US"/>
              </w:rPr>
              <w:t>All eligible communities are admitted and maintained in the RASS Scheme</w:t>
            </w:r>
          </w:p>
        </w:tc>
      </w:tr>
      <w:tr w:rsidR="00115843" w:rsidRPr="004810CF" w14:paraId="0CE8090C" w14:textId="77777777" w:rsidTr="00FB0D02">
        <w:trPr>
          <w:cantSplit/>
          <w:trHeight w:val="411"/>
        </w:trPr>
        <w:tc>
          <w:tcPr>
            <w:tcW w:w="1010" w:type="pct"/>
            <w:vMerge/>
            <w:tcBorders>
              <w:right w:val="single" w:sz="4" w:space="0" w:color="auto"/>
            </w:tcBorders>
          </w:tcPr>
          <w:p w14:paraId="4DD909FA" w14:textId="77777777" w:rsidR="00115843" w:rsidRPr="004810CF" w:rsidRDefault="00115843" w:rsidP="00FB0D02">
            <w:pPr>
              <w:spacing w:before="60" w:after="60" w:line="240" w:lineRule="auto"/>
              <w:rPr>
                <w:rFonts w:ascii="Arial" w:hAnsi="Arial" w:cs="Arial"/>
                <w:b/>
                <w:sz w:val="16"/>
                <w:szCs w:val="16"/>
              </w:rPr>
            </w:pPr>
          </w:p>
        </w:tc>
        <w:tc>
          <w:tcPr>
            <w:tcW w:w="1656" w:type="pct"/>
            <w:tcBorders>
              <w:top w:val="single" w:sz="4" w:space="0" w:color="auto"/>
              <w:left w:val="single" w:sz="4" w:space="0" w:color="auto"/>
              <w:bottom w:val="single" w:sz="4" w:space="0" w:color="auto"/>
              <w:right w:val="single" w:sz="4" w:space="0" w:color="auto"/>
            </w:tcBorders>
          </w:tcPr>
          <w:p w14:paraId="1A60A519" w14:textId="77777777" w:rsidR="00115843" w:rsidRPr="004810CF" w:rsidRDefault="00115843" w:rsidP="00FB0D02">
            <w:pPr>
              <w:spacing w:before="60" w:after="60" w:line="240" w:lineRule="auto"/>
              <w:rPr>
                <w:rFonts w:ascii="Arial" w:eastAsia="Calibri" w:hAnsi="Arial" w:cs="Arial"/>
                <w:i/>
                <w:sz w:val="16"/>
                <w:szCs w:val="16"/>
                <w:lang w:eastAsia="en-US"/>
              </w:rPr>
            </w:pPr>
            <w:r w:rsidRPr="004810CF">
              <w:rPr>
                <w:rFonts w:ascii="Arial" w:eastAsia="Calibri" w:hAnsi="Arial" w:cs="Arial"/>
                <w:i/>
                <w:sz w:val="16"/>
                <w:szCs w:val="16"/>
                <w:lang w:eastAsia="en-US"/>
              </w:rPr>
              <w:t>Provide policy advice supporting aviation safety</w:t>
            </w:r>
          </w:p>
        </w:tc>
        <w:tc>
          <w:tcPr>
            <w:tcW w:w="2334" w:type="pct"/>
            <w:tcBorders>
              <w:top w:val="single" w:sz="4" w:space="0" w:color="auto"/>
              <w:left w:val="single" w:sz="4" w:space="0" w:color="auto"/>
              <w:bottom w:val="single" w:sz="4" w:space="0" w:color="auto"/>
            </w:tcBorders>
          </w:tcPr>
          <w:p w14:paraId="08AA6B6E" w14:textId="77777777" w:rsidR="00115843" w:rsidRPr="004810CF" w:rsidRDefault="00115843" w:rsidP="00FB0D02">
            <w:pPr>
              <w:spacing w:before="60" w:after="60" w:line="240" w:lineRule="auto"/>
              <w:ind w:right="-11"/>
              <w:rPr>
                <w:rFonts w:ascii="Arial" w:eastAsiaTheme="minorHAnsi" w:hAnsi="Arial" w:cs="Arial"/>
                <w:b/>
                <w:sz w:val="16"/>
                <w:szCs w:val="16"/>
                <w:lang w:eastAsia="en-US"/>
              </w:rPr>
            </w:pPr>
            <w:r w:rsidRPr="004810CF">
              <w:rPr>
                <w:rFonts w:ascii="Arial" w:eastAsia="Calibri" w:hAnsi="Arial" w:cs="Arial"/>
                <w:sz w:val="16"/>
                <w:szCs w:val="16"/>
                <w:lang w:eastAsia="en-US"/>
              </w:rPr>
              <w:t>Policy advice is high-quality, timely and evidence-based</w:t>
            </w:r>
          </w:p>
        </w:tc>
      </w:tr>
    </w:tbl>
    <w:p w14:paraId="3CAFB9AC" w14:textId="77777777" w:rsidR="00115843" w:rsidRPr="0016575D" w:rsidRDefault="00115843" w:rsidP="00115843">
      <w:pPr>
        <w:spacing w:before="60" w:after="0" w:line="240" w:lineRule="auto"/>
        <w:rPr>
          <w:rFonts w:ascii="Arial" w:hAnsi="Arial" w:cs="Arial"/>
          <w:sz w:val="16"/>
        </w:rPr>
      </w:pPr>
      <w:bookmarkStart w:id="22" w:name="_Hlk115687921"/>
      <w:r w:rsidRPr="0016575D">
        <w:rPr>
          <w:rFonts w:ascii="Arial" w:hAnsi="Arial" w:cs="Arial"/>
          <w:sz w:val="16"/>
        </w:rPr>
        <w:t xml:space="preserve">New or modified performance </w:t>
      </w:r>
      <w:r>
        <w:rPr>
          <w:rFonts w:ascii="Arial" w:hAnsi="Arial" w:cs="Arial"/>
          <w:sz w:val="16"/>
        </w:rPr>
        <w:t>m</w:t>
      </w:r>
      <w:r w:rsidRPr="0016575D">
        <w:rPr>
          <w:rFonts w:ascii="Arial" w:hAnsi="Arial" w:cs="Arial"/>
          <w:sz w:val="16"/>
        </w:rPr>
        <w:t>easure</w:t>
      </w:r>
      <w:r>
        <w:rPr>
          <w:rFonts w:ascii="Arial" w:hAnsi="Arial" w:cs="Arial"/>
          <w:sz w:val="16"/>
        </w:rPr>
        <w:t>s</w:t>
      </w:r>
      <w:r w:rsidRPr="0016575D">
        <w:rPr>
          <w:rFonts w:ascii="Arial" w:hAnsi="Arial" w:cs="Arial"/>
          <w:sz w:val="16"/>
        </w:rPr>
        <w:t xml:space="preserve"> that reflect new or materially changed programs are shown in </w:t>
      </w:r>
      <w:r>
        <w:rPr>
          <w:rFonts w:ascii="Arial" w:hAnsi="Arial" w:cs="Arial"/>
          <w:sz w:val="16"/>
        </w:rPr>
        <w:t>i</w:t>
      </w:r>
      <w:r w:rsidRPr="0016575D">
        <w:rPr>
          <w:rFonts w:ascii="Arial" w:hAnsi="Arial" w:cs="Arial"/>
          <w:i/>
          <w:sz w:val="16"/>
        </w:rPr>
        <w:t>talics.</w:t>
      </w:r>
      <w:r w:rsidRPr="0016575D">
        <w:rPr>
          <w:rFonts w:ascii="Arial" w:hAnsi="Arial" w:cs="Arial"/>
          <w:sz w:val="16"/>
        </w:rPr>
        <w:t xml:space="preserve"> </w:t>
      </w:r>
    </w:p>
    <w:p w14:paraId="3C72CAAF" w14:textId="77777777" w:rsidR="00115843" w:rsidRPr="00A83F42" w:rsidRDefault="00115843" w:rsidP="00115843">
      <w:pPr>
        <w:pStyle w:val="ListParagraph"/>
        <w:numPr>
          <w:ilvl w:val="0"/>
          <w:numId w:val="205"/>
        </w:numPr>
        <w:spacing w:after="0" w:line="240" w:lineRule="auto"/>
        <w:ind w:left="426"/>
        <w:rPr>
          <w:rFonts w:ascii="Arial" w:hAnsi="Arial" w:cs="Arial"/>
          <w:sz w:val="16"/>
          <w:szCs w:val="16"/>
        </w:rPr>
      </w:pPr>
      <w:r w:rsidRPr="00A83F42">
        <w:rPr>
          <w:rFonts w:ascii="Arial" w:hAnsi="Arial" w:cs="Arial"/>
          <w:sz w:val="16"/>
          <w:szCs w:val="16"/>
        </w:rPr>
        <w:lastRenderedPageBreak/>
        <w:t>2021–22 key activity ‘</w:t>
      </w:r>
      <w:r>
        <w:rPr>
          <w:rFonts w:ascii="Arial" w:hAnsi="Arial" w:cs="Arial"/>
          <w:sz w:val="16"/>
          <w:szCs w:val="16"/>
        </w:rPr>
        <w:t>Advise on international aviation markets and regulation, aviation technology and aviation services provided by portfolio bodies</w:t>
      </w:r>
      <w:r w:rsidRPr="00A83F42">
        <w:rPr>
          <w:rFonts w:ascii="Arial" w:hAnsi="Arial" w:cs="Arial"/>
          <w:sz w:val="16"/>
          <w:szCs w:val="16"/>
        </w:rPr>
        <w:t>’ referenced in the 2021–22 Corporate Plan, deleted</w:t>
      </w:r>
    </w:p>
    <w:p w14:paraId="1AD67531" w14:textId="77777777" w:rsidR="00115843" w:rsidRPr="00A83F42" w:rsidRDefault="00115843" w:rsidP="00115843">
      <w:pPr>
        <w:pStyle w:val="ListParagraph"/>
        <w:numPr>
          <w:ilvl w:val="0"/>
          <w:numId w:val="205"/>
        </w:numPr>
        <w:spacing w:after="0" w:line="240" w:lineRule="auto"/>
        <w:ind w:left="426"/>
        <w:rPr>
          <w:rFonts w:ascii="Arial" w:hAnsi="Arial" w:cs="Arial"/>
          <w:sz w:val="16"/>
          <w:szCs w:val="16"/>
        </w:rPr>
      </w:pPr>
      <w:r w:rsidRPr="00A83F42">
        <w:rPr>
          <w:rFonts w:ascii="Arial" w:hAnsi="Arial" w:cs="Arial"/>
          <w:sz w:val="16"/>
          <w:szCs w:val="16"/>
        </w:rPr>
        <w:t>New key activity reflected in the 2022–23 Corporate Plan</w:t>
      </w:r>
    </w:p>
    <w:p w14:paraId="305A9592" w14:textId="77777777" w:rsidR="00115843" w:rsidRPr="00A83F42" w:rsidRDefault="00115843" w:rsidP="00115843">
      <w:pPr>
        <w:pStyle w:val="ListParagraph"/>
        <w:numPr>
          <w:ilvl w:val="0"/>
          <w:numId w:val="205"/>
        </w:numPr>
        <w:spacing w:after="0" w:line="240" w:lineRule="auto"/>
        <w:ind w:left="426"/>
        <w:rPr>
          <w:rFonts w:ascii="Arial" w:hAnsi="Arial" w:cs="Arial"/>
          <w:sz w:val="16"/>
          <w:szCs w:val="16"/>
        </w:rPr>
      </w:pPr>
      <w:r w:rsidRPr="00A83F42">
        <w:rPr>
          <w:rFonts w:ascii="Arial" w:hAnsi="Arial" w:cs="Arial"/>
          <w:sz w:val="16"/>
          <w:szCs w:val="16"/>
        </w:rPr>
        <w:t xml:space="preserve">Refers to updated key activity that </w:t>
      </w:r>
      <w:r>
        <w:rPr>
          <w:rFonts w:ascii="Arial" w:hAnsi="Arial" w:cs="Arial"/>
          <w:sz w:val="16"/>
          <w:szCs w:val="16"/>
        </w:rPr>
        <w:t>is reflected</w:t>
      </w:r>
      <w:r w:rsidRPr="00A83F42">
        <w:rPr>
          <w:rFonts w:ascii="Arial" w:hAnsi="Arial" w:cs="Arial"/>
          <w:sz w:val="16"/>
          <w:szCs w:val="16"/>
        </w:rPr>
        <w:t xml:space="preserve"> in the 2022–23 Corporate Plan</w:t>
      </w:r>
    </w:p>
    <w:p w14:paraId="1E28C16E" w14:textId="77777777" w:rsidR="00115843" w:rsidRPr="003D46F4" w:rsidRDefault="00115843" w:rsidP="00115843">
      <w:pPr>
        <w:pStyle w:val="FootnoteText"/>
        <w:numPr>
          <w:ilvl w:val="0"/>
          <w:numId w:val="205"/>
        </w:numPr>
        <w:tabs>
          <w:tab w:val="clear" w:pos="284"/>
        </w:tabs>
        <w:ind w:left="426"/>
        <w:rPr>
          <w:rFonts w:ascii="Arial" w:hAnsi="Arial" w:cs="Arial"/>
          <w:sz w:val="16"/>
          <w:szCs w:val="16"/>
        </w:rPr>
      </w:pPr>
      <w:r w:rsidRPr="003D46F4">
        <w:rPr>
          <w:rFonts w:ascii="Arial" w:hAnsi="Arial" w:cs="Arial"/>
          <w:sz w:val="16"/>
          <w:szCs w:val="16"/>
        </w:rPr>
        <w:t>Final reporting period for this measure. Further details are included in the 2022–23 Corporate Plan.</w:t>
      </w:r>
    </w:p>
    <w:bookmarkEnd w:id="22"/>
    <w:p w14:paraId="1C916611" w14:textId="77777777" w:rsidR="00115843" w:rsidRPr="002B334F" w:rsidRDefault="00115843" w:rsidP="00115843">
      <w:pPr>
        <w:rPr>
          <w:rFonts w:asciiTheme="majorHAnsi" w:eastAsiaTheme="majorEastAsia" w:hAnsiTheme="majorHAnsi" w:cstheme="majorBidi"/>
          <w:sz w:val="26"/>
          <w:szCs w:val="26"/>
        </w:rPr>
      </w:pPr>
      <w:r>
        <w:rPr>
          <w:b/>
        </w:rPr>
        <w:br w:type="page"/>
      </w:r>
    </w:p>
    <w:p w14:paraId="11054A22" w14:textId="77777777" w:rsidR="00115843" w:rsidRPr="00C000B8" w:rsidRDefault="00115843" w:rsidP="00115843">
      <w:pPr>
        <w:pStyle w:val="Heading3-ITRDCA"/>
      </w:pPr>
      <w:bookmarkStart w:id="23" w:name="_Toc117242349"/>
      <w:r w:rsidRPr="00C000B8">
        <w:lastRenderedPageBreak/>
        <w:t>2.</w:t>
      </w:r>
      <w:r>
        <w:t>3</w:t>
      </w:r>
      <w:r w:rsidRPr="00C000B8">
        <w:t xml:space="preserve"> </w:t>
      </w:r>
      <w:r w:rsidRPr="00C000B8">
        <w:tab/>
        <w:t xml:space="preserve">Budgeted expenses and performance for Outcome </w:t>
      </w:r>
      <w:r>
        <w:t>3</w:t>
      </w:r>
      <w:bookmarkEnd w:id="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1A337A" w14:paraId="10FE5F23" w14:textId="77777777" w:rsidTr="00707BCF">
        <w:trPr>
          <w:trHeight w:val="902"/>
        </w:trPr>
        <w:tc>
          <w:tcPr>
            <w:tcW w:w="5000" w:type="pct"/>
            <w:shd w:val="clear" w:color="auto" w:fill="E6E6E6"/>
          </w:tcPr>
          <w:p w14:paraId="12F9B76C" w14:textId="10392609" w:rsidR="00115843" w:rsidRPr="00707BCF" w:rsidRDefault="00115843" w:rsidP="00FB0D02">
            <w:pPr>
              <w:spacing w:before="60" w:after="60" w:line="240" w:lineRule="auto"/>
              <w:ind w:right="180"/>
              <w:rPr>
                <w:rFonts w:ascii="Arial" w:hAnsi="Arial" w:cs="Arial"/>
                <w:b/>
              </w:rPr>
            </w:pPr>
            <w:r w:rsidRPr="00707BCF">
              <w:rPr>
                <w:rFonts w:ascii="Arial" w:hAnsi="Arial" w:cs="Arial"/>
                <w:b/>
              </w:rPr>
              <w:t>Outcome 3: Strengthening the sustainability, capacity and diversity of Australia’s cities and regions</w:t>
            </w:r>
            <w:r w:rsidR="000918EB" w:rsidRPr="00707BCF">
              <w:rPr>
                <w:rFonts w:ascii="Arial" w:hAnsi="Arial" w:cs="Arial"/>
                <w:b/>
              </w:rPr>
              <w:t>, including northern Australia</w:t>
            </w:r>
            <w:r w:rsidRPr="00707BCF">
              <w:rPr>
                <w:rFonts w:ascii="Arial" w:hAnsi="Arial" w:cs="Arial"/>
                <w:b/>
              </w:rPr>
              <w:t xml:space="preserve"> including through facilitating local partnerships between all levels of government and local communities; through investment in infrastructure and measures that stimulate economic growth; and providing grants and financial assistance</w:t>
            </w:r>
          </w:p>
        </w:tc>
      </w:tr>
    </w:tbl>
    <w:p w14:paraId="09947E56" w14:textId="77777777" w:rsidR="00115843" w:rsidRDefault="00115843" w:rsidP="00115843">
      <w:pPr>
        <w:spacing w:after="0" w:line="240" w:lineRule="auto"/>
        <w:rPr>
          <w:rFonts w:ascii="Arial" w:hAnsi="Arial" w:cs="Arial"/>
          <w:sz w:val="16"/>
        </w:rPr>
      </w:pPr>
    </w:p>
    <w:p w14:paraId="20BF5AB2" w14:textId="77777777" w:rsidR="00115843" w:rsidRPr="003024F4" w:rsidRDefault="00115843" w:rsidP="00115843">
      <w:pPr>
        <w:keepNext/>
        <w:tabs>
          <w:tab w:val="left" w:pos="709"/>
        </w:tabs>
        <w:spacing w:after="120" w:line="240" w:lineRule="auto"/>
        <w:outlineLvl w:val="3"/>
        <w:rPr>
          <w:bCs/>
          <w:i/>
          <w:iCs/>
          <w:color w:val="000000" w:themeColor="text1"/>
          <w:lang w:val="x-none" w:eastAsia="x-none"/>
        </w:rPr>
      </w:pPr>
      <w:r w:rsidRPr="003024F4">
        <w:rPr>
          <w:rFonts w:ascii="Arial Bold" w:hAnsi="Arial Bold"/>
          <w:b/>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15843" w:rsidRPr="003024F4" w14:paraId="1886BBF0" w14:textId="77777777" w:rsidTr="00FB0D02">
        <w:trPr>
          <w:trHeight w:val="2156"/>
        </w:trPr>
        <w:tc>
          <w:tcPr>
            <w:tcW w:w="5000" w:type="pct"/>
            <w:tcBorders>
              <w:bottom w:val="single" w:sz="4" w:space="0" w:color="auto"/>
            </w:tcBorders>
            <w:shd w:val="clear" w:color="auto" w:fill="auto"/>
          </w:tcPr>
          <w:p w14:paraId="68073401" w14:textId="77777777" w:rsidR="00115843" w:rsidRPr="002B334F" w:rsidRDefault="00115843" w:rsidP="00FB0D02">
            <w:pPr>
              <w:spacing w:before="60" w:after="60" w:line="240" w:lineRule="auto"/>
              <w:rPr>
                <w:b/>
              </w:rPr>
            </w:pPr>
            <w:r w:rsidRPr="003024F4">
              <w:rPr>
                <w:b/>
              </w:rPr>
              <w:t>Department of Agriculture</w:t>
            </w:r>
            <w:r w:rsidRPr="002B334F">
              <w:rPr>
                <w:b/>
              </w:rPr>
              <w:t>, Fisheries and Forestry</w:t>
            </w:r>
          </w:p>
          <w:p w14:paraId="7763064B" w14:textId="77777777" w:rsidR="00115843" w:rsidRPr="002B334F" w:rsidRDefault="00115843" w:rsidP="00FB0D02">
            <w:pPr>
              <w:spacing w:before="60" w:after="60" w:line="240" w:lineRule="auto"/>
              <w:rPr>
                <w:b/>
              </w:rPr>
            </w:pPr>
            <w:r w:rsidRPr="002B334F">
              <w:rPr>
                <w:b/>
              </w:rPr>
              <w:t>Programs</w:t>
            </w:r>
          </w:p>
          <w:p w14:paraId="2CF555B8" w14:textId="77777777" w:rsidR="00115843" w:rsidRPr="002B334F" w:rsidRDefault="00115843" w:rsidP="00115843">
            <w:pPr>
              <w:numPr>
                <w:ilvl w:val="0"/>
                <w:numId w:val="88"/>
              </w:numPr>
              <w:spacing w:before="60" w:after="60" w:line="240" w:lineRule="auto"/>
              <w:ind w:left="714" w:hanging="357"/>
              <w:rPr>
                <w:i/>
              </w:rPr>
            </w:pPr>
            <w:r w:rsidRPr="002B334F">
              <w:rPr>
                <w:lang w:val="en-US"/>
              </w:rPr>
              <w:t>Program 1.11: Drought programs</w:t>
            </w:r>
          </w:p>
          <w:p w14:paraId="5AE65207" w14:textId="77777777" w:rsidR="00115843" w:rsidRPr="003024F4" w:rsidRDefault="00115843" w:rsidP="00FB0D02">
            <w:pPr>
              <w:spacing w:before="60" w:after="60" w:line="240" w:lineRule="auto"/>
              <w:rPr>
                <w:b/>
                <w:i/>
              </w:rPr>
            </w:pPr>
            <w:r w:rsidRPr="003024F4">
              <w:rPr>
                <w:b/>
                <w:lang w:val="en-US"/>
              </w:rPr>
              <w:t>Contribution to Outcome 3 made by linked programs</w:t>
            </w:r>
          </w:p>
          <w:p w14:paraId="50E5BCBF" w14:textId="77777777" w:rsidR="00115843" w:rsidRPr="003024F4" w:rsidRDefault="00115843" w:rsidP="00FB0D02">
            <w:pPr>
              <w:spacing w:before="60" w:after="60" w:line="240" w:lineRule="auto"/>
            </w:pPr>
            <w:r w:rsidRPr="003024F4">
              <w:t>The above linkage relates to work undertaken by the Regional Investment Corporation to support state and territory investment in water infrastructure that will provide secure and affordable water to support the growth of regional economies.</w:t>
            </w:r>
          </w:p>
        </w:tc>
      </w:tr>
      <w:tr w:rsidR="00115843" w:rsidRPr="003024F4" w14:paraId="7F437EB2" w14:textId="77777777" w:rsidTr="00FB0D02">
        <w:trPr>
          <w:trHeight w:val="2156"/>
        </w:trPr>
        <w:tc>
          <w:tcPr>
            <w:tcW w:w="5000" w:type="pct"/>
            <w:tcBorders>
              <w:bottom w:val="single" w:sz="4" w:space="0" w:color="auto"/>
            </w:tcBorders>
            <w:shd w:val="clear" w:color="auto" w:fill="auto"/>
          </w:tcPr>
          <w:p w14:paraId="03E4A3C8" w14:textId="77777777" w:rsidR="00115843" w:rsidRPr="003024F4" w:rsidRDefault="00115843" w:rsidP="00FB0D02">
            <w:pPr>
              <w:spacing w:before="60" w:after="60" w:line="240" w:lineRule="auto"/>
              <w:rPr>
                <w:b/>
              </w:rPr>
            </w:pPr>
            <w:r w:rsidRPr="003024F4">
              <w:rPr>
                <w:b/>
              </w:rPr>
              <w:t>Department of Climate Change, Energy, the Environment and Water</w:t>
            </w:r>
          </w:p>
          <w:p w14:paraId="756BEEF8" w14:textId="77777777" w:rsidR="00115843" w:rsidRPr="00E14F0C" w:rsidRDefault="00115843" w:rsidP="00FB0D02">
            <w:pPr>
              <w:spacing w:before="60" w:after="60" w:line="240" w:lineRule="auto"/>
              <w:rPr>
                <w:b/>
              </w:rPr>
            </w:pPr>
            <w:r w:rsidRPr="00E14F0C">
              <w:rPr>
                <w:b/>
              </w:rPr>
              <w:t>Programs</w:t>
            </w:r>
          </w:p>
          <w:p w14:paraId="48BB8C97" w14:textId="678A7706" w:rsidR="00115843" w:rsidRPr="00E14F0C" w:rsidRDefault="00115843" w:rsidP="00115843">
            <w:pPr>
              <w:pStyle w:val="ListParagraph"/>
              <w:numPr>
                <w:ilvl w:val="0"/>
                <w:numId w:val="263"/>
              </w:numPr>
              <w:spacing w:before="60" w:after="60" w:line="240" w:lineRule="auto"/>
              <w:rPr>
                <w:rFonts w:ascii="Book Antiqua" w:hAnsi="Book Antiqua"/>
                <w:sz w:val="20"/>
              </w:rPr>
            </w:pPr>
            <w:r w:rsidRPr="00E14F0C">
              <w:rPr>
                <w:rFonts w:ascii="Book Antiqua" w:hAnsi="Book Antiqua"/>
                <w:sz w:val="20"/>
              </w:rPr>
              <w:t>Program 1.1</w:t>
            </w:r>
            <w:r w:rsidR="004D6887">
              <w:rPr>
                <w:rFonts w:ascii="Book Antiqua" w:hAnsi="Book Antiqua"/>
                <w:sz w:val="20"/>
              </w:rPr>
              <w:t>:</w:t>
            </w:r>
            <w:r w:rsidRPr="00E14F0C">
              <w:rPr>
                <w:rFonts w:ascii="Book Antiqua" w:hAnsi="Book Antiqua"/>
                <w:sz w:val="20"/>
              </w:rPr>
              <w:t xml:space="preserve"> Reducing Australia’s greenhouse gas emissions</w:t>
            </w:r>
          </w:p>
          <w:p w14:paraId="5E0D574B" w14:textId="26E8488F" w:rsidR="00115843" w:rsidRPr="00E14F0C" w:rsidRDefault="00115843" w:rsidP="00115843">
            <w:pPr>
              <w:pStyle w:val="ListParagraph"/>
              <w:numPr>
                <w:ilvl w:val="0"/>
                <w:numId w:val="263"/>
              </w:numPr>
              <w:spacing w:before="60" w:after="60" w:line="240" w:lineRule="auto"/>
              <w:rPr>
                <w:rFonts w:ascii="Book Antiqua" w:hAnsi="Book Antiqua"/>
                <w:sz w:val="20"/>
                <w:lang w:val="en-AU"/>
              </w:rPr>
            </w:pPr>
            <w:r w:rsidRPr="00E14F0C">
              <w:rPr>
                <w:rFonts w:ascii="Book Antiqua" w:hAnsi="Book Antiqua"/>
                <w:sz w:val="20"/>
              </w:rPr>
              <w:t>Program 2.6</w:t>
            </w:r>
            <w:r w:rsidR="004D6887">
              <w:rPr>
                <w:rFonts w:ascii="Book Antiqua" w:hAnsi="Book Antiqua"/>
                <w:sz w:val="20"/>
              </w:rPr>
              <w:t>:</w:t>
            </w:r>
            <w:r w:rsidRPr="00E14F0C">
              <w:rPr>
                <w:rFonts w:ascii="Book Antiqua" w:hAnsi="Book Antiqua"/>
                <w:sz w:val="20"/>
              </w:rPr>
              <w:t xml:space="preserve"> Management of Hazardous Wastes, Substances and Pollutants</w:t>
            </w:r>
          </w:p>
          <w:p w14:paraId="40DABB4D" w14:textId="77777777" w:rsidR="00115843" w:rsidRPr="00E14F0C" w:rsidRDefault="00115843" w:rsidP="00FB0D02">
            <w:pPr>
              <w:spacing w:before="60" w:after="60" w:line="240" w:lineRule="auto"/>
              <w:rPr>
                <w:b/>
                <w:i/>
              </w:rPr>
            </w:pPr>
            <w:r w:rsidRPr="00E14F0C">
              <w:rPr>
                <w:b/>
                <w:lang w:val="en-US"/>
              </w:rPr>
              <w:t>Contribution to Outcome 3 made by linked programs</w:t>
            </w:r>
          </w:p>
          <w:p w14:paraId="225057C2" w14:textId="77777777" w:rsidR="00115843" w:rsidRPr="003024F4" w:rsidRDefault="00115843" w:rsidP="00FB0D02">
            <w:pPr>
              <w:spacing w:before="60" w:after="60" w:line="240" w:lineRule="auto"/>
              <w:rPr>
                <w:b/>
              </w:rPr>
            </w:pPr>
            <w:r w:rsidRPr="00E14F0C">
              <w:t>The Department of Infrastructure, Transport, Regional Development, Communications and the Arts supports environmental, climate change and recyclables market initiatives through the delivery of commitments under City and Regional Deals.</w:t>
            </w:r>
          </w:p>
        </w:tc>
      </w:tr>
      <w:tr w:rsidR="00115843" w:rsidRPr="003024F4" w14:paraId="0CC374A3" w14:textId="77777777" w:rsidTr="00FB0D02">
        <w:trPr>
          <w:trHeight w:val="1457"/>
        </w:trPr>
        <w:tc>
          <w:tcPr>
            <w:tcW w:w="5000" w:type="pct"/>
            <w:tcBorders>
              <w:bottom w:val="single" w:sz="4" w:space="0" w:color="auto"/>
            </w:tcBorders>
            <w:shd w:val="clear" w:color="auto" w:fill="auto"/>
          </w:tcPr>
          <w:p w14:paraId="5B606EF8" w14:textId="77777777" w:rsidR="00115843" w:rsidRPr="002B334F" w:rsidRDefault="00115843" w:rsidP="00FB0D02">
            <w:pPr>
              <w:spacing w:before="60" w:after="60" w:line="240" w:lineRule="auto"/>
              <w:rPr>
                <w:b/>
              </w:rPr>
            </w:pPr>
            <w:r w:rsidRPr="002B334F">
              <w:rPr>
                <w:b/>
              </w:rPr>
              <w:t>Department of Education</w:t>
            </w:r>
          </w:p>
          <w:p w14:paraId="1D8E071F" w14:textId="77777777" w:rsidR="00115843" w:rsidRPr="003024F4" w:rsidRDefault="00115843" w:rsidP="00FB0D02">
            <w:pPr>
              <w:spacing w:before="60" w:after="60" w:line="240" w:lineRule="auto"/>
              <w:rPr>
                <w:b/>
              </w:rPr>
            </w:pPr>
            <w:r w:rsidRPr="002B334F">
              <w:rPr>
                <w:b/>
              </w:rPr>
              <w:t>Programs</w:t>
            </w:r>
          </w:p>
          <w:p w14:paraId="6CB400BB" w14:textId="77777777" w:rsidR="00115843" w:rsidRPr="003024F4" w:rsidRDefault="00115843" w:rsidP="00115843">
            <w:pPr>
              <w:numPr>
                <w:ilvl w:val="0"/>
                <w:numId w:val="88"/>
              </w:numPr>
              <w:spacing w:before="60" w:after="60" w:line="240" w:lineRule="auto"/>
            </w:pPr>
            <w:r w:rsidRPr="003024F4">
              <w:rPr>
                <w:lang w:val="en-US"/>
              </w:rPr>
              <w:t>Program 2.3: Higher Education Support</w:t>
            </w:r>
          </w:p>
          <w:p w14:paraId="508D0948" w14:textId="77777777" w:rsidR="00115843" w:rsidRPr="003024F4" w:rsidRDefault="00115843" w:rsidP="00FB0D02">
            <w:pPr>
              <w:spacing w:before="60" w:after="60" w:line="240" w:lineRule="auto"/>
              <w:rPr>
                <w:b/>
              </w:rPr>
            </w:pPr>
            <w:r w:rsidRPr="003024F4">
              <w:rPr>
                <w:b/>
                <w:lang w:val="en-US"/>
              </w:rPr>
              <w:t>Contribution to Outcome 3 made by linked programs</w:t>
            </w:r>
          </w:p>
          <w:p w14:paraId="4DA9F908" w14:textId="2BD8E8B4" w:rsidR="00115843" w:rsidRPr="003024F4" w:rsidRDefault="00115843" w:rsidP="00FB0D02">
            <w:pPr>
              <w:spacing w:before="60" w:after="60" w:line="240" w:lineRule="auto"/>
            </w:pPr>
            <w:r w:rsidRPr="003024F4">
              <w:t>The Department of Education is funding the construction of a new university campus in Launceston, the centrepiece of the Launceston City Deal.</w:t>
            </w:r>
          </w:p>
        </w:tc>
      </w:tr>
      <w:tr w:rsidR="00115843" w:rsidRPr="003024F4" w14:paraId="3D6188DE" w14:textId="77777777" w:rsidTr="00FB0D02">
        <w:trPr>
          <w:trHeight w:val="2030"/>
        </w:trPr>
        <w:tc>
          <w:tcPr>
            <w:tcW w:w="5000" w:type="pct"/>
            <w:tcBorders>
              <w:bottom w:val="single" w:sz="4" w:space="0" w:color="auto"/>
            </w:tcBorders>
          </w:tcPr>
          <w:p w14:paraId="415E44B1" w14:textId="77777777" w:rsidR="00115843" w:rsidRPr="003024F4" w:rsidRDefault="00115843" w:rsidP="00FB0D02">
            <w:pPr>
              <w:spacing w:before="60" w:after="60" w:line="240" w:lineRule="auto"/>
              <w:rPr>
                <w:b/>
              </w:rPr>
            </w:pPr>
            <w:r w:rsidRPr="003024F4">
              <w:rPr>
                <w:b/>
              </w:rPr>
              <w:t>The Treasury</w:t>
            </w:r>
          </w:p>
          <w:p w14:paraId="587E0BF9" w14:textId="77777777" w:rsidR="00115843" w:rsidRPr="003024F4" w:rsidRDefault="00115843" w:rsidP="00FB0D02">
            <w:pPr>
              <w:spacing w:before="60" w:after="60" w:line="240" w:lineRule="auto"/>
              <w:rPr>
                <w:b/>
              </w:rPr>
            </w:pPr>
            <w:r w:rsidRPr="003024F4">
              <w:rPr>
                <w:b/>
              </w:rPr>
              <w:t>Programs</w:t>
            </w:r>
          </w:p>
          <w:p w14:paraId="769E28D8" w14:textId="77777777" w:rsidR="00115843" w:rsidRPr="003024F4" w:rsidRDefault="00115843" w:rsidP="00115843">
            <w:pPr>
              <w:numPr>
                <w:ilvl w:val="0"/>
                <w:numId w:val="88"/>
              </w:numPr>
              <w:spacing w:before="60" w:after="60" w:line="240" w:lineRule="auto"/>
              <w:ind w:left="714" w:hanging="357"/>
              <w:rPr>
                <w:lang w:val="en-US"/>
              </w:rPr>
            </w:pPr>
            <w:r w:rsidRPr="003024F4">
              <w:rPr>
                <w:lang w:val="en-US"/>
              </w:rPr>
              <w:t>Program 1.9: National Partnership Payments to the states</w:t>
            </w:r>
          </w:p>
          <w:p w14:paraId="2C91DB0F" w14:textId="77777777" w:rsidR="00115843" w:rsidRPr="003024F4" w:rsidRDefault="00115843" w:rsidP="00FB0D02">
            <w:pPr>
              <w:spacing w:before="60" w:after="60" w:line="240" w:lineRule="auto"/>
              <w:rPr>
                <w:b/>
              </w:rPr>
            </w:pPr>
            <w:r w:rsidRPr="003024F4">
              <w:rPr>
                <w:b/>
              </w:rPr>
              <w:t>Contribution to Outcome 3 made by linked programs</w:t>
            </w:r>
          </w:p>
          <w:p w14:paraId="728D9A33" w14:textId="77777777" w:rsidR="00115843" w:rsidRPr="003024F4" w:rsidRDefault="00115843" w:rsidP="00FB0D02">
            <w:pPr>
              <w:spacing w:before="60" w:after="60" w:line="240" w:lineRule="auto"/>
            </w:pPr>
            <w:r w:rsidRPr="003024F4">
              <w:t>The above linkage relates to National Partnership Payments which are paid through the Department of the Treasury as part of the Federation Funding Agreements Framework.</w:t>
            </w:r>
          </w:p>
        </w:tc>
      </w:tr>
    </w:tbl>
    <w:p w14:paraId="61CC8DAE" w14:textId="77777777" w:rsidR="00115843" w:rsidRDefault="00115843" w:rsidP="00115843">
      <w:pPr>
        <w:spacing w:after="0" w:line="240" w:lineRule="auto"/>
        <w:rPr>
          <w:rFonts w:ascii="Arial" w:hAnsi="Arial" w:cs="Arial"/>
          <w:sz w:val="16"/>
        </w:rPr>
      </w:pPr>
    </w:p>
    <w:p w14:paraId="7F642EAA"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415F2386" w14:textId="77777777" w:rsidR="00115843" w:rsidRDefault="00115843" w:rsidP="00115843">
      <w:pPr>
        <w:pStyle w:val="Heading4"/>
      </w:pPr>
      <w:r w:rsidRPr="00446612">
        <w:lastRenderedPageBreak/>
        <w:t xml:space="preserve">Budgeted expenses for Outcome </w:t>
      </w:r>
      <w:r>
        <w:t>3</w:t>
      </w:r>
    </w:p>
    <w:p w14:paraId="79E29794" w14:textId="77777777" w:rsidR="00115843" w:rsidRDefault="00115843" w:rsidP="00115843">
      <w:r w:rsidRPr="00541FB4">
        <w:t xml:space="preserve">This table shows how much the </w:t>
      </w:r>
      <w:r>
        <w:t>Department</w:t>
      </w:r>
      <w:r w:rsidRPr="00541FB4">
        <w:t xml:space="preserve"> intends to spend (on an accrual basis) on achieving the outcome, broken down by program, as well as by </w:t>
      </w:r>
      <w:r>
        <w:t>a</w:t>
      </w:r>
      <w:r w:rsidRPr="00541FB4">
        <w:t xml:space="preserve">dministered and </w:t>
      </w:r>
      <w:r>
        <w:t>d</w:t>
      </w:r>
      <w:r w:rsidRPr="00541FB4">
        <w:t>epartmental funding sources.</w:t>
      </w:r>
    </w:p>
    <w:p w14:paraId="04DE090C" w14:textId="77777777" w:rsidR="00115843" w:rsidRDefault="00115843" w:rsidP="00115843">
      <w:pPr>
        <w:pStyle w:val="TableHeading"/>
      </w:pPr>
      <w:r w:rsidRPr="003B3EC2">
        <w:t>Table 2.</w:t>
      </w:r>
      <w:r>
        <w:t>3.</w:t>
      </w:r>
      <w:r w:rsidRPr="003B3EC2">
        <w:t>1: Budgeted expenses for Outcome 3</w:t>
      </w:r>
    </w:p>
    <w:tbl>
      <w:tblPr>
        <w:tblW w:w="4784" w:type="pct"/>
        <w:tblLayout w:type="fixed"/>
        <w:tblLook w:val="04A0" w:firstRow="1" w:lastRow="0" w:firstColumn="1" w:lastColumn="0" w:noHBand="0" w:noVBand="1"/>
      </w:tblPr>
      <w:tblGrid>
        <w:gridCol w:w="2696"/>
        <w:gridCol w:w="32"/>
        <w:gridCol w:w="906"/>
        <w:gridCol w:w="22"/>
        <w:gridCol w:w="934"/>
        <w:gridCol w:w="931"/>
        <w:gridCol w:w="928"/>
        <w:gridCol w:w="928"/>
      </w:tblGrid>
      <w:tr w:rsidR="00115843" w:rsidRPr="003B3EC2" w14:paraId="43FB1EAC" w14:textId="77777777" w:rsidTr="00B82AE8">
        <w:trPr>
          <w:trHeight w:val="204"/>
        </w:trPr>
        <w:tc>
          <w:tcPr>
            <w:tcW w:w="1849" w:type="pct"/>
            <w:gridSpan w:val="2"/>
            <w:tcBorders>
              <w:top w:val="single" w:sz="4" w:space="0" w:color="auto"/>
              <w:left w:val="nil"/>
              <w:bottom w:val="single" w:sz="4" w:space="0" w:color="auto"/>
              <w:right w:val="nil"/>
            </w:tcBorders>
            <w:shd w:val="clear" w:color="auto" w:fill="auto"/>
            <w:noWrap/>
            <w:vAlign w:val="bottom"/>
            <w:hideMark/>
          </w:tcPr>
          <w:p w14:paraId="550DC3A3" w14:textId="77777777" w:rsidR="00115843" w:rsidRPr="003B3EC2" w:rsidRDefault="00115843" w:rsidP="00FB0D02">
            <w:pPr>
              <w:spacing w:after="0" w:line="240" w:lineRule="auto"/>
              <w:rPr>
                <w:rFonts w:ascii="Arial" w:hAnsi="Arial" w:cs="Arial"/>
                <w:sz w:val="16"/>
                <w:szCs w:val="16"/>
              </w:rPr>
            </w:pPr>
            <w:r w:rsidRPr="003B3EC2">
              <w:rPr>
                <w:rFonts w:ascii="Arial" w:hAnsi="Arial" w:cs="Arial"/>
                <w:sz w:val="16"/>
                <w:szCs w:val="16"/>
              </w:rPr>
              <w:t> </w:t>
            </w:r>
          </w:p>
        </w:tc>
        <w:tc>
          <w:tcPr>
            <w:tcW w:w="629" w:type="pct"/>
            <w:gridSpan w:val="2"/>
            <w:tcBorders>
              <w:top w:val="single" w:sz="4" w:space="0" w:color="auto"/>
              <w:left w:val="nil"/>
              <w:bottom w:val="single" w:sz="4" w:space="0" w:color="auto"/>
              <w:right w:val="nil"/>
            </w:tcBorders>
            <w:shd w:val="clear" w:color="auto" w:fill="auto"/>
            <w:vAlign w:val="bottom"/>
            <w:hideMark/>
          </w:tcPr>
          <w:p w14:paraId="0C17197D"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2021-22</w:t>
            </w:r>
            <w:r w:rsidRPr="003B3EC2">
              <w:rPr>
                <w:rFonts w:ascii="Arial" w:hAnsi="Arial" w:cs="Arial"/>
                <w:sz w:val="16"/>
                <w:szCs w:val="16"/>
              </w:rPr>
              <w:br/>
              <w:t>Estimated</w:t>
            </w:r>
            <w:r>
              <w:rPr>
                <w:rFonts w:ascii="Arial" w:hAnsi="Arial" w:cs="Arial"/>
                <w:sz w:val="16"/>
                <w:szCs w:val="16"/>
              </w:rPr>
              <w:br/>
            </w:r>
            <w:r w:rsidRPr="003B3EC2">
              <w:rPr>
                <w:rFonts w:ascii="Arial" w:hAnsi="Arial" w:cs="Arial"/>
                <w:sz w:val="16"/>
                <w:szCs w:val="16"/>
              </w:rPr>
              <w:t>actual</w:t>
            </w:r>
            <w:r w:rsidRPr="003B3EC2">
              <w:rPr>
                <w:rFonts w:ascii="Arial" w:hAnsi="Arial" w:cs="Arial"/>
                <w:sz w:val="16"/>
                <w:szCs w:val="16"/>
              </w:rPr>
              <w:br/>
              <w:t>$'000</w:t>
            </w:r>
          </w:p>
        </w:tc>
        <w:tc>
          <w:tcPr>
            <w:tcW w:w="633" w:type="pct"/>
            <w:tcBorders>
              <w:top w:val="single" w:sz="4" w:space="0" w:color="auto"/>
              <w:left w:val="nil"/>
              <w:bottom w:val="single" w:sz="4" w:space="0" w:color="auto"/>
              <w:right w:val="nil"/>
            </w:tcBorders>
            <w:shd w:val="clear" w:color="auto" w:fill="E6E6E6"/>
            <w:vAlign w:val="bottom"/>
            <w:hideMark/>
          </w:tcPr>
          <w:p w14:paraId="6D3978A5"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2022-23</w:t>
            </w:r>
            <w:r w:rsidRPr="003B3EC2">
              <w:rPr>
                <w:rFonts w:ascii="Arial" w:hAnsi="Arial" w:cs="Arial"/>
                <w:sz w:val="16"/>
                <w:szCs w:val="16"/>
              </w:rPr>
              <w:br/>
              <w:t xml:space="preserve"> Budget</w:t>
            </w:r>
            <w:r w:rsidRPr="003B3EC2">
              <w:rPr>
                <w:rFonts w:ascii="Arial" w:hAnsi="Arial" w:cs="Arial"/>
                <w:sz w:val="16"/>
                <w:szCs w:val="16"/>
              </w:rPr>
              <w:br/>
              <w:t xml:space="preserve">                                      $'000</w:t>
            </w:r>
          </w:p>
        </w:tc>
        <w:tc>
          <w:tcPr>
            <w:tcW w:w="631" w:type="pct"/>
            <w:tcBorders>
              <w:top w:val="single" w:sz="4" w:space="0" w:color="auto"/>
              <w:left w:val="nil"/>
              <w:bottom w:val="single" w:sz="4" w:space="0" w:color="auto"/>
              <w:right w:val="nil"/>
            </w:tcBorders>
            <w:shd w:val="clear" w:color="auto" w:fill="auto"/>
            <w:vAlign w:val="bottom"/>
            <w:hideMark/>
          </w:tcPr>
          <w:p w14:paraId="50D64089"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2023-24</w:t>
            </w:r>
            <w:r w:rsidRPr="003B3EC2">
              <w:rPr>
                <w:rFonts w:ascii="Arial" w:hAnsi="Arial" w:cs="Arial"/>
                <w:sz w:val="16"/>
                <w:szCs w:val="16"/>
              </w:rPr>
              <w:br/>
              <w:t>Forward</w:t>
            </w:r>
            <w:r>
              <w:rPr>
                <w:rFonts w:ascii="Arial" w:hAnsi="Arial" w:cs="Arial"/>
                <w:sz w:val="16"/>
                <w:szCs w:val="16"/>
              </w:rPr>
              <w:br/>
            </w:r>
            <w:r w:rsidRPr="003B3EC2">
              <w:rPr>
                <w:rFonts w:ascii="Arial" w:hAnsi="Arial" w:cs="Arial"/>
                <w:sz w:val="16"/>
                <w:szCs w:val="16"/>
              </w:rPr>
              <w:t>estimate</w:t>
            </w:r>
            <w:r w:rsidRPr="003B3EC2">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4676A581"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2024-25</w:t>
            </w:r>
            <w:r w:rsidRPr="003B3EC2">
              <w:rPr>
                <w:rFonts w:ascii="Arial" w:hAnsi="Arial" w:cs="Arial"/>
                <w:sz w:val="16"/>
                <w:szCs w:val="16"/>
              </w:rPr>
              <w:br/>
              <w:t>Forward</w:t>
            </w:r>
            <w:r>
              <w:rPr>
                <w:rFonts w:ascii="Arial" w:hAnsi="Arial" w:cs="Arial"/>
                <w:sz w:val="16"/>
                <w:szCs w:val="16"/>
              </w:rPr>
              <w:br/>
            </w:r>
            <w:r w:rsidRPr="003B3EC2">
              <w:rPr>
                <w:rFonts w:ascii="Arial" w:hAnsi="Arial" w:cs="Arial"/>
                <w:sz w:val="16"/>
                <w:szCs w:val="16"/>
              </w:rPr>
              <w:t>estimate</w:t>
            </w:r>
            <w:r w:rsidRPr="003B3EC2">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50B8289E"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2025-26</w:t>
            </w:r>
            <w:r w:rsidRPr="003B3EC2">
              <w:rPr>
                <w:rFonts w:ascii="Arial" w:hAnsi="Arial" w:cs="Arial"/>
                <w:sz w:val="16"/>
                <w:szCs w:val="16"/>
              </w:rPr>
              <w:br/>
              <w:t>Forward</w:t>
            </w:r>
            <w:r>
              <w:rPr>
                <w:rFonts w:ascii="Arial" w:hAnsi="Arial" w:cs="Arial"/>
                <w:sz w:val="16"/>
                <w:szCs w:val="16"/>
              </w:rPr>
              <w:br/>
            </w:r>
            <w:r w:rsidRPr="003B3EC2">
              <w:rPr>
                <w:rFonts w:ascii="Arial" w:hAnsi="Arial" w:cs="Arial"/>
                <w:sz w:val="16"/>
                <w:szCs w:val="16"/>
              </w:rPr>
              <w:t>estimate</w:t>
            </w:r>
            <w:r w:rsidRPr="003B3EC2">
              <w:rPr>
                <w:rFonts w:ascii="Arial" w:hAnsi="Arial" w:cs="Arial"/>
                <w:sz w:val="16"/>
                <w:szCs w:val="16"/>
              </w:rPr>
              <w:br/>
              <w:t>$'000</w:t>
            </w:r>
          </w:p>
        </w:tc>
      </w:tr>
      <w:tr w:rsidR="00115843" w:rsidRPr="003B3EC2" w14:paraId="5C5FC23E" w14:textId="77777777" w:rsidTr="00B82AE8">
        <w:trPr>
          <w:trHeight w:val="204"/>
        </w:trPr>
        <w:tc>
          <w:tcPr>
            <w:tcW w:w="5000" w:type="pct"/>
            <w:gridSpan w:val="8"/>
            <w:tcBorders>
              <w:top w:val="nil"/>
              <w:left w:val="nil"/>
              <w:bottom w:val="single" w:sz="4" w:space="0" w:color="auto"/>
              <w:right w:val="nil"/>
            </w:tcBorders>
            <w:shd w:val="clear" w:color="auto" w:fill="E6E6E6"/>
            <w:noWrap/>
            <w:vAlign w:val="bottom"/>
            <w:hideMark/>
          </w:tcPr>
          <w:p w14:paraId="13D48E32" w14:textId="77777777" w:rsidR="00115843" w:rsidRPr="00DB0E5D" w:rsidRDefault="00115843" w:rsidP="00FB0D02">
            <w:pPr>
              <w:spacing w:after="0" w:line="240" w:lineRule="auto"/>
              <w:rPr>
                <w:rFonts w:ascii="Arial" w:hAnsi="Arial" w:cs="Arial"/>
                <w:sz w:val="16"/>
                <w:szCs w:val="16"/>
              </w:rPr>
            </w:pPr>
            <w:r w:rsidRPr="00DB0E5D">
              <w:rPr>
                <w:rFonts w:ascii="Arial" w:hAnsi="Arial" w:cs="Arial"/>
                <w:b/>
                <w:bCs/>
                <w:sz w:val="16"/>
                <w:szCs w:val="16"/>
              </w:rPr>
              <w:t>Program 3.1: Regional development</w:t>
            </w:r>
            <w:r w:rsidRPr="00DB0E5D">
              <w:rPr>
                <w:rFonts w:ascii="Arial" w:hAnsi="Arial" w:cs="Arial"/>
                <w:sz w:val="16"/>
                <w:szCs w:val="16"/>
              </w:rPr>
              <w:t> </w:t>
            </w:r>
          </w:p>
        </w:tc>
      </w:tr>
      <w:tr w:rsidR="00115843" w:rsidRPr="003B3EC2" w14:paraId="75FE8764" w14:textId="77777777" w:rsidTr="00B82AE8">
        <w:trPr>
          <w:trHeight w:val="204"/>
        </w:trPr>
        <w:tc>
          <w:tcPr>
            <w:tcW w:w="1849" w:type="pct"/>
            <w:gridSpan w:val="2"/>
            <w:tcBorders>
              <w:top w:val="nil"/>
              <w:left w:val="nil"/>
              <w:bottom w:val="nil"/>
              <w:right w:val="nil"/>
            </w:tcBorders>
            <w:shd w:val="clear" w:color="auto" w:fill="auto"/>
            <w:noWrap/>
            <w:vAlign w:val="bottom"/>
            <w:hideMark/>
          </w:tcPr>
          <w:p w14:paraId="60ABB98F" w14:textId="77777777" w:rsidR="00115843" w:rsidRPr="00DB0E5D" w:rsidRDefault="00115843" w:rsidP="00FB0D02">
            <w:pPr>
              <w:spacing w:after="0" w:line="240" w:lineRule="auto"/>
              <w:rPr>
                <w:rFonts w:ascii="Arial" w:hAnsi="Arial" w:cs="Arial"/>
                <w:sz w:val="16"/>
                <w:szCs w:val="16"/>
              </w:rPr>
            </w:pPr>
            <w:r w:rsidRPr="00DB0E5D">
              <w:rPr>
                <w:rFonts w:ascii="Arial" w:hAnsi="Arial" w:cs="Arial"/>
                <w:sz w:val="16"/>
                <w:szCs w:val="16"/>
              </w:rPr>
              <w:t>Administered expenses</w:t>
            </w:r>
          </w:p>
        </w:tc>
        <w:tc>
          <w:tcPr>
            <w:tcW w:w="629" w:type="pct"/>
            <w:gridSpan w:val="2"/>
            <w:tcBorders>
              <w:top w:val="nil"/>
              <w:left w:val="nil"/>
              <w:bottom w:val="nil"/>
              <w:right w:val="nil"/>
            </w:tcBorders>
            <w:shd w:val="clear" w:color="auto" w:fill="auto"/>
            <w:noWrap/>
            <w:vAlign w:val="bottom"/>
            <w:hideMark/>
          </w:tcPr>
          <w:p w14:paraId="36FA9883" w14:textId="77777777" w:rsidR="00115843" w:rsidRPr="00DB0E5D" w:rsidRDefault="00115843" w:rsidP="00FB0D02">
            <w:pPr>
              <w:spacing w:after="0" w:line="240" w:lineRule="auto"/>
              <w:jc w:val="right"/>
              <w:rPr>
                <w:rFonts w:ascii="Arial" w:hAnsi="Arial" w:cs="Arial"/>
                <w:sz w:val="16"/>
                <w:szCs w:val="16"/>
              </w:rPr>
            </w:pPr>
          </w:p>
        </w:tc>
        <w:tc>
          <w:tcPr>
            <w:tcW w:w="633" w:type="pct"/>
            <w:tcBorders>
              <w:top w:val="nil"/>
              <w:left w:val="nil"/>
              <w:bottom w:val="nil"/>
              <w:right w:val="nil"/>
            </w:tcBorders>
            <w:shd w:val="clear" w:color="auto" w:fill="E6E6E6"/>
            <w:noWrap/>
            <w:vAlign w:val="bottom"/>
            <w:hideMark/>
          </w:tcPr>
          <w:p w14:paraId="46B9B334" w14:textId="77777777" w:rsidR="00115843" w:rsidRPr="00DB0E5D" w:rsidRDefault="00115843" w:rsidP="00FB0D02">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5D1CB505" w14:textId="77777777" w:rsidR="00115843" w:rsidRPr="00DB0E5D" w:rsidRDefault="00115843" w:rsidP="00FB0D02">
            <w:pPr>
              <w:spacing w:after="0" w:line="240" w:lineRule="auto"/>
              <w:jc w:val="right"/>
              <w:rPr>
                <w:rFonts w:ascii="Arial" w:hAnsi="Arial" w:cs="Arial"/>
                <w:sz w:val="16"/>
                <w:szCs w:val="16"/>
              </w:rPr>
            </w:pPr>
          </w:p>
        </w:tc>
        <w:tc>
          <w:tcPr>
            <w:tcW w:w="629" w:type="pct"/>
            <w:tcBorders>
              <w:top w:val="nil"/>
              <w:left w:val="nil"/>
              <w:bottom w:val="nil"/>
              <w:right w:val="nil"/>
            </w:tcBorders>
            <w:shd w:val="clear" w:color="auto" w:fill="auto"/>
            <w:noWrap/>
            <w:vAlign w:val="bottom"/>
            <w:hideMark/>
          </w:tcPr>
          <w:p w14:paraId="31596692" w14:textId="77777777" w:rsidR="00115843" w:rsidRPr="008D55A3" w:rsidRDefault="00115843" w:rsidP="00FB0D02">
            <w:pPr>
              <w:spacing w:after="0" w:line="240" w:lineRule="auto"/>
              <w:jc w:val="right"/>
              <w:rPr>
                <w:rFonts w:ascii="Times New Roman" w:hAnsi="Times New Roman"/>
                <w:sz w:val="16"/>
                <w:szCs w:val="16"/>
              </w:rPr>
            </w:pPr>
          </w:p>
        </w:tc>
        <w:tc>
          <w:tcPr>
            <w:tcW w:w="629" w:type="pct"/>
            <w:tcBorders>
              <w:top w:val="nil"/>
              <w:left w:val="nil"/>
              <w:bottom w:val="nil"/>
              <w:right w:val="nil"/>
            </w:tcBorders>
            <w:shd w:val="clear" w:color="auto" w:fill="auto"/>
            <w:noWrap/>
            <w:vAlign w:val="bottom"/>
            <w:hideMark/>
          </w:tcPr>
          <w:p w14:paraId="4DC0BC24" w14:textId="77777777" w:rsidR="00115843" w:rsidRPr="008D55A3" w:rsidRDefault="00115843" w:rsidP="00FB0D02">
            <w:pPr>
              <w:spacing w:after="0" w:line="240" w:lineRule="auto"/>
              <w:jc w:val="right"/>
              <w:rPr>
                <w:rFonts w:ascii="Times New Roman" w:hAnsi="Times New Roman"/>
                <w:sz w:val="16"/>
                <w:szCs w:val="16"/>
              </w:rPr>
            </w:pPr>
          </w:p>
        </w:tc>
      </w:tr>
      <w:tr w:rsidR="00D249DD" w:rsidRPr="003B3EC2" w14:paraId="2DB59B35" w14:textId="77777777" w:rsidTr="00B82AE8">
        <w:trPr>
          <w:trHeight w:val="204"/>
        </w:trPr>
        <w:tc>
          <w:tcPr>
            <w:tcW w:w="1849" w:type="pct"/>
            <w:gridSpan w:val="2"/>
            <w:tcBorders>
              <w:top w:val="nil"/>
              <w:left w:val="nil"/>
              <w:bottom w:val="nil"/>
              <w:right w:val="nil"/>
            </w:tcBorders>
            <w:shd w:val="clear" w:color="auto" w:fill="auto"/>
            <w:vAlign w:val="bottom"/>
            <w:hideMark/>
          </w:tcPr>
          <w:p w14:paraId="409D111F" w14:textId="77777777" w:rsidR="00D249DD" w:rsidRPr="00DB0E5D" w:rsidRDefault="00D249DD" w:rsidP="00D249DD">
            <w:pPr>
              <w:spacing w:after="0" w:line="240" w:lineRule="auto"/>
              <w:ind w:left="113"/>
              <w:rPr>
                <w:rFonts w:ascii="Arial" w:hAnsi="Arial" w:cs="Arial"/>
                <w:sz w:val="16"/>
                <w:szCs w:val="16"/>
              </w:rPr>
            </w:pPr>
            <w:r w:rsidRPr="00DB0E5D">
              <w:rPr>
                <w:rFonts w:ascii="Arial" w:hAnsi="Arial" w:cs="Arial"/>
                <w:sz w:val="16"/>
                <w:szCs w:val="16"/>
              </w:rPr>
              <w:t>Ordinary Annual Services (Appropriation Act No. 1 and Bill No. 3)</w:t>
            </w:r>
          </w:p>
        </w:tc>
        <w:tc>
          <w:tcPr>
            <w:tcW w:w="629" w:type="pct"/>
            <w:gridSpan w:val="2"/>
            <w:tcBorders>
              <w:top w:val="nil"/>
              <w:left w:val="nil"/>
              <w:bottom w:val="nil"/>
              <w:right w:val="nil"/>
            </w:tcBorders>
            <w:shd w:val="clear" w:color="auto" w:fill="auto"/>
            <w:noWrap/>
            <w:vAlign w:val="bottom"/>
            <w:hideMark/>
          </w:tcPr>
          <w:p w14:paraId="64A6AD99" w14:textId="5478EF5C"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607,593</w:t>
            </w:r>
          </w:p>
        </w:tc>
        <w:tc>
          <w:tcPr>
            <w:tcW w:w="633" w:type="pct"/>
            <w:tcBorders>
              <w:top w:val="nil"/>
              <w:left w:val="nil"/>
              <w:bottom w:val="nil"/>
              <w:right w:val="nil"/>
            </w:tcBorders>
            <w:shd w:val="clear" w:color="auto" w:fill="E6E6E6"/>
            <w:noWrap/>
            <w:vAlign w:val="bottom"/>
            <w:hideMark/>
          </w:tcPr>
          <w:p w14:paraId="695EB087" w14:textId="3E8384A6"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750,032</w:t>
            </w:r>
          </w:p>
        </w:tc>
        <w:tc>
          <w:tcPr>
            <w:tcW w:w="631" w:type="pct"/>
            <w:tcBorders>
              <w:top w:val="nil"/>
              <w:left w:val="nil"/>
              <w:bottom w:val="nil"/>
              <w:right w:val="nil"/>
            </w:tcBorders>
            <w:shd w:val="clear" w:color="auto" w:fill="auto"/>
            <w:noWrap/>
            <w:vAlign w:val="bottom"/>
            <w:hideMark/>
          </w:tcPr>
          <w:p w14:paraId="70A72519" w14:textId="5684A12E"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990,684</w:t>
            </w:r>
          </w:p>
        </w:tc>
        <w:tc>
          <w:tcPr>
            <w:tcW w:w="629" w:type="pct"/>
            <w:tcBorders>
              <w:top w:val="nil"/>
              <w:left w:val="nil"/>
              <w:bottom w:val="nil"/>
              <w:right w:val="nil"/>
            </w:tcBorders>
            <w:shd w:val="clear" w:color="auto" w:fill="auto"/>
            <w:noWrap/>
            <w:vAlign w:val="bottom"/>
            <w:hideMark/>
          </w:tcPr>
          <w:p w14:paraId="57472C2A" w14:textId="3928497D"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1,153,709</w:t>
            </w:r>
          </w:p>
        </w:tc>
        <w:tc>
          <w:tcPr>
            <w:tcW w:w="629" w:type="pct"/>
            <w:tcBorders>
              <w:top w:val="nil"/>
              <w:left w:val="nil"/>
              <w:bottom w:val="nil"/>
              <w:right w:val="nil"/>
            </w:tcBorders>
            <w:shd w:val="clear" w:color="auto" w:fill="auto"/>
            <w:noWrap/>
            <w:vAlign w:val="bottom"/>
            <w:hideMark/>
          </w:tcPr>
          <w:p w14:paraId="6076194D" w14:textId="599809D7"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1,174,007</w:t>
            </w:r>
          </w:p>
        </w:tc>
      </w:tr>
      <w:tr w:rsidR="00D249DD" w:rsidRPr="003B3EC2" w14:paraId="6736522C" w14:textId="77777777" w:rsidTr="00B82AE8">
        <w:trPr>
          <w:trHeight w:val="204"/>
        </w:trPr>
        <w:tc>
          <w:tcPr>
            <w:tcW w:w="1849" w:type="pct"/>
            <w:gridSpan w:val="2"/>
            <w:tcBorders>
              <w:top w:val="nil"/>
              <w:left w:val="nil"/>
              <w:bottom w:val="nil"/>
              <w:right w:val="nil"/>
            </w:tcBorders>
            <w:shd w:val="clear" w:color="auto" w:fill="auto"/>
            <w:vAlign w:val="bottom"/>
            <w:hideMark/>
          </w:tcPr>
          <w:p w14:paraId="2B0FF9E0" w14:textId="12F1C8E8" w:rsidR="00D249DD" w:rsidRPr="00DB0E5D" w:rsidRDefault="00D249DD" w:rsidP="00D249DD">
            <w:pPr>
              <w:spacing w:after="0" w:line="240" w:lineRule="auto"/>
              <w:ind w:left="113"/>
              <w:rPr>
                <w:rFonts w:ascii="Arial" w:hAnsi="Arial" w:cs="Arial"/>
                <w:sz w:val="16"/>
                <w:szCs w:val="16"/>
              </w:rPr>
            </w:pPr>
            <w:r w:rsidRPr="00DB0E5D">
              <w:rPr>
                <w:rFonts w:ascii="Arial" w:hAnsi="Arial" w:cs="Arial"/>
                <w:sz w:val="16"/>
                <w:szCs w:val="16"/>
              </w:rPr>
              <w:t>Expenses not requiring appropriation in the Budget year</w:t>
            </w:r>
            <w:r w:rsidR="002E16EE">
              <w:rPr>
                <w:rFonts w:ascii="Arial" w:hAnsi="Arial" w:cs="Arial"/>
                <w:sz w:val="16"/>
                <w:szCs w:val="16"/>
              </w:rPr>
              <w:t> </w:t>
            </w:r>
            <w:r w:rsidRPr="00DB0E5D">
              <w:rPr>
                <w:rFonts w:ascii="Arial" w:hAnsi="Arial" w:cs="Arial"/>
                <w:sz w:val="16"/>
                <w:szCs w:val="16"/>
                <w:vertAlign w:val="superscript"/>
              </w:rPr>
              <w:t>(a)</w:t>
            </w:r>
          </w:p>
        </w:tc>
        <w:tc>
          <w:tcPr>
            <w:tcW w:w="629" w:type="pct"/>
            <w:gridSpan w:val="2"/>
            <w:tcBorders>
              <w:top w:val="nil"/>
              <w:left w:val="nil"/>
              <w:bottom w:val="nil"/>
              <w:right w:val="nil"/>
            </w:tcBorders>
            <w:shd w:val="clear" w:color="auto" w:fill="auto"/>
            <w:noWrap/>
            <w:vAlign w:val="bottom"/>
            <w:hideMark/>
          </w:tcPr>
          <w:p w14:paraId="1EF1D401" w14:textId="4F50D04A"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(51,467)</w:t>
            </w:r>
          </w:p>
        </w:tc>
        <w:tc>
          <w:tcPr>
            <w:tcW w:w="633" w:type="pct"/>
            <w:tcBorders>
              <w:top w:val="nil"/>
              <w:left w:val="nil"/>
              <w:bottom w:val="nil"/>
              <w:right w:val="nil"/>
            </w:tcBorders>
            <w:shd w:val="clear" w:color="auto" w:fill="E6E6E6"/>
            <w:noWrap/>
            <w:vAlign w:val="bottom"/>
            <w:hideMark/>
          </w:tcPr>
          <w:p w14:paraId="3E5EE4BC" w14:textId="38BE573F"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272,048</w:t>
            </w:r>
          </w:p>
        </w:tc>
        <w:tc>
          <w:tcPr>
            <w:tcW w:w="631" w:type="pct"/>
            <w:tcBorders>
              <w:top w:val="nil"/>
              <w:left w:val="nil"/>
              <w:bottom w:val="nil"/>
              <w:right w:val="nil"/>
            </w:tcBorders>
            <w:shd w:val="clear" w:color="auto" w:fill="auto"/>
            <w:noWrap/>
            <w:vAlign w:val="bottom"/>
            <w:hideMark/>
          </w:tcPr>
          <w:p w14:paraId="5979C6E1" w14:textId="7925D311"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10,434</w:t>
            </w:r>
          </w:p>
        </w:tc>
        <w:tc>
          <w:tcPr>
            <w:tcW w:w="629" w:type="pct"/>
            <w:tcBorders>
              <w:top w:val="nil"/>
              <w:left w:val="nil"/>
              <w:bottom w:val="nil"/>
              <w:right w:val="nil"/>
            </w:tcBorders>
            <w:shd w:val="clear" w:color="auto" w:fill="auto"/>
            <w:noWrap/>
            <w:vAlign w:val="bottom"/>
            <w:hideMark/>
          </w:tcPr>
          <w:p w14:paraId="2FCF83A0" w14:textId="3B1F2272"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10,150</w:t>
            </w:r>
          </w:p>
        </w:tc>
        <w:tc>
          <w:tcPr>
            <w:tcW w:w="629" w:type="pct"/>
            <w:tcBorders>
              <w:top w:val="nil"/>
              <w:left w:val="nil"/>
              <w:bottom w:val="nil"/>
              <w:right w:val="nil"/>
            </w:tcBorders>
            <w:shd w:val="clear" w:color="auto" w:fill="auto"/>
            <w:noWrap/>
            <w:vAlign w:val="bottom"/>
            <w:hideMark/>
          </w:tcPr>
          <w:p w14:paraId="46F95B74" w14:textId="34793F37"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w:t>
            </w:r>
          </w:p>
        </w:tc>
      </w:tr>
      <w:tr w:rsidR="00D249DD" w:rsidRPr="003B3EC2" w14:paraId="68E8A19D" w14:textId="77777777" w:rsidTr="00B82AE8">
        <w:trPr>
          <w:trHeight w:val="204"/>
        </w:trPr>
        <w:tc>
          <w:tcPr>
            <w:tcW w:w="1849" w:type="pct"/>
            <w:gridSpan w:val="2"/>
            <w:tcBorders>
              <w:top w:val="nil"/>
              <w:left w:val="nil"/>
              <w:bottom w:val="nil"/>
              <w:right w:val="nil"/>
            </w:tcBorders>
            <w:shd w:val="clear" w:color="auto" w:fill="auto"/>
            <w:noWrap/>
            <w:vAlign w:val="bottom"/>
            <w:hideMark/>
          </w:tcPr>
          <w:p w14:paraId="29FB4471" w14:textId="77777777" w:rsidR="00D249DD" w:rsidRPr="00DB0E5D" w:rsidRDefault="00D249DD" w:rsidP="00D249DD">
            <w:pPr>
              <w:spacing w:after="0" w:line="240" w:lineRule="auto"/>
              <w:rPr>
                <w:rFonts w:ascii="Arial" w:hAnsi="Arial" w:cs="Arial"/>
                <w:b/>
                <w:bCs/>
                <w:sz w:val="16"/>
                <w:szCs w:val="16"/>
              </w:rPr>
            </w:pPr>
            <w:r w:rsidRPr="00DB0E5D">
              <w:rPr>
                <w:rFonts w:ascii="Arial" w:hAnsi="Arial" w:cs="Arial"/>
                <w:b/>
                <w:bCs/>
                <w:sz w:val="16"/>
                <w:szCs w:val="16"/>
              </w:rPr>
              <w:t>Total expenses for Program 3.1</w:t>
            </w:r>
          </w:p>
        </w:tc>
        <w:tc>
          <w:tcPr>
            <w:tcW w:w="629" w:type="pct"/>
            <w:gridSpan w:val="2"/>
            <w:tcBorders>
              <w:top w:val="single" w:sz="4" w:space="0" w:color="auto"/>
              <w:left w:val="nil"/>
              <w:bottom w:val="single" w:sz="4" w:space="0" w:color="auto"/>
              <w:right w:val="nil"/>
            </w:tcBorders>
            <w:shd w:val="clear" w:color="auto" w:fill="auto"/>
            <w:noWrap/>
            <w:vAlign w:val="bottom"/>
            <w:hideMark/>
          </w:tcPr>
          <w:p w14:paraId="277D7074" w14:textId="2A7AE59E"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556,126</w:t>
            </w:r>
          </w:p>
        </w:tc>
        <w:tc>
          <w:tcPr>
            <w:tcW w:w="633" w:type="pct"/>
            <w:tcBorders>
              <w:top w:val="single" w:sz="4" w:space="0" w:color="auto"/>
              <w:left w:val="nil"/>
              <w:bottom w:val="single" w:sz="4" w:space="0" w:color="auto"/>
              <w:right w:val="nil"/>
            </w:tcBorders>
            <w:shd w:val="clear" w:color="auto" w:fill="E6E6E6"/>
            <w:noWrap/>
            <w:vAlign w:val="bottom"/>
            <w:hideMark/>
          </w:tcPr>
          <w:p w14:paraId="124FDDF9" w14:textId="47C7A08F"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1,022,080</w:t>
            </w:r>
          </w:p>
        </w:tc>
        <w:tc>
          <w:tcPr>
            <w:tcW w:w="631" w:type="pct"/>
            <w:tcBorders>
              <w:top w:val="single" w:sz="4" w:space="0" w:color="auto"/>
              <w:left w:val="nil"/>
              <w:bottom w:val="single" w:sz="4" w:space="0" w:color="auto"/>
              <w:right w:val="nil"/>
            </w:tcBorders>
            <w:shd w:val="clear" w:color="auto" w:fill="auto"/>
            <w:noWrap/>
            <w:vAlign w:val="bottom"/>
            <w:hideMark/>
          </w:tcPr>
          <w:p w14:paraId="1D03460B" w14:textId="506776B3"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1,001,118</w:t>
            </w:r>
          </w:p>
        </w:tc>
        <w:tc>
          <w:tcPr>
            <w:tcW w:w="629" w:type="pct"/>
            <w:tcBorders>
              <w:top w:val="single" w:sz="4" w:space="0" w:color="auto"/>
              <w:left w:val="nil"/>
              <w:bottom w:val="single" w:sz="4" w:space="0" w:color="auto"/>
              <w:right w:val="nil"/>
            </w:tcBorders>
            <w:shd w:val="clear" w:color="auto" w:fill="auto"/>
            <w:noWrap/>
            <w:vAlign w:val="bottom"/>
            <w:hideMark/>
          </w:tcPr>
          <w:p w14:paraId="21A2CA65" w14:textId="2C418852"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1,163,859</w:t>
            </w:r>
          </w:p>
        </w:tc>
        <w:tc>
          <w:tcPr>
            <w:tcW w:w="629" w:type="pct"/>
            <w:tcBorders>
              <w:top w:val="single" w:sz="4" w:space="0" w:color="auto"/>
              <w:left w:val="nil"/>
              <w:bottom w:val="single" w:sz="4" w:space="0" w:color="auto"/>
              <w:right w:val="nil"/>
            </w:tcBorders>
            <w:shd w:val="clear" w:color="auto" w:fill="auto"/>
            <w:noWrap/>
            <w:vAlign w:val="bottom"/>
            <w:hideMark/>
          </w:tcPr>
          <w:p w14:paraId="7D3B5995" w14:textId="69177CB7"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1,174,007</w:t>
            </w:r>
          </w:p>
        </w:tc>
      </w:tr>
      <w:tr w:rsidR="00115843" w:rsidRPr="003B3EC2" w14:paraId="1A9BA6E0" w14:textId="77777777" w:rsidTr="00B82AE8">
        <w:trPr>
          <w:trHeight w:val="204"/>
        </w:trPr>
        <w:tc>
          <w:tcPr>
            <w:tcW w:w="5000" w:type="pct"/>
            <w:gridSpan w:val="8"/>
            <w:tcBorders>
              <w:top w:val="single" w:sz="4" w:space="0" w:color="auto"/>
              <w:left w:val="nil"/>
              <w:bottom w:val="single" w:sz="4" w:space="0" w:color="auto"/>
              <w:right w:val="nil"/>
            </w:tcBorders>
            <w:shd w:val="clear" w:color="auto" w:fill="E6E6E6"/>
            <w:noWrap/>
            <w:vAlign w:val="bottom"/>
            <w:hideMark/>
          </w:tcPr>
          <w:p w14:paraId="3F8CE0DF" w14:textId="77777777" w:rsidR="00115843" w:rsidRPr="00DB0E5D" w:rsidRDefault="00115843" w:rsidP="00FB0D02">
            <w:pPr>
              <w:spacing w:after="0" w:line="240" w:lineRule="auto"/>
              <w:rPr>
                <w:rFonts w:ascii="Arial" w:hAnsi="Arial" w:cs="Arial"/>
                <w:b/>
                <w:bCs/>
                <w:sz w:val="16"/>
                <w:szCs w:val="16"/>
              </w:rPr>
            </w:pPr>
            <w:r w:rsidRPr="00DB0E5D">
              <w:rPr>
                <w:rFonts w:ascii="Arial" w:hAnsi="Arial" w:cs="Arial"/>
                <w:b/>
                <w:bCs/>
                <w:sz w:val="16"/>
                <w:szCs w:val="16"/>
              </w:rPr>
              <w:t>Program 3.2: Local government </w:t>
            </w:r>
          </w:p>
        </w:tc>
      </w:tr>
      <w:tr w:rsidR="00115843" w:rsidRPr="003B3EC2" w14:paraId="523B3636" w14:textId="77777777" w:rsidTr="00B82AE8">
        <w:trPr>
          <w:trHeight w:val="204"/>
        </w:trPr>
        <w:tc>
          <w:tcPr>
            <w:tcW w:w="1827" w:type="pct"/>
            <w:tcBorders>
              <w:top w:val="nil"/>
              <w:left w:val="nil"/>
              <w:bottom w:val="nil"/>
              <w:right w:val="nil"/>
            </w:tcBorders>
            <w:shd w:val="clear" w:color="auto" w:fill="auto"/>
            <w:noWrap/>
            <w:vAlign w:val="bottom"/>
            <w:hideMark/>
          </w:tcPr>
          <w:p w14:paraId="605DAD60" w14:textId="77777777" w:rsidR="00115843" w:rsidRPr="00DB0E5D" w:rsidRDefault="00115843" w:rsidP="00FB0D02">
            <w:pPr>
              <w:spacing w:after="0" w:line="240" w:lineRule="auto"/>
              <w:rPr>
                <w:rFonts w:ascii="Arial" w:hAnsi="Arial" w:cs="Arial"/>
                <w:sz w:val="16"/>
                <w:szCs w:val="16"/>
              </w:rPr>
            </w:pPr>
            <w:r w:rsidRPr="00DB0E5D">
              <w:rPr>
                <w:rFonts w:ascii="Arial" w:hAnsi="Arial" w:cs="Arial"/>
                <w:sz w:val="16"/>
                <w:szCs w:val="16"/>
              </w:rPr>
              <w:t>Administered expenses</w:t>
            </w:r>
          </w:p>
        </w:tc>
        <w:tc>
          <w:tcPr>
            <w:tcW w:w="636" w:type="pct"/>
            <w:gridSpan w:val="2"/>
            <w:tcBorders>
              <w:top w:val="nil"/>
              <w:left w:val="nil"/>
              <w:bottom w:val="nil"/>
              <w:right w:val="nil"/>
            </w:tcBorders>
            <w:shd w:val="clear" w:color="auto" w:fill="auto"/>
            <w:noWrap/>
            <w:vAlign w:val="bottom"/>
            <w:hideMark/>
          </w:tcPr>
          <w:p w14:paraId="04D11917" w14:textId="77777777" w:rsidR="00115843" w:rsidRPr="00DB0E5D" w:rsidRDefault="00115843" w:rsidP="00FB0D02">
            <w:pPr>
              <w:spacing w:after="0" w:line="240" w:lineRule="auto"/>
              <w:jc w:val="right"/>
              <w:rPr>
                <w:rFonts w:ascii="Arial" w:hAnsi="Arial" w:cs="Arial"/>
                <w:sz w:val="16"/>
                <w:szCs w:val="16"/>
              </w:rPr>
            </w:pPr>
          </w:p>
        </w:tc>
        <w:tc>
          <w:tcPr>
            <w:tcW w:w="648" w:type="pct"/>
            <w:gridSpan w:val="2"/>
            <w:tcBorders>
              <w:top w:val="nil"/>
              <w:left w:val="nil"/>
              <w:bottom w:val="nil"/>
              <w:right w:val="nil"/>
            </w:tcBorders>
            <w:shd w:val="clear" w:color="auto" w:fill="E6E6E6"/>
            <w:noWrap/>
            <w:vAlign w:val="bottom"/>
            <w:hideMark/>
          </w:tcPr>
          <w:p w14:paraId="64BC3955" w14:textId="77777777" w:rsidR="00115843" w:rsidRPr="00DB0E5D" w:rsidRDefault="00115843" w:rsidP="00FB0D02">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23F051A4" w14:textId="77777777" w:rsidR="00115843" w:rsidRPr="00DB0E5D" w:rsidRDefault="00115843" w:rsidP="00FB0D02">
            <w:pPr>
              <w:spacing w:after="0" w:line="240" w:lineRule="auto"/>
              <w:jc w:val="right"/>
              <w:rPr>
                <w:rFonts w:ascii="Arial" w:hAnsi="Arial" w:cs="Arial"/>
                <w:sz w:val="16"/>
                <w:szCs w:val="16"/>
              </w:rPr>
            </w:pPr>
          </w:p>
        </w:tc>
        <w:tc>
          <w:tcPr>
            <w:tcW w:w="629" w:type="pct"/>
            <w:tcBorders>
              <w:top w:val="nil"/>
              <w:left w:val="nil"/>
              <w:bottom w:val="nil"/>
              <w:right w:val="nil"/>
            </w:tcBorders>
            <w:shd w:val="clear" w:color="auto" w:fill="auto"/>
            <w:noWrap/>
            <w:vAlign w:val="bottom"/>
            <w:hideMark/>
          </w:tcPr>
          <w:p w14:paraId="5578B94C" w14:textId="77777777" w:rsidR="00115843" w:rsidRPr="008D55A3" w:rsidRDefault="00115843" w:rsidP="00FB0D02">
            <w:pPr>
              <w:spacing w:after="0" w:line="240" w:lineRule="auto"/>
              <w:jc w:val="right"/>
              <w:rPr>
                <w:rFonts w:ascii="Times New Roman" w:hAnsi="Times New Roman"/>
                <w:sz w:val="16"/>
                <w:szCs w:val="16"/>
              </w:rPr>
            </w:pPr>
          </w:p>
        </w:tc>
        <w:tc>
          <w:tcPr>
            <w:tcW w:w="629" w:type="pct"/>
            <w:tcBorders>
              <w:top w:val="nil"/>
              <w:left w:val="nil"/>
              <w:bottom w:val="nil"/>
              <w:right w:val="nil"/>
            </w:tcBorders>
            <w:shd w:val="clear" w:color="auto" w:fill="auto"/>
            <w:noWrap/>
            <w:vAlign w:val="bottom"/>
            <w:hideMark/>
          </w:tcPr>
          <w:p w14:paraId="136985B5" w14:textId="77777777" w:rsidR="00115843" w:rsidRPr="008D55A3" w:rsidRDefault="00115843" w:rsidP="00FB0D02">
            <w:pPr>
              <w:spacing w:after="0" w:line="240" w:lineRule="auto"/>
              <w:jc w:val="right"/>
              <w:rPr>
                <w:rFonts w:ascii="Times New Roman" w:hAnsi="Times New Roman"/>
                <w:sz w:val="16"/>
                <w:szCs w:val="16"/>
              </w:rPr>
            </w:pPr>
          </w:p>
        </w:tc>
      </w:tr>
      <w:tr w:rsidR="00D249DD" w:rsidRPr="003B3EC2" w14:paraId="48303888" w14:textId="77777777" w:rsidTr="00B82AE8">
        <w:trPr>
          <w:trHeight w:val="204"/>
        </w:trPr>
        <w:tc>
          <w:tcPr>
            <w:tcW w:w="1827" w:type="pct"/>
            <w:tcBorders>
              <w:top w:val="nil"/>
              <w:left w:val="nil"/>
              <w:bottom w:val="nil"/>
              <w:right w:val="nil"/>
            </w:tcBorders>
            <w:shd w:val="clear" w:color="auto" w:fill="auto"/>
            <w:vAlign w:val="bottom"/>
            <w:hideMark/>
          </w:tcPr>
          <w:p w14:paraId="449B9E11" w14:textId="77777777" w:rsidR="00D249DD" w:rsidRPr="00DB0E5D" w:rsidRDefault="00D249DD" w:rsidP="00D249DD">
            <w:pPr>
              <w:spacing w:after="0" w:line="240" w:lineRule="auto"/>
              <w:ind w:left="113"/>
              <w:rPr>
                <w:rFonts w:ascii="Arial" w:hAnsi="Arial" w:cs="Arial"/>
                <w:sz w:val="16"/>
                <w:szCs w:val="16"/>
              </w:rPr>
            </w:pPr>
            <w:r w:rsidRPr="00DB0E5D">
              <w:rPr>
                <w:rFonts w:ascii="Arial" w:hAnsi="Arial" w:cs="Arial"/>
                <w:sz w:val="16"/>
                <w:szCs w:val="16"/>
              </w:rPr>
              <w:t>Ordinary Annual Services (Appropriation Act No. 1 and Bill No 3)</w:t>
            </w:r>
          </w:p>
        </w:tc>
        <w:tc>
          <w:tcPr>
            <w:tcW w:w="636" w:type="pct"/>
            <w:gridSpan w:val="2"/>
            <w:tcBorders>
              <w:top w:val="nil"/>
              <w:left w:val="nil"/>
              <w:bottom w:val="nil"/>
              <w:right w:val="nil"/>
            </w:tcBorders>
            <w:shd w:val="clear" w:color="auto" w:fill="auto"/>
            <w:noWrap/>
            <w:vAlign w:val="bottom"/>
            <w:hideMark/>
          </w:tcPr>
          <w:p w14:paraId="210BD3F6" w14:textId="6001BAC1"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291,851</w:t>
            </w:r>
          </w:p>
        </w:tc>
        <w:tc>
          <w:tcPr>
            <w:tcW w:w="648" w:type="pct"/>
            <w:gridSpan w:val="2"/>
            <w:tcBorders>
              <w:top w:val="nil"/>
              <w:left w:val="nil"/>
              <w:bottom w:val="nil"/>
              <w:right w:val="nil"/>
            </w:tcBorders>
            <w:shd w:val="clear" w:color="auto" w:fill="E6E6E6"/>
            <w:noWrap/>
            <w:vAlign w:val="bottom"/>
            <w:hideMark/>
          </w:tcPr>
          <w:p w14:paraId="5DCF396A" w14:textId="3D667506"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670</w:t>
            </w:r>
          </w:p>
        </w:tc>
        <w:tc>
          <w:tcPr>
            <w:tcW w:w="631" w:type="pct"/>
            <w:tcBorders>
              <w:top w:val="nil"/>
              <w:left w:val="nil"/>
              <w:bottom w:val="nil"/>
              <w:right w:val="nil"/>
            </w:tcBorders>
            <w:shd w:val="clear" w:color="auto" w:fill="auto"/>
            <w:noWrap/>
            <w:vAlign w:val="bottom"/>
            <w:hideMark/>
          </w:tcPr>
          <w:p w14:paraId="71DA886C" w14:textId="1EA44B23"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390</w:t>
            </w:r>
          </w:p>
        </w:tc>
        <w:tc>
          <w:tcPr>
            <w:tcW w:w="629" w:type="pct"/>
            <w:tcBorders>
              <w:top w:val="nil"/>
              <w:left w:val="nil"/>
              <w:bottom w:val="nil"/>
              <w:right w:val="nil"/>
            </w:tcBorders>
            <w:shd w:val="clear" w:color="auto" w:fill="auto"/>
            <w:noWrap/>
            <w:vAlign w:val="bottom"/>
            <w:hideMark/>
          </w:tcPr>
          <w:p w14:paraId="67B08D2B" w14:textId="1FE33D08"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279</w:t>
            </w:r>
          </w:p>
        </w:tc>
        <w:tc>
          <w:tcPr>
            <w:tcW w:w="629" w:type="pct"/>
            <w:tcBorders>
              <w:top w:val="nil"/>
              <w:left w:val="nil"/>
              <w:bottom w:val="nil"/>
              <w:right w:val="nil"/>
            </w:tcBorders>
            <w:shd w:val="clear" w:color="auto" w:fill="auto"/>
            <w:noWrap/>
            <w:vAlign w:val="bottom"/>
            <w:hideMark/>
          </w:tcPr>
          <w:p w14:paraId="7B24A739" w14:textId="6BA92209"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279</w:t>
            </w:r>
          </w:p>
        </w:tc>
      </w:tr>
      <w:tr w:rsidR="00D249DD" w:rsidRPr="003B3EC2" w14:paraId="35E963D2" w14:textId="77777777" w:rsidTr="00B82AE8">
        <w:trPr>
          <w:trHeight w:val="204"/>
        </w:trPr>
        <w:tc>
          <w:tcPr>
            <w:tcW w:w="1827" w:type="pct"/>
            <w:tcBorders>
              <w:top w:val="nil"/>
              <w:left w:val="nil"/>
              <w:bottom w:val="nil"/>
              <w:right w:val="nil"/>
            </w:tcBorders>
            <w:shd w:val="clear" w:color="auto" w:fill="auto"/>
            <w:vAlign w:val="bottom"/>
            <w:hideMark/>
          </w:tcPr>
          <w:p w14:paraId="7CF598F0" w14:textId="77777777" w:rsidR="00D249DD" w:rsidRPr="00DB0E5D" w:rsidRDefault="00D249DD" w:rsidP="00D249DD">
            <w:pPr>
              <w:spacing w:after="0" w:line="240" w:lineRule="auto"/>
              <w:ind w:left="113"/>
              <w:rPr>
                <w:rFonts w:ascii="Arial" w:hAnsi="Arial" w:cs="Arial"/>
                <w:sz w:val="16"/>
                <w:szCs w:val="16"/>
              </w:rPr>
            </w:pPr>
            <w:r w:rsidRPr="00DB0E5D">
              <w:rPr>
                <w:rFonts w:ascii="Arial" w:hAnsi="Arial" w:cs="Arial"/>
                <w:sz w:val="16"/>
                <w:szCs w:val="16"/>
              </w:rPr>
              <w:t>Other Services (Appropriation Act No 2 and Bill No. 4)</w:t>
            </w:r>
          </w:p>
        </w:tc>
        <w:tc>
          <w:tcPr>
            <w:tcW w:w="636" w:type="pct"/>
            <w:gridSpan w:val="2"/>
            <w:tcBorders>
              <w:top w:val="nil"/>
              <w:left w:val="nil"/>
              <w:bottom w:val="nil"/>
              <w:right w:val="nil"/>
            </w:tcBorders>
            <w:shd w:val="clear" w:color="auto" w:fill="auto"/>
            <w:noWrap/>
            <w:vAlign w:val="bottom"/>
            <w:hideMark/>
          </w:tcPr>
          <w:p w14:paraId="74F91FBA" w14:textId="528BB412"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617,679</w:t>
            </w:r>
          </w:p>
        </w:tc>
        <w:tc>
          <w:tcPr>
            <w:tcW w:w="648" w:type="pct"/>
            <w:gridSpan w:val="2"/>
            <w:tcBorders>
              <w:top w:val="nil"/>
              <w:left w:val="nil"/>
              <w:bottom w:val="nil"/>
              <w:right w:val="nil"/>
            </w:tcBorders>
            <w:shd w:val="clear" w:color="auto" w:fill="E6E6E6"/>
            <w:noWrap/>
            <w:vAlign w:val="bottom"/>
            <w:hideMark/>
          </w:tcPr>
          <w:p w14:paraId="14431C2F" w14:textId="5487F9AB"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669,330</w:t>
            </w:r>
          </w:p>
        </w:tc>
        <w:tc>
          <w:tcPr>
            <w:tcW w:w="631" w:type="pct"/>
            <w:tcBorders>
              <w:top w:val="nil"/>
              <w:left w:val="nil"/>
              <w:bottom w:val="nil"/>
              <w:right w:val="nil"/>
            </w:tcBorders>
            <w:shd w:val="clear" w:color="auto" w:fill="auto"/>
            <w:noWrap/>
            <w:vAlign w:val="bottom"/>
            <w:hideMark/>
          </w:tcPr>
          <w:p w14:paraId="6D9CE30E" w14:textId="7F81FADF"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349,610</w:t>
            </w:r>
          </w:p>
        </w:tc>
        <w:tc>
          <w:tcPr>
            <w:tcW w:w="629" w:type="pct"/>
            <w:tcBorders>
              <w:top w:val="nil"/>
              <w:left w:val="nil"/>
              <w:bottom w:val="nil"/>
              <w:right w:val="nil"/>
            </w:tcBorders>
            <w:shd w:val="clear" w:color="auto" w:fill="auto"/>
            <w:noWrap/>
            <w:vAlign w:val="bottom"/>
            <w:hideMark/>
          </w:tcPr>
          <w:p w14:paraId="36BF81D4" w14:textId="3882307A"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249,721</w:t>
            </w:r>
          </w:p>
        </w:tc>
        <w:tc>
          <w:tcPr>
            <w:tcW w:w="629" w:type="pct"/>
            <w:tcBorders>
              <w:top w:val="nil"/>
              <w:left w:val="nil"/>
              <w:bottom w:val="nil"/>
              <w:right w:val="nil"/>
            </w:tcBorders>
            <w:shd w:val="clear" w:color="auto" w:fill="auto"/>
            <w:noWrap/>
            <w:vAlign w:val="bottom"/>
            <w:hideMark/>
          </w:tcPr>
          <w:p w14:paraId="6BE471A9" w14:textId="758A8EB6"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249,721</w:t>
            </w:r>
          </w:p>
        </w:tc>
      </w:tr>
      <w:tr w:rsidR="00D249DD" w:rsidRPr="003B3EC2" w14:paraId="2A2FDCF6" w14:textId="77777777" w:rsidTr="00B82AE8">
        <w:trPr>
          <w:trHeight w:val="204"/>
        </w:trPr>
        <w:tc>
          <w:tcPr>
            <w:tcW w:w="1827" w:type="pct"/>
            <w:tcBorders>
              <w:top w:val="nil"/>
              <w:left w:val="nil"/>
              <w:bottom w:val="nil"/>
              <w:right w:val="nil"/>
            </w:tcBorders>
            <w:shd w:val="clear" w:color="auto" w:fill="auto"/>
            <w:vAlign w:val="bottom"/>
            <w:hideMark/>
          </w:tcPr>
          <w:p w14:paraId="55A739D7" w14:textId="77777777" w:rsidR="00D249DD" w:rsidRPr="00DB0E5D" w:rsidRDefault="00D249DD" w:rsidP="00D249DD">
            <w:pPr>
              <w:spacing w:after="0" w:line="240" w:lineRule="auto"/>
              <w:ind w:left="113"/>
              <w:rPr>
                <w:rFonts w:ascii="Arial" w:hAnsi="Arial" w:cs="Arial"/>
                <w:sz w:val="16"/>
                <w:szCs w:val="16"/>
              </w:rPr>
            </w:pPr>
            <w:r w:rsidRPr="00DB0E5D">
              <w:rPr>
                <w:rFonts w:ascii="Arial" w:hAnsi="Arial" w:cs="Arial"/>
                <w:sz w:val="16"/>
                <w:szCs w:val="16"/>
              </w:rPr>
              <w:t>Special Appropriations</w:t>
            </w:r>
          </w:p>
        </w:tc>
        <w:tc>
          <w:tcPr>
            <w:tcW w:w="636" w:type="pct"/>
            <w:gridSpan w:val="2"/>
            <w:tcBorders>
              <w:top w:val="nil"/>
              <w:left w:val="nil"/>
              <w:bottom w:val="nil"/>
              <w:right w:val="nil"/>
            </w:tcBorders>
            <w:shd w:val="clear" w:color="auto" w:fill="auto"/>
            <w:noWrap/>
            <w:vAlign w:val="bottom"/>
            <w:hideMark/>
          </w:tcPr>
          <w:p w14:paraId="0B62E30C" w14:textId="77777777" w:rsidR="00D249DD" w:rsidRPr="00DB0E5D" w:rsidRDefault="00D249DD" w:rsidP="00D249DD">
            <w:pPr>
              <w:spacing w:after="0" w:line="240" w:lineRule="auto"/>
              <w:ind w:firstLineChars="100" w:firstLine="160"/>
              <w:jc w:val="right"/>
              <w:rPr>
                <w:rFonts w:ascii="Arial" w:hAnsi="Arial" w:cs="Arial"/>
                <w:sz w:val="16"/>
                <w:szCs w:val="16"/>
              </w:rPr>
            </w:pPr>
          </w:p>
        </w:tc>
        <w:tc>
          <w:tcPr>
            <w:tcW w:w="648" w:type="pct"/>
            <w:gridSpan w:val="2"/>
            <w:tcBorders>
              <w:top w:val="nil"/>
              <w:left w:val="nil"/>
              <w:bottom w:val="nil"/>
              <w:right w:val="nil"/>
            </w:tcBorders>
            <w:shd w:val="clear" w:color="auto" w:fill="E6E6E6"/>
            <w:noWrap/>
            <w:vAlign w:val="bottom"/>
            <w:hideMark/>
          </w:tcPr>
          <w:p w14:paraId="6BACF316" w14:textId="5F91C684" w:rsidR="00D249DD" w:rsidRPr="00DB0E5D" w:rsidRDefault="00D249DD" w:rsidP="00D249DD">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64F687E1" w14:textId="77777777" w:rsidR="00D249DD" w:rsidRPr="00DB0E5D" w:rsidRDefault="00D249DD" w:rsidP="00D249DD">
            <w:pPr>
              <w:spacing w:after="0" w:line="240" w:lineRule="auto"/>
              <w:jc w:val="right"/>
              <w:rPr>
                <w:rFonts w:ascii="Arial" w:hAnsi="Arial" w:cs="Arial"/>
                <w:sz w:val="16"/>
                <w:szCs w:val="16"/>
              </w:rPr>
            </w:pPr>
          </w:p>
        </w:tc>
        <w:tc>
          <w:tcPr>
            <w:tcW w:w="629" w:type="pct"/>
            <w:tcBorders>
              <w:top w:val="nil"/>
              <w:left w:val="nil"/>
              <w:bottom w:val="nil"/>
              <w:right w:val="nil"/>
            </w:tcBorders>
            <w:shd w:val="clear" w:color="auto" w:fill="auto"/>
            <w:noWrap/>
            <w:vAlign w:val="bottom"/>
            <w:hideMark/>
          </w:tcPr>
          <w:p w14:paraId="60C7AA5D" w14:textId="77777777" w:rsidR="00D249DD" w:rsidRPr="008D55A3" w:rsidRDefault="00D249DD" w:rsidP="00D249DD">
            <w:pPr>
              <w:spacing w:after="0" w:line="240" w:lineRule="auto"/>
              <w:jc w:val="right"/>
              <w:rPr>
                <w:rFonts w:ascii="Times New Roman" w:hAnsi="Times New Roman"/>
                <w:sz w:val="16"/>
                <w:szCs w:val="16"/>
              </w:rPr>
            </w:pPr>
          </w:p>
        </w:tc>
        <w:tc>
          <w:tcPr>
            <w:tcW w:w="629" w:type="pct"/>
            <w:tcBorders>
              <w:top w:val="nil"/>
              <w:left w:val="nil"/>
              <w:bottom w:val="nil"/>
              <w:right w:val="nil"/>
            </w:tcBorders>
            <w:shd w:val="clear" w:color="auto" w:fill="auto"/>
            <w:noWrap/>
            <w:vAlign w:val="bottom"/>
            <w:hideMark/>
          </w:tcPr>
          <w:p w14:paraId="66DF93A4" w14:textId="77777777" w:rsidR="00D249DD" w:rsidRPr="008D55A3" w:rsidRDefault="00D249DD" w:rsidP="00D249DD">
            <w:pPr>
              <w:spacing w:after="0" w:line="240" w:lineRule="auto"/>
              <w:jc w:val="right"/>
              <w:rPr>
                <w:rFonts w:ascii="Times New Roman" w:hAnsi="Times New Roman"/>
                <w:sz w:val="16"/>
                <w:szCs w:val="16"/>
              </w:rPr>
            </w:pPr>
          </w:p>
        </w:tc>
      </w:tr>
      <w:tr w:rsidR="00D249DD" w:rsidRPr="003B3EC2" w14:paraId="5E7D40D2" w14:textId="77777777" w:rsidTr="00B82AE8">
        <w:trPr>
          <w:trHeight w:val="204"/>
        </w:trPr>
        <w:tc>
          <w:tcPr>
            <w:tcW w:w="1827" w:type="pct"/>
            <w:tcBorders>
              <w:top w:val="nil"/>
              <w:left w:val="nil"/>
              <w:bottom w:val="nil"/>
              <w:right w:val="nil"/>
            </w:tcBorders>
            <w:shd w:val="clear" w:color="auto" w:fill="auto"/>
            <w:vAlign w:val="bottom"/>
            <w:hideMark/>
          </w:tcPr>
          <w:p w14:paraId="093C8FCE" w14:textId="77777777" w:rsidR="00D249DD" w:rsidRPr="00DB0E5D" w:rsidRDefault="00D249DD" w:rsidP="00D249DD">
            <w:pPr>
              <w:spacing w:after="0" w:line="240" w:lineRule="auto"/>
              <w:ind w:left="227"/>
              <w:rPr>
                <w:rFonts w:ascii="Arial" w:hAnsi="Arial" w:cs="Arial"/>
                <w:i/>
                <w:iCs/>
                <w:sz w:val="16"/>
                <w:szCs w:val="16"/>
              </w:rPr>
            </w:pPr>
            <w:r w:rsidRPr="00DB0E5D">
              <w:rPr>
                <w:rFonts w:ascii="Arial" w:hAnsi="Arial" w:cs="Arial"/>
                <w:i/>
                <w:iCs/>
                <w:sz w:val="16"/>
                <w:szCs w:val="16"/>
              </w:rPr>
              <w:t>Local Government (Financial Assistance) Act 1995</w:t>
            </w:r>
          </w:p>
        </w:tc>
        <w:tc>
          <w:tcPr>
            <w:tcW w:w="636" w:type="pct"/>
            <w:gridSpan w:val="2"/>
            <w:tcBorders>
              <w:top w:val="nil"/>
              <w:left w:val="nil"/>
              <w:bottom w:val="nil"/>
              <w:right w:val="nil"/>
            </w:tcBorders>
            <w:shd w:val="clear" w:color="auto" w:fill="auto"/>
            <w:noWrap/>
            <w:vAlign w:val="bottom"/>
            <w:hideMark/>
          </w:tcPr>
          <w:p w14:paraId="73657B6B" w14:textId="76798D17"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3,530,275</w:t>
            </w:r>
          </w:p>
        </w:tc>
        <w:tc>
          <w:tcPr>
            <w:tcW w:w="648" w:type="pct"/>
            <w:gridSpan w:val="2"/>
            <w:tcBorders>
              <w:top w:val="nil"/>
              <w:left w:val="nil"/>
              <w:bottom w:val="nil"/>
              <w:right w:val="nil"/>
            </w:tcBorders>
            <w:shd w:val="clear" w:color="auto" w:fill="E6E6E6"/>
            <w:noWrap/>
            <w:vAlign w:val="bottom"/>
            <w:hideMark/>
          </w:tcPr>
          <w:p w14:paraId="173CB0CF" w14:textId="3026B513"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821,494</w:t>
            </w:r>
          </w:p>
        </w:tc>
        <w:tc>
          <w:tcPr>
            <w:tcW w:w="631" w:type="pct"/>
            <w:tcBorders>
              <w:top w:val="nil"/>
              <w:left w:val="nil"/>
              <w:bottom w:val="nil"/>
              <w:right w:val="nil"/>
            </w:tcBorders>
            <w:shd w:val="clear" w:color="auto" w:fill="auto"/>
            <w:noWrap/>
            <w:vAlign w:val="bottom"/>
            <w:hideMark/>
          </w:tcPr>
          <w:p w14:paraId="0E57AF46" w14:textId="57FD6E58"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3,052,345</w:t>
            </w:r>
          </w:p>
        </w:tc>
        <w:tc>
          <w:tcPr>
            <w:tcW w:w="629" w:type="pct"/>
            <w:tcBorders>
              <w:top w:val="nil"/>
              <w:left w:val="nil"/>
              <w:bottom w:val="nil"/>
              <w:right w:val="nil"/>
            </w:tcBorders>
            <w:shd w:val="clear" w:color="auto" w:fill="auto"/>
            <w:noWrap/>
            <w:vAlign w:val="bottom"/>
            <w:hideMark/>
          </w:tcPr>
          <w:p w14:paraId="54EBBB23" w14:textId="307F1B02"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3,170,474</w:t>
            </w:r>
          </w:p>
        </w:tc>
        <w:tc>
          <w:tcPr>
            <w:tcW w:w="629" w:type="pct"/>
            <w:tcBorders>
              <w:top w:val="nil"/>
              <w:left w:val="nil"/>
              <w:bottom w:val="nil"/>
              <w:right w:val="nil"/>
            </w:tcBorders>
            <w:shd w:val="clear" w:color="auto" w:fill="auto"/>
            <w:noWrap/>
            <w:vAlign w:val="bottom"/>
            <w:hideMark/>
          </w:tcPr>
          <w:p w14:paraId="72771C15" w14:textId="173BEAEE" w:rsidR="00D249DD" w:rsidRPr="00DB0E5D" w:rsidRDefault="00D249DD" w:rsidP="00D249DD">
            <w:pPr>
              <w:spacing w:after="0" w:line="240" w:lineRule="auto"/>
              <w:jc w:val="right"/>
              <w:rPr>
                <w:rFonts w:ascii="Arial" w:hAnsi="Arial" w:cs="Arial"/>
                <w:sz w:val="16"/>
                <w:szCs w:val="16"/>
              </w:rPr>
            </w:pPr>
            <w:r>
              <w:rPr>
                <w:rFonts w:ascii="Arial" w:hAnsi="Arial" w:cs="Arial"/>
                <w:sz w:val="16"/>
                <w:szCs w:val="16"/>
              </w:rPr>
              <w:t>3,294,438</w:t>
            </w:r>
          </w:p>
        </w:tc>
      </w:tr>
      <w:tr w:rsidR="00D249DD" w:rsidRPr="00EE3479" w14:paraId="425E9989" w14:textId="77777777" w:rsidTr="00B82AE8">
        <w:trPr>
          <w:trHeight w:val="204"/>
        </w:trPr>
        <w:tc>
          <w:tcPr>
            <w:tcW w:w="1827" w:type="pct"/>
            <w:tcBorders>
              <w:top w:val="nil"/>
              <w:left w:val="nil"/>
              <w:bottom w:val="nil"/>
              <w:right w:val="nil"/>
            </w:tcBorders>
            <w:shd w:val="clear" w:color="auto" w:fill="auto"/>
            <w:vAlign w:val="bottom"/>
          </w:tcPr>
          <w:p w14:paraId="062CA769" w14:textId="6E4D8552" w:rsidR="00D249DD" w:rsidRPr="00EE3479" w:rsidRDefault="00D249DD" w:rsidP="00D249DD">
            <w:pPr>
              <w:spacing w:after="0" w:line="240" w:lineRule="auto"/>
              <w:ind w:left="113"/>
              <w:rPr>
                <w:rFonts w:ascii="Arial" w:hAnsi="Arial" w:cs="Arial"/>
                <w:iCs/>
                <w:sz w:val="16"/>
                <w:szCs w:val="16"/>
              </w:rPr>
            </w:pPr>
            <w:r w:rsidRPr="00EE3479">
              <w:rPr>
                <w:rFonts w:ascii="Arial" w:hAnsi="Arial" w:cs="Arial"/>
                <w:iCs/>
                <w:sz w:val="16"/>
                <w:szCs w:val="16"/>
              </w:rPr>
              <w:t>Expenses not requiring appropriation in the Budget year</w:t>
            </w:r>
            <w:r>
              <w:rPr>
                <w:rFonts w:ascii="Arial" w:hAnsi="Arial" w:cs="Arial"/>
                <w:iCs/>
                <w:sz w:val="16"/>
                <w:szCs w:val="16"/>
              </w:rPr>
              <w:t> </w:t>
            </w:r>
            <w:r w:rsidRPr="00EE3479">
              <w:rPr>
                <w:rFonts w:ascii="Arial" w:hAnsi="Arial" w:cs="Arial"/>
                <w:iCs/>
                <w:sz w:val="16"/>
                <w:szCs w:val="16"/>
                <w:vertAlign w:val="superscript"/>
              </w:rPr>
              <w:t>(a)</w:t>
            </w:r>
          </w:p>
        </w:tc>
        <w:tc>
          <w:tcPr>
            <w:tcW w:w="636" w:type="pct"/>
            <w:gridSpan w:val="2"/>
            <w:tcBorders>
              <w:top w:val="nil"/>
              <w:left w:val="nil"/>
              <w:bottom w:val="nil"/>
              <w:right w:val="nil"/>
            </w:tcBorders>
            <w:shd w:val="clear" w:color="auto" w:fill="auto"/>
            <w:noWrap/>
            <w:vAlign w:val="bottom"/>
          </w:tcPr>
          <w:p w14:paraId="7A1F28EE" w14:textId="3FF463DF" w:rsidR="00D249DD" w:rsidRPr="00EE3479" w:rsidRDefault="00D249DD" w:rsidP="00D249DD">
            <w:pPr>
              <w:spacing w:after="0" w:line="240" w:lineRule="auto"/>
              <w:jc w:val="right"/>
              <w:rPr>
                <w:rFonts w:ascii="Arial" w:hAnsi="Arial" w:cs="Arial"/>
                <w:sz w:val="16"/>
                <w:szCs w:val="16"/>
              </w:rPr>
            </w:pPr>
            <w:r>
              <w:rPr>
                <w:rFonts w:ascii="Arial" w:hAnsi="Arial" w:cs="Arial"/>
                <w:sz w:val="16"/>
                <w:szCs w:val="16"/>
              </w:rPr>
              <w:t>(291,851)</w:t>
            </w:r>
          </w:p>
        </w:tc>
        <w:tc>
          <w:tcPr>
            <w:tcW w:w="648" w:type="pct"/>
            <w:gridSpan w:val="2"/>
            <w:tcBorders>
              <w:top w:val="nil"/>
              <w:left w:val="nil"/>
              <w:bottom w:val="nil"/>
              <w:right w:val="nil"/>
            </w:tcBorders>
            <w:shd w:val="clear" w:color="auto" w:fill="E6E6E6"/>
            <w:noWrap/>
            <w:vAlign w:val="bottom"/>
          </w:tcPr>
          <w:p w14:paraId="18721EBC" w14:textId="70B05FB6" w:rsidR="00D249DD" w:rsidRPr="00EE3479" w:rsidRDefault="00D249DD" w:rsidP="00D249DD">
            <w:pPr>
              <w:spacing w:after="0" w:line="240" w:lineRule="auto"/>
              <w:jc w:val="right"/>
              <w:rPr>
                <w:rFonts w:ascii="Arial" w:hAnsi="Arial" w:cs="Arial"/>
                <w:sz w:val="16"/>
                <w:szCs w:val="16"/>
              </w:rPr>
            </w:pPr>
            <w:r>
              <w:rPr>
                <w:rFonts w:ascii="Arial" w:hAnsi="Arial" w:cs="Arial"/>
                <w:sz w:val="16"/>
                <w:szCs w:val="16"/>
              </w:rPr>
              <w:t>316,303</w:t>
            </w:r>
          </w:p>
        </w:tc>
        <w:tc>
          <w:tcPr>
            <w:tcW w:w="631" w:type="pct"/>
            <w:tcBorders>
              <w:top w:val="nil"/>
              <w:left w:val="nil"/>
              <w:bottom w:val="nil"/>
              <w:right w:val="nil"/>
            </w:tcBorders>
            <w:shd w:val="clear" w:color="auto" w:fill="auto"/>
            <w:noWrap/>
            <w:vAlign w:val="bottom"/>
          </w:tcPr>
          <w:p w14:paraId="6D11D7E7" w14:textId="3954AC40" w:rsidR="00D249DD" w:rsidRPr="00EE3479" w:rsidRDefault="00D249DD" w:rsidP="00D249DD">
            <w:pPr>
              <w:spacing w:after="0" w:line="240" w:lineRule="auto"/>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bottom"/>
          </w:tcPr>
          <w:p w14:paraId="6094AF4E" w14:textId="0060D2B8" w:rsidR="00D249DD" w:rsidRPr="00EE3479" w:rsidRDefault="00D249DD" w:rsidP="00D249DD">
            <w:pPr>
              <w:spacing w:after="0" w:line="240" w:lineRule="auto"/>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bottom"/>
          </w:tcPr>
          <w:p w14:paraId="43161CE0" w14:textId="1D808A8D" w:rsidR="00D249DD" w:rsidRPr="00EE3479" w:rsidRDefault="00D249DD" w:rsidP="00D249DD">
            <w:pPr>
              <w:spacing w:after="0" w:line="240" w:lineRule="auto"/>
              <w:jc w:val="right"/>
              <w:rPr>
                <w:rFonts w:ascii="Arial" w:hAnsi="Arial" w:cs="Arial"/>
                <w:sz w:val="16"/>
                <w:szCs w:val="16"/>
              </w:rPr>
            </w:pPr>
            <w:r>
              <w:rPr>
                <w:rFonts w:ascii="Arial" w:hAnsi="Arial" w:cs="Arial"/>
                <w:sz w:val="16"/>
                <w:szCs w:val="16"/>
              </w:rPr>
              <w:t>-</w:t>
            </w:r>
          </w:p>
        </w:tc>
      </w:tr>
      <w:tr w:rsidR="00D249DD" w:rsidRPr="003B3EC2" w14:paraId="7DC27E88" w14:textId="77777777" w:rsidTr="00B82AE8">
        <w:trPr>
          <w:trHeight w:val="204"/>
        </w:trPr>
        <w:tc>
          <w:tcPr>
            <w:tcW w:w="1827" w:type="pct"/>
            <w:tcBorders>
              <w:top w:val="nil"/>
              <w:left w:val="nil"/>
              <w:bottom w:val="nil"/>
              <w:right w:val="nil"/>
            </w:tcBorders>
            <w:shd w:val="clear" w:color="auto" w:fill="auto"/>
            <w:noWrap/>
            <w:vAlign w:val="bottom"/>
            <w:hideMark/>
          </w:tcPr>
          <w:p w14:paraId="423506A5" w14:textId="77777777" w:rsidR="00D249DD" w:rsidRPr="00DB0E5D" w:rsidRDefault="00D249DD" w:rsidP="00D249DD">
            <w:pPr>
              <w:spacing w:after="0" w:line="240" w:lineRule="auto"/>
              <w:rPr>
                <w:rFonts w:ascii="Arial" w:hAnsi="Arial" w:cs="Arial"/>
                <w:b/>
                <w:bCs/>
                <w:sz w:val="16"/>
                <w:szCs w:val="16"/>
              </w:rPr>
            </w:pPr>
            <w:r w:rsidRPr="00DB0E5D">
              <w:rPr>
                <w:rFonts w:ascii="Arial" w:hAnsi="Arial" w:cs="Arial"/>
                <w:b/>
                <w:bCs/>
                <w:sz w:val="16"/>
                <w:szCs w:val="16"/>
              </w:rPr>
              <w:t>Total expenses for Program 3.2</w:t>
            </w:r>
          </w:p>
        </w:tc>
        <w:tc>
          <w:tcPr>
            <w:tcW w:w="636" w:type="pct"/>
            <w:gridSpan w:val="2"/>
            <w:tcBorders>
              <w:top w:val="single" w:sz="4" w:space="0" w:color="auto"/>
              <w:left w:val="nil"/>
              <w:bottom w:val="single" w:sz="4" w:space="0" w:color="auto"/>
              <w:right w:val="nil"/>
            </w:tcBorders>
            <w:shd w:val="clear" w:color="auto" w:fill="auto"/>
            <w:noWrap/>
            <w:vAlign w:val="bottom"/>
            <w:hideMark/>
          </w:tcPr>
          <w:p w14:paraId="074CB4AC" w14:textId="6750156B"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4,147,954</w:t>
            </w:r>
          </w:p>
        </w:tc>
        <w:tc>
          <w:tcPr>
            <w:tcW w:w="648" w:type="pct"/>
            <w:gridSpan w:val="2"/>
            <w:tcBorders>
              <w:top w:val="single" w:sz="4" w:space="0" w:color="auto"/>
              <w:left w:val="nil"/>
              <w:bottom w:val="single" w:sz="4" w:space="0" w:color="auto"/>
              <w:right w:val="nil"/>
            </w:tcBorders>
            <w:shd w:val="clear" w:color="auto" w:fill="E6E6E6"/>
            <w:noWrap/>
            <w:vAlign w:val="bottom"/>
            <w:hideMark/>
          </w:tcPr>
          <w:p w14:paraId="24BBDDF6" w14:textId="06529C11"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1,807,797</w:t>
            </w:r>
          </w:p>
        </w:tc>
        <w:tc>
          <w:tcPr>
            <w:tcW w:w="631" w:type="pct"/>
            <w:tcBorders>
              <w:top w:val="single" w:sz="4" w:space="0" w:color="auto"/>
              <w:left w:val="nil"/>
              <w:bottom w:val="single" w:sz="4" w:space="0" w:color="auto"/>
              <w:right w:val="nil"/>
            </w:tcBorders>
            <w:shd w:val="clear" w:color="auto" w:fill="auto"/>
            <w:noWrap/>
            <w:vAlign w:val="bottom"/>
            <w:hideMark/>
          </w:tcPr>
          <w:p w14:paraId="563EF80A" w14:textId="2A39E4C3"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3,402,345</w:t>
            </w:r>
          </w:p>
        </w:tc>
        <w:tc>
          <w:tcPr>
            <w:tcW w:w="629" w:type="pct"/>
            <w:tcBorders>
              <w:top w:val="single" w:sz="4" w:space="0" w:color="auto"/>
              <w:left w:val="nil"/>
              <w:bottom w:val="single" w:sz="4" w:space="0" w:color="auto"/>
              <w:right w:val="nil"/>
            </w:tcBorders>
            <w:shd w:val="clear" w:color="auto" w:fill="auto"/>
            <w:noWrap/>
            <w:vAlign w:val="bottom"/>
            <w:hideMark/>
          </w:tcPr>
          <w:p w14:paraId="48BE7106" w14:textId="0A09C33E"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3,420,474</w:t>
            </w:r>
          </w:p>
        </w:tc>
        <w:tc>
          <w:tcPr>
            <w:tcW w:w="629" w:type="pct"/>
            <w:tcBorders>
              <w:top w:val="single" w:sz="4" w:space="0" w:color="auto"/>
              <w:left w:val="nil"/>
              <w:bottom w:val="single" w:sz="4" w:space="0" w:color="auto"/>
              <w:right w:val="nil"/>
            </w:tcBorders>
            <w:shd w:val="clear" w:color="auto" w:fill="auto"/>
            <w:noWrap/>
            <w:vAlign w:val="bottom"/>
            <w:hideMark/>
          </w:tcPr>
          <w:p w14:paraId="4D02C168" w14:textId="3393D00E" w:rsidR="00D249DD" w:rsidRPr="00DB0E5D" w:rsidRDefault="00D249DD" w:rsidP="00D249DD">
            <w:pPr>
              <w:spacing w:after="0" w:line="240" w:lineRule="auto"/>
              <w:jc w:val="right"/>
              <w:rPr>
                <w:rFonts w:ascii="Arial" w:hAnsi="Arial" w:cs="Arial"/>
                <w:b/>
                <w:bCs/>
                <w:sz w:val="16"/>
                <w:szCs w:val="16"/>
              </w:rPr>
            </w:pPr>
            <w:r>
              <w:rPr>
                <w:rFonts w:ascii="Arial" w:hAnsi="Arial" w:cs="Arial"/>
                <w:b/>
                <w:bCs/>
                <w:sz w:val="16"/>
                <w:szCs w:val="16"/>
              </w:rPr>
              <w:t>3,544,438</w:t>
            </w:r>
          </w:p>
        </w:tc>
      </w:tr>
      <w:tr w:rsidR="00115843" w:rsidRPr="003B3EC2" w14:paraId="3F51956B" w14:textId="77777777" w:rsidTr="00B82AE8">
        <w:trPr>
          <w:trHeight w:val="204"/>
        </w:trPr>
        <w:tc>
          <w:tcPr>
            <w:tcW w:w="5000" w:type="pct"/>
            <w:gridSpan w:val="8"/>
            <w:tcBorders>
              <w:top w:val="single" w:sz="4" w:space="0" w:color="auto"/>
              <w:left w:val="nil"/>
              <w:bottom w:val="single" w:sz="4" w:space="0" w:color="auto"/>
              <w:right w:val="nil"/>
            </w:tcBorders>
            <w:shd w:val="clear" w:color="auto" w:fill="E6E6E6"/>
            <w:noWrap/>
            <w:vAlign w:val="bottom"/>
            <w:hideMark/>
          </w:tcPr>
          <w:p w14:paraId="297D19C0" w14:textId="77777777" w:rsidR="00115843" w:rsidRPr="00DB0E5D" w:rsidRDefault="00115843" w:rsidP="00FB0D02">
            <w:pPr>
              <w:spacing w:after="0" w:line="240" w:lineRule="auto"/>
              <w:rPr>
                <w:rFonts w:ascii="Arial" w:hAnsi="Arial" w:cs="Arial"/>
                <w:sz w:val="16"/>
                <w:szCs w:val="16"/>
              </w:rPr>
            </w:pPr>
            <w:r w:rsidRPr="00DB0E5D">
              <w:rPr>
                <w:rFonts w:ascii="Arial" w:hAnsi="Arial" w:cs="Arial"/>
                <w:b/>
                <w:bCs/>
                <w:sz w:val="16"/>
                <w:szCs w:val="16"/>
              </w:rPr>
              <w:t>Program 3.3: Cities</w:t>
            </w:r>
          </w:p>
        </w:tc>
      </w:tr>
      <w:tr w:rsidR="00115843" w:rsidRPr="003B3EC2" w14:paraId="31AEE09E" w14:textId="77777777" w:rsidTr="00B82AE8">
        <w:trPr>
          <w:trHeight w:val="204"/>
        </w:trPr>
        <w:tc>
          <w:tcPr>
            <w:tcW w:w="1827" w:type="pct"/>
            <w:tcBorders>
              <w:top w:val="nil"/>
              <w:left w:val="nil"/>
              <w:bottom w:val="nil"/>
              <w:right w:val="nil"/>
            </w:tcBorders>
            <w:shd w:val="clear" w:color="auto" w:fill="auto"/>
            <w:noWrap/>
            <w:vAlign w:val="bottom"/>
            <w:hideMark/>
          </w:tcPr>
          <w:p w14:paraId="37DE0C54" w14:textId="77777777" w:rsidR="00115843" w:rsidRPr="00DB0E5D" w:rsidRDefault="00115843" w:rsidP="00FB0D02">
            <w:pPr>
              <w:spacing w:after="0" w:line="240" w:lineRule="auto"/>
              <w:rPr>
                <w:rFonts w:ascii="Arial" w:hAnsi="Arial" w:cs="Arial"/>
                <w:sz w:val="16"/>
                <w:szCs w:val="16"/>
              </w:rPr>
            </w:pPr>
            <w:r w:rsidRPr="00DB0E5D">
              <w:rPr>
                <w:rFonts w:ascii="Arial" w:hAnsi="Arial" w:cs="Arial"/>
                <w:sz w:val="16"/>
                <w:szCs w:val="16"/>
              </w:rPr>
              <w:t>Administered expenses</w:t>
            </w:r>
          </w:p>
        </w:tc>
        <w:tc>
          <w:tcPr>
            <w:tcW w:w="636" w:type="pct"/>
            <w:gridSpan w:val="2"/>
            <w:tcBorders>
              <w:top w:val="nil"/>
              <w:left w:val="nil"/>
              <w:bottom w:val="nil"/>
              <w:right w:val="nil"/>
            </w:tcBorders>
            <w:shd w:val="clear" w:color="auto" w:fill="auto"/>
            <w:noWrap/>
            <w:vAlign w:val="bottom"/>
            <w:hideMark/>
          </w:tcPr>
          <w:p w14:paraId="5C8BBFEA" w14:textId="77777777" w:rsidR="00115843" w:rsidRPr="00DB0E5D" w:rsidRDefault="00115843" w:rsidP="00FB0D02">
            <w:pPr>
              <w:spacing w:after="0" w:line="240" w:lineRule="auto"/>
              <w:jc w:val="right"/>
              <w:rPr>
                <w:rFonts w:ascii="Arial" w:hAnsi="Arial" w:cs="Arial"/>
                <w:sz w:val="16"/>
                <w:szCs w:val="16"/>
              </w:rPr>
            </w:pPr>
          </w:p>
        </w:tc>
        <w:tc>
          <w:tcPr>
            <w:tcW w:w="648" w:type="pct"/>
            <w:gridSpan w:val="2"/>
            <w:tcBorders>
              <w:top w:val="nil"/>
              <w:left w:val="nil"/>
              <w:bottom w:val="nil"/>
              <w:right w:val="nil"/>
            </w:tcBorders>
            <w:shd w:val="clear" w:color="auto" w:fill="E6E6E6"/>
            <w:noWrap/>
            <w:vAlign w:val="bottom"/>
            <w:hideMark/>
          </w:tcPr>
          <w:p w14:paraId="784E6632" w14:textId="77777777" w:rsidR="00115843" w:rsidRPr="00DB0E5D" w:rsidRDefault="00115843" w:rsidP="00FB0D02">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72B38578" w14:textId="77777777" w:rsidR="00115843" w:rsidRPr="00DB0E5D" w:rsidRDefault="00115843" w:rsidP="00FB0D02">
            <w:pPr>
              <w:spacing w:after="0" w:line="240" w:lineRule="auto"/>
              <w:jc w:val="right"/>
              <w:rPr>
                <w:rFonts w:ascii="Arial" w:hAnsi="Arial" w:cs="Arial"/>
                <w:sz w:val="16"/>
                <w:szCs w:val="16"/>
              </w:rPr>
            </w:pPr>
          </w:p>
        </w:tc>
        <w:tc>
          <w:tcPr>
            <w:tcW w:w="629" w:type="pct"/>
            <w:tcBorders>
              <w:top w:val="nil"/>
              <w:left w:val="nil"/>
              <w:bottom w:val="nil"/>
              <w:right w:val="nil"/>
            </w:tcBorders>
            <w:shd w:val="clear" w:color="auto" w:fill="auto"/>
            <w:noWrap/>
            <w:vAlign w:val="bottom"/>
            <w:hideMark/>
          </w:tcPr>
          <w:p w14:paraId="6C144FCA" w14:textId="77777777" w:rsidR="00115843" w:rsidRPr="008D55A3" w:rsidRDefault="00115843" w:rsidP="00FB0D02">
            <w:pPr>
              <w:spacing w:after="0" w:line="240" w:lineRule="auto"/>
              <w:jc w:val="right"/>
              <w:rPr>
                <w:rFonts w:ascii="Times New Roman" w:hAnsi="Times New Roman"/>
                <w:sz w:val="16"/>
                <w:szCs w:val="16"/>
              </w:rPr>
            </w:pPr>
          </w:p>
        </w:tc>
        <w:tc>
          <w:tcPr>
            <w:tcW w:w="629" w:type="pct"/>
            <w:tcBorders>
              <w:top w:val="nil"/>
              <w:left w:val="nil"/>
              <w:bottom w:val="nil"/>
              <w:right w:val="nil"/>
            </w:tcBorders>
            <w:shd w:val="clear" w:color="auto" w:fill="auto"/>
            <w:noWrap/>
            <w:vAlign w:val="bottom"/>
            <w:hideMark/>
          </w:tcPr>
          <w:p w14:paraId="6245FAAE" w14:textId="77777777" w:rsidR="00115843" w:rsidRPr="008D55A3" w:rsidRDefault="00115843" w:rsidP="00FB0D02">
            <w:pPr>
              <w:spacing w:after="0" w:line="240" w:lineRule="auto"/>
              <w:jc w:val="right"/>
              <w:rPr>
                <w:rFonts w:ascii="Times New Roman" w:hAnsi="Times New Roman"/>
                <w:sz w:val="16"/>
                <w:szCs w:val="16"/>
              </w:rPr>
            </w:pPr>
          </w:p>
        </w:tc>
      </w:tr>
      <w:tr w:rsidR="00115843" w:rsidRPr="003B3EC2" w14:paraId="51297A06" w14:textId="77777777" w:rsidTr="00B82AE8">
        <w:trPr>
          <w:trHeight w:val="204"/>
        </w:trPr>
        <w:tc>
          <w:tcPr>
            <w:tcW w:w="1827" w:type="pct"/>
            <w:tcBorders>
              <w:top w:val="nil"/>
              <w:left w:val="nil"/>
              <w:bottom w:val="nil"/>
              <w:right w:val="nil"/>
            </w:tcBorders>
            <w:shd w:val="clear" w:color="auto" w:fill="auto"/>
            <w:vAlign w:val="bottom"/>
            <w:hideMark/>
          </w:tcPr>
          <w:p w14:paraId="1CEBED75" w14:textId="77777777" w:rsidR="00115843" w:rsidRPr="00DB0E5D" w:rsidRDefault="00115843" w:rsidP="00FB0D02">
            <w:pPr>
              <w:spacing w:after="0" w:line="240" w:lineRule="auto"/>
              <w:ind w:left="113"/>
              <w:rPr>
                <w:rFonts w:ascii="Arial" w:hAnsi="Arial" w:cs="Arial"/>
                <w:sz w:val="16"/>
                <w:szCs w:val="16"/>
              </w:rPr>
            </w:pPr>
            <w:r w:rsidRPr="00DB0E5D">
              <w:rPr>
                <w:rFonts w:ascii="Arial" w:hAnsi="Arial" w:cs="Arial"/>
                <w:sz w:val="16"/>
                <w:szCs w:val="16"/>
              </w:rPr>
              <w:t>Ordinary Annual Services (Appropriation Act No. 1 and Bill No 3)</w:t>
            </w:r>
          </w:p>
        </w:tc>
        <w:tc>
          <w:tcPr>
            <w:tcW w:w="636" w:type="pct"/>
            <w:gridSpan w:val="2"/>
            <w:tcBorders>
              <w:top w:val="nil"/>
              <w:left w:val="nil"/>
              <w:bottom w:val="nil"/>
              <w:right w:val="nil"/>
            </w:tcBorders>
            <w:shd w:val="clear" w:color="auto" w:fill="auto"/>
            <w:noWrap/>
            <w:vAlign w:val="bottom"/>
            <w:hideMark/>
          </w:tcPr>
          <w:p w14:paraId="2201761A"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(12)</w:t>
            </w:r>
          </w:p>
        </w:tc>
        <w:tc>
          <w:tcPr>
            <w:tcW w:w="648" w:type="pct"/>
            <w:gridSpan w:val="2"/>
            <w:tcBorders>
              <w:top w:val="nil"/>
              <w:left w:val="nil"/>
              <w:bottom w:val="nil"/>
              <w:right w:val="nil"/>
            </w:tcBorders>
            <w:shd w:val="clear" w:color="auto" w:fill="E6E6E6"/>
            <w:noWrap/>
            <w:vAlign w:val="bottom"/>
            <w:hideMark/>
          </w:tcPr>
          <w:p w14:paraId="2D1C79B2"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2,633</w:t>
            </w:r>
          </w:p>
        </w:tc>
        <w:tc>
          <w:tcPr>
            <w:tcW w:w="631" w:type="pct"/>
            <w:tcBorders>
              <w:top w:val="nil"/>
              <w:left w:val="nil"/>
              <w:bottom w:val="nil"/>
              <w:right w:val="nil"/>
            </w:tcBorders>
            <w:shd w:val="clear" w:color="auto" w:fill="auto"/>
            <w:noWrap/>
            <w:vAlign w:val="bottom"/>
            <w:hideMark/>
          </w:tcPr>
          <w:p w14:paraId="3875689F"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100</w:t>
            </w:r>
          </w:p>
        </w:tc>
        <w:tc>
          <w:tcPr>
            <w:tcW w:w="629" w:type="pct"/>
            <w:tcBorders>
              <w:top w:val="nil"/>
              <w:left w:val="nil"/>
              <w:bottom w:val="nil"/>
              <w:right w:val="nil"/>
            </w:tcBorders>
            <w:shd w:val="clear" w:color="auto" w:fill="auto"/>
            <w:noWrap/>
            <w:vAlign w:val="bottom"/>
            <w:hideMark/>
          </w:tcPr>
          <w:p w14:paraId="0B3B7621"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032F85B7"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3B3EC2" w14:paraId="3F0379DE" w14:textId="77777777" w:rsidTr="00B82AE8">
        <w:trPr>
          <w:trHeight w:val="204"/>
        </w:trPr>
        <w:tc>
          <w:tcPr>
            <w:tcW w:w="1827" w:type="pct"/>
            <w:tcBorders>
              <w:top w:val="nil"/>
              <w:left w:val="nil"/>
              <w:bottom w:val="nil"/>
              <w:right w:val="nil"/>
            </w:tcBorders>
            <w:shd w:val="clear" w:color="auto" w:fill="auto"/>
            <w:vAlign w:val="bottom"/>
            <w:hideMark/>
          </w:tcPr>
          <w:p w14:paraId="3F3B0908" w14:textId="439AE6B6" w:rsidR="00115843" w:rsidRPr="00DB0E5D" w:rsidRDefault="00115843" w:rsidP="00FB0D02">
            <w:pPr>
              <w:spacing w:after="0" w:line="240" w:lineRule="auto"/>
              <w:ind w:left="113"/>
              <w:rPr>
                <w:rFonts w:ascii="Arial" w:hAnsi="Arial" w:cs="Arial"/>
                <w:sz w:val="16"/>
                <w:szCs w:val="16"/>
              </w:rPr>
            </w:pPr>
            <w:r w:rsidRPr="00DB0E5D">
              <w:rPr>
                <w:rFonts w:ascii="Arial" w:hAnsi="Arial" w:cs="Arial"/>
                <w:sz w:val="16"/>
                <w:szCs w:val="16"/>
              </w:rPr>
              <w:t>Expenses not requiring appropriation in the Budget year</w:t>
            </w:r>
            <w:r w:rsidR="002E16EE">
              <w:rPr>
                <w:rFonts w:ascii="Arial" w:hAnsi="Arial" w:cs="Arial"/>
                <w:sz w:val="16"/>
                <w:szCs w:val="16"/>
              </w:rPr>
              <w:t> </w:t>
            </w:r>
            <w:r w:rsidRPr="00DB0E5D">
              <w:rPr>
                <w:rFonts w:ascii="Arial" w:hAnsi="Arial" w:cs="Arial"/>
                <w:sz w:val="16"/>
                <w:szCs w:val="16"/>
                <w:vertAlign w:val="superscript"/>
              </w:rPr>
              <w:t>(a)</w:t>
            </w:r>
          </w:p>
        </w:tc>
        <w:tc>
          <w:tcPr>
            <w:tcW w:w="636" w:type="pct"/>
            <w:gridSpan w:val="2"/>
            <w:tcBorders>
              <w:top w:val="nil"/>
              <w:left w:val="nil"/>
              <w:bottom w:val="nil"/>
              <w:right w:val="nil"/>
            </w:tcBorders>
            <w:shd w:val="clear" w:color="auto" w:fill="auto"/>
            <w:noWrap/>
            <w:vAlign w:val="bottom"/>
            <w:hideMark/>
          </w:tcPr>
          <w:p w14:paraId="56D64202"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553</w:t>
            </w:r>
          </w:p>
        </w:tc>
        <w:tc>
          <w:tcPr>
            <w:tcW w:w="648" w:type="pct"/>
            <w:gridSpan w:val="2"/>
            <w:tcBorders>
              <w:top w:val="nil"/>
              <w:left w:val="nil"/>
              <w:bottom w:val="nil"/>
              <w:right w:val="nil"/>
            </w:tcBorders>
            <w:shd w:val="clear" w:color="auto" w:fill="E6E6E6"/>
            <w:noWrap/>
            <w:vAlign w:val="bottom"/>
            <w:hideMark/>
          </w:tcPr>
          <w:p w14:paraId="74AF3937"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2,192</w:t>
            </w:r>
          </w:p>
        </w:tc>
        <w:tc>
          <w:tcPr>
            <w:tcW w:w="631" w:type="pct"/>
            <w:tcBorders>
              <w:top w:val="nil"/>
              <w:left w:val="nil"/>
              <w:bottom w:val="nil"/>
              <w:right w:val="nil"/>
            </w:tcBorders>
            <w:shd w:val="clear" w:color="auto" w:fill="auto"/>
            <w:noWrap/>
            <w:vAlign w:val="bottom"/>
            <w:hideMark/>
          </w:tcPr>
          <w:p w14:paraId="0132E1CE"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100</w:t>
            </w:r>
          </w:p>
        </w:tc>
        <w:tc>
          <w:tcPr>
            <w:tcW w:w="629" w:type="pct"/>
            <w:tcBorders>
              <w:top w:val="nil"/>
              <w:left w:val="nil"/>
              <w:bottom w:val="nil"/>
              <w:right w:val="nil"/>
            </w:tcBorders>
            <w:shd w:val="clear" w:color="auto" w:fill="auto"/>
            <w:noWrap/>
            <w:vAlign w:val="bottom"/>
            <w:hideMark/>
          </w:tcPr>
          <w:p w14:paraId="180D41D4"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4FA31903" w14:textId="77777777" w:rsidR="00115843" w:rsidRPr="00DB0E5D"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3B3EC2" w14:paraId="510A58F0" w14:textId="77777777" w:rsidTr="00B82AE8">
        <w:trPr>
          <w:trHeight w:val="204"/>
        </w:trPr>
        <w:tc>
          <w:tcPr>
            <w:tcW w:w="1827" w:type="pct"/>
            <w:tcBorders>
              <w:top w:val="nil"/>
              <w:left w:val="nil"/>
              <w:bottom w:val="nil"/>
              <w:right w:val="nil"/>
            </w:tcBorders>
            <w:shd w:val="clear" w:color="auto" w:fill="auto"/>
            <w:noWrap/>
            <w:vAlign w:val="bottom"/>
            <w:hideMark/>
          </w:tcPr>
          <w:p w14:paraId="03671FDB" w14:textId="77777777" w:rsidR="00115843" w:rsidRPr="00DB0E5D" w:rsidRDefault="00115843" w:rsidP="00FB0D02">
            <w:pPr>
              <w:spacing w:after="0" w:line="240" w:lineRule="auto"/>
              <w:rPr>
                <w:rFonts w:ascii="Arial" w:hAnsi="Arial" w:cs="Arial"/>
                <w:b/>
                <w:bCs/>
                <w:sz w:val="16"/>
                <w:szCs w:val="16"/>
              </w:rPr>
            </w:pPr>
            <w:r w:rsidRPr="00DB0E5D">
              <w:rPr>
                <w:rFonts w:ascii="Arial" w:hAnsi="Arial" w:cs="Arial"/>
                <w:b/>
                <w:bCs/>
                <w:sz w:val="16"/>
                <w:szCs w:val="16"/>
              </w:rPr>
              <w:t>Total expenses for Program 3.3</w:t>
            </w:r>
          </w:p>
        </w:tc>
        <w:tc>
          <w:tcPr>
            <w:tcW w:w="636" w:type="pct"/>
            <w:gridSpan w:val="2"/>
            <w:tcBorders>
              <w:top w:val="single" w:sz="4" w:space="0" w:color="auto"/>
              <w:left w:val="nil"/>
              <w:bottom w:val="single" w:sz="4" w:space="0" w:color="auto"/>
              <w:right w:val="nil"/>
            </w:tcBorders>
            <w:shd w:val="clear" w:color="auto" w:fill="auto"/>
            <w:noWrap/>
            <w:vAlign w:val="bottom"/>
            <w:hideMark/>
          </w:tcPr>
          <w:p w14:paraId="263DBEBF" w14:textId="77777777" w:rsidR="00115843" w:rsidRPr="00DB0E5D" w:rsidRDefault="00115843" w:rsidP="00FB0D02">
            <w:pPr>
              <w:spacing w:after="0" w:line="240" w:lineRule="auto"/>
              <w:jc w:val="right"/>
              <w:rPr>
                <w:rFonts w:ascii="Arial" w:hAnsi="Arial" w:cs="Arial"/>
                <w:b/>
                <w:bCs/>
                <w:sz w:val="16"/>
                <w:szCs w:val="16"/>
              </w:rPr>
            </w:pPr>
            <w:r>
              <w:rPr>
                <w:rFonts w:ascii="Arial" w:hAnsi="Arial" w:cs="Arial"/>
                <w:b/>
                <w:bCs/>
                <w:sz w:val="16"/>
                <w:szCs w:val="16"/>
              </w:rPr>
              <w:t>541</w:t>
            </w:r>
          </w:p>
        </w:tc>
        <w:tc>
          <w:tcPr>
            <w:tcW w:w="648" w:type="pct"/>
            <w:gridSpan w:val="2"/>
            <w:tcBorders>
              <w:top w:val="single" w:sz="4" w:space="0" w:color="auto"/>
              <w:left w:val="nil"/>
              <w:bottom w:val="single" w:sz="4" w:space="0" w:color="auto"/>
              <w:right w:val="nil"/>
            </w:tcBorders>
            <w:shd w:val="clear" w:color="auto" w:fill="E6E6E6"/>
            <w:noWrap/>
            <w:vAlign w:val="bottom"/>
            <w:hideMark/>
          </w:tcPr>
          <w:p w14:paraId="29CB62FB" w14:textId="77777777" w:rsidR="00115843" w:rsidRPr="00DB0E5D" w:rsidRDefault="00115843" w:rsidP="00FB0D02">
            <w:pPr>
              <w:spacing w:after="0" w:line="240" w:lineRule="auto"/>
              <w:jc w:val="right"/>
              <w:rPr>
                <w:rFonts w:ascii="Arial" w:hAnsi="Arial" w:cs="Arial"/>
                <w:b/>
                <w:bCs/>
                <w:sz w:val="16"/>
                <w:szCs w:val="16"/>
              </w:rPr>
            </w:pPr>
            <w:r>
              <w:rPr>
                <w:rFonts w:ascii="Arial" w:hAnsi="Arial" w:cs="Arial"/>
                <w:b/>
                <w:bCs/>
                <w:sz w:val="16"/>
                <w:szCs w:val="16"/>
              </w:rPr>
              <w:t>4,825</w:t>
            </w:r>
          </w:p>
        </w:tc>
        <w:tc>
          <w:tcPr>
            <w:tcW w:w="631" w:type="pct"/>
            <w:tcBorders>
              <w:top w:val="single" w:sz="4" w:space="0" w:color="auto"/>
              <w:left w:val="nil"/>
              <w:bottom w:val="single" w:sz="4" w:space="0" w:color="auto"/>
              <w:right w:val="nil"/>
            </w:tcBorders>
            <w:shd w:val="clear" w:color="auto" w:fill="auto"/>
            <w:noWrap/>
            <w:vAlign w:val="bottom"/>
            <w:hideMark/>
          </w:tcPr>
          <w:p w14:paraId="7AA0F67F" w14:textId="77777777" w:rsidR="00115843" w:rsidRPr="00DB0E5D" w:rsidRDefault="00115843" w:rsidP="00FB0D02">
            <w:pPr>
              <w:spacing w:after="0" w:line="240" w:lineRule="auto"/>
              <w:jc w:val="right"/>
              <w:rPr>
                <w:rFonts w:ascii="Arial" w:hAnsi="Arial" w:cs="Arial"/>
                <w:b/>
                <w:bCs/>
                <w:sz w:val="16"/>
                <w:szCs w:val="16"/>
              </w:rPr>
            </w:pPr>
            <w:r>
              <w:rPr>
                <w:rFonts w:ascii="Arial" w:hAnsi="Arial" w:cs="Arial"/>
                <w:b/>
                <w:bCs/>
                <w:sz w:val="16"/>
                <w:szCs w:val="16"/>
              </w:rPr>
              <w:t>200</w:t>
            </w:r>
          </w:p>
        </w:tc>
        <w:tc>
          <w:tcPr>
            <w:tcW w:w="629" w:type="pct"/>
            <w:tcBorders>
              <w:top w:val="single" w:sz="4" w:space="0" w:color="auto"/>
              <w:left w:val="nil"/>
              <w:bottom w:val="single" w:sz="4" w:space="0" w:color="auto"/>
              <w:right w:val="nil"/>
            </w:tcBorders>
            <w:shd w:val="clear" w:color="auto" w:fill="auto"/>
            <w:noWrap/>
            <w:vAlign w:val="bottom"/>
            <w:hideMark/>
          </w:tcPr>
          <w:p w14:paraId="0C1D52A3" w14:textId="77777777" w:rsidR="00115843" w:rsidRPr="00DB0E5D" w:rsidRDefault="00115843" w:rsidP="00FB0D02">
            <w:pPr>
              <w:spacing w:after="0" w:line="240" w:lineRule="auto"/>
              <w:jc w:val="right"/>
              <w:rPr>
                <w:rFonts w:ascii="Arial" w:hAnsi="Arial" w:cs="Arial"/>
                <w:b/>
                <w:bCs/>
                <w:sz w:val="16"/>
                <w:szCs w:val="16"/>
              </w:rPr>
            </w:pPr>
            <w:r>
              <w:rPr>
                <w:rFonts w:ascii="Arial" w:hAnsi="Arial" w:cs="Arial"/>
                <w:b/>
                <w:bCs/>
                <w:sz w:val="16"/>
                <w:szCs w:val="16"/>
              </w:rPr>
              <w:t>-</w:t>
            </w:r>
          </w:p>
        </w:tc>
        <w:tc>
          <w:tcPr>
            <w:tcW w:w="629" w:type="pct"/>
            <w:tcBorders>
              <w:top w:val="single" w:sz="4" w:space="0" w:color="auto"/>
              <w:left w:val="nil"/>
              <w:bottom w:val="single" w:sz="4" w:space="0" w:color="auto"/>
              <w:right w:val="nil"/>
            </w:tcBorders>
            <w:shd w:val="clear" w:color="auto" w:fill="auto"/>
            <w:noWrap/>
            <w:vAlign w:val="bottom"/>
            <w:hideMark/>
          </w:tcPr>
          <w:p w14:paraId="5BF7EB4A" w14:textId="77777777" w:rsidR="00115843" w:rsidRPr="00DB0E5D" w:rsidRDefault="00115843" w:rsidP="00FB0D02">
            <w:pPr>
              <w:spacing w:after="0" w:line="240" w:lineRule="auto"/>
              <w:jc w:val="right"/>
              <w:rPr>
                <w:rFonts w:ascii="Arial" w:hAnsi="Arial" w:cs="Arial"/>
                <w:b/>
                <w:bCs/>
                <w:sz w:val="16"/>
                <w:szCs w:val="16"/>
              </w:rPr>
            </w:pPr>
            <w:r>
              <w:rPr>
                <w:rFonts w:ascii="Arial" w:hAnsi="Arial" w:cs="Arial"/>
                <w:b/>
                <w:bCs/>
                <w:sz w:val="16"/>
                <w:szCs w:val="16"/>
              </w:rPr>
              <w:t>-</w:t>
            </w:r>
          </w:p>
        </w:tc>
      </w:tr>
      <w:tr w:rsidR="00115843" w:rsidRPr="003B3EC2" w14:paraId="27A49AAE" w14:textId="77777777" w:rsidTr="00B82AE8">
        <w:trPr>
          <w:trHeight w:val="204"/>
        </w:trPr>
        <w:tc>
          <w:tcPr>
            <w:tcW w:w="5000" w:type="pct"/>
            <w:gridSpan w:val="8"/>
            <w:tcBorders>
              <w:top w:val="single" w:sz="4" w:space="0" w:color="auto"/>
              <w:left w:val="nil"/>
              <w:bottom w:val="single" w:sz="4" w:space="0" w:color="auto"/>
              <w:right w:val="nil"/>
            </w:tcBorders>
            <w:shd w:val="clear" w:color="auto" w:fill="E6E6E6"/>
            <w:noWrap/>
            <w:vAlign w:val="bottom"/>
            <w:hideMark/>
          </w:tcPr>
          <w:p w14:paraId="1502CDFA" w14:textId="2DA259FA" w:rsidR="00115843" w:rsidRPr="00DB0E5D" w:rsidRDefault="00115843" w:rsidP="00FB0D02">
            <w:pPr>
              <w:spacing w:after="0" w:line="240" w:lineRule="auto"/>
              <w:rPr>
                <w:rFonts w:ascii="Arial" w:hAnsi="Arial" w:cs="Arial"/>
                <w:sz w:val="16"/>
                <w:szCs w:val="16"/>
              </w:rPr>
            </w:pPr>
            <w:r w:rsidRPr="00DB0E5D">
              <w:rPr>
                <w:rFonts w:ascii="Arial" w:hAnsi="Arial" w:cs="Arial"/>
                <w:b/>
                <w:bCs/>
                <w:sz w:val="16"/>
                <w:szCs w:val="16"/>
              </w:rPr>
              <w:t>Program 3.4: Growing a Stronger Northern Australian Economy</w:t>
            </w:r>
          </w:p>
        </w:tc>
      </w:tr>
      <w:tr w:rsidR="00115843" w:rsidRPr="003B3EC2" w14:paraId="100FE718" w14:textId="77777777" w:rsidTr="00B82AE8">
        <w:trPr>
          <w:trHeight w:val="204"/>
        </w:trPr>
        <w:tc>
          <w:tcPr>
            <w:tcW w:w="1827" w:type="pct"/>
            <w:tcBorders>
              <w:top w:val="nil"/>
              <w:left w:val="nil"/>
              <w:bottom w:val="nil"/>
              <w:right w:val="nil"/>
            </w:tcBorders>
            <w:shd w:val="clear" w:color="auto" w:fill="auto"/>
            <w:noWrap/>
            <w:vAlign w:val="bottom"/>
            <w:hideMark/>
          </w:tcPr>
          <w:p w14:paraId="70CEDB27" w14:textId="77777777" w:rsidR="00115843" w:rsidRPr="00DB0E5D" w:rsidRDefault="00115843" w:rsidP="00FB0D02">
            <w:pPr>
              <w:spacing w:after="0" w:line="240" w:lineRule="auto"/>
              <w:rPr>
                <w:rFonts w:ascii="Arial" w:hAnsi="Arial" w:cs="Arial"/>
                <w:sz w:val="16"/>
                <w:szCs w:val="16"/>
              </w:rPr>
            </w:pPr>
            <w:r w:rsidRPr="00DB0E5D">
              <w:rPr>
                <w:rFonts w:ascii="Arial" w:hAnsi="Arial" w:cs="Arial"/>
                <w:sz w:val="16"/>
                <w:szCs w:val="16"/>
              </w:rPr>
              <w:t>Administered expenses</w:t>
            </w:r>
          </w:p>
        </w:tc>
        <w:tc>
          <w:tcPr>
            <w:tcW w:w="636" w:type="pct"/>
            <w:gridSpan w:val="2"/>
            <w:tcBorders>
              <w:top w:val="nil"/>
              <w:left w:val="nil"/>
              <w:bottom w:val="nil"/>
              <w:right w:val="nil"/>
            </w:tcBorders>
            <w:shd w:val="clear" w:color="auto" w:fill="auto"/>
            <w:noWrap/>
            <w:vAlign w:val="bottom"/>
            <w:hideMark/>
          </w:tcPr>
          <w:p w14:paraId="4ABA4E1E" w14:textId="77777777" w:rsidR="00115843" w:rsidRPr="00DB0E5D" w:rsidRDefault="00115843" w:rsidP="00FB0D02">
            <w:pPr>
              <w:spacing w:after="0" w:line="240" w:lineRule="auto"/>
              <w:jc w:val="right"/>
              <w:rPr>
                <w:rFonts w:ascii="Arial" w:hAnsi="Arial" w:cs="Arial"/>
                <w:sz w:val="16"/>
                <w:szCs w:val="16"/>
              </w:rPr>
            </w:pPr>
          </w:p>
        </w:tc>
        <w:tc>
          <w:tcPr>
            <w:tcW w:w="648" w:type="pct"/>
            <w:gridSpan w:val="2"/>
            <w:tcBorders>
              <w:top w:val="nil"/>
              <w:left w:val="nil"/>
              <w:bottom w:val="nil"/>
              <w:right w:val="nil"/>
            </w:tcBorders>
            <w:shd w:val="clear" w:color="auto" w:fill="E6E6E6"/>
            <w:noWrap/>
            <w:vAlign w:val="bottom"/>
            <w:hideMark/>
          </w:tcPr>
          <w:p w14:paraId="6853C4EA" w14:textId="77777777" w:rsidR="00115843" w:rsidRPr="00DB0E5D" w:rsidRDefault="00115843" w:rsidP="00FB0D02">
            <w:pPr>
              <w:spacing w:after="0" w:line="240" w:lineRule="auto"/>
              <w:jc w:val="right"/>
              <w:rPr>
                <w:rFonts w:ascii="Arial" w:hAnsi="Arial" w:cs="Arial"/>
                <w:sz w:val="16"/>
                <w:szCs w:val="16"/>
              </w:rPr>
            </w:pPr>
          </w:p>
        </w:tc>
        <w:tc>
          <w:tcPr>
            <w:tcW w:w="631" w:type="pct"/>
            <w:tcBorders>
              <w:top w:val="nil"/>
              <w:left w:val="nil"/>
              <w:bottom w:val="nil"/>
              <w:right w:val="nil"/>
            </w:tcBorders>
            <w:shd w:val="clear" w:color="auto" w:fill="auto"/>
            <w:noWrap/>
            <w:vAlign w:val="bottom"/>
            <w:hideMark/>
          </w:tcPr>
          <w:p w14:paraId="70B6340D" w14:textId="77777777" w:rsidR="00115843" w:rsidRPr="00DB0E5D" w:rsidRDefault="00115843" w:rsidP="00FB0D02">
            <w:pPr>
              <w:spacing w:after="0" w:line="240" w:lineRule="auto"/>
              <w:jc w:val="right"/>
              <w:rPr>
                <w:rFonts w:ascii="Arial" w:hAnsi="Arial" w:cs="Arial"/>
                <w:sz w:val="16"/>
                <w:szCs w:val="16"/>
              </w:rPr>
            </w:pPr>
          </w:p>
        </w:tc>
        <w:tc>
          <w:tcPr>
            <w:tcW w:w="629" w:type="pct"/>
            <w:tcBorders>
              <w:top w:val="nil"/>
              <w:left w:val="nil"/>
              <w:bottom w:val="nil"/>
              <w:right w:val="nil"/>
            </w:tcBorders>
            <w:shd w:val="clear" w:color="auto" w:fill="auto"/>
            <w:noWrap/>
            <w:vAlign w:val="bottom"/>
            <w:hideMark/>
          </w:tcPr>
          <w:p w14:paraId="18F7B7E8" w14:textId="77777777" w:rsidR="00115843" w:rsidRPr="008D55A3" w:rsidRDefault="00115843" w:rsidP="00FB0D02">
            <w:pPr>
              <w:spacing w:after="0" w:line="240" w:lineRule="auto"/>
              <w:jc w:val="right"/>
              <w:rPr>
                <w:rFonts w:ascii="Times New Roman" w:hAnsi="Times New Roman"/>
                <w:sz w:val="16"/>
                <w:szCs w:val="16"/>
              </w:rPr>
            </w:pPr>
          </w:p>
        </w:tc>
        <w:tc>
          <w:tcPr>
            <w:tcW w:w="629" w:type="pct"/>
            <w:tcBorders>
              <w:top w:val="nil"/>
              <w:left w:val="nil"/>
              <w:bottom w:val="nil"/>
              <w:right w:val="nil"/>
            </w:tcBorders>
            <w:shd w:val="clear" w:color="auto" w:fill="auto"/>
            <w:noWrap/>
            <w:vAlign w:val="bottom"/>
            <w:hideMark/>
          </w:tcPr>
          <w:p w14:paraId="72570962" w14:textId="77777777" w:rsidR="00115843" w:rsidRPr="008D55A3" w:rsidRDefault="00115843" w:rsidP="00FB0D02">
            <w:pPr>
              <w:spacing w:after="0" w:line="240" w:lineRule="auto"/>
              <w:jc w:val="right"/>
              <w:rPr>
                <w:rFonts w:ascii="Times New Roman" w:hAnsi="Times New Roman"/>
                <w:sz w:val="16"/>
                <w:szCs w:val="16"/>
              </w:rPr>
            </w:pPr>
          </w:p>
        </w:tc>
      </w:tr>
      <w:tr w:rsidR="002E16EE" w:rsidRPr="003B3EC2" w14:paraId="54963760" w14:textId="77777777" w:rsidTr="00B82AE8">
        <w:trPr>
          <w:trHeight w:val="204"/>
        </w:trPr>
        <w:tc>
          <w:tcPr>
            <w:tcW w:w="1827" w:type="pct"/>
            <w:tcBorders>
              <w:top w:val="nil"/>
              <w:left w:val="nil"/>
              <w:bottom w:val="nil"/>
              <w:right w:val="nil"/>
            </w:tcBorders>
            <w:shd w:val="clear" w:color="auto" w:fill="auto"/>
            <w:vAlign w:val="bottom"/>
            <w:hideMark/>
          </w:tcPr>
          <w:p w14:paraId="4D214C2D" w14:textId="77777777" w:rsidR="002E16EE" w:rsidRPr="00DB0E5D" w:rsidRDefault="002E16EE" w:rsidP="002E16EE">
            <w:pPr>
              <w:spacing w:after="0" w:line="240" w:lineRule="auto"/>
              <w:ind w:left="113"/>
              <w:rPr>
                <w:rFonts w:ascii="Arial" w:hAnsi="Arial" w:cs="Arial"/>
                <w:sz w:val="16"/>
                <w:szCs w:val="16"/>
              </w:rPr>
            </w:pPr>
            <w:r w:rsidRPr="00DB0E5D">
              <w:rPr>
                <w:rFonts w:ascii="Arial" w:hAnsi="Arial" w:cs="Arial"/>
                <w:sz w:val="16"/>
                <w:szCs w:val="16"/>
              </w:rPr>
              <w:t>Ordinary Annual Services (Appropriation Act No. 1 and Bill No 3)</w:t>
            </w:r>
          </w:p>
        </w:tc>
        <w:tc>
          <w:tcPr>
            <w:tcW w:w="636" w:type="pct"/>
            <w:gridSpan w:val="2"/>
            <w:tcBorders>
              <w:top w:val="nil"/>
              <w:left w:val="nil"/>
              <w:bottom w:val="nil"/>
              <w:right w:val="nil"/>
            </w:tcBorders>
            <w:shd w:val="clear" w:color="auto" w:fill="auto"/>
            <w:noWrap/>
            <w:vAlign w:val="bottom"/>
            <w:hideMark/>
          </w:tcPr>
          <w:p w14:paraId="117426A1" w14:textId="668A2485"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12,399</w:t>
            </w:r>
          </w:p>
        </w:tc>
        <w:tc>
          <w:tcPr>
            <w:tcW w:w="648" w:type="pct"/>
            <w:gridSpan w:val="2"/>
            <w:tcBorders>
              <w:top w:val="nil"/>
              <w:left w:val="nil"/>
              <w:bottom w:val="nil"/>
              <w:right w:val="nil"/>
            </w:tcBorders>
            <w:shd w:val="clear" w:color="auto" w:fill="E6E6E6"/>
            <w:noWrap/>
            <w:vAlign w:val="bottom"/>
            <w:hideMark/>
          </w:tcPr>
          <w:p w14:paraId="2FFA9E85" w14:textId="5CA7EBF7"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38,410</w:t>
            </w:r>
          </w:p>
        </w:tc>
        <w:tc>
          <w:tcPr>
            <w:tcW w:w="631" w:type="pct"/>
            <w:tcBorders>
              <w:top w:val="nil"/>
              <w:left w:val="nil"/>
              <w:bottom w:val="nil"/>
              <w:right w:val="nil"/>
            </w:tcBorders>
            <w:shd w:val="clear" w:color="auto" w:fill="auto"/>
            <w:noWrap/>
            <w:vAlign w:val="bottom"/>
            <w:hideMark/>
          </w:tcPr>
          <w:p w14:paraId="3CA0185A" w14:textId="311440EB"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40,306</w:t>
            </w:r>
          </w:p>
        </w:tc>
        <w:tc>
          <w:tcPr>
            <w:tcW w:w="629" w:type="pct"/>
            <w:tcBorders>
              <w:top w:val="nil"/>
              <w:left w:val="nil"/>
              <w:bottom w:val="nil"/>
              <w:right w:val="nil"/>
            </w:tcBorders>
            <w:shd w:val="clear" w:color="auto" w:fill="auto"/>
            <w:noWrap/>
            <w:vAlign w:val="bottom"/>
            <w:hideMark/>
          </w:tcPr>
          <w:p w14:paraId="64D30BD6" w14:textId="710B3735"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4,718</w:t>
            </w:r>
          </w:p>
        </w:tc>
        <w:tc>
          <w:tcPr>
            <w:tcW w:w="629" w:type="pct"/>
            <w:tcBorders>
              <w:top w:val="nil"/>
              <w:left w:val="nil"/>
              <w:bottom w:val="nil"/>
              <w:right w:val="nil"/>
            </w:tcBorders>
            <w:shd w:val="clear" w:color="auto" w:fill="auto"/>
            <w:noWrap/>
            <w:vAlign w:val="bottom"/>
            <w:hideMark/>
          </w:tcPr>
          <w:p w14:paraId="0F79F41A" w14:textId="5651E32A"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4,718</w:t>
            </w:r>
          </w:p>
        </w:tc>
      </w:tr>
      <w:tr w:rsidR="002E16EE" w:rsidRPr="003B3EC2" w14:paraId="36880475" w14:textId="77777777" w:rsidTr="00B82AE8">
        <w:trPr>
          <w:trHeight w:val="204"/>
        </w:trPr>
        <w:tc>
          <w:tcPr>
            <w:tcW w:w="1827" w:type="pct"/>
            <w:tcBorders>
              <w:top w:val="nil"/>
              <w:left w:val="nil"/>
              <w:bottom w:val="nil"/>
              <w:right w:val="nil"/>
            </w:tcBorders>
            <w:shd w:val="clear" w:color="auto" w:fill="auto"/>
            <w:vAlign w:val="bottom"/>
            <w:hideMark/>
          </w:tcPr>
          <w:p w14:paraId="21D744FA" w14:textId="37FA9A90" w:rsidR="002E16EE" w:rsidRPr="00DB0E5D" w:rsidRDefault="002E16EE" w:rsidP="002E16EE">
            <w:pPr>
              <w:spacing w:after="0" w:line="240" w:lineRule="auto"/>
              <w:ind w:left="113"/>
              <w:rPr>
                <w:rFonts w:ascii="Arial" w:hAnsi="Arial" w:cs="Arial"/>
                <w:sz w:val="16"/>
                <w:szCs w:val="16"/>
              </w:rPr>
            </w:pPr>
            <w:r w:rsidRPr="00DB0E5D">
              <w:rPr>
                <w:rFonts w:ascii="Arial" w:hAnsi="Arial" w:cs="Arial"/>
                <w:sz w:val="16"/>
                <w:szCs w:val="16"/>
              </w:rPr>
              <w:t xml:space="preserve">Payments to corporate entities </w:t>
            </w:r>
            <w:r w:rsidRPr="00DB0E5D">
              <w:rPr>
                <w:rFonts w:ascii="Arial" w:hAnsi="Arial" w:cs="Arial"/>
                <w:sz w:val="16"/>
                <w:szCs w:val="16"/>
                <w:vertAlign w:val="superscript"/>
              </w:rPr>
              <w:t>(</w:t>
            </w:r>
            <w:r>
              <w:rPr>
                <w:rFonts w:ascii="Arial" w:hAnsi="Arial" w:cs="Arial"/>
                <w:sz w:val="16"/>
                <w:szCs w:val="16"/>
                <w:vertAlign w:val="superscript"/>
              </w:rPr>
              <w:t>b</w:t>
            </w:r>
            <w:r w:rsidRPr="00DB0E5D">
              <w:rPr>
                <w:rFonts w:ascii="Arial" w:hAnsi="Arial" w:cs="Arial"/>
                <w:sz w:val="16"/>
                <w:szCs w:val="16"/>
                <w:vertAlign w:val="superscript"/>
              </w:rPr>
              <w:t>)</w:t>
            </w:r>
          </w:p>
        </w:tc>
        <w:tc>
          <w:tcPr>
            <w:tcW w:w="636" w:type="pct"/>
            <w:gridSpan w:val="2"/>
            <w:tcBorders>
              <w:top w:val="nil"/>
              <w:left w:val="nil"/>
              <w:bottom w:val="nil"/>
              <w:right w:val="nil"/>
            </w:tcBorders>
            <w:shd w:val="clear" w:color="auto" w:fill="auto"/>
            <w:noWrap/>
            <w:vAlign w:val="bottom"/>
            <w:hideMark/>
          </w:tcPr>
          <w:p w14:paraId="5A7E0243" w14:textId="1E84A64A"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14,227</w:t>
            </w:r>
          </w:p>
        </w:tc>
        <w:tc>
          <w:tcPr>
            <w:tcW w:w="648" w:type="pct"/>
            <w:gridSpan w:val="2"/>
            <w:tcBorders>
              <w:top w:val="nil"/>
              <w:left w:val="nil"/>
              <w:bottom w:val="nil"/>
              <w:right w:val="nil"/>
            </w:tcBorders>
            <w:shd w:val="clear" w:color="auto" w:fill="E6E6E6"/>
            <w:noWrap/>
            <w:vAlign w:val="bottom"/>
            <w:hideMark/>
          </w:tcPr>
          <w:p w14:paraId="2F299D35" w14:textId="61EC2B2A"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20,939</w:t>
            </w:r>
          </w:p>
        </w:tc>
        <w:tc>
          <w:tcPr>
            <w:tcW w:w="631" w:type="pct"/>
            <w:tcBorders>
              <w:top w:val="nil"/>
              <w:left w:val="nil"/>
              <w:bottom w:val="nil"/>
              <w:right w:val="nil"/>
            </w:tcBorders>
            <w:shd w:val="clear" w:color="auto" w:fill="auto"/>
            <w:noWrap/>
            <w:vAlign w:val="bottom"/>
            <w:hideMark/>
          </w:tcPr>
          <w:p w14:paraId="6A80BE10" w14:textId="3C40D2A2"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21,090</w:t>
            </w:r>
          </w:p>
        </w:tc>
        <w:tc>
          <w:tcPr>
            <w:tcW w:w="629" w:type="pct"/>
            <w:tcBorders>
              <w:top w:val="nil"/>
              <w:left w:val="nil"/>
              <w:bottom w:val="nil"/>
              <w:right w:val="nil"/>
            </w:tcBorders>
            <w:shd w:val="clear" w:color="auto" w:fill="auto"/>
            <w:noWrap/>
            <w:vAlign w:val="bottom"/>
            <w:hideMark/>
          </w:tcPr>
          <w:p w14:paraId="68085469" w14:textId="1DDD6BAB"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21,254</w:t>
            </w:r>
          </w:p>
        </w:tc>
        <w:tc>
          <w:tcPr>
            <w:tcW w:w="629" w:type="pct"/>
            <w:tcBorders>
              <w:top w:val="nil"/>
              <w:left w:val="nil"/>
              <w:bottom w:val="nil"/>
              <w:right w:val="nil"/>
            </w:tcBorders>
            <w:shd w:val="clear" w:color="auto" w:fill="auto"/>
            <w:noWrap/>
            <w:vAlign w:val="bottom"/>
            <w:hideMark/>
          </w:tcPr>
          <w:p w14:paraId="229B2FDD" w14:textId="5278384A"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21,615</w:t>
            </w:r>
          </w:p>
        </w:tc>
      </w:tr>
      <w:tr w:rsidR="002E16EE" w:rsidRPr="003B3EC2" w14:paraId="6614D8DF" w14:textId="77777777" w:rsidTr="00B82AE8">
        <w:trPr>
          <w:trHeight w:val="204"/>
        </w:trPr>
        <w:tc>
          <w:tcPr>
            <w:tcW w:w="1827" w:type="pct"/>
            <w:tcBorders>
              <w:top w:val="nil"/>
              <w:left w:val="nil"/>
              <w:bottom w:val="nil"/>
              <w:right w:val="nil"/>
            </w:tcBorders>
            <w:shd w:val="clear" w:color="auto" w:fill="auto"/>
            <w:vAlign w:val="bottom"/>
            <w:hideMark/>
          </w:tcPr>
          <w:p w14:paraId="1B1FC7CF" w14:textId="5847FEF1" w:rsidR="002E16EE" w:rsidRPr="00DB0E5D" w:rsidRDefault="002E16EE" w:rsidP="002E16EE">
            <w:pPr>
              <w:spacing w:after="0" w:line="240" w:lineRule="auto"/>
              <w:ind w:left="113"/>
              <w:rPr>
                <w:rFonts w:ascii="Arial" w:hAnsi="Arial" w:cs="Arial"/>
                <w:sz w:val="16"/>
                <w:szCs w:val="16"/>
              </w:rPr>
            </w:pPr>
            <w:r w:rsidRPr="00DB0E5D">
              <w:rPr>
                <w:rFonts w:ascii="Arial" w:hAnsi="Arial" w:cs="Arial"/>
                <w:sz w:val="16"/>
                <w:szCs w:val="16"/>
              </w:rPr>
              <w:t>Expenses not requiring appropriation in the Budget year</w:t>
            </w:r>
            <w:r>
              <w:rPr>
                <w:rFonts w:ascii="Arial" w:hAnsi="Arial" w:cs="Arial"/>
                <w:sz w:val="16"/>
                <w:szCs w:val="16"/>
              </w:rPr>
              <w:t> </w:t>
            </w:r>
            <w:r w:rsidRPr="00DB0E5D">
              <w:rPr>
                <w:rFonts w:ascii="Arial" w:hAnsi="Arial" w:cs="Arial"/>
                <w:sz w:val="16"/>
                <w:szCs w:val="16"/>
                <w:vertAlign w:val="superscript"/>
              </w:rPr>
              <w:t>(a)</w:t>
            </w:r>
          </w:p>
        </w:tc>
        <w:tc>
          <w:tcPr>
            <w:tcW w:w="636" w:type="pct"/>
            <w:gridSpan w:val="2"/>
            <w:tcBorders>
              <w:top w:val="nil"/>
              <w:left w:val="nil"/>
              <w:bottom w:val="nil"/>
              <w:right w:val="nil"/>
            </w:tcBorders>
            <w:shd w:val="clear" w:color="auto" w:fill="auto"/>
            <w:noWrap/>
            <w:vAlign w:val="bottom"/>
            <w:hideMark/>
          </w:tcPr>
          <w:p w14:paraId="2D4118BB" w14:textId="69145F6C"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115,172</w:t>
            </w:r>
          </w:p>
        </w:tc>
        <w:tc>
          <w:tcPr>
            <w:tcW w:w="648" w:type="pct"/>
            <w:gridSpan w:val="2"/>
            <w:tcBorders>
              <w:top w:val="nil"/>
              <w:left w:val="nil"/>
              <w:bottom w:val="nil"/>
              <w:right w:val="nil"/>
            </w:tcBorders>
            <w:shd w:val="clear" w:color="auto" w:fill="E6E6E6"/>
            <w:noWrap/>
            <w:vAlign w:val="bottom"/>
            <w:hideMark/>
          </w:tcPr>
          <w:p w14:paraId="355E912E" w14:textId="4D9DABB1"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164,794</w:t>
            </w:r>
          </w:p>
        </w:tc>
        <w:tc>
          <w:tcPr>
            <w:tcW w:w="631" w:type="pct"/>
            <w:tcBorders>
              <w:top w:val="nil"/>
              <w:left w:val="nil"/>
              <w:bottom w:val="nil"/>
              <w:right w:val="nil"/>
            </w:tcBorders>
            <w:shd w:val="clear" w:color="auto" w:fill="auto"/>
            <w:noWrap/>
            <w:vAlign w:val="bottom"/>
            <w:hideMark/>
          </w:tcPr>
          <w:p w14:paraId="07F463FC" w14:textId="34D09000"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461,727</w:t>
            </w:r>
          </w:p>
        </w:tc>
        <w:tc>
          <w:tcPr>
            <w:tcW w:w="629" w:type="pct"/>
            <w:tcBorders>
              <w:top w:val="nil"/>
              <w:left w:val="nil"/>
              <w:bottom w:val="nil"/>
              <w:right w:val="nil"/>
            </w:tcBorders>
            <w:shd w:val="clear" w:color="auto" w:fill="auto"/>
            <w:noWrap/>
            <w:vAlign w:val="bottom"/>
            <w:hideMark/>
          </w:tcPr>
          <w:p w14:paraId="45AC7EF5" w14:textId="40311CA7"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278,717</w:t>
            </w:r>
          </w:p>
        </w:tc>
        <w:tc>
          <w:tcPr>
            <w:tcW w:w="629" w:type="pct"/>
            <w:tcBorders>
              <w:top w:val="nil"/>
              <w:left w:val="nil"/>
              <w:bottom w:val="nil"/>
              <w:right w:val="nil"/>
            </w:tcBorders>
            <w:shd w:val="clear" w:color="auto" w:fill="auto"/>
            <w:noWrap/>
            <w:vAlign w:val="bottom"/>
            <w:hideMark/>
          </w:tcPr>
          <w:p w14:paraId="058F50A1" w14:textId="3725058A" w:rsidR="002E16EE" w:rsidRPr="00DB0E5D" w:rsidRDefault="002E16EE" w:rsidP="002E16EE">
            <w:pPr>
              <w:spacing w:after="0" w:line="240" w:lineRule="auto"/>
              <w:jc w:val="right"/>
              <w:rPr>
                <w:rFonts w:ascii="Arial" w:hAnsi="Arial" w:cs="Arial"/>
                <w:sz w:val="16"/>
                <w:szCs w:val="16"/>
              </w:rPr>
            </w:pPr>
            <w:r>
              <w:rPr>
                <w:rFonts w:ascii="Arial" w:hAnsi="Arial" w:cs="Arial"/>
                <w:sz w:val="16"/>
                <w:szCs w:val="16"/>
              </w:rPr>
              <w:t>212,350</w:t>
            </w:r>
          </w:p>
        </w:tc>
      </w:tr>
      <w:tr w:rsidR="002E16EE" w:rsidRPr="003B3EC2" w14:paraId="5170210C" w14:textId="77777777" w:rsidTr="00B82AE8">
        <w:trPr>
          <w:trHeight w:val="204"/>
        </w:trPr>
        <w:tc>
          <w:tcPr>
            <w:tcW w:w="1827" w:type="pct"/>
            <w:tcBorders>
              <w:top w:val="nil"/>
              <w:left w:val="nil"/>
              <w:bottom w:val="single" w:sz="4" w:space="0" w:color="auto"/>
              <w:right w:val="nil"/>
            </w:tcBorders>
            <w:shd w:val="clear" w:color="auto" w:fill="auto"/>
            <w:noWrap/>
            <w:vAlign w:val="bottom"/>
            <w:hideMark/>
          </w:tcPr>
          <w:p w14:paraId="48D0DF8B" w14:textId="77777777" w:rsidR="002E16EE" w:rsidRPr="00DB0E5D" w:rsidRDefault="002E16EE" w:rsidP="002E16EE">
            <w:pPr>
              <w:spacing w:after="0" w:line="240" w:lineRule="auto"/>
              <w:rPr>
                <w:rFonts w:ascii="Arial" w:hAnsi="Arial" w:cs="Arial"/>
                <w:b/>
                <w:bCs/>
                <w:sz w:val="16"/>
                <w:szCs w:val="16"/>
              </w:rPr>
            </w:pPr>
            <w:r w:rsidRPr="00DB0E5D">
              <w:rPr>
                <w:rFonts w:ascii="Arial" w:hAnsi="Arial" w:cs="Arial"/>
                <w:b/>
                <w:bCs/>
                <w:sz w:val="16"/>
                <w:szCs w:val="16"/>
              </w:rPr>
              <w:t>Total expenses for Program 3.4</w:t>
            </w:r>
          </w:p>
        </w:tc>
        <w:tc>
          <w:tcPr>
            <w:tcW w:w="636" w:type="pct"/>
            <w:gridSpan w:val="2"/>
            <w:tcBorders>
              <w:top w:val="single" w:sz="4" w:space="0" w:color="auto"/>
              <w:left w:val="nil"/>
              <w:bottom w:val="single" w:sz="4" w:space="0" w:color="auto"/>
              <w:right w:val="nil"/>
            </w:tcBorders>
            <w:shd w:val="clear" w:color="auto" w:fill="auto"/>
            <w:noWrap/>
            <w:vAlign w:val="bottom"/>
            <w:hideMark/>
          </w:tcPr>
          <w:p w14:paraId="101CACFE" w14:textId="225254EE" w:rsidR="002E16EE" w:rsidRPr="00DB0E5D" w:rsidRDefault="002E16EE" w:rsidP="002E16EE">
            <w:pPr>
              <w:spacing w:after="0" w:line="240" w:lineRule="auto"/>
              <w:jc w:val="right"/>
              <w:rPr>
                <w:rFonts w:ascii="Arial" w:hAnsi="Arial" w:cs="Arial"/>
                <w:b/>
                <w:bCs/>
                <w:sz w:val="16"/>
                <w:szCs w:val="16"/>
              </w:rPr>
            </w:pPr>
            <w:r>
              <w:rPr>
                <w:rFonts w:ascii="Arial" w:hAnsi="Arial" w:cs="Arial"/>
                <w:b/>
                <w:bCs/>
                <w:sz w:val="16"/>
                <w:szCs w:val="16"/>
              </w:rPr>
              <w:t>141,798</w:t>
            </w:r>
          </w:p>
        </w:tc>
        <w:tc>
          <w:tcPr>
            <w:tcW w:w="648" w:type="pct"/>
            <w:gridSpan w:val="2"/>
            <w:tcBorders>
              <w:top w:val="single" w:sz="4" w:space="0" w:color="auto"/>
              <w:left w:val="nil"/>
              <w:bottom w:val="single" w:sz="4" w:space="0" w:color="auto"/>
              <w:right w:val="nil"/>
            </w:tcBorders>
            <w:shd w:val="clear" w:color="auto" w:fill="E6E6E6"/>
            <w:noWrap/>
            <w:vAlign w:val="bottom"/>
            <w:hideMark/>
          </w:tcPr>
          <w:p w14:paraId="3725496A" w14:textId="4B90E11D" w:rsidR="002E16EE" w:rsidRPr="00DB0E5D" w:rsidRDefault="002E16EE" w:rsidP="002E16EE">
            <w:pPr>
              <w:spacing w:after="0" w:line="240" w:lineRule="auto"/>
              <w:jc w:val="right"/>
              <w:rPr>
                <w:rFonts w:ascii="Arial" w:hAnsi="Arial" w:cs="Arial"/>
                <w:b/>
                <w:bCs/>
                <w:sz w:val="16"/>
                <w:szCs w:val="16"/>
              </w:rPr>
            </w:pPr>
            <w:r>
              <w:rPr>
                <w:rFonts w:ascii="Arial" w:hAnsi="Arial" w:cs="Arial"/>
                <w:b/>
                <w:bCs/>
                <w:sz w:val="16"/>
                <w:szCs w:val="16"/>
              </w:rPr>
              <w:t>224,143</w:t>
            </w:r>
          </w:p>
        </w:tc>
        <w:tc>
          <w:tcPr>
            <w:tcW w:w="631" w:type="pct"/>
            <w:tcBorders>
              <w:top w:val="single" w:sz="4" w:space="0" w:color="auto"/>
              <w:left w:val="nil"/>
              <w:bottom w:val="single" w:sz="4" w:space="0" w:color="auto"/>
              <w:right w:val="nil"/>
            </w:tcBorders>
            <w:shd w:val="clear" w:color="auto" w:fill="auto"/>
            <w:noWrap/>
            <w:vAlign w:val="bottom"/>
            <w:hideMark/>
          </w:tcPr>
          <w:p w14:paraId="2C7E49BE" w14:textId="1018E749" w:rsidR="002E16EE" w:rsidRPr="00DB0E5D" w:rsidRDefault="002E16EE" w:rsidP="002E16EE">
            <w:pPr>
              <w:spacing w:after="0" w:line="240" w:lineRule="auto"/>
              <w:jc w:val="right"/>
              <w:rPr>
                <w:rFonts w:ascii="Arial" w:hAnsi="Arial" w:cs="Arial"/>
                <w:b/>
                <w:bCs/>
                <w:sz w:val="16"/>
                <w:szCs w:val="16"/>
              </w:rPr>
            </w:pPr>
            <w:r>
              <w:rPr>
                <w:rFonts w:ascii="Arial" w:hAnsi="Arial" w:cs="Arial"/>
                <w:b/>
                <w:bCs/>
                <w:sz w:val="16"/>
                <w:szCs w:val="16"/>
              </w:rPr>
              <w:t>523,123</w:t>
            </w:r>
          </w:p>
        </w:tc>
        <w:tc>
          <w:tcPr>
            <w:tcW w:w="629" w:type="pct"/>
            <w:tcBorders>
              <w:top w:val="single" w:sz="4" w:space="0" w:color="auto"/>
              <w:left w:val="nil"/>
              <w:bottom w:val="single" w:sz="4" w:space="0" w:color="auto"/>
              <w:right w:val="nil"/>
            </w:tcBorders>
            <w:shd w:val="clear" w:color="auto" w:fill="auto"/>
            <w:noWrap/>
            <w:vAlign w:val="bottom"/>
            <w:hideMark/>
          </w:tcPr>
          <w:p w14:paraId="03DFB686" w14:textId="266D9584" w:rsidR="002E16EE" w:rsidRPr="00DB0E5D" w:rsidRDefault="002E16EE" w:rsidP="002E16EE">
            <w:pPr>
              <w:spacing w:after="0" w:line="240" w:lineRule="auto"/>
              <w:jc w:val="right"/>
              <w:rPr>
                <w:rFonts w:ascii="Arial" w:hAnsi="Arial" w:cs="Arial"/>
                <w:b/>
                <w:bCs/>
                <w:sz w:val="16"/>
                <w:szCs w:val="16"/>
              </w:rPr>
            </w:pPr>
            <w:r>
              <w:rPr>
                <w:rFonts w:ascii="Arial" w:hAnsi="Arial" w:cs="Arial"/>
                <w:b/>
                <w:bCs/>
                <w:sz w:val="16"/>
                <w:szCs w:val="16"/>
              </w:rPr>
              <w:t>304,689</w:t>
            </w:r>
          </w:p>
        </w:tc>
        <w:tc>
          <w:tcPr>
            <w:tcW w:w="629" w:type="pct"/>
            <w:tcBorders>
              <w:top w:val="single" w:sz="4" w:space="0" w:color="auto"/>
              <w:left w:val="nil"/>
              <w:bottom w:val="single" w:sz="4" w:space="0" w:color="auto"/>
              <w:right w:val="nil"/>
            </w:tcBorders>
            <w:shd w:val="clear" w:color="auto" w:fill="auto"/>
            <w:noWrap/>
            <w:vAlign w:val="bottom"/>
            <w:hideMark/>
          </w:tcPr>
          <w:p w14:paraId="3869E482" w14:textId="550DB30E" w:rsidR="002E16EE" w:rsidRPr="00DB0E5D" w:rsidRDefault="002E16EE" w:rsidP="002E16EE">
            <w:pPr>
              <w:spacing w:after="0" w:line="240" w:lineRule="auto"/>
              <w:jc w:val="right"/>
              <w:rPr>
                <w:rFonts w:ascii="Arial" w:hAnsi="Arial" w:cs="Arial"/>
                <w:b/>
                <w:bCs/>
                <w:sz w:val="16"/>
                <w:szCs w:val="16"/>
              </w:rPr>
            </w:pPr>
            <w:r>
              <w:rPr>
                <w:rFonts w:ascii="Arial" w:hAnsi="Arial" w:cs="Arial"/>
                <w:b/>
                <w:bCs/>
                <w:sz w:val="16"/>
                <w:szCs w:val="16"/>
              </w:rPr>
              <w:t>238,683</w:t>
            </w:r>
          </w:p>
        </w:tc>
      </w:tr>
    </w:tbl>
    <w:p w14:paraId="55B0B0AF" w14:textId="77777777" w:rsidR="00115843" w:rsidRDefault="00115843" w:rsidP="00115843">
      <w:r>
        <w:br w:type="page"/>
      </w:r>
    </w:p>
    <w:p w14:paraId="767715EB" w14:textId="77777777" w:rsidR="00115843" w:rsidRPr="00541FB4" w:rsidRDefault="00115843" w:rsidP="00115843">
      <w:pPr>
        <w:pStyle w:val="TableHeading"/>
      </w:pPr>
      <w:r w:rsidRPr="003B3EC2">
        <w:lastRenderedPageBreak/>
        <w:t>Table 2.</w:t>
      </w:r>
      <w:r>
        <w:t>3.</w:t>
      </w:r>
      <w:r w:rsidRPr="003B3EC2">
        <w:t>1: Budgeted expenses for Outcome 3</w:t>
      </w:r>
      <w:r>
        <w:t xml:space="preserve"> (continued)</w:t>
      </w:r>
    </w:p>
    <w:tbl>
      <w:tblPr>
        <w:tblW w:w="5116" w:type="pct"/>
        <w:tblLook w:val="04A0" w:firstRow="1" w:lastRow="0" w:firstColumn="1" w:lastColumn="0" w:noHBand="0" w:noVBand="1"/>
      </w:tblPr>
      <w:tblGrid>
        <w:gridCol w:w="3118"/>
        <w:gridCol w:w="73"/>
        <w:gridCol w:w="974"/>
        <w:gridCol w:w="8"/>
        <w:gridCol w:w="922"/>
        <w:gridCol w:w="7"/>
        <w:gridCol w:w="891"/>
        <w:gridCol w:w="7"/>
        <w:gridCol w:w="26"/>
        <w:gridCol w:w="905"/>
        <w:gridCol w:w="7"/>
        <w:gridCol w:w="17"/>
        <w:gridCol w:w="928"/>
        <w:gridCol w:w="6"/>
      </w:tblGrid>
      <w:tr w:rsidR="00115843" w:rsidRPr="005A2E3C" w14:paraId="2F474604" w14:textId="77777777" w:rsidTr="00CA1DC1">
        <w:trPr>
          <w:gridAfter w:val="1"/>
          <w:wAfter w:w="4" w:type="pct"/>
          <w:trHeight w:val="204"/>
        </w:trPr>
        <w:tc>
          <w:tcPr>
            <w:tcW w:w="1977" w:type="pct"/>
            <w:tcBorders>
              <w:top w:val="single" w:sz="4" w:space="0" w:color="auto"/>
              <w:left w:val="nil"/>
              <w:bottom w:val="single" w:sz="4" w:space="0" w:color="auto"/>
              <w:right w:val="nil"/>
            </w:tcBorders>
            <w:shd w:val="clear" w:color="auto" w:fill="auto"/>
            <w:noWrap/>
            <w:vAlign w:val="bottom"/>
            <w:hideMark/>
          </w:tcPr>
          <w:p w14:paraId="5190CB3C" w14:textId="77777777" w:rsidR="00115843" w:rsidRPr="005A2E3C" w:rsidRDefault="00115843" w:rsidP="00FB0D02">
            <w:pPr>
              <w:spacing w:after="0" w:line="240" w:lineRule="auto"/>
              <w:rPr>
                <w:rFonts w:ascii="Arial" w:hAnsi="Arial" w:cs="Arial"/>
                <w:b/>
                <w:bCs/>
                <w:sz w:val="16"/>
                <w:szCs w:val="16"/>
              </w:rPr>
            </w:pPr>
            <w:r w:rsidRPr="005A2E3C">
              <w:rPr>
                <w:rFonts w:ascii="Arial" w:hAnsi="Arial" w:cs="Arial"/>
                <w:b/>
                <w:bCs/>
                <w:sz w:val="16"/>
                <w:szCs w:val="16"/>
              </w:rPr>
              <w:t> </w:t>
            </w:r>
          </w:p>
        </w:tc>
        <w:tc>
          <w:tcPr>
            <w:tcW w:w="665" w:type="pct"/>
            <w:gridSpan w:val="2"/>
            <w:tcBorders>
              <w:top w:val="single" w:sz="4" w:space="0" w:color="auto"/>
              <w:left w:val="nil"/>
              <w:bottom w:val="single" w:sz="4" w:space="0" w:color="auto"/>
              <w:right w:val="nil"/>
            </w:tcBorders>
            <w:shd w:val="clear" w:color="auto" w:fill="auto"/>
            <w:vAlign w:val="bottom"/>
            <w:hideMark/>
          </w:tcPr>
          <w:p w14:paraId="3AD1A82B" w14:textId="77777777" w:rsidR="00115843" w:rsidRPr="005A2E3C" w:rsidRDefault="00115843" w:rsidP="00FB0D02">
            <w:pPr>
              <w:spacing w:after="0" w:line="240" w:lineRule="auto"/>
              <w:jc w:val="right"/>
              <w:rPr>
                <w:rFonts w:ascii="Arial" w:hAnsi="Arial" w:cs="Arial"/>
                <w:sz w:val="16"/>
                <w:szCs w:val="16"/>
              </w:rPr>
            </w:pPr>
            <w:r w:rsidRPr="005A2E3C">
              <w:rPr>
                <w:rFonts w:ascii="Arial" w:hAnsi="Arial" w:cs="Arial"/>
                <w:sz w:val="16"/>
                <w:szCs w:val="16"/>
              </w:rPr>
              <w:t>2021-22</w:t>
            </w:r>
            <w:r w:rsidRPr="005A2E3C">
              <w:rPr>
                <w:rFonts w:ascii="Arial" w:hAnsi="Arial" w:cs="Arial"/>
                <w:sz w:val="16"/>
                <w:szCs w:val="16"/>
              </w:rPr>
              <w:br/>
              <w:t>Estimated  actual</w:t>
            </w:r>
            <w:r w:rsidRPr="005A2E3C">
              <w:rPr>
                <w:rFonts w:ascii="Arial" w:hAnsi="Arial" w:cs="Arial"/>
                <w:sz w:val="16"/>
                <w:szCs w:val="16"/>
              </w:rPr>
              <w:br/>
              <w:t>$'000</w:t>
            </w:r>
          </w:p>
        </w:tc>
        <w:tc>
          <w:tcPr>
            <w:tcW w:w="588" w:type="pct"/>
            <w:gridSpan w:val="2"/>
            <w:tcBorders>
              <w:top w:val="single" w:sz="4" w:space="0" w:color="auto"/>
              <w:left w:val="nil"/>
              <w:bottom w:val="single" w:sz="4" w:space="0" w:color="auto"/>
              <w:right w:val="nil"/>
            </w:tcBorders>
            <w:shd w:val="clear" w:color="auto" w:fill="E6E6E6"/>
            <w:vAlign w:val="bottom"/>
            <w:hideMark/>
          </w:tcPr>
          <w:p w14:paraId="182D5EA1" w14:textId="77777777" w:rsidR="00115843" w:rsidRPr="005A2E3C" w:rsidRDefault="00115843" w:rsidP="00FB0D02">
            <w:pPr>
              <w:spacing w:after="0" w:line="240" w:lineRule="auto"/>
              <w:jc w:val="right"/>
              <w:rPr>
                <w:rFonts w:ascii="Arial" w:hAnsi="Arial" w:cs="Arial"/>
                <w:sz w:val="16"/>
                <w:szCs w:val="16"/>
              </w:rPr>
            </w:pPr>
            <w:r w:rsidRPr="005A2E3C">
              <w:rPr>
                <w:rFonts w:ascii="Arial" w:hAnsi="Arial" w:cs="Arial"/>
                <w:sz w:val="16"/>
                <w:szCs w:val="16"/>
              </w:rPr>
              <w:t>2022-23</w:t>
            </w:r>
            <w:r w:rsidRPr="005A2E3C">
              <w:rPr>
                <w:rFonts w:ascii="Arial" w:hAnsi="Arial" w:cs="Arial"/>
                <w:sz w:val="16"/>
                <w:szCs w:val="16"/>
              </w:rPr>
              <w:br/>
              <w:t xml:space="preserve"> Budget</w:t>
            </w:r>
            <w:r w:rsidRPr="005A2E3C">
              <w:rPr>
                <w:rFonts w:ascii="Arial" w:hAnsi="Arial" w:cs="Arial"/>
                <w:sz w:val="16"/>
                <w:szCs w:val="16"/>
              </w:rPr>
              <w:br/>
              <w:t xml:space="preserve">                                      $'000</w:t>
            </w:r>
          </w:p>
        </w:tc>
        <w:tc>
          <w:tcPr>
            <w:tcW w:w="569" w:type="pct"/>
            <w:gridSpan w:val="2"/>
            <w:tcBorders>
              <w:top w:val="single" w:sz="4" w:space="0" w:color="auto"/>
              <w:left w:val="nil"/>
              <w:bottom w:val="single" w:sz="4" w:space="0" w:color="auto"/>
              <w:right w:val="nil"/>
            </w:tcBorders>
            <w:shd w:val="clear" w:color="auto" w:fill="auto"/>
            <w:vAlign w:val="bottom"/>
            <w:hideMark/>
          </w:tcPr>
          <w:p w14:paraId="1F93F446" w14:textId="77777777" w:rsidR="00115843" w:rsidRPr="005A2E3C" w:rsidRDefault="00115843" w:rsidP="00FB0D02">
            <w:pPr>
              <w:spacing w:after="0" w:line="240" w:lineRule="auto"/>
              <w:jc w:val="right"/>
              <w:rPr>
                <w:rFonts w:ascii="Arial" w:hAnsi="Arial" w:cs="Arial"/>
                <w:sz w:val="16"/>
                <w:szCs w:val="16"/>
              </w:rPr>
            </w:pPr>
            <w:r w:rsidRPr="005A2E3C">
              <w:rPr>
                <w:rFonts w:ascii="Arial" w:hAnsi="Arial" w:cs="Arial"/>
                <w:sz w:val="16"/>
                <w:szCs w:val="16"/>
              </w:rPr>
              <w:t>2023-24</w:t>
            </w:r>
            <w:r w:rsidRPr="005A2E3C">
              <w:rPr>
                <w:rFonts w:ascii="Arial" w:hAnsi="Arial" w:cs="Arial"/>
                <w:sz w:val="16"/>
                <w:szCs w:val="16"/>
              </w:rPr>
              <w:br/>
              <w:t>Forward estimate</w:t>
            </w:r>
            <w:r w:rsidRPr="005A2E3C">
              <w:rPr>
                <w:rFonts w:ascii="Arial" w:hAnsi="Arial" w:cs="Arial"/>
                <w:sz w:val="16"/>
                <w:szCs w:val="16"/>
              </w:rPr>
              <w:br/>
              <w:t>$'000</w:t>
            </w:r>
          </w:p>
        </w:tc>
        <w:tc>
          <w:tcPr>
            <w:tcW w:w="594" w:type="pct"/>
            <w:gridSpan w:val="3"/>
            <w:tcBorders>
              <w:top w:val="single" w:sz="4" w:space="0" w:color="auto"/>
              <w:left w:val="nil"/>
              <w:bottom w:val="single" w:sz="4" w:space="0" w:color="auto"/>
              <w:right w:val="nil"/>
            </w:tcBorders>
            <w:shd w:val="clear" w:color="auto" w:fill="auto"/>
            <w:vAlign w:val="bottom"/>
            <w:hideMark/>
          </w:tcPr>
          <w:p w14:paraId="0A0ED43C" w14:textId="77777777" w:rsidR="00115843" w:rsidRPr="005A2E3C" w:rsidRDefault="00115843" w:rsidP="00FB0D02">
            <w:pPr>
              <w:spacing w:after="0" w:line="240" w:lineRule="auto"/>
              <w:jc w:val="right"/>
              <w:rPr>
                <w:rFonts w:ascii="Arial" w:hAnsi="Arial" w:cs="Arial"/>
                <w:sz w:val="16"/>
                <w:szCs w:val="16"/>
              </w:rPr>
            </w:pPr>
            <w:r w:rsidRPr="005A2E3C">
              <w:rPr>
                <w:rFonts w:ascii="Arial" w:hAnsi="Arial" w:cs="Arial"/>
                <w:sz w:val="16"/>
                <w:szCs w:val="16"/>
              </w:rPr>
              <w:t>2024-25</w:t>
            </w:r>
            <w:r w:rsidRPr="005A2E3C">
              <w:rPr>
                <w:rFonts w:ascii="Arial" w:hAnsi="Arial" w:cs="Arial"/>
                <w:sz w:val="16"/>
                <w:szCs w:val="16"/>
              </w:rPr>
              <w:br/>
              <w:t>Forward estimate</w:t>
            </w:r>
            <w:r w:rsidRPr="005A2E3C">
              <w:rPr>
                <w:rFonts w:ascii="Arial" w:hAnsi="Arial" w:cs="Arial"/>
                <w:sz w:val="16"/>
                <w:szCs w:val="16"/>
              </w:rPr>
              <w:br/>
              <w:t>$'000</w:t>
            </w:r>
          </w:p>
        </w:tc>
        <w:tc>
          <w:tcPr>
            <w:tcW w:w="602" w:type="pct"/>
            <w:gridSpan w:val="3"/>
            <w:tcBorders>
              <w:top w:val="single" w:sz="4" w:space="0" w:color="auto"/>
              <w:left w:val="nil"/>
              <w:bottom w:val="single" w:sz="4" w:space="0" w:color="auto"/>
              <w:right w:val="nil"/>
            </w:tcBorders>
            <w:shd w:val="clear" w:color="auto" w:fill="auto"/>
            <w:vAlign w:val="bottom"/>
            <w:hideMark/>
          </w:tcPr>
          <w:p w14:paraId="75F0BB1D" w14:textId="77777777" w:rsidR="00115843" w:rsidRPr="005A2E3C" w:rsidRDefault="00115843" w:rsidP="00FB0D02">
            <w:pPr>
              <w:spacing w:after="0" w:line="240" w:lineRule="auto"/>
              <w:jc w:val="right"/>
              <w:rPr>
                <w:rFonts w:ascii="Arial" w:hAnsi="Arial" w:cs="Arial"/>
                <w:sz w:val="16"/>
                <w:szCs w:val="16"/>
              </w:rPr>
            </w:pPr>
            <w:r w:rsidRPr="005A2E3C">
              <w:rPr>
                <w:rFonts w:ascii="Arial" w:hAnsi="Arial" w:cs="Arial"/>
                <w:sz w:val="16"/>
                <w:szCs w:val="16"/>
              </w:rPr>
              <w:t>2025-26</w:t>
            </w:r>
            <w:r w:rsidRPr="005A2E3C">
              <w:rPr>
                <w:rFonts w:ascii="Arial" w:hAnsi="Arial" w:cs="Arial"/>
                <w:sz w:val="16"/>
                <w:szCs w:val="16"/>
              </w:rPr>
              <w:br/>
              <w:t>Forward estimate</w:t>
            </w:r>
            <w:r w:rsidRPr="005A2E3C">
              <w:rPr>
                <w:rFonts w:ascii="Arial" w:hAnsi="Arial" w:cs="Arial"/>
                <w:sz w:val="16"/>
                <w:szCs w:val="16"/>
              </w:rPr>
              <w:br/>
              <w:t>$'000</w:t>
            </w:r>
          </w:p>
        </w:tc>
      </w:tr>
      <w:tr w:rsidR="00115843" w:rsidRPr="003B3EC2" w14:paraId="6371E5C8" w14:textId="77777777" w:rsidTr="00CA1DC1">
        <w:trPr>
          <w:trHeight w:val="204"/>
        </w:trPr>
        <w:tc>
          <w:tcPr>
            <w:tcW w:w="5000" w:type="pct"/>
            <w:gridSpan w:val="14"/>
            <w:tcBorders>
              <w:top w:val="single" w:sz="4" w:space="0" w:color="auto"/>
              <w:left w:val="nil"/>
              <w:bottom w:val="single" w:sz="4" w:space="0" w:color="auto"/>
              <w:right w:val="nil"/>
            </w:tcBorders>
            <w:shd w:val="clear" w:color="auto" w:fill="E6E6E6"/>
            <w:noWrap/>
            <w:vAlign w:val="bottom"/>
            <w:hideMark/>
          </w:tcPr>
          <w:p w14:paraId="5C55D24E" w14:textId="3D34A5C1" w:rsidR="00115843" w:rsidRPr="003B3EC2" w:rsidRDefault="00115843" w:rsidP="00FB0D02">
            <w:pPr>
              <w:spacing w:after="0" w:line="240" w:lineRule="auto"/>
              <w:rPr>
                <w:rFonts w:ascii="Arial" w:hAnsi="Arial" w:cs="Arial"/>
                <w:sz w:val="16"/>
                <w:szCs w:val="16"/>
              </w:rPr>
            </w:pPr>
            <w:r w:rsidRPr="003B3EC2">
              <w:rPr>
                <w:rFonts w:ascii="Arial" w:hAnsi="Arial" w:cs="Arial"/>
                <w:b/>
                <w:bCs/>
                <w:sz w:val="16"/>
                <w:szCs w:val="16"/>
              </w:rPr>
              <w:t>Program 3.5</w:t>
            </w:r>
            <w:r w:rsidR="00F80CC8">
              <w:rPr>
                <w:rFonts w:ascii="Arial" w:hAnsi="Arial" w:cs="Arial"/>
                <w:b/>
                <w:bCs/>
                <w:sz w:val="16"/>
                <w:szCs w:val="16"/>
              </w:rPr>
              <w:t>:</w:t>
            </w:r>
            <w:r w:rsidRPr="003B3EC2">
              <w:rPr>
                <w:rFonts w:ascii="Arial" w:hAnsi="Arial" w:cs="Arial"/>
                <w:b/>
                <w:bCs/>
                <w:sz w:val="16"/>
                <w:szCs w:val="16"/>
              </w:rPr>
              <w:t xml:space="preserve"> Program Support for Outcome 3</w:t>
            </w:r>
          </w:p>
        </w:tc>
      </w:tr>
      <w:tr w:rsidR="00115843" w:rsidRPr="003B3EC2" w14:paraId="55A43507" w14:textId="77777777" w:rsidTr="00CA1DC1">
        <w:trPr>
          <w:trHeight w:val="204"/>
        </w:trPr>
        <w:tc>
          <w:tcPr>
            <w:tcW w:w="2024" w:type="pct"/>
            <w:gridSpan w:val="2"/>
            <w:tcBorders>
              <w:top w:val="nil"/>
              <w:left w:val="nil"/>
              <w:bottom w:val="nil"/>
              <w:right w:val="nil"/>
            </w:tcBorders>
            <w:shd w:val="clear" w:color="auto" w:fill="auto"/>
            <w:noWrap/>
            <w:vAlign w:val="bottom"/>
            <w:hideMark/>
          </w:tcPr>
          <w:p w14:paraId="238915A1" w14:textId="77777777" w:rsidR="00115843" w:rsidRPr="003B3EC2" w:rsidRDefault="00115843" w:rsidP="00FB0D02">
            <w:pPr>
              <w:spacing w:after="0" w:line="240" w:lineRule="auto"/>
              <w:rPr>
                <w:rFonts w:ascii="Arial" w:hAnsi="Arial" w:cs="Arial"/>
                <w:sz w:val="16"/>
                <w:szCs w:val="16"/>
              </w:rPr>
            </w:pPr>
            <w:r w:rsidRPr="003B3EC2">
              <w:rPr>
                <w:rFonts w:ascii="Arial" w:hAnsi="Arial" w:cs="Arial"/>
                <w:sz w:val="16"/>
                <w:szCs w:val="16"/>
              </w:rPr>
              <w:t>Departmental expenses</w:t>
            </w:r>
          </w:p>
        </w:tc>
        <w:tc>
          <w:tcPr>
            <w:tcW w:w="622" w:type="pct"/>
            <w:gridSpan w:val="2"/>
            <w:tcBorders>
              <w:top w:val="nil"/>
              <w:left w:val="nil"/>
              <w:bottom w:val="nil"/>
              <w:right w:val="nil"/>
            </w:tcBorders>
            <w:shd w:val="clear" w:color="auto" w:fill="auto"/>
            <w:noWrap/>
            <w:vAlign w:val="bottom"/>
            <w:hideMark/>
          </w:tcPr>
          <w:p w14:paraId="5D0F9183" w14:textId="77777777" w:rsidR="00115843" w:rsidRPr="003B3EC2" w:rsidRDefault="00115843" w:rsidP="00FB0D02">
            <w:pPr>
              <w:spacing w:after="0" w:line="240" w:lineRule="auto"/>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hideMark/>
          </w:tcPr>
          <w:p w14:paraId="394E2821" w14:textId="77777777" w:rsidR="00115843" w:rsidRPr="003B3EC2" w:rsidRDefault="00115843" w:rsidP="00FB0D02">
            <w:pPr>
              <w:spacing w:after="0" w:line="240" w:lineRule="auto"/>
              <w:jc w:val="right"/>
              <w:rPr>
                <w:rFonts w:ascii="Arial" w:hAnsi="Arial" w:cs="Arial"/>
                <w:sz w:val="16"/>
                <w:szCs w:val="16"/>
              </w:rPr>
            </w:pPr>
          </w:p>
        </w:tc>
        <w:tc>
          <w:tcPr>
            <w:tcW w:w="569" w:type="pct"/>
            <w:gridSpan w:val="2"/>
            <w:tcBorders>
              <w:top w:val="nil"/>
              <w:left w:val="nil"/>
              <w:bottom w:val="nil"/>
              <w:right w:val="nil"/>
            </w:tcBorders>
            <w:shd w:val="clear" w:color="auto" w:fill="auto"/>
            <w:noWrap/>
            <w:vAlign w:val="bottom"/>
            <w:hideMark/>
          </w:tcPr>
          <w:p w14:paraId="06665627" w14:textId="77777777" w:rsidR="00115843" w:rsidRPr="003B3EC2" w:rsidRDefault="00115843" w:rsidP="00FB0D02">
            <w:pPr>
              <w:spacing w:after="0" w:line="240" w:lineRule="auto"/>
              <w:jc w:val="right"/>
              <w:rPr>
                <w:rFonts w:ascii="Arial" w:hAnsi="Arial" w:cs="Arial"/>
                <w:sz w:val="16"/>
                <w:szCs w:val="16"/>
              </w:rPr>
            </w:pPr>
          </w:p>
        </w:tc>
        <w:tc>
          <w:tcPr>
            <w:tcW w:w="594" w:type="pct"/>
            <w:gridSpan w:val="3"/>
            <w:tcBorders>
              <w:top w:val="nil"/>
              <w:left w:val="nil"/>
              <w:bottom w:val="nil"/>
              <w:right w:val="nil"/>
            </w:tcBorders>
            <w:shd w:val="clear" w:color="auto" w:fill="auto"/>
            <w:noWrap/>
            <w:vAlign w:val="bottom"/>
            <w:hideMark/>
          </w:tcPr>
          <w:p w14:paraId="1F03D9AE" w14:textId="77777777" w:rsidR="00115843" w:rsidRPr="003B3EC2" w:rsidRDefault="00115843" w:rsidP="00FB0D02">
            <w:pPr>
              <w:spacing w:after="0" w:line="240" w:lineRule="auto"/>
              <w:jc w:val="right"/>
              <w:rPr>
                <w:rFonts w:ascii="Times New Roman" w:hAnsi="Times New Roman"/>
              </w:rPr>
            </w:pPr>
          </w:p>
        </w:tc>
        <w:tc>
          <w:tcPr>
            <w:tcW w:w="602" w:type="pct"/>
            <w:gridSpan w:val="3"/>
            <w:tcBorders>
              <w:top w:val="nil"/>
              <w:left w:val="nil"/>
              <w:bottom w:val="nil"/>
              <w:right w:val="nil"/>
            </w:tcBorders>
            <w:shd w:val="clear" w:color="auto" w:fill="auto"/>
            <w:noWrap/>
            <w:vAlign w:val="bottom"/>
            <w:hideMark/>
          </w:tcPr>
          <w:p w14:paraId="71C2B4EF" w14:textId="77777777" w:rsidR="00115843" w:rsidRPr="003B3EC2" w:rsidRDefault="00115843" w:rsidP="00FB0D02">
            <w:pPr>
              <w:spacing w:after="0" w:line="240" w:lineRule="auto"/>
              <w:jc w:val="right"/>
              <w:rPr>
                <w:rFonts w:ascii="Times New Roman" w:hAnsi="Times New Roman"/>
              </w:rPr>
            </w:pPr>
          </w:p>
        </w:tc>
      </w:tr>
      <w:tr w:rsidR="002E16EE" w:rsidRPr="002B334F" w14:paraId="68D12C4F" w14:textId="77777777" w:rsidTr="00CA1DC1">
        <w:trPr>
          <w:trHeight w:val="204"/>
        </w:trPr>
        <w:tc>
          <w:tcPr>
            <w:tcW w:w="2024" w:type="pct"/>
            <w:gridSpan w:val="2"/>
            <w:tcBorders>
              <w:top w:val="nil"/>
              <w:left w:val="nil"/>
              <w:bottom w:val="nil"/>
              <w:right w:val="nil"/>
            </w:tcBorders>
            <w:shd w:val="clear" w:color="auto" w:fill="auto"/>
            <w:vAlign w:val="bottom"/>
            <w:hideMark/>
          </w:tcPr>
          <w:p w14:paraId="17931F4B" w14:textId="77777777" w:rsidR="002E16EE" w:rsidRPr="002B334F" w:rsidRDefault="002E16EE" w:rsidP="002E16EE">
            <w:pPr>
              <w:spacing w:after="0" w:line="240" w:lineRule="auto"/>
              <w:ind w:left="113"/>
              <w:rPr>
                <w:rFonts w:ascii="Arial" w:hAnsi="Arial" w:cs="Arial"/>
                <w:sz w:val="16"/>
                <w:szCs w:val="16"/>
              </w:rPr>
            </w:pPr>
            <w:r w:rsidRPr="002B334F">
              <w:rPr>
                <w:rFonts w:ascii="Arial" w:hAnsi="Arial" w:cs="Arial"/>
                <w:sz w:val="16"/>
                <w:szCs w:val="16"/>
              </w:rPr>
              <w:t>Departmental appropriation</w:t>
            </w:r>
          </w:p>
        </w:tc>
        <w:tc>
          <w:tcPr>
            <w:tcW w:w="622" w:type="pct"/>
            <w:gridSpan w:val="2"/>
            <w:tcBorders>
              <w:top w:val="nil"/>
              <w:left w:val="nil"/>
              <w:bottom w:val="nil"/>
              <w:right w:val="nil"/>
            </w:tcBorders>
            <w:shd w:val="clear" w:color="auto" w:fill="auto"/>
            <w:noWrap/>
            <w:vAlign w:val="bottom"/>
            <w:hideMark/>
          </w:tcPr>
          <w:p w14:paraId="02243A3F" w14:textId="79D734C9"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85,641</w:t>
            </w:r>
          </w:p>
        </w:tc>
        <w:tc>
          <w:tcPr>
            <w:tcW w:w="588" w:type="pct"/>
            <w:gridSpan w:val="2"/>
            <w:tcBorders>
              <w:top w:val="nil"/>
              <w:left w:val="nil"/>
              <w:bottom w:val="nil"/>
              <w:right w:val="nil"/>
            </w:tcBorders>
            <w:shd w:val="clear" w:color="auto" w:fill="E6E6E6"/>
            <w:noWrap/>
            <w:vAlign w:val="bottom"/>
            <w:hideMark/>
          </w:tcPr>
          <w:p w14:paraId="42DB26A1" w14:textId="5010F968" w:rsidR="002E16EE" w:rsidRPr="002B334F" w:rsidRDefault="002E16EE" w:rsidP="002E16EE">
            <w:pPr>
              <w:spacing w:after="0" w:line="240" w:lineRule="auto"/>
              <w:ind w:hanging="201"/>
              <w:jc w:val="right"/>
              <w:rPr>
                <w:rFonts w:ascii="Arial" w:hAnsi="Arial" w:cs="Arial"/>
                <w:sz w:val="16"/>
                <w:szCs w:val="16"/>
              </w:rPr>
            </w:pPr>
            <w:r>
              <w:rPr>
                <w:rFonts w:ascii="Arial" w:hAnsi="Arial" w:cs="Arial"/>
                <w:sz w:val="16"/>
                <w:szCs w:val="16"/>
              </w:rPr>
              <w:t>78,137</w:t>
            </w:r>
          </w:p>
        </w:tc>
        <w:tc>
          <w:tcPr>
            <w:tcW w:w="569" w:type="pct"/>
            <w:gridSpan w:val="2"/>
            <w:tcBorders>
              <w:top w:val="nil"/>
              <w:left w:val="nil"/>
              <w:bottom w:val="nil"/>
              <w:right w:val="nil"/>
            </w:tcBorders>
            <w:shd w:val="clear" w:color="auto" w:fill="auto"/>
            <w:noWrap/>
            <w:vAlign w:val="bottom"/>
            <w:hideMark/>
          </w:tcPr>
          <w:p w14:paraId="6C65BA9E" w14:textId="363CE452"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63,385</w:t>
            </w:r>
          </w:p>
        </w:tc>
        <w:tc>
          <w:tcPr>
            <w:tcW w:w="594" w:type="pct"/>
            <w:gridSpan w:val="3"/>
            <w:tcBorders>
              <w:top w:val="nil"/>
              <w:left w:val="nil"/>
              <w:bottom w:val="nil"/>
              <w:right w:val="nil"/>
            </w:tcBorders>
            <w:shd w:val="clear" w:color="auto" w:fill="auto"/>
            <w:noWrap/>
            <w:vAlign w:val="bottom"/>
            <w:hideMark/>
          </w:tcPr>
          <w:p w14:paraId="15B51EDC" w14:textId="590FF9F3"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59,768</w:t>
            </w:r>
          </w:p>
        </w:tc>
        <w:tc>
          <w:tcPr>
            <w:tcW w:w="602" w:type="pct"/>
            <w:gridSpan w:val="3"/>
            <w:tcBorders>
              <w:top w:val="nil"/>
              <w:left w:val="nil"/>
              <w:bottom w:val="nil"/>
              <w:right w:val="nil"/>
            </w:tcBorders>
            <w:shd w:val="clear" w:color="auto" w:fill="auto"/>
            <w:noWrap/>
            <w:vAlign w:val="bottom"/>
            <w:hideMark/>
          </w:tcPr>
          <w:p w14:paraId="606DA148" w14:textId="54F4C926"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53,062</w:t>
            </w:r>
          </w:p>
        </w:tc>
      </w:tr>
      <w:tr w:rsidR="002E16EE" w:rsidRPr="002B334F" w14:paraId="190592B7" w14:textId="77777777" w:rsidTr="00CA1DC1">
        <w:trPr>
          <w:trHeight w:val="204"/>
        </w:trPr>
        <w:tc>
          <w:tcPr>
            <w:tcW w:w="2024" w:type="pct"/>
            <w:gridSpan w:val="2"/>
            <w:tcBorders>
              <w:top w:val="nil"/>
              <w:left w:val="nil"/>
              <w:bottom w:val="nil"/>
              <w:right w:val="nil"/>
            </w:tcBorders>
            <w:shd w:val="clear" w:color="auto" w:fill="auto"/>
            <w:vAlign w:val="bottom"/>
            <w:hideMark/>
          </w:tcPr>
          <w:p w14:paraId="3B9DB4C8" w14:textId="1AA224A7" w:rsidR="002E16EE" w:rsidRPr="002B334F" w:rsidRDefault="002E16EE" w:rsidP="002E16EE">
            <w:pPr>
              <w:spacing w:after="0" w:line="240" w:lineRule="auto"/>
              <w:ind w:left="113"/>
              <w:rPr>
                <w:rFonts w:ascii="Arial" w:hAnsi="Arial" w:cs="Arial"/>
                <w:sz w:val="16"/>
                <w:szCs w:val="16"/>
              </w:rPr>
            </w:pPr>
            <w:r w:rsidRPr="002B334F">
              <w:rPr>
                <w:rFonts w:ascii="Arial" w:hAnsi="Arial" w:cs="Arial"/>
                <w:sz w:val="16"/>
                <w:szCs w:val="16"/>
              </w:rPr>
              <w:t xml:space="preserve">s74 external revenues </w:t>
            </w:r>
            <w:r w:rsidRPr="002B334F">
              <w:rPr>
                <w:rFonts w:ascii="Arial" w:hAnsi="Arial" w:cs="Arial"/>
                <w:sz w:val="16"/>
                <w:szCs w:val="16"/>
                <w:vertAlign w:val="superscript"/>
              </w:rPr>
              <w:t>(</w:t>
            </w:r>
            <w:r>
              <w:rPr>
                <w:rFonts w:ascii="Arial" w:hAnsi="Arial" w:cs="Arial"/>
                <w:sz w:val="16"/>
                <w:szCs w:val="16"/>
                <w:vertAlign w:val="superscript"/>
              </w:rPr>
              <w:t>c</w:t>
            </w:r>
            <w:r w:rsidRPr="002B334F">
              <w:rPr>
                <w:rFonts w:ascii="Arial" w:hAnsi="Arial" w:cs="Arial"/>
                <w:sz w:val="16"/>
                <w:szCs w:val="16"/>
                <w:vertAlign w:val="superscript"/>
              </w:rPr>
              <w:t>)</w:t>
            </w:r>
          </w:p>
        </w:tc>
        <w:tc>
          <w:tcPr>
            <w:tcW w:w="622" w:type="pct"/>
            <w:gridSpan w:val="2"/>
            <w:tcBorders>
              <w:top w:val="nil"/>
              <w:left w:val="nil"/>
              <w:bottom w:val="nil"/>
              <w:right w:val="nil"/>
            </w:tcBorders>
            <w:shd w:val="clear" w:color="auto" w:fill="auto"/>
            <w:noWrap/>
            <w:vAlign w:val="bottom"/>
            <w:hideMark/>
          </w:tcPr>
          <w:p w14:paraId="2C2D2D95" w14:textId="4DD5A9E5"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1,510</w:t>
            </w:r>
          </w:p>
        </w:tc>
        <w:tc>
          <w:tcPr>
            <w:tcW w:w="588" w:type="pct"/>
            <w:gridSpan w:val="2"/>
            <w:tcBorders>
              <w:top w:val="nil"/>
              <w:left w:val="nil"/>
              <w:bottom w:val="nil"/>
              <w:right w:val="nil"/>
            </w:tcBorders>
            <w:shd w:val="clear" w:color="auto" w:fill="E6E6E6"/>
            <w:noWrap/>
            <w:vAlign w:val="bottom"/>
            <w:hideMark/>
          </w:tcPr>
          <w:p w14:paraId="5C3A6732" w14:textId="18E39008"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69" w:type="pct"/>
            <w:gridSpan w:val="2"/>
            <w:tcBorders>
              <w:top w:val="nil"/>
              <w:left w:val="nil"/>
              <w:bottom w:val="nil"/>
              <w:right w:val="nil"/>
            </w:tcBorders>
            <w:shd w:val="clear" w:color="auto" w:fill="auto"/>
            <w:noWrap/>
            <w:vAlign w:val="bottom"/>
            <w:hideMark/>
          </w:tcPr>
          <w:p w14:paraId="4795E09A" w14:textId="6D195493"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94" w:type="pct"/>
            <w:gridSpan w:val="3"/>
            <w:tcBorders>
              <w:top w:val="nil"/>
              <w:left w:val="nil"/>
              <w:bottom w:val="nil"/>
              <w:right w:val="nil"/>
            </w:tcBorders>
            <w:shd w:val="clear" w:color="auto" w:fill="auto"/>
            <w:noWrap/>
            <w:vAlign w:val="bottom"/>
            <w:hideMark/>
          </w:tcPr>
          <w:p w14:paraId="5BD63BF3" w14:textId="7FCE8B27"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602" w:type="pct"/>
            <w:gridSpan w:val="3"/>
            <w:tcBorders>
              <w:top w:val="nil"/>
              <w:left w:val="nil"/>
              <w:bottom w:val="nil"/>
              <w:right w:val="nil"/>
            </w:tcBorders>
            <w:shd w:val="clear" w:color="auto" w:fill="auto"/>
            <w:noWrap/>
            <w:vAlign w:val="bottom"/>
            <w:hideMark/>
          </w:tcPr>
          <w:p w14:paraId="44C6C879" w14:textId="31BD4BD5"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3B3EC2" w14:paraId="5D024E6A" w14:textId="77777777" w:rsidTr="00CA1DC1">
        <w:trPr>
          <w:trHeight w:val="204"/>
        </w:trPr>
        <w:tc>
          <w:tcPr>
            <w:tcW w:w="2024" w:type="pct"/>
            <w:gridSpan w:val="2"/>
            <w:tcBorders>
              <w:top w:val="nil"/>
              <w:left w:val="nil"/>
              <w:bottom w:val="nil"/>
              <w:right w:val="nil"/>
            </w:tcBorders>
            <w:shd w:val="clear" w:color="auto" w:fill="auto"/>
            <w:vAlign w:val="bottom"/>
            <w:hideMark/>
          </w:tcPr>
          <w:p w14:paraId="05DA3845" w14:textId="6CAF4BFC" w:rsidR="002E16EE" w:rsidRPr="002B334F" w:rsidRDefault="002E16EE" w:rsidP="002E16EE">
            <w:pPr>
              <w:spacing w:after="0" w:line="240" w:lineRule="auto"/>
              <w:ind w:left="113"/>
              <w:rPr>
                <w:rFonts w:ascii="Arial" w:hAnsi="Arial" w:cs="Arial"/>
                <w:sz w:val="16"/>
                <w:szCs w:val="16"/>
              </w:rPr>
            </w:pPr>
            <w:r w:rsidRPr="002B334F">
              <w:rPr>
                <w:rFonts w:ascii="Arial" w:hAnsi="Arial" w:cs="Arial"/>
                <w:sz w:val="16"/>
                <w:szCs w:val="16"/>
              </w:rPr>
              <w:t xml:space="preserve">Expenses not requiring appropriation in the Budget year </w:t>
            </w:r>
            <w:r w:rsidRPr="002B334F">
              <w:rPr>
                <w:rFonts w:ascii="Arial" w:hAnsi="Arial" w:cs="Arial"/>
                <w:sz w:val="16"/>
                <w:szCs w:val="16"/>
                <w:vertAlign w:val="superscript"/>
              </w:rPr>
              <w:t>(</w:t>
            </w:r>
            <w:r>
              <w:rPr>
                <w:rFonts w:ascii="Arial" w:hAnsi="Arial" w:cs="Arial"/>
                <w:sz w:val="16"/>
                <w:szCs w:val="16"/>
                <w:vertAlign w:val="superscript"/>
              </w:rPr>
              <w:t>d</w:t>
            </w:r>
            <w:r w:rsidRPr="002B334F">
              <w:rPr>
                <w:rFonts w:ascii="Arial" w:hAnsi="Arial" w:cs="Arial"/>
                <w:sz w:val="16"/>
                <w:szCs w:val="16"/>
                <w:vertAlign w:val="superscript"/>
              </w:rPr>
              <w:t>)</w:t>
            </w:r>
          </w:p>
        </w:tc>
        <w:tc>
          <w:tcPr>
            <w:tcW w:w="622" w:type="pct"/>
            <w:gridSpan w:val="2"/>
            <w:tcBorders>
              <w:top w:val="nil"/>
              <w:left w:val="nil"/>
              <w:bottom w:val="nil"/>
              <w:right w:val="nil"/>
            </w:tcBorders>
            <w:shd w:val="clear" w:color="auto" w:fill="auto"/>
            <w:noWrap/>
            <w:vAlign w:val="bottom"/>
            <w:hideMark/>
          </w:tcPr>
          <w:p w14:paraId="1FAD74FA" w14:textId="4612FD2D"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2,983</w:t>
            </w:r>
          </w:p>
        </w:tc>
        <w:tc>
          <w:tcPr>
            <w:tcW w:w="588" w:type="pct"/>
            <w:gridSpan w:val="2"/>
            <w:tcBorders>
              <w:top w:val="nil"/>
              <w:left w:val="nil"/>
              <w:bottom w:val="nil"/>
              <w:right w:val="nil"/>
            </w:tcBorders>
            <w:shd w:val="clear" w:color="auto" w:fill="E6E6E6"/>
            <w:noWrap/>
            <w:vAlign w:val="bottom"/>
            <w:hideMark/>
          </w:tcPr>
          <w:p w14:paraId="5C6D605A" w14:textId="6187762C"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69" w:type="pct"/>
            <w:gridSpan w:val="2"/>
            <w:tcBorders>
              <w:top w:val="nil"/>
              <w:left w:val="nil"/>
              <w:bottom w:val="nil"/>
              <w:right w:val="nil"/>
            </w:tcBorders>
            <w:shd w:val="clear" w:color="auto" w:fill="auto"/>
            <w:noWrap/>
            <w:vAlign w:val="bottom"/>
            <w:hideMark/>
          </w:tcPr>
          <w:p w14:paraId="6B164C1D" w14:textId="24CD531F"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94" w:type="pct"/>
            <w:gridSpan w:val="3"/>
            <w:tcBorders>
              <w:top w:val="nil"/>
              <w:left w:val="nil"/>
              <w:bottom w:val="nil"/>
              <w:right w:val="nil"/>
            </w:tcBorders>
            <w:shd w:val="clear" w:color="auto" w:fill="auto"/>
            <w:noWrap/>
            <w:vAlign w:val="bottom"/>
            <w:hideMark/>
          </w:tcPr>
          <w:p w14:paraId="5172D232" w14:textId="73FA9DA2" w:rsidR="002E16EE" w:rsidRPr="002B334F"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602" w:type="pct"/>
            <w:gridSpan w:val="3"/>
            <w:tcBorders>
              <w:top w:val="nil"/>
              <w:left w:val="nil"/>
              <w:bottom w:val="nil"/>
              <w:right w:val="nil"/>
            </w:tcBorders>
            <w:shd w:val="clear" w:color="auto" w:fill="auto"/>
            <w:noWrap/>
            <w:vAlign w:val="bottom"/>
            <w:hideMark/>
          </w:tcPr>
          <w:p w14:paraId="3CF6A41A" w14:textId="707E33BA" w:rsidR="002E16EE" w:rsidRPr="003B3EC2"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3B3EC2" w14:paraId="7959A164" w14:textId="77777777" w:rsidTr="00CA1DC1">
        <w:trPr>
          <w:trHeight w:val="204"/>
        </w:trPr>
        <w:tc>
          <w:tcPr>
            <w:tcW w:w="2024" w:type="pct"/>
            <w:gridSpan w:val="2"/>
            <w:tcBorders>
              <w:top w:val="nil"/>
              <w:left w:val="nil"/>
              <w:bottom w:val="single" w:sz="4" w:space="0" w:color="auto"/>
              <w:right w:val="nil"/>
            </w:tcBorders>
            <w:shd w:val="clear" w:color="auto" w:fill="auto"/>
            <w:noWrap/>
            <w:vAlign w:val="bottom"/>
            <w:hideMark/>
          </w:tcPr>
          <w:p w14:paraId="3C871199" w14:textId="77777777" w:rsidR="002E16EE" w:rsidRPr="003B3EC2" w:rsidRDefault="002E16EE" w:rsidP="002E16EE">
            <w:pPr>
              <w:spacing w:after="0" w:line="240" w:lineRule="auto"/>
              <w:rPr>
                <w:rFonts w:ascii="Arial" w:hAnsi="Arial" w:cs="Arial"/>
                <w:b/>
                <w:bCs/>
                <w:sz w:val="16"/>
                <w:szCs w:val="16"/>
              </w:rPr>
            </w:pPr>
            <w:r w:rsidRPr="003B3EC2">
              <w:rPr>
                <w:rFonts w:ascii="Arial" w:hAnsi="Arial" w:cs="Arial"/>
                <w:b/>
                <w:bCs/>
                <w:sz w:val="16"/>
                <w:szCs w:val="16"/>
              </w:rPr>
              <w:t>Total expenses for Program 3.5</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24BAF34D" w14:textId="34936BB8" w:rsidR="002E16EE" w:rsidRPr="003B3EC2" w:rsidRDefault="002E16EE" w:rsidP="002E16EE">
            <w:pPr>
              <w:spacing w:after="0" w:line="240" w:lineRule="auto"/>
              <w:jc w:val="right"/>
              <w:rPr>
                <w:rFonts w:ascii="Arial" w:hAnsi="Arial" w:cs="Arial"/>
                <w:b/>
                <w:bCs/>
                <w:sz w:val="16"/>
                <w:szCs w:val="16"/>
              </w:rPr>
            </w:pPr>
            <w:r>
              <w:rPr>
                <w:rFonts w:ascii="Arial" w:hAnsi="Arial" w:cs="Arial"/>
                <w:b/>
                <w:bCs/>
                <w:sz w:val="16"/>
                <w:szCs w:val="16"/>
              </w:rPr>
              <w:t>90,134</w:t>
            </w:r>
          </w:p>
        </w:tc>
        <w:tc>
          <w:tcPr>
            <w:tcW w:w="588" w:type="pct"/>
            <w:gridSpan w:val="2"/>
            <w:tcBorders>
              <w:top w:val="single" w:sz="4" w:space="0" w:color="auto"/>
              <w:left w:val="nil"/>
              <w:bottom w:val="single" w:sz="4" w:space="0" w:color="auto"/>
              <w:right w:val="nil"/>
            </w:tcBorders>
            <w:shd w:val="clear" w:color="auto" w:fill="E6E6E6"/>
            <w:noWrap/>
            <w:vAlign w:val="bottom"/>
            <w:hideMark/>
          </w:tcPr>
          <w:p w14:paraId="331486D9" w14:textId="16984325" w:rsidR="002E16EE" w:rsidRPr="003B3EC2" w:rsidRDefault="002E16EE" w:rsidP="002E16EE">
            <w:pPr>
              <w:spacing w:after="0" w:line="240" w:lineRule="auto"/>
              <w:jc w:val="right"/>
              <w:rPr>
                <w:rFonts w:ascii="Arial" w:hAnsi="Arial" w:cs="Arial"/>
                <w:b/>
                <w:bCs/>
                <w:sz w:val="16"/>
                <w:szCs w:val="16"/>
              </w:rPr>
            </w:pPr>
            <w:r>
              <w:rPr>
                <w:rFonts w:ascii="Arial" w:hAnsi="Arial" w:cs="Arial"/>
                <w:b/>
                <w:bCs/>
                <w:sz w:val="16"/>
                <w:szCs w:val="16"/>
              </w:rPr>
              <w:t>78,137</w:t>
            </w:r>
          </w:p>
        </w:tc>
        <w:tc>
          <w:tcPr>
            <w:tcW w:w="569" w:type="pct"/>
            <w:gridSpan w:val="2"/>
            <w:tcBorders>
              <w:top w:val="single" w:sz="4" w:space="0" w:color="auto"/>
              <w:left w:val="nil"/>
              <w:bottom w:val="single" w:sz="4" w:space="0" w:color="auto"/>
              <w:right w:val="nil"/>
            </w:tcBorders>
            <w:shd w:val="clear" w:color="auto" w:fill="auto"/>
            <w:noWrap/>
            <w:vAlign w:val="bottom"/>
            <w:hideMark/>
          </w:tcPr>
          <w:p w14:paraId="3585FD50" w14:textId="6A5498FD" w:rsidR="002E16EE" w:rsidRPr="003B3EC2" w:rsidRDefault="002E16EE" w:rsidP="002E16EE">
            <w:pPr>
              <w:spacing w:after="0" w:line="240" w:lineRule="auto"/>
              <w:jc w:val="right"/>
              <w:rPr>
                <w:rFonts w:ascii="Arial" w:hAnsi="Arial" w:cs="Arial"/>
                <w:b/>
                <w:bCs/>
                <w:sz w:val="16"/>
                <w:szCs w:val="16"/>
              </w:rPr>
            </w:pPr>
            <w:r>
              <w:rPr>
                <w:rFonts w:ascii="Arial" w:hAnsi="Arial" w:cs="Arial"/>
                <w:b/>
                <w:bCs/>
                <w:sz w:val="16"/>
                <w:szCs w:val="16"/>
              </w:rPr>
              <w:t>63,385</w:t>
            </w:r>
          </w:p>
        </w:tc>
        <w:tc>
          <w:tcPr>
            <w:tcW w:w="594" w:type="pct"/>
            <w:gridSpan w:val="3"/>
            <w:tcBorders>
              <w:top w:val="single" w:sz="4" w:space="0" w:color="auto"/>
              <w:left w:val="nil"/>
              <w:bottom w:val="single" w:sz="4" w:space="0" w:color="auto"/>
              <w:right w:val="nil"/>
            </w:tcBorders>
            <w:shd w:val="clear" w:color="auto" w:fill="auto"/>
            <w:noWrap/>
            <w:vAlign w:val="bottom"/>
            <w:hideMark/>
          </w:tcPr>
          <w:p w14:paraId="7053AEAA" w14:textId="4A7E04BE" w:rsidR="002E16EE" w:rsidRPr="003B3EC2" w:rsidRDefault="002E16EE" w:rsidP="002E16EE">
            <w:pPr>
              <w:spacing w:after="0" w:line="240" w:lineRule="auto"/>
              <w:jc w:val="right"/>
              <w:rPr>
                <w:rFonts w:ascii="Arial" w:hAnsi="Arial" w:cs="Arial"/>
                <w:b/>
                <w:bCs/>
                <w:sz w:val="16"/>
                <w:szCs w:val="16"/>
              </w:rPr>
            </w:pPr>
            <w:r>
              <w:rPr>
                <w:rFonts w:ascii="Arial" w:hAnsi="Arial" w:cs="Arial"/>
                <w:b/>
                <w:bCs/>
                <w:sz w:val="16"/>
                <w:szCs w:val="16"/>
              </w:rPr>
              <w:t>59,768</w:t>
            </w:r>
          </w:p>
        </w:tc>
        <w:tc>
          <w:tcPr>
            <w:tcW w:w="602" w:type="pct"/>
            <w:gridSpan w:val="3"/>
            <w:tcBorders>
              <w:top w:val="single" w:sz="4" w:space="0" w:color="auto"/>
              <w:left w:val="nil"/>
              <w:bottom w:val="single" w:sz="4" w:space="0" w:color="auto"/>
              <w:right w:val="nil"/>
            </w:tcBorders>
            <w:shd w:val="clear" w:color="auto" w:fill="auto"/>
            <w:noWrap/>
            <w:vAlign w:val="bottom"/>
            <w:hideMark/>
          </w:tcPr>
          <w:p w14:paraId="5560B055" w14:textId="5F88B6E7" w:rsidR="002E16EE" w:rsidRPr="003B3EC2" w:rsidRDefault="002E16EE" w:rsidP="002E16EE">
            <w:pPr>
              <w:spacing w:after="0" w:line="240" w:lineRule="auto"/>
              <w:jc w:val="right"/>
              <w:rPr>
                <w:rFonts w:ascii="Arial" w:hAnsi="Arial" w:cs="Arial"/>
                <w:b/>
                <w:bCs/>
                <w:sz w:val="16"/>
                <w:szCs w:val="16"/>
              </w:rPr>
            </w:pPr>
            <w:r>
              <w:rPr>
                <w:rFonts w:ascii="Arial" w:hAnsi="Arial" w:cs="Arial"/>
                <w:b/>
                <w:bCs/>
                <w:sz w:val="16"/>
                <w:szCs w:val="16"/>
              </w:rPr>
              <w:t>53,062</w:t>
            </w:r>
          </w:p>
        </w:tc>
      </w:tr>
      <w:tr w:rsidR="00115843" w:rsidRPr="005A2E3C" w14:paraId="2AC86C92" w14:textId="77777777" w:rsidTr="00CA1DC1">
        <w:trPr>
          <w:trHeight w:val="204"/>
        </w:trPr>
        <w:tc>
          <w:tcPr>
            <w:tcW w:w="5000" w:type="pct"/>
            <w:gridSpan w:val="14"/>
            <w:tcBorders>
              <w:top w:val="nil"/>
              <w:left w:val="nil"/>
              <w:bottom w:val="single" w:sz="4" w:space="0" w:color="auto"/>
              <w:right w:val="nil"/>
            </w:tcBorders>
            <w:shd w:val="clear" w:color="auto" w:fill="E6E6E6"/>
            <w:noWrap/>
            <w:vAlign w:val="bottom"/>
            <w:hideMark/>
          </w:tcPr>
          <w:p w14:paraId="7E916479" w14:textId="77777777" w:rsidR="00115843" w:rsidRPr="005A2E3C" w:rsidRDefault="00115843" w:rsidP="00FB0D02">
            <w:pPr>
              <w:spacing w:after="0" w:line="240" w:lineRule="auto"/>
              <w:rPr>
                <w:rFonts w:ascii="Arial" w:hAnsi="Arial" w:cs="Arial"/>
                <w:sz w:val="16"/>
                <w:szCs w:val="16"/>
              </w:rPr>
            </w:pPr>
            <w:r w:rsidRPr="005A2E3C">
              <w:rPr>
                <w:rFonts w:ascii="Arial" w:hAnsi="Arial" w:cs="Arial"/>
                <w:b/>
                <w:bCs/>
                <w:sz w:val="16"/>
                <w:szCs w:val="16"/>
              </w:rPr>
              <w:t>Outcome 3 Totals by appropriation type</w:t>
            </w:r>
            <w:r w:rsidRPr="005A2E3C">
              <w:rPr>
                <w:rFonts w:ascii="Arial" w:hAnsi="Arial" w:cs="Arial"/>
                <w:sz w:val="16"/>
                <w:szCs w:val="16"/>
              </w:rPr>
              <w:t> </w:t>
            </w:r>
          </w:p>
        </w:tc>
      </w:tr>
      <w:tr w:rsidR="00115843" w:rsidRPr="005A2E3C" w14:paraId="5196CFC4" w14:textId="77777777" w:rsidTr="00CA1DC1">
        <w:trPr>
          <w:gridAfter w:val="1"/>
          <w:wAfter w:w="4" w:type="pct"/>
          <w:trHeight w:val="204"/>
        </w:trPr>
        <w:tc>
          <w:tcPr>
            <w:tcW w:w="1977" w:type="pct"/>
            <w:tcBorders>
              <w:top w:val="nil"/>
              <w:left w:val="nil"/>
              <w:bottom w:val="nil"/>
              <w:right w:val="nil"/>
            </w:tcBorders>
            <w:shd w:val="clear" w:color="auto" w:fill="auto"/>
            <w:noWrap/>
            <w:vAlign w:val="bottom"/>
            <w:hideMark/>
          </w:tcPr>
          <w:p w14:paraId="65F9E531" w14:textId="77777777" w:rsidR="00115843" w:rsidRPr="005A2E3C" w:rsidRDefault="00115843" w:rsidP="00FB0D02">
            <w:pPr>
              <w:spacing w:after="0" w:line="240" w:lineRule="auto"/>
              <w:rPr>
                <w:rFonts w:ascii="Arial" w:hAnsi="Arial" w:cs="Arial"/>
                <w:sz w:val="16"/>
                <w:szCs w:val="16"/>
              </w:rPr>
            </w:pPr>
            <w:r w:rsidRPr="005A2E3C">
              <w:rPr>
                <w:rFonts w:ascii="Arial" w:hAnsi="Arial" w:cs="Arial"/>
                <w:sz w:val="16"/>
                <w:szCs w:val="16"/>
              </w:rPr>
              <w:t>Administered expenses</w:t>
            </w:r>
          </w:p>
        </w:tc>
        <w:tc>
          <w:tcPr>
            <w:tcW w:w="665" w:type="pct"/>
            <w:gridSpan w:val="2"/>
            <w:tcBorders>
              <w:top w:val="nil"/>
              <w:left w:val="nil"/>
              <w:bottom w:val="nil"/>
              <w:right w:val="nil"/>
            </w:tcBorders>
            <w:shd w:val="clear" w:color="auto" w:fill="auto"/>
            <w:noWrap/>
            <w:vAlign w:val="bottom"/>
            <w:hideMark/>
          </w:tcPr>
          <w:p w14:paraId="3EDA85EE" w14:textId="77777777" w:rsidR="00115843" w:rsidRPr="005A2E3C" w:rsidRDefault="00115843" w:rsidP="00FB0D02">
            <w:pPr>
              <w:spacing w:after="0" w:line="240" w:lineRule="auto"/>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hideMark/>
          </w:tcPr>
          <w:p w14:paraId="6050E256" w14:textId="77777777" w:rsidR="00115843" w:rsidRPr="005A2E3C" w:rsidRDefault="00115843" w:rsidP="00FB0D02">
            <w:pPr>
              <w:spacing w:after="0" w:line="240" w:lineRule="auto"/>
              <w:jc w:val="right"/>
              <w:rPr>
                <w:rFonts w:ascii="Arial" w:hAnsi="Arial" w:cs="Arial"/>
                <w:sz w:val="16"/>
                <w:szCs w:val="16"/>
              </w:rPr>
            </w:pPr>
          </w:p>
        </w:tc>
        <w:tc>
          <w:tcPr>
            <w:tcW w:w="589" w:type="pct"/>
            <w:gridSpan w:val="4"/>
            <w:tcBorders>
              <w:top w:val="nil"/>
              <w:left w:val="nil"/>
              <w:bottom w:val="nil"/>
              <w:right w:val="nil"/>
            </w:tcBorders>
            <w:shd w:val="clear" w:color="auto" w:fill="auto"/>
            <w:noWrap/>
            <w:vAlign w:val="bottom"/>
            <w:hideMark/>
          </w:tcPr>
          <w:p w14:paraId="1A07E625" w14:textId="77777777" w:rsidR="00115843" w:rsidRPr="005A2E3C" w:rsidRDefault="00115843" w:rsidP="00FB0D02">
            <w:pPr>
              <w:spacing w:after="0" w:line="240" w:lineRule="auto"/>
              <w:jc w:val="right"/>
              <w:rPr>
                <w:rFonts w:ascii="Arial" w:hAnsi="Arial" w:cs="Arial"/>
                <w:sz w:val="16"/>
                <w:szCs w:val="16"/>
              </w:rPr>
            </w:pPr>
          </w:p>
        </w:tc>
        <w:tc>
          <w:tcPr>
            <w:tcW w:w="589" w:type="pct"/>
            <w:gridSpan w:val="3"/>
            <w:tcBorders>
              <w:top w:val="nil"/>
              <w:left w:val="nil"/>
              <w:bottom w:val="nil"/>
              <w:right w:val="nil"/>
            </w:tcBorders>
            <w:shd w:val="clear" w:color="auto" w:fill="auto"/>
            <w:noWrap/>
            <w:vAlign w:val="bottom"/>
            <w:hideMark/>
          </w:tcPr>
          <w:p w14:paraId="3C14D84F" w14:textId="77777777" w:rsidR="00115843" w:rsidRPr="005A2E3C" w:rsidRDefault="00115843" w:rsidP="00FB0D02">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06BB1164" w14:textId="77777777" w:rsidR="00115843" w:rsidRPr="005A2E3C" w:rsidRDefault="00115843" w:rsidP="00FB0D02">
            <w:pPr>
              <w:spacing w:after="0" w:line="240" w:lineRule="auto"/>
              <w:jc w:val="right"/>
              <w:rPr>
                <w:rFonts w:ascii="Times New Roman" w:hAnsi="Times New Roman"/>
              </w:rPr>
            </w:pPr>
          </w:p>
        </w:tc>
      </w:tr>
      <w:tr w:rsidR="002E16EE" w:rsidRPr="005A2E3C" w14:paraId="79CC53AE"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21AD7303"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Ordinary Annual Services (Appropriation Act No. 1 and Bill No</w:t>
            </w:r>
            <w:r>
              <w:rPr>
                <w:rFonts w:ascii="Arial" w:hAnsi="Arial" w:cs="Arial"/>
                <w:sz w:val="16"/>
                <w:szCs w:val="16"/>
              </w:rPr>
              <w:t> </w:t>
            </w:r>
            <w:r w:rsidRPr="005A2E3C">
              <w:rPr>
                <w:rFonts w:ascii="Arial" w:hAnsi="Arial" w:cs="Arial"/>
                <w:sz w:val="16"/>
                <w:szCs w:val="16"/>
              </w:rPr>
              <w:t>3)</w:t>
            </w:r>
          </w:p>
        </w:tc>
        <w:tc>
          <w:tcPr>
            <w:tcW w:w="665" w:type="pct"/>
            <w:gridSpan w:val="2"/>
            <w:tcBorders>
              <w:top w:val="nil"/>
              <w:left w:val="nil"/>
              <w:bottom w:val="nil"/>
              <w:right w:val="nil"/>
            </w:tcBorders>
            <w:shd w:val="clear" w:color="auto" w:fill="auto"/>
            <w:noWrap/>
            <w:vAlign w:val="bottom"/>
            <w:hideMark/>
          </w:tcPr>
          <w:p w14:paraId="162207A5" w14:textId="13649949"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911,831</w:t>
            </w:r>
          </w:p>
        </w:tc>
        <w:tc>
          <w:tcPr>
            <w:tcW w:w="588" w:type="pct"/>
            <w:gridSpan w:val="2"/>
            <w:tcBorders>
              <w:top w:val="nil"/>
              <w:left w:val="nil"/>
              <w:bottom w:val="nil"/>
              <w:right w:val="nil"/>
            </w:tcBorders>
            <w:shd w:val="clear" w:color="auto" w:fill="E6E6E6"/>
            <w:noWrap/>
            <w:vAlign w:val="bottom"/>
            <w:hideMark/>
          </w:tcPr>
          <w:p w14:paraId="328BF858" w14:textId="155933C1"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791,745</w:t>
            </w:r>
          </w:p>
        </w:tc>
        <w:tc>
          <w:tcPr>
            <w:tcW w:w="589" w:type="pct"/>
            <w:gridSpan w:val="4"/>
            <w:tcBorders>
              <w:top w:val="nil"/>
              <w:left w:val="nil"/>
              <w:bottom w:val="nil"/>
              <w:right w:val="nil"/>
            </w:tcBorders>
            <w:shd w:val="clear" w:color="auto" w:fill="auto"/>
            <w:noWrap/>
            <w:vAlign w:val="bottom"/>
            <w:hideMark/>
          </w:tcPr>
          <w:p w14:paraId="3EC312AC" w14:textId="1A23295D"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1,031,480</w:t>
            </w:r>
          </w:p>
        </w:tc>
        <w:tc>
          <w:tcPr>
            <w:tcW w:w="589" w:type="pct"/>
            <w:gridSpan w:val="3"/>
            <w:tcBorders>
              <w:top w:val="nil"/>
              <w:left w:val="nil"/>
              <w:bottom w:val="nil"/>
              <w:right w:val="nil"/>
            </w:tcBorders>
            <w:shd w:val="clear" w:color="auto" w:fill="auto"/>
            <w:noWrap/>
            <w:vAlign w:val="bottom"/>
            <w:hideMark/>
          </w:tcPr>
          <w:p w14:paraId="5CB02DFE" w14:textId="51F69BB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1,158,706</w:t>
            </w:r>
          </w:p>
        </w:tc>
        <w:tc>
          <w:tcPr>
            <w:tcW w:w="588" w:type="pct"/>
            <w:tcBorders>
              <w:top w:val="nil"/>
              <w:left w:val="nil"/>
              <w:bottom w:val="nil"/>
              <w:right w:val="nil"/>
            </w:tcBorders>
            <w:shd w:val="clear" w:color="auto" w:fill="auto"/>
            <w:noWrap/>
            <w:vAlign w:val="bottom"/>
            <w:hideMark/>
          </w:tcPr>
          <w:p w14:paraId="6DE15D7C" w14:textId="7CC1A262"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1,179,004</w:t>
            </w:r>
          </w:p>
        </w:tc>
      </w:tr>
      <w:tr w:rsidR="002E16EE" w:rsidRPr="005A2E3C" w14:paraId="2FB73C1A"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2EB3414F"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Other Services (Appropriation Act No. 2 and Bill No. 4)</w:t>
            </w:r>
          </w:p>
        </w:tc>
        <w:tc>
          <w:tcPr>
            <w:tcW w:w="665" w:type="pct"/>
            <w:gridSpan w:val="2"/>
            <w:tcBorders>
              <w:top w:val="nil"/>
              <w:left w:val="nil"/>
              <w:bottom w:val="nil"/>
              <w:right w:val="nil"/>
            </w:tcBorders>
            <w:shd w:val="clear" w:color="auto" w:fill="auto"/>
            <w:noWrap/>
            <w:vAlign w:val="bottom"/>
            <w:hideMark/>
          </w:tcPr>
          <w:p w14:paraId="2DDD3A5C" w14:textId="2B7F8C0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617,679</w:t>
            </w:r>
          </w:p>
        </w:tc>
        <w:tc>
          <w:tcPr>
            <w:tcW w:w="588" w:type="pct"/>
            <w:gridSpan w:val="2"/>
            <w:tcBorders>
              <w:top w:val="nil"/>
              <w:left w:val="nil"/>
              <w:bottom w:val="nil"/>
              <w:right w:val="nil"/>
            </w:tcBorders>
            <w:shd w:val="clear" w:color="auto" w:fill="E6E6E6"/>
            <w:noWrap/>
            <w:vAlign w:val="bottom"/>
            <w:hideMark/>
          </w:tcPr>
          <w:p w14:paraId="1B1499EA" w14:textId="572CB1B4"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669,330</w:t>
            </w:r>
          </w:p>
        </w:tc>
        <w:tc>
          <w:tcPr>
            <w:tcW w:w="589" w:type="pct"/>
            <w:gridSpan w:val="4"/>
            <w:tcBorders>
              <w:top w:val="nil"/>
              <w:left w:val="nil"/>
              <w:bottom w:val="nil"/>
              <w:right w:val="nil"/>
            </w:tcBorders>
            <w:shd w:val="clear" w:color="auto" w:fill="auto"/>
            <w:noWrap/>
            <w:vAlign w:val="bottom"/>
            <w:hideMark/>
          </w:tcPr>
          <w:p w14:paraId="00616C38" w14:textId="68AA1E34"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349,610</w:t>
            </w:r>
          </w:p>
        </w:tc>
        <w:tc>
          <w:tcPr>
            <w:tcW w:w="589" w:type="pct"/>
            <w:gridSpan w:val="3"/>
            <w:tcBorders>
              <w:top w:val="nil"/>
              <w:left w:val="nil"/>
              <w:bottom w:val="nil"/>
              <w:right w:val="nil"/>
            </w:tcBorders>
            <w:shd w:val="clear" w:color="auto" w:fill="auto"/>
            <w:noWrap/>
            <w:vAlign w:val="bottom"/>
            <w:hideMark/>
          </w:tcPr>
          <w:p w14:paraId="34815B63" w14:textId="6155AC98"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249,721</w:t>
            </w:r>
          </w:p>
        </w:tc>
        <w:tc>
          <w:tcPr>
            <w:tcW w:w="588" w:type="pct"/>
            <w:tcBorders>
              <w:top w:val="nil"/>
              <w:left w:val="nil"/>
              <w:bottom w:val="nil"/>
              <w:right w:val="nil"/>
            </w:tcBorders>
            <w:shd w:val="clear" w:color="auto" w:fill="auto"/>
            <w:noWrap/>
            <w:vAlign w:val="bottom"/>
            <w:hideMark/>
          </w:tcPr>
          <w:p w14:paraId="619BC3E6" w14:textId="2ECB3F27"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249,721</w:t>
            </w:r>
          </w:p>
        </w:tc>
      </w:tr>
      <w:tr w:rsidR="002E16EE" w:rsidRPr="005A2E3C" w14:paraId="49549FAB"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23897A5A"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Special Appropriations</w:t>
            </w:r>
          </w:p>
        </w:tc>
        <w:tc>
          <w:tcPr>
            <w:tcW w:w="665" w:type="pct"/>
            <w:gridSpan w:val="2"/>
            <w:tcBorders>
              <w:top w:val="nil"/>
              <w:left w:val="nil"/>
              <w:bottom w:val="nil"/>
              <w:right w:val="nil"/>
            </w:tcBorders>
            <w:shd w:val="clear" w:color="auto" w:fill="auto"/>
            <w:noWrap/>
            <w:vAlign w:val="bottom"/>
            <w:hideMark/>
          </w:tcPr>
          <w:p w14:paraId="6C279E6B" w14:textId="46427F47"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3,530,275</w:t>
            </w:r>
          </w:p>
        </w:tc>
        <w:tc>
          <w:tcPr>
            <w:tcW w:w="588" w:type="pct"/>
            <w:gridSpan w:val="2"/>
            <w:tcBorders>
              <w:top w:val="nil"/>
              <w:left w:val="nil"/>
              <w:bottom w:val="nil"/>
              <w:right w:val="nil"/>
            </w:tcBorders>
            <w:shd w:val="clear" w:color="auto" w:fill="E6E6E6"/>
            <w:noWrap/>
            <w:vAlign w:val="bottom"/>
            <w:hideMark/>
          </w:tcPr>
          <w:p w14:paraId="46F552E6" w14:textId="0019A4E8"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821,494</w:t>
            </w:r>
          </w:p>
        </w:tc>
        <w:tc>
          <w:tcPr>
            <w:tcW w:w="589" w:type="pct"/>
            <w:gridSpan w:val="4"/>
            <w:tcBorders>
              <w:top w:val="nil"/>
              <w:left w:val="nil"/>
              <w:bottom w:val="nil"/>
              <w:right w:val="nil"/>
            </w:tcBorders>
            <w:shd w:val="clear" w:color="auto" w:fill="auto"/>
            <w:noWrap/>
            <w:vAlign w:val="bottom"/>
            <w:hideMark/>
          </w:tcPr>
          <w:p w14:paraId="4C7A2E46" w14:textId="72D81126"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3,052,345</w:t>
            </w:r>
          </w:p>
        </w:tc>
        <w:tc>
          <w:tcPr>
            <w:tcW w:w="589" w:type="pct"/>
            <w:gridSpan w:val="3"/>
            <w:tcBorders>
              <w:top w:val="nil"/>
              <w:left w:val="nil"/>
              <w:bottom w:val="nil"/>
              <w:right w:val="nil"/>
            </w:tcBorders>
            <w:shd w:val="clear" w:color="auto" w:fill="auto"/>
            <w:noWrap/>
            <w:vAlign w:val="bottom"/>
            <w:hideMark/>
          </w:tcPr>
          <w:p w14:paraId="064E22C7" w14:textId="6616D9D6"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3,170,474</w:t>
            </w:r>
          </w:p>
        </w:tc>
        <w:tc>
          <w:tcPr>
            <w:tcW w:w="588" w:type="pct"/>
            <w:tcBorders>
              <w:top w:val="nil"/>
              <w:left w:val="nil"/>
              <w:bottom w:val="nil"/>
              <w:right w:val="nil"/>
            </w:tcBorders>
            <w:shd w:val="clear" w:color="auto" w:fill="auto"/>
            <w:noWrap/>
            <w:vAlign w:val="bottom"/>
            <w:hideMark/>
          </w:tcPr>
          <w:p w14:paraId="7E98DC9E" w14:textId="15AFD81D"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3,294,438</w:t>
            </w:r>
          </w:p>
        </w:tc>
      </w:tr>
      <w:tr w:rsidR="002E16EE" w:rsidRPr="005A2E3C" w14:paraId="303D03D0"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4E7E5024" w14:textId="6C254AC4"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 xml:space="preserve">Payments to Corporate Entities </w:t>
            </w:r>
            <w:r w:rsidRPr="005A2E3C">
              <w:rPr>
                <w:rFonts w:ascii="Arial" w:hAnsi="Arial" w:cs="Arial"/>
                <w:sz w:val="16"/>
                <w:szCs w:val="16"/>
                <w:vertAlign w:val="superscript"/>
              </w:rPr>
              <w:t>(</w:t>
            </w:r>
            <w:r>
              <w:rPr>
                <w:rFonts w:ascii="Arial" w:hAnsi="Arial" w:cs="Arial"/>
                <w:sz w:val="16"/>
                <w:szCs w:val="16"/>
                <w:vertAlign w:val="superscript"/>
              </w:rPr>
              <w:t>b</w:t>
            </w:r>
            <w:r w:rsidRPr="005A2E3C">
              <w:rPr>
                <w:rFonts w:ascii="Arial" w:hAnsi="Arial" w:cs="Arial"/>
                <w:sz w:val="16"/>
                <w:szCs w:val="16"/>
                <w:vertAlign w:val="superscript"/>
              </w:rPr>
              <w:t>)</w:t>
            </w:r>
            <w:r w:rsidRPr="005A2E3C">
              <w:rPr>
                <w:rFonts w:ascii="Arial" w:hAnsi="Arial" w:cs="Arial"/>
                <w:sz w:val="16"/>
                <w:szCs w:val="16"/>
              </w:rPr>
              <w:t xml:space="preserve"> </w:t>
            </w:r>
          </w:p>
        </w:tc>
        <w:tc>
          <w:tcPr>
            <w:tcW w:w="665" w:type="pct"/>
            <w:gridSpan w:val="2"/>
            <w:tcBorders>
              <w:top w:val="nil"/>
              <w:left w:val="nil"/>
              <w:bottom w:val="nil"/>
              <w:right w:val="nil"/>
            </w:tcBorders>
            <w:shd w:val="clear" w:color="auto" w:fill="auto"/>
            <w:noWrap/>
            <w:vAlign w:val="bottom"/>
            <w:hideMark/>
          </w:tcPr>
          <w:p w14:paraId="5ED559EE" w14:textId="16027D32"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14,227</w:t>
            </w:r>
          </w:p>
        </w:tc>
        <w:tc>
          <w:tcPr>
            <w:tcW w:w="588" w:type="pct"/>
            <w:gridSpan w:val="2"/>
            <w:tcBorders>
              <w:top w:val="nil"/>
              <w:left w:val="nil"/>
              <w:bottom w:val="nil"/>
              <w:right w:val="nil"/>
            </w:tcBorders>
            <w:shd w:val="clear" w:color="auto" w:fill="E6E6E6"/>
            <w:noWrap/>
            <w:vAlign w:val="bottom"/>
            <w:hideMark/>
          </w:tcPr>
          <w:p w14:paraId="39E7EC08" w14:textId="7889A487"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20,939</w:t>
            </w:r>
          </w:p>
        </w:tc>
        <w:tc>
          <w:tcPr>
            <w:tcW w:w="589" w:type="pct"/>
            <w:gridSpan w:val="4"/>
            <w:tcBorders>
              <w:top w:val="nil"/>
              <w:left w:val="nil"/>
              <w:bottom w:val="nil"/>
              <w:right w:val="nil"/>
            </w:tcBorders>
            <w:shd w:val="clear" w:color="auto" w:fill="auto"/>
            <w:noWrap/>
            <w:vAlign w:val="bottom"/>
            <w:hideMark/>
          </w:tcPr>
          <w:p w14:paraId="1156D051" w14:textId="5379C62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21,090</w:t>
            </w:r>
          </w:p>
        </w:tc>
        <w:tc>
          <w:tcPr>
            <w:tcW w:w="589" w:type="pct"/>
            <w:gridSpan w:val="3"/>
            <w:tcBorders>
              <w:top w:val="nil"/>
              <w:left w:val="nil"/>
              <w:bottom w:val="nil"/>
              <w:right w:val="nil"/>
            </w:tcBorders>
            <w:shd w:val="clear" w:color="auto" w:fill="auto"/>
            <w:noWrap/>
            <w:vAlign w:val="bottom"/>
            <w:hideMark/>
          </w:tcPr>
          <w:p w14:paraId="4A826BFF" w14:textId="01B4A55C"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21,254</w:t>
            </w:r>
          </w:p>
        </w:tc>
        <w:tc>
          <w:tcPr>
            <w:tcW w:w="588" w:type="pct"/>
            <w:tcBorders>
              <w:top w:val="nil"/>
              <w:left w:val="nil"/>
              <w:bottom w:val="nil"/>
              <w:right w:val="nil"/>
            </w:tcBorders>
            <w:shd w:val="clear" w:color="auto" w:fill="auto"/>
            <w:noWrap/>
            <w:vAlign w:val="bottom"/>
            <w:hideMark/>
          </w:tcPr>
          <w:p w14:paraId="0875F4CD" w14:textId="0A387B50"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21,615</w:t>
            </w:r>
          </w:p>
        </w:tc>
      </w:tr>
      <w:tr w:rsidR="002E16EE" w:rsidRPr="005A2E3C" w14:paraId="79B975AF"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2FC803E7"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 xml:space="preserve">Expenses not requiring appropriation in the Budget year </w:t>
            </w:r>
            <w:r w:rsidRPr="005A2E3C">
              <w:rPr>
                <w:rFonts w:ascii="Arial" w:hAnsi="Arial" w:cs="Arial"/>
                <w:sz w:val="16"/>
                <w:szCs w:val="16"/>
                <w:vertAlign w:val="superscript"/>
              </w:rPr>
              <w:t>(a)</w:t>
            </w:r>
          </w:p>
        </w:tc>
        <w:tc>
          <w:tcPr>
            <w:tcW w:w="665" w:type="pct"/>
            <w:gridSpan w:val="2"/>
            <w:tcBorders>
              <w:top w:val="nil"/>
              <w:left w:val="nil"/>
              <w:bottom w:val="nil"/>
              <w:right w:val="nil"/>
            </w:tcBorders>
            <w:shd w:val="clear" w:color="auto" w:fill="auto"/>
            <w:noWrap/>
            <w:vAlign w:val="bottom"/>
            <w:hideMark/>
          </w:tcPr>
          <w:p w14:paraId="274A7762" w14:textId="33DF6B15"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64,258</w:t>
            </w:r>
          </w:p>
        </w:tc>
        <w:tc>
          <w:tcPr>
            <w:tcW w:w="588" w:type="pct"/>
            <w:gridSpan w:val="2"/>
            <w:tcBorders>
              <w:top w:val="nil"/>
              <w:left w:val="nil"/>
              <w:bottom w:val="nil"/>
              <w:right w:val="nil"/>
            </w:tcBorders>
            <w:shd w:val="clear" w:color="auto" w:fill="E6E6E6"/>
            <w:noWrap/>
            <w:vAlign w:val="bottom"/>
            <w:hideMark/>
          </w:tcPr>
          <w:p w14:paraId="6ED2A27F" w14:textId="1D1BC5E2"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439,034</w:t>
            </w:r>
          </w:p>
        </w:tc>
        <w:tc>
          <w:tcPr>
            <w:tcW w:w="589" w:type="pct"/>
            <w:gridSpan w:val="4"/>
            <w:tcBorders>
              <w:top w:val="nil"/>
              <w:left w:val="nil"/>
              <w:bottom w:val="nil"/>
              <w:right w:val="nil"/>
            </w:tcBorders>
            <w:shd w:val="clear" w:color="auto" w:fill="auto"/>
            <w:noWrap/>
            <w:vAlign w:val="bottom"/>
            <w:hideMark/>
          </w:tcPr>
          <w:p w14:paraId="21B0CF4F" w14:textId="4D8341B6"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472,261</w:t>
            </w:r>
          </w:p>
        </w:tc>
        <w:tc>
          <w:tcPr>
            <w:tcW w:w="589" w:type="pct"/>
            <w:gridSpan w:val="3"/>
            <w:tcBorders>
              <w:top w:val="nil"/>
              <w:left w:val="nil"/>
              <w:bottom w:val="nil"/>
              <w:right w:val="nil"/>
            </w:tcBorders>
            <w:shd w:val="clear" w:color="auto" w:fill="auto"/>
            <w:noWrap/>
            <w:vAlign w:val="bottom"/>
            <w:hideMark/>
          </w:tcPr>
          <w:p w14:paraId="170DD634" w14:textId="3F7CB3B4"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288,867</w:t>
            </w:r>
          </w:p>
        </w:tc>
        <w:tc>
          <w:tcPr>
            <w:tcW w:w="588" w:type="pct"/>
            <w:tcBorders>
              <w:top w:val="nil"/>
              <w:left w:val="nil"/>
              <w:bottom w:val="nil"/>
              <w:right w:val="nil"/>
            </w:tcBorders>
            <w:shd w:val="clear" w:color="auto" w:fill="auto"/>
            <w:noWrap/>
            <w:vAlign w:val="bottom"/>
            <w:hideMark/>
          </w:tcPr>
          <w:p w14:paraId="08DF4DD4" w14:textId="2E06D49D"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212,350</w:t>
            </w:r>
          </w:p>
        </w:tc>
      </w:tr>
      <w:tr w:rsidR="002E16EE" w:rsidRPr="005A2E3C" w14:paraId="7966B83F"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5AE4B934" w14:textId="77777777" w:rsidR="002E16EE" w:rsidRPr="005A2E3C" w:rsidRDefault="002E16EE" w:rsidP="00BA7FAF">
            <w:pPr>
              <w:spacing w:after="0" w:line="240" w:lineRule="auto"/>
              <w:jc w:val="right"/>
              <w:rPr>
                <w:rFonts w:ascii="Arial" w:hAnsi="Arial" w:cs="Arial"/>
                <w:b/>
                <w:bCs/>
                <w:sz w:val="16"/>
                <w:szCs w:val="16"/>
              </w:rPr>
            </w:pPr>
            <w:r w:rsidRPr="005A2E3C">
              <w:rPr>
                <w:rFonts w:ascii="Arial" w:hAnsi="Arial" w:cs="Arial"/>
                <w:b/>
                <w:bCs/>
                <w:sz w:val="16"/>
                <w:szCs w:val="16"/>
              </w:rPr>
              <w:t>Total administered expenses</w:t>
            </w:r>
          </w:p>
        </w:tc>
        <w:tc>
          <w:tcPr>
            <w:tcW w:w="665" w:type="pct"/>
            <w:gridSpan w:val="2"/>
            <w:tcBorders>
              <w:top w:val="single" w:sz="4" w:space="0" w:color="auto"/>
              <w:left w:val="nil"/>
              <w:bottom w:val="single" w:sz="4" w:space="0" w:color="auto"/>
              <w:right w:val="nil"/>
            </w:tcBorders>
            <w:shd w:val="clear" w:color="auto" w:fill="auto"/>
            <w:noWrap/>
            <w:vAlign w:val="bottom"/>
            <w:hideMark/>
          </w:tcPr>
          <w:p w14:paraId="13A1D8D5" w14:textId="571744CE"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5,138,270</w:t>
            </w:r>
          </w:p>
        </w:tc>
        <w:tc>
          <w:tcPr>
            <w:tcW w:w="588" w:type="pct"/>
            <w:gridSpan w:val="2"/>
            <w:tcBorders>
              <w:top w:val="single" w:sz="4" w:space="0" w:color="auto"/>
              <w:left w:val="nil"/>
              <w:bottom w:val="single" w:sz="4" w:space="0" w:color="auto"/>
              <w:right w:val="nil"/>
            </w:tcBorders>
            <w:shd w:val="clear" w:color="auto" w:fill="E6E6E6"/>
            <w:noWrap/>
            <w:vAlign w:val="bottom"/>
            <w:hideMark/>
          </w:tcPr>
          <w:p w14:paraId="43082E28" w14:textId="32B76E66"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2,742,542</w:t>
            </w:r>
          </w:p>
        </w:tc>
        <w:tc>
          <w:tcPr>
            <w:tcW w:w="589" w:type="pct"/>
            <w:gridSpan w:val="4"/>
            <w:tcBorders>
              <w:top w:val="single" w:sz="4" w:space="0" w:color="auto"/>
              <w:left w:val="nil"/>
              <w:bottom w:val="single" w:sz="4" w:space="0" w:color="auto"/>
              <w:right w:val="nil"/>
            </w:tcBorders>
            <w:shd w:val="clear" w:color="auto" w:fill="auto"/>
            <w:noWrap/>
            <w:vAlign w:val="bottom"/>
            <w:hideMark/>
          </w:tcPr>
          <w:p w14:paraId="2BDF9903" w14:textId="4213178C"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4,926,786</w:t>
            </w:r>
          </w:p>
        </w:tc>
        <w:tc>
          <w:tcPr>
            <w:tcW w:w="589" w:type="pct"/>
            <w:gridSpan w:val="3"/>
            <w:tcBorders>
              <w:top w:val="single" w:sz="4" w:space="0" w:color="auto"/>
              <w:left w:val="nil"/>
              <w:bottom w:val="single" w:sz="4" w:space="0" w:color="auto"/>
              <w:right w:val="nil"/>
            </w:tcBorders>
            <w:shd w:val="clear" w:color="auto" w:fill="auto"/>
            <w:noWrap/>
            <w:vAlign w:val="bottom"/>
            <w:hideMark/>
          </w:tcPr>
          <w:p w14:paraId="3BFDD1D2" w14:textId="717B1D30"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4,889,022</w:t>
            </w:r>
          </w:p>
        </w:tc>
        <w:tc>
          <w:tcPr>
            <w:tcW w:w="588" w:type="pct"/>
            <w:tcBorders>
              <w:top w:val="single" w:sz="4" w:space="0" w:color="auto"/>
              <w:left w:val="nil"/>
              <w:bottom w:val="single" w:sz="4" w:space="0" w:color="auto"/>
              <w:right w:val="nil"/>
            </w:tcBorders>
            <w:shd w:val="clear" w:color="auto" w:fill="auto"/>
            <w:noWrap/>
            <w:vAlign w:val="bottom"/>
            <w:hideMark/>
          </w:tcPr>
          <w:p w14:paraId="136734F1" w14:textId="1B1BB7A5"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4,957,128</w:t>
            </w:r>
          </w:p>
        </w:tc>
      </w:tr>
      <w:tr w:rsidR="002E16EE" w:rsidRPr="005A2E3C" w14:paraId="0E6355F4" w14:textId="77777777" w:rsidTr="00CA1DC1">
        <w:trPr>
          <w:gridAfter w:val="1"/>
          <w:wAfter w:w="4" w:type="pct"/>
          <w:trHeight w:val="204"/>
        </w:trPr>
        <w:tc>
          <w:tcPr>
            <w:tcW w:w="1977" w:type="pct"/>
            <w:tcBorders>
              <w:top w:val="nil"/>
              <w:left w:val="nil"/>
              <w:bottom w:val="nil"/>
              <w:right w:val="nil"/>
            </w:tcBorders>
            <w:shd w:val="clear" w:color="auto" w:fill="auto"/>
            <w:noWrap/>
            <w:vAlign w:val="bottom"/>
            <w:hideMark/>
          </w:tcPr>
          <w:p w14:paraId="74B739A7" w14:textId="77777777" w:rsidR="002E16EE" w:rsidRPr="005A2E3C" w:rsidRDefault="002E16EE" w:rsidP="002E16EE">
            <w:pPr>
              <w:spacing w:after="0" w:line="240" w:lineRule="auto"/>
              <w:rPr>
                <w:rFonts w:ascii="Arial" w:hAnsi="Arial" w:cs="Arial"/>
                <w:sz w:val="16"/>
                <w:szCs w:val="16"/>
              </w:rPr>
            </w:pPr>
            <w:r w:rsidRPr="005A2E3C">
              <w:rPr>
                <w:rFonts w:ascii="Arial" w:hAnsi="Arial" w:cs="Arial"/>
                <w:sz w:val="16"/>
                <w:szCs w:val="16"/>
              </w:rPr>
              <w:t>Departmental expenses</w:t>
            </w:r>
          </w:p>
        </w:tc>
        <w:tc>
          <w:tcPr>
            <w:tcW w:w="665" w:type="pct"/>
            <w:gridSpan w:val="2"/>
            <w:tcBorders>
              <w:top w:val="nil"/>
              <w:left w:val="nil"/>
              <w:bottom w:val="nil"/>
              <w:right w:val="nil"/>
            </w:tcBorders>
            <w:shd w:val="clear" w:color="auto" w:fill="auto"/>
            <w:noWrap/>
            <w:vAlign w:val="bottom"/>
            <w:hideMark/>
          </w:tcPr>
          <w:p w14:paraId="342BA3BF" w14:textId="77777777" w:rsidR="002E16EE" w:rsidRPr="005A2E3C" w:rsidRDefault="002E16EE" w:rsidP="002E16EE">
            <w:pPr>
              <w:spacing w:after="0" w:line="240" w:lineRule="auto"/>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hideMark/>
          </w:tcPr>
          <w:p w14:paraId="09359568" w14:textId="1160FC80" w:rsidR="002E16EE" w:rsidRPr="005A2E3C" w:rsidRDefault="002E16EE" w:rsidP="002E16EE">
            <w:pPr>
              <w:spacing w:after="0" w:line="240" w:lineRule="auto"/>
              <w:jc w:val="right"/>
              <w:rPr>
                <w:rFonts w:ascii="Arial" w:hAnsi="Arial" w:cs="Arial"/>
                <w:sz w:val="16"/>
                <w:szCs w:val="16"/>
              </w:rPr>
            </w:pPr>
          </w:p>
        </w:tc>
        <w:tc>
          <w:tcPr>
            <w:tcW w:w="589" w:type="pct"/>
            <w:gridSpan w:val="4"/>
            <w:tcBorders>
              <w:top w:val="nil"/>
              <w:left w:val="nil"/>
              <w:bottom w:val="nil"/>
              <w:right w:val="nil"/>
            </w:tcBorders>
            <w:shd w:val="clear" w:color="auto" w:fill="auto"/>
            <w:noWrap/>
            <w:vAlign w:val="bottom"/>
            <w:hideMark/>
          </w:tcPr>
          <w:p w14:paraId="67B1610A" w14:textId="77777777" w:rsidR="002E16EE" w:rsidRPr="005A2E3C" w:rsidRDefault="002E16EE" w:rsidP="002E16EE">
            <w:pPr>
              <w:spacing w:after="0" w:line="240" w:lineRule="auto"/>
              <w:jc w:val="right"/>
              <w:rPr>
                <w:rFonts w:ascii="Arial" w:hAnsi="Arial" w:cs="Arial"/>
                <w:sz w:val="16"/>
                <w:szCs w:val="16"/>
              </w:rPr>
            </w:pPr>
          </w:p>
        </w:tc>
        <w:tc>
          <w:tcPr>
            <w:tcW w:w="589" w:type="pct"/>
            <w:gridSpan w:val="3"/>
            <w:tcBorders>
              <w:top w:val="nil"/>
              <w:left w:val="nil"/>
              <w:bottom w:val="nil"/>
              <w:right w:val="nil"/>
            </w:tcBorders>
            <w:shd w:val="clear" w:color="auto" w:fill="auto"/>
            <w:noWrap/>
            <w:vAlign w:val="bottom"/>
            <w:hideMark/>
          </w:tcPr>
          <w:p w14:paraId="1AE4A78F" w14:textId="77777777" w:rsidR="002E16EE" w:rsidRPr="005A2E3C" w:rsidRDefault="002E16EE" w:rsidP="002E16EE">
            <w:pPr>
              <w:spacing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50FCD424" w14:textId="77777777" w:rsidR="002E16EE" w:rsidRPr="005A2E3C" w:rsidRDefault="002E16EE" w:rsidP="002E16EE">
            <w:pPr>
              <w:spacing w:after="0" w:line="240" w:lineRule="auto"/>
              <w:jc w:val="right"/>
              <w:rPr>
                <w:rFonts w:ascii="Times New Roman" w:hAnsi="Times New Roman"/>
              </w:rPr>
            </w:pPr>
          </w:p>
        </w:tc>
      </w:tr>
      <w:tr w:rsidR="002E16EE" w:rsidRPr="005A2E3C" w14:paraId="3BC8C227"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13E52232"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Departmental appropriation</w:t>
            </w:r>
          </w:p>
        </w:tc>
        <w:tc>
          <w:tcPr>
            <w:tcW w:w="665" w:type="pct"/>
            <w:gridSpan w:val="2"/>
            <w:tcBorders>
              <w:top w:val="nil"/>
              <w:left w:val="nil"/>
              <w:bottom w:val="nil"/>
              <w:right w:val="nil"/>
            </w:tcBorders>
            <w:shd w:val="clear" w:color="auto" w:fill="auto"/>
            <w:noWrap/>
            <w:vAlign w:val="bottom"/>
            <w:hideMark/>
          </w:tcPr>
          <w:p w14:paraId="585DA69D" w14:textId="50C37FE2"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85,641</w:t>
            </w:r>
          </w:p>
        </w:tc>
        <w:tc>
          <w:tcPr>
            <w:tcW w:w="588" w:type="pct"/>
            <w:gridSpan w:val="2"/>
            <w:tcBorders>
              <w:top w:val="nil"/>
              <w:left w:val="nil"/>
              <w:bottom w:val="nil"/>
              <w:right w:val="nil"/>
            </w:tcBorders>
            <w:shd w:val="clear" w:color="auto" w:fill="E6E6E6"/>
            <w:noWrap/>
            <w:vAlign w:val="bottom"/>
            <w:hideMark/>
          </w:tcPr>
          <w:p w14:paraId="1BCDB5B2" w14:textId="770DE295"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78,137</w:t>
            </w:r>
          </w:p>
        </w:tc>
        <w:tc>
          <w:tcPr>
            <w:tcW w:w="589" w:type="pct"/>
            <w:gridSpan w:val="4"/>
            <w:tcBorders>
              <w:top w:val="nil"/>
              <w:left w:val="nil"/>
              <w:bottom w:val="nil"/>
              <w:right w:val="nil"/>
            </w:tcBorders>
            <w:shd w:val="clear" w:color="auto" w:fill="auto"/>
            <w:noWrap/>
            <w:vAlign w:val="bottom"/>
            <w:hideMark/>
          </w:tcPr>
          <w:p w14:paraId="3DC02D47" w14:textId="6ABA5407"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63,385</w:t>
            </w:r>
          </w:p>
        </w:tc>
        <w:tc>
          <w:tcPr>
            <w:tcW w:w="589" w:type="pct"/>
            <w:gridSpan w:val="3"/>
            <w:tcBorders>
              <w:top w:val="nil"/>
              <w:left w:val="nil"/>
              <w:bottom w:val="nil"/>
              <w:right w:val="nil"/>
            </w:tcBorders>
            <w:shd w:val="clear" w:color="auto" w:fill="auto"/>
            <w:noWrap/>
            <w:vAlign w:val="bottom"/>
            <w:hideMark/>
          </w:tcPr>
          <w:p w14:paraId="1095DECD" w14:textId="093691F3"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59,768</w:t>
            </w:r>
          </w:p>
        </w:tc>
        <w:tc>
          <w:tcPr>
            <w:tcW w:w="588" w:type="pct"/>
            <w:tcBorders>
              <w:top w:val="nil"/>
              <w:left w:val="nil"/>
              <w:bottom w:val="nil"/>
              <w:right w:val="nil"/>
            </w:tcBorders>
            <w:shd w:val="clear" w:color="auto" w:fill="auto"/>
            <w:noWrap/>
            <w:vAlign w:val="bottom"/>
            <w:hideMark/>
          </w:tcPr>
          <w:p w14:paraId="6091286D" w14:textId="0D89BEF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53,062</w:t>
            </w:r>
          </w:p>
        </w:tc>
      </w:tr>
      <w:tr w:rsidR="002E16EE" w:rsidRPr="005A2E3C" w14:paraId="47C46199"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1FCD22DE" w14:textId="015C88ED"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 xml:space="preserve">s74 external revenues </w:t>
            </w:r>
            <w:r w:rsidRPr="005A2E3C">
              <w:rPr>
                <w:rFonts w:ascii="Arial" w:hAnsi="Arial" w:cs="Arial"/>
                <w:sz w:val="16"/>
                <w:szCs w:val="16"/>
                <w:vertAlign w:val="superscript"/>
              </w:rPr>
              <w:t>(</w:t>
            </w:r>
            <w:r>
              <w:rPr>
                <w:rFonts w:ascii="Arial" w:hAnsi="Arial" w:cs="Arial"/>
                <w:sz w:val="16"/>
                <w:szCs w:val="16"/>
                <w:vertAlign w:val="superscript"/>
              </w:rPr>
              <w:t>c</w:t>
            </w:r>
            <w:r w:rsidRPr="005A2E3C">
              <w:rPr>
                <w:rFonts w:ascii="Arial" w:hAnsi="Arial" w:cs="Arial"/>
                <w:sz w:val="16"/>
                <w:szCs w:val="16"/>
                <w:vertAlign w:val="superscript"/>
              </w:rPr>
              <w:t>)</w:t>
            </w:r>
          </w:p>
        </w:tc>
        <w:tc>
          <w:tcPr>
            <w:tcW w:w="665" w:type="pct"/>
            <w:gridSpan w:val="2"/>
            <w:tcBorders>
              <w:top w:val="nil"/>
              <w:left w:val="nil"/>
              <w:bottom w:val="nil"/>
              <w:right w:val="nil"/>
            </w:tcBorders>
            <w:shd w:val="clear" w:color="auto" w:fill="auto"/>
            <w:noWrap/>
            <w:vAlign w:val="bottom"/>
            <w:hideMark/>
          </w:tcPr>
          <w:p w14:paraId="1BBF6A2E" w14:textId="7870D416"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1,510</w:t>
            </w:r>
          </w:p>
        </w:tc>
        <w:tc>
          <w:tcPr>
            <w:tcW w:w="588" w:type="pct"/>
            <w:gridSpan w:val="2"/>
            <w:tcBorders>
              <w:top w:val="nil"/>
              <w:left w:val="nil"/>
              <w:bottom w:val="nil"/>
              <w:right w:val="nil"/>
            </w:tcBorders>
            <w:shd w:val="clear" w:color="auto" w:fill="E6E6E6"/>
            <w:noWrap/>
            <w:vAlign w:val="bottom"/>
            <w:hideMark/>
          </w:tcPr>
          <w:p w14:paraId="19591DC9" w14:textId="1B854A94"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9" w:type="pct"/>
            <w:gridSpan w:val="4"/>
            <w:tcBorders>
              <w:top w:val="nil"/>
              <w:left w:val="nil"/>
              <w:bottom w:val="nil"/>
              <w:right w:val="nil"/>
            </w:tcBorders>
            <w:shd w:val="clear" w:color="auto" w:fill="auto"/>
            <w:noWrap/>
            <w:vAlign w:val="bottom"/>
            <w:hideMark/>
          </w:tcPr>
          <w:p w14:paraId="0AD86EE8" w14:textId="638AC989"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9" w:type="pct"/>
            <w:gridSpan w:val="3"/>
            <w:tcBorders>
              <w:top w:val="nil"/>
              <w:left w:val="nil"/>
              <w:bottom w:val="nil"/>
              <w:right w:val="nil"/>
            </w:tcBorders>
            <w:shd w:val="clear" w:color="auto" w:fill="auto"/>
            <w:noWrap/>
            <w:vAlign w:val="bottom"/>
            <w:hideMark/>
          </w:tcPr>
          <w:p w14:paraId="2C236751" w14:textId="5E626855"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8" w:type="pct"/>
            <w:tcBorders>
              <w:top w:val="nil"/>
              <w:left w:val="nil"/>
              <w:bottom w:val="nil"/>
              <w:right w:val="nil"/>
            </w:tcBorders>
            <w:shd w:val="clear" w:color="auto" w:fill="auto"/>
            <w:noWrap/>
            <w:vAlign w:val="bottom"/>
            <w:hideMark/>
          </w:tcPr>
          <w:p w14:paraId="653F4845" w14:textId="00495D60"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5A2E3C" w14:paraId="73956B84"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53E0FEF3" w14:textId="703D3CF6"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 xml:space="preserve">Expenses not requiring appropriation in the Budget year </w:t>
            </w:r>
            <w:r w:rsidRPr="005A2E3C">
              <w:rPr>
                <w:rFonts w:ascii="Arial" w:hAnsi="Arial" w:cs="Arial"/>
                <w:sz w:val="16"/>
                <w:szCs w:val="16"/>
                <w:vertAlign w:val="superscript"/>
              </w:rPr>
              <w:t>(</w:t>
            </w:r>
            <w:r>
              <w:rPr>
                <w:rFonts w:ascii="Arial" w:hAnsi="Arial" w:cs="Arial"/>
                <w:sz w:val="16"/>
                <w:szCs w:val="16"/>
                <w:vertAlign w:val="superscript"/>
              </w:rPr>
              <w:t>d</w:t>
            </w:r>
            <w:r w:rsidRPr="005A2E3C">
              <w:rPr>
                <w:rFonts w:ascii="Arial" w:hAnsi="Arial" w:cs="Arial"/>
                <w:sz w:val="16"/>
                <w:szCs w:val="16"/>
                <w:vertAlign w:val="superscript"/>
              </w:rPr>
              <w:t>)</w:t>
            </w:r>
          </w:p>
        </w:tc>
        <w:tc>
          <w:tcPr>
            <w:tcW w:w="665" w:type="pct"/>
            <w:gridSpan w:val="2"/>
            <w:tcBorders>
              <w:top w:val="nil"/>
              <w:left w:val="nil"/>
              <w:bottom w:val="nil"/>
              <w:right w:val="nil"/>
            </w:tcBorders>
            <w:shd w:val="clear" w:color="auto" w:fill="auto"/>
            <w:noWrap/>
            <w:vAlign w:val="bottom"/>
            <w:hideMark/>
          </w:tcPr>
          <w:p w14:paraId="79A19E58" w14:textId="198FCCD9"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2,983</w:t>
            </w:r>
          </w:p>
        </w:tc>
        <w:tc>
          <w:tcPr>
            <w:tcW w:w="588" w:type="pct"/>
            <w:gridSpan w:val="2"/>
            <w:tcBorders>
              <w:top w:val="nil"/>
              <w:left w:val="nil"/>
              <w:bottom w:val="nil"/>
              <w:right w:val="nil"/>
            </w:tcBorders>
            <w:shd w:val="clear" w:color="auto" w:fill="E6E6E6"/>
            <w:noWrap/>
            <w:vAlign w:val="bottom"/>
            <w:hideMark/>
          </w:tcPr>
          <w:p w14:paraId="48448FA7" w14:textId="3CB25150"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9" w:type="pct"/>
            <w:gridSpan w:val="4"/>
            <w:tcBorders>
              <w:top w:val="nil"/>
              <w:left w:val="nil"/>
              <w:bottom w:val="nil"/>
              <w:right w:val="nil"/>
            </w:tcBorders>
            <w:shd w:val="clear" w:color="auto" w:fill="auto"/>
            <w:noWrap/>
            <w:vAlign w:val="bottom"/>
            <w:hideMark/>
          </w:tcPr>
          <w:p w14:paraId="0947D2E9" w14:textId="1FE63FEA"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9" w:type="pct"/>
            <w:gridSpan w:val="3"/>
            <w:tcBorders>
              <w:top w:val="nil"/>
              <w:left w:val="nil"/>
              <w:bottom w:val="nil"/>
              <w:right w:val="nil"/>
            </w:tcBorders>
            <w:shd w:val="clear" w:color="auto" w:fill="auto"/>
            <w:noWrap/>
            <w:vAlign w:val="bottom"/>
            <w:hideMark/>
          </w:tcPr>
          <w:p w14:paraId="2372F4EF" w14:textId="5F2EB57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8" w:type="pct"/>
            <w:tcBorders>
              <w:top w:val="nil"/>
              <w:left w:val="nil"/>
              <w:bottom w:val="nil"/>
              <w:right w:val="nil"/>
            </w:tcBorders>
            <w:shd w:val="clear" w:color="auto" w:fill="auto"/>
            <w:noWrap/>
            <w:vAlign w:val="bottom"/>
            <w:hideMark/>
          </w:tcPr>
          <w:p w14:paraId="0C2B48D3" w14:textId="1DF5998A"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5A2E3C" w14:paraId="6AD8EC03" w14:textId="77777777" w:rsidTr="00CA1DC1">
        <w:trPr>
          <w:gridAfter w:val="1"/>
          <w:wAfter w:w="4" w:type="pct"/>
          <w:trHeight w:val="204"/>
        </w:trPr>
        <w:tc>
          <w:tcPr>
            <w:tcW w:w="1977" w:type="pct"/>
            <w:tcBorders>
              <w:top w:val="nil"/>
              <w:left w:val="nil"/>
              <w:bottom w:val="nil"/>
              <w:right w:val="nil"/>
            </w:tcBorders>
            <w:shd w:val="clear" w:color="auto" w:fill="auto"/>
            <w:vAlign w:val="bottom"/>
            <w:hideMark/>
          </w:tcPr>
          <w:p w14:paraId="464A8EE1" w14:textId="77777777" w:rsidR="002E16EE" w:rsidRPr="005A2E3C" w:rsidRDefault="002E16EE" w:rsidP="00BA7FAF">
            <w:pPr>
              <w:spacing w:after="0" w:line="240" w:lineRule="auto"/>
              <w:jc w:val="right"/>
              <w:rPr>
                <w:rFonts w:ascii="Arial" w:hAnsi="Arial" w:cs="Arial"/>
                <w:b/>
                <w:bCs/>
                <w:sz w:val="16"/>
                <w:szCs w:val="16"/>
              </w:rPr>
            </w:pPr>
            <w:r w:rsidRPr="005A2E3C">
              <w:rPr>
                <w:rFonts w:ascii="Arial" w:hAnsi="Arial" w:cs="Arial"/>
                <w:b/>
                <w:bCs/>
                <w:sz w:val="16"/>
                <w:szCs w:val="16"/>
              </w:rPr>
              <w:t>Total departmental expenses</w:t>
            </w:r>
          </w:p>
        </w:tc>
        <w:tc>
          <w:tcPr>
            <w:tcW w:w="665" w:type="pct"/>
            <w:gridSpan w:val="2"/>
            <w:tcBorders>
              <w:top w:val="single" w:sz="4" w:space="0" w:color="auto"/>
              <w:left w:val="nil"/>
              <w:bottom w:val="single" w:sz="4" w:space="0" w:color="auto"/>
              <w:right w:val="nil"/>
            </w:tcBorders>
            <w:shd w:val="clear" w:color="auto" w:fill="auto"/>
            <w:noWrap/>
            <w:vAlign w:val="bottom"/>
            <w:hideMark/>
          </w:tcPr>
          <w:p w14:paraId="3558252E" w14:textId="720FF2C9"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90,134</w:t>
            </w:r>
          </w:p>
        </w:tc>
        <w:tc>
          <w:tcPr>
            <w:tcW w:w="588" w:type="pct"/>
            <w:gridSpan w:val="2"/>
            <w:tcBorders>
              <w:top w:val="single" w:sz="4" w:space="0" w:color="auto"/>
              <w:left w:val="nil"/>
              <w:bottom w:val="single" w:sz="4" w:space="0" w:color="auto"/>
              <w:right w:val="nil"/>
            </w:tcBorders>
            <w:shd w:val="clear" w:color="auto" w:fill="E6E6E6"/>
            <w:noWrap/>
            <w:vAlign w:val="bottom"/>
            <w:hideMark/>
          </w:tcPr>
          <w:p w14:paraId="11972E94" w14:textId="68E1F6F0"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78,137</w:t>
            </w:r>
          </w:p>
        </w:tc>
        <w:tc>
          <w:tcPr>
            <w:tcW w:w="589" w:type="pct"/>
            <w:gridSpan w:val="4"/>
            <w:tcBorders>
              <w:top w:val="single" w:sz="4" w:space="0" w:color="auto"/>
              <w:left w:val="nil"/>
              <w:bottom w:val="single" w:sz="4" w:space="0" w:color="auto"/>
              <w:right w:val="nil"/>
            </w:tcBorders>
            <w:shd w:val="clear" w:color="auto" w:fill="auto"/>
            <w:noWrap/>
            <w:vAlign w:val="bottom"/>
            <w:hideMark/>
          </w:tcPr>
          <w:p w14:paraId="6FE2A793" w14:textId="3FCB4102"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63,385</w:t>
            </w:r>
          </w:p>
        </w:tc>
        <w:tc>
          <w:tcPr>
            <w:tcW w:w="589" w:type="pct"/>
            <w:gridSpan w:val="3"/>
            <w:tcBorders>
              <w:top w:val="single" w:sz="4" w:space="0" w:color="auto"/>
              <w:left w:val="nil"/>
              <w:bottom w:val="single" w:sz="4" w:space="0" w:color="auto"/>
              <w:right w:val="nil"/>
            </w:tcBorders>
            <w:shd w:val="clear" w:color="auto" w:fill="auto"/>
            <w:noWrap/>
            <w:vAlign w:val="bottom"/>
            <w:hideMark/>
          </w:tcPr>
          <w:p w14:paraId="65439B00" w14:textId="7389D22C"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59,768</w:t>
            </w:r>
          </w:p>
        </w:tc>
        <w:tc>
          <w:tcPr>
            <w:tcW w:w="588" w:type="pct"/>
            <w:tcBorders>
              <w:top w:val="single" w:sz="4" w:space="0" w:color="auto"/>
              <w:left w:val="nil"/>
              <w:bottom w:val="single" w:sz="4" w:space="0" w:color="auto"/>
              <w:right w:val="nil"/>
            </w:tcBorders>
            <w:shd w:val="clear" w:color="auto" w:fill="auto"/>
            <w:noWrap/>
            <w:vAlign w:val="bottom"/>
            <w:hideMark/>
          </w:tcPr>
          <w:p w14:paraId="6D9E3EB7" w14:textId="0950EA22"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53,062</w:t>
            </w:r>
          </w:p>
        </w:tc>
      </w:tr>
      <w:tr w:rsidR="002E16EE" w:rsidRPr="005A2E3C" w14:paraId="153CBBD3" w14:textId="77777777" w:rsidTr="00CA1DC1">
        <w:trPr>
          <w:gridAfter w:val="1"/>
          <w:wAfter w:w="4" w:type="pct"/>
          <w:trHeight w:val="204"/>
        </w:trPr>
        <w:tc>
          <w:tcPr>
            <w:tcW w:w="1977" w:type="pct"/>
            <w:tcBorders>
              <w:top w:val="nil"/>
              <w:left w:val="nil"/>
              <w:bottom w:val="single" w:sz="4" w:space="0" w:color="auto"/>
              <w:right w:val="nil"/>
            </w:tcBorders>
            <w:shd w:val="clear" w:color="auto" w:fill="auto"/>
            <w:noWrap/>
            <w:vAlign w:val="bottom"/>
            <w:hideMark/>
          </w:tcPr>
          <w:p w14:paraId="1EE320E9" w14:textId="77777777" w:rsidR="002E16EE" w:rsidRPr="005A2E3C" w:rsidRDefault="002E16EE" w:rsidP="002E16EE">
            <w:pPr>
              <w:spacing w:after="0" w:line="240" w:lineRule="auto"/>
              <w:rPr>
                <w:rFonts w:ascii="Arial" w:hAnsi="Arial" w:cs="Arial"/>
                <w:b/>
                <w:bCs/>
                <w:sz w:val="16"/>
                <w:szCs w:val="16"/>
              </w:rPr>
            </w:pPr>
            <w:r w:rsidRPr="005A2E3C">
              <w:rPr>
                <w:rFonts w:ascii="Arial" w:hAnsi="Arial" w:cs="Arial"/>
                <w:b/>
                <w:bCs/>
                <w:sz w:val="16"/>
                <w:szCs w:val="16"/>
              </w:rPr>
              <w:t>Total expenses for Outcome 3</w:t>
            </w:r>
          </w:p>
        </w:tc>
        <w:tc>
          <w:tcPr>
            <w:tcW w:w="665" w:type="pct"/>
            <w:gridSpan w:val="2"/>
            <w:tcBorders>
              <w:top w:val="nil"/>
              <w:left w:val="nil"/>
              <w:bottom w:val="single" w:sz="4" w:space="0" w:color="auto"/>
              <w:right w:val="nil"/>
            </w:tcBorders>
            <w:shd w:val="clear" w:color="auto" w:fill="auto"/>
            <w:noWrap/>
            <w:vAlign w:val="bottom"/>
            <w:hideMark/>
          </w:tcPr>
          <w:p w14:paraId="0A723AD4" w14:textId="0032CF7B"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5,228,404</w:t>
            </w:r>
          </w:p>
        </w:tc>
        <w:tc>
          <w:tcPr>
            <w:tcW w:w="588" w:type="pct"/>
            <w:gridSpan w:val="2"/>
            <w:tcBorders>
              <w:top w:val="nil"/>
              <w:left w:val="nil"/>
              <w:bottom w:val="single" w:sz="4" w:space="0" w:color="auto"/>
              <w:right w:val="nil"/>
            </w:tcBorders>
            <w:shd w:val="clear" w:color="auto" w:fill="E6E6E6"/>
            <w:noWrap/>
            <w:vAlign w:val="bottom"/>
            <w:hideMark/>
          </w:tcPr>
          <w:p w14:paraId="5B47829F" w14:textId="384E4CD8"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2,820,679</w:t>
            </w:r>
          </w:p>
        </w:tc>
        <w:tc>
          <w:tcPr>
            <w:tcW w:w="589" w:type="pct"/>
            <w:gridSpan w:val="4"/>
            <w:tcBorders>
              <w:top w:val="nil"/>
              <w:left w:val="nil"/>
              <w:bottom w:val="single" w:sz="4" w:space="0" w:color="auto"/>
              <w:right w:val="nil"/>
            </w:tcBorders>
            <w:shd w:val="clear" w:color="auto" w:fill="auto"/>
            <w:noWrap/>
            <w:vAlign w:val="bottom"/>
            <w:hideMark/>
          </w:tcPr>
          <w:p w14:paraId="616B0306" w14:textId="2EE6C5ED"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4,990,171</w:t>
            </w:r>
          </w:p>
        </w:tc>
        <w:tc>
          <w:tcPr>
            <w:tcW w:w="589" w:type="pct"/>
            <w:gridSpan w:val="3"/>
            <w:tcBorders>
              <w:top w:val="nil"/>
              <w:left w:val="nil"/>
              <w:bottom w:val="single" w:sz="4" w:space="0" w:color="auto"/>
              <w:right w:val="nil"/>
            </w:tcBorders>
            <w:shd w:val="clear" w:color="auto" w:fill="auto"/>
            <w:noWrap/>
            <w:vAlign w:val="bottom"/>
            <w:hideMark/>
          </w:tcPr>
          <w:p w14:paraId="615FE148" w14:textId="6643D396"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4,948,790</w:t>
            </w:r>
          </w:p>
        </w:tc>
        <w:tc>
          <w:tcPr>
            <w:tcW w:w="588" w:type="pct"/>
            <w:tcBorders>
              <w:top w:val="nil"/>
              <w:left w:val="nil"/>
              <w:bottom w:val="single" w:sz="4" w:space="0" w:color="auto"/>
              <w:right w:val="nil"/>
            </w:tcBorders>
            <w:shd w:val="clear" w:color="auto" w:fill="auto"/>
            <w:noWrap/>
            <w:vAlign w:val="bottom"/>
            <w:hideMark/>
          </w:tcPr>
          <w:p w14:paraId="36527AC6" w14:textId="53190E10" w:rsidR="002E16EE" w:rsidRPr="005A2E3C" w:rsidRDefault="002E16EE" w:rsidP="002E16EE">
            <w:pPr>
              <w:spacing w:after="0" w:line="240" w:lineRule="auto"/>
              <w:jc w:val="right"/>
              <w:rPr>
                <w:rFonts w:ascii="Arial" w:hAnsi="Arial" w:cs="Arial"/>
                <w:b/>
                <w:bCs/>
                <w:sz w:val="16"/>
                <w:szCs w:val="16"/>
              </w:rPr>
            </w:pPr>
            <w:r>
              <w:rPr>
                <w:rFonts w:ascii="Arial" w:hAnsi="Arial" w:cs="Arial"/>
                <w:b/>
                <w:bCs/>
                <w:sz w:val="16"/>
                <w:szCs w:val="16"/>
              </w:rPr>
              <w:t>5,010,190</w:t>
            </w:r>
          </w:p>
        </w:tc>
      </w:tr>
    </w:tbl>
    <w:p w14:paraId="55FE427A" w14:textId="77777777" w:rsidR="00115843" w:rsidRDefault="00115843" w:rsidP="00115843">
      <w:pPr>
        <w:spacing w:after="0" w:line="240" w:lineRule="auto"/>
        <w:rPr>
          <w:rFonts w:ascii="Arial" w:hAnsi="Arial" w:cs="Arial"/>
          <w:sz w:val="16"/>
        </w:rPr>
      </w:pPr>
    </w:p>
    <w:tbl>
      <w:tblPr>
        <w:tblW w:w="5000" w:type="pct"/>
        <w:tblLayout w:type="fixed"/>
        <w:tblLook w:val="04A0" w:firstRow="1" w:lastRow="0" w:firstColumn="1" w:lastColumn="0" w:noHBand="0" w:noVBand="1"/>
      </w:tblPr>
      <w:tblGrid>
        <w:gridCol w:w="2853"/>
        <w:gridCol w:w="1306"/>
        <w:gridCol w:w="873"/>
        <w:gridCol w:w="880"/>
        <w:gridCol w:w="899"/>
        <w:gridCol w:w="899"/>
      </w:tblGrid>
      <w:tr w:rsidR="00115843" w:rsidRPr="005A2E3C" w14:paraId="7E7EDCCD" w14:textId="77777777" w:rsidTr="00FE1B99">
        <w:trPr>
          <w:trHeight w:val="204"/>
        </w:trPr>
        <w:tc>
          <w:tcPr>
            <w:tcW w:w="1850" w:type="pct"/>
            <w:tcBorders>
              <w:top w:val="single" w:sz="4" w:space="0" w:color="auto"/>
              <w:left w:val="nil"/>
              <w:bottom w:val="nil"/>
              <w:right w:val="nil"/>
            </w:tcBorders>
            <w:shd w:val="clear" w:color="auto" w:fill="auto"/>
            <w:vAlign w:val="bottom"/>
            <w:hideMark/>
          </w:tcPr>
          <w:p w14:paraId="16491E56" w14:textId="26B7E8F3" w:rsidR="00115843" w:rsidRPr="005A2E3C" w:rsidRDefault="00115843" w:rsidP="00FB0D02">
            <w:pPr>
              <w:spacing w:after="0" w:line="240" w:lineRule="auto"/>
              <w:rPr>
                <w:rFonts w:ascii="Arial" w:hAnsi="Arial" w:cs="Arial"/>
                <w:b/>
                <w:bCs/>
                <w:sz w:val="16"/>
                <w:szCs w:val="16"/>
              </w:rPr>
            </w:pPr>
            <w:r w:rsidRPr="005A2E3C">
              <w:rPr>
                <w:rFonts w:ascii="Arial" w:hAnsi="Arial" w:cs="Arial"/>
                <w:b/>
                <w:bCs/>
                <w:sz w:val="16"/>
                <w:szCs w:val="16"/>
              </w:rPr>
              <w:t xml:space="preserve">Movement of administered funds between years </w:t>
            </w:r>
            <w:r w:rsidRPr="00C07B07">
              <w:rPr>
                <w:rFonts w:ascii="Arial" w:hAnsi="Arial" w:cs="Arial"/>
                <w:bCs/>
                <w:sz w:val="16"/>
                <w:szCs w:val="16"/>
                <w:vertAlign w:val="superscript"/>
              </w:rPr>
              <w:t>(</w:t>
            </w:r>
            <w:r w:rsidR="002E16EE">
              <w:rPr>
                <w:rFonts w:ascii="Arial" w:hAnsi="Arial" w:cs="Arial"/>
                <w:bCs/>
                <w:sz w:val="16"/>
                <w:szCs w:val="16"/>
                <w:vertAlign w:val="superscript"/>
              </w:rPr>
              <w:t>e</w:t>
            </w:r>
            <w:r w:rsidRPr="00C07B07">
              <w:rPr>
                <w:rFonts w:ascii="Arial" w:hAnsi="Arial" w:cs="Arial"/>
                <w:bCs/>
                <w:sz w:val="16"/>
                <w:szCs w:val="16"/>
                <w:vertAlign w:val="superscript"/>
              </w:rPr>
              <w:t>)(</w:t>
            </w:r>
            <w:r w:rsidR="002E16EE">
              <w:rPr>
                <w:rFonts w:ascii="Arial" w:hAnsi="Arial" w:cs="Arial"/>
                <w:bCs/>
                <w:sz w:val="16"/>
                <w:szCs w:val="16"/>
                <w:vertAlign w:val="superscript"/>
              </w:rPr>
              <w:t>f</w:t>
            </w:r>
            <w:r w:rsidRPr="00C07B07">
              <w:rPr>
                <w:rFonts w:ascii="Arial" w:hAnsi="Arial" w:cs="Arial"/>
                <w:bCs/>
                <w:sz w:val="16"/>
                <w:szCs w:val="16"/>
                <w:vertAlign w:val="superscript"/>
              </w:rPr>
              <w:t>)</w:t>
            </w:r>
          </w:p>
        </w:tc>
        <w:tc>
          <w:tcPr>
            <w:tcW w:w="847" w:type="pct"/>
            <w:tcBorders>
              <w:top w:val="single" w:sz="4" w:space="0" w:color="auto"/>
              <w:left w:val="nil"/>
              <w:bottom w:val="nil"/>
              <w:right w:val="nil"/>
            </w:tcBorders>
            <w:shd w:val="clear" w:color="auto" w:fill="auto"/>
            <w:vAlign w:val="bottom"/>
            <w:hideMark/>
          </w:tcPr>
          <w:p w14:paraId="0E1D7ED2" w14:textId="77777777" w:rsidR="00115843" w:rsidRPr="005A2E3C" w:rsidRDefault="00115843" w:rsidP="00FB0D02">
            <w:pPr>
              <w:spacing w:after="0" w:line="240" w:lineRule="auto"/>
              <w:jc w:val="right"/>
              <w:rPr>
                <w:rFonts w:ascii="Arial" w:hAnsi="Arial" w:cs="Arial"/>
                <w:b/>
                <w:bCs/>
                <w:sz w:val="16"/>
                <w:szCs w:val="16"/>
              </w:rPr>
            </w:pPr>
          </w:p>
        </w:tc>
        <w:tc>
          <w:tcPr>
            <w:tcW w:w="566" w:type="pct"/>
            <w:tcBorders>
              <w:top w:val="single" w:sz="4" w:space="0" w:color="auto"/>
              <w:left w:val="nil"/>
              <w:bottom w:val="nil"/>
              <w:right w:val="nil"/>
            </w:tcBorders>
            <w:shd w:val="clear" w:color="auto" w:fill="E6E6E6"/>
            <w:vAlign w:val="bottom"/>
            <w:hideMark/>
          </w:tcPr>
          <w:p w14:paraId="1C96ECE6" w14:textId="77777777" w:rsidR="00115843" w:rsidRPr="005A2E3C" w:rsidRDefault="00115843" w:rsidP="00FB0D02">
            <w:pPr>
              <w:spacing w:after="0" w:line="240" w:lineRule="auto"/>
              <w:jc w:val="right"/>
              <w:rPr>
                <w:rFonts w:ascii="Arial" w:hAnsi="Arial" w:cs="Arial"/>
                <w:sz w:val="16"/>
                <w:szCs w:val="16"/>
              </w:rPr>
            </w:pPr>
          </w:p>
        </w:tc>
        <w:tc>
          <w:tcPr>
            <w:tcW w:w="571" w:type="pct"/>
            <w:tcBorders>
              <w:top w:val="single" w:sz="4" w:space="0" w:color="auto"/>
              <w:left w:val="nil"/>
              <w:bottom w:val="nil"/>
              <w:right w:val="nil"/>
            </w:tcBorders>
            <w:shd w:val="clear" w:color="auto" w:fill="auto"/>
            <w:vAlign w:val="bottom"/>
            <w:hideMark/>
          </w:tcPr>
          <w:p w14:paraId="650AE647" w14:textId="77777777" w:rsidR="00115843" w:rsidRPr="005A2E3C" w:rsidRDefault="00115843" w:rsidP="00FB0D02">
            <w:pPr>
              <w:spacing w:after="0" w:line="240" w:lineRule="auto"/>
              <w:jc w:val="right"/>
              <w:rPr>
                <w:rFonts w:ascii="Arial" w:hAnsi="Arial" w:cs="Arial"/>
                <w:sz w:val="16"/>
                <w:szCs w:val="16"/>
              </w:rPr>
            </w:pPr>
          </w:p>
        </w:tc>
        <w:tc>
          <w:tcPr>
            <w:tcW w:w="583" w:type="pct"/>
            <w:tcBorders>
              <w:top w:val="single" w:sz="4" w:space="0" w:color="auto"/>
              <w:left w:val="nil"/>
              <w:bottom w:val="nil"/>
              <w:right w:val="nil"/>
            </w:tcBorders>
            <w:shd w:val="clear" w:color="auto" w:fill="auto"/>
            <w:vAlign w:val="bottom"/>
            <w:hideMark/>
          </w:tcPr>
          <w:p w14:paraId="6E3130DE" w14:textId="77777777" w:rsidR="00115843" w:rsidRPr="005A2E3C" w:rsidRDefault="00115843" w:rsidP="00FB0D02">
            <w:pPr>
              <w:spacing w:after="0" w:line="240" w:lineRule="auto"/>
              <w:jc w:val="right"/>
              <w:rPr>
                <w:rFonts w:ascii="Times New Roman" w:hAnsi="Times New Roman"/>
              </w:rPr>
            </w:pPr>
          </w:p>
        </w:tc>
        <w:tc>
          <w:tcPr>
            <w:tcW w:w="583" w:type="pct"/>
            <w:tcBorders>
              <w:top w:val="single" w:sz="4" w:space="0" w:color="auto"/>
              <w:left w:val="nil"/>
              <w:bottom w:val="nil"/>
              <w:right w:val="nil"/>
            </w:tcBorders>
            <w:shd w:val="clear" w:color="auto" w:fill="auto"/>
            <w:vAlign w:val="bottom"/>
            <w:hideMark/>
          </w:tcPr>
          <w:p w14:paraId="702CB73F" w14:textId="77777777" w:rsidR="00115843" w:rsidRPr="005A2E3C" w:rsidRDefault="00115843" w:rsidP="00FB0D02">
            <w:pPr>
              <w:spacing w:after="0" w:line="240" w:lineRule="auto"/>
              <w:jc w:val="right"/>
              <w:rPr>
                <w:rFonts w:ascii="Times New Roman" w:hAnsi="Times New Roman"/>
              </w:rPr>
            </w:pPr>
          </w:p>
        </w:tc>
      </w:tr>
      <w:tr w:rsidR="002E16EE" w:rsidRPr="005A2E3C" w14:paraId="00F844EF" w14:textId="77777777" w:rsidTr="00FE1B99">
        <w:trPr>
          <w:trHeight w:val="204"/>
        </w:trPr>
        <w:tc>
          <w:tcPr>
            <w:tcW w:w="1850" w:type="pct"/>
            <w:tcBorders>
              <w:top w:val="nil"/>
              <w:left w:val="nil"/>
              <w:bottom w:val="nil"/>
              <w:right w:val="nil"/>
            </w:tcBorders>
            <w:shd w:val="clear" w:color="auto" w:fill="auto"/>
            <w:noWrap/>
            <w:vAlign w:val="bottom"/>
            <w:hideMark/>
          </w:tcPr>
          <w:p w14:paraId="63E99A7C"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Program 3.1: Regional Development</w:t>
            </w:r>
          </w:p>
        </w:tc>
        <w:tc>
          <w:tcPr>
            <w:tcW w:w="847" w:type="pct"/>
            <w:tcBorders>
              <w:top w:val="nil"/>
              <w:left w:val="nil"/>
              <w:bottom w:val="nil"/>
              <w:right w:val="nil"/>
            </w:tcBorders>
            <w:shd w:val="clear" w:color="auto" w:fill="auto"/>
            <w:noWrap/>
            <w:vAlign w:val="bottom"/>
            <w:hideMark/>
          </w:tcPr>
          <w:p w14:paraId="13D86430" w14:textId="716C87F0"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(102,353)</w:t>
            </w:r>
          </w:p>
        </w:tc>
        <w:tc>
          <w:tcPr>
            <w:tcW w:w="566" w:type="pct"/>
            <w:tcBorders>
              <w:top w:val="nil"/>
              <w:left w:val="nil"/>
              <w:bottom w:val="nil"/>
              <w:right w:val="nil"/>
            </w:tcBorders>
            <w:shd w:val="clear" w:color="auto" w:fill="E6E6E6"/>
            <w:vAlign w:val="bottom"/>
            <w:hideMark/>
          </w:tcPr>
          <w:p w14:paraId="6F883072" w14:textId="3403130D"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102</w:t>
            </w:r>
            <w:r w:rsidR="00433BB4">
              <w:rPr>
                <w:rFonts w:ascii="Arial" w:hAnsi="Arial" w:cs="Arial"/>
                <w:sz w:val="16"/>
                <w:szCs w:val="16"/>
              </w:rPr>
              <w:t>,</w:t>
            </w:r>
            <w:r>
              <w:rPr>
                <w:rFonts w:ascii="Arial" w:hAnsi="Arial" w:cs="Arial"/>
                <w:sz w:val="16"/>
                <w:szCs w:val="16"/>
              </w:rPr>
              <w:t>353</w:t>
            </w:r>
          </w:p>
        </w:tc>
        <w:tc>
          <w:tcPr>
            <w:tcW w:w="571" w:type="pct"/>
            <w:tcBorders>
              <w:top w:val="nil"/>
              <w:left w:val="nil"/>
              <w:bottom w:val="nil"/>
              <w:right w:val="nil"/>
            </w:tcBorders>
            <w:shd w:val="clear" w:color="auto" w:fill="auto"/>
            <w:noWrap/>
            <w:vAlign w:val="bottom"/>
            <w:hideMark/>
          </w:tcPr>
          <w:p w14:paraId="56B7694B" w14:textId="5CBC2B1D"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554F4108" w14:textId="39CED9F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5C7EA121" w14:textId="4F8DB2AC"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5A2E3C" w14:paraId="25057A75" w14:textId="77777777" w:rsidTr="00FE1B99">
        <w:trPr>
          <w:trHeight w:val="204"/>
        </w:trPr>
        <w:tc>
          <w:tcPr>
            <w:tcW w:w="1850" w:type="pct"/>
            <w:tcBorders>
              <w:top w:val="nil"/>
              <w:left w:val="nil"/>
              <w:bottom w:val="nil"/>
              <w:right w:val="nil"/>
            </w:tcBorders>
            <w:shd w:val="clear" w:color="auto" w:fill="auto"/>
            <w:noWrap/>
            <w:vAlign w:val="bottom"/>
            <w:hideMark/>
          </w:tcPr>
          <w:p w14:paraId="4F794569"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Program 3.2: Local Government</w:t>
            </w:r>
          </w:p>
        </w:tc>
        <w:tc>
          <w:tcPr>
            <w:tcW w:w="847" w:type="pct"/>
            <w:tcBorders>
              <w:top w:val="nil"/>
              <w:left w:val="nil"/>
              <w:bottom w:val="nil"/>
              <w:right w:val="nil"/>
            </w:tcBorders>
            <w:shd w:val="clear" w:color="auto" w:fill="auto"/>
            <w:noWrap/>
            <w:vAlign w:val="bottom"/>
            <w:hideMark/>
          </w:tcPr>
          <w:p w14:paraId="7A68BD03" w14:textId="3ADECF31"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(316,303)</w:t>
            </w:r>
          </w:p>
        </w:tc>
        <w:tc>
          <w:tcPr>
            <w:tcW w:w="566" w:type="pct"/>
            <w:tcBorders>
              <w:top w:val="nil"/>
              <w:left w:val="nil"/>
              <w:bottom w:val="nil"/>
              <w:right w:val="nil"/>
            </w:tcBorders>
            <w:shd w:val="clear" w:color="auto" w:fill="E6E6E6"/>
            <w:noWrap/>
            <w:vAlign w:val="bottom"/>
            <w:hideMark/>
          </w:tcPr>
          <w:p w14:paraId="1F2808AA" w14:textId="63775A61"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316</w:t>
            </w:r>
            <w:r w:rsidR="00433BB4">
              <w:rPr>
                <w:rFonts w:ascii="Arial" w:hAnsi="Arial" w:cs="Arial"/>
                <w:sz w:val="16"/>
                <w:szCs w:val="16"/>
              </w:rPr>
              <w:t>,</w:t>
            </w:r>
            <w:r>
              <w:rPr>
                <w:rFonts w:ascii="Arial" w:hAnsi="Arial" w:cs="Arial"/>
                <w:sz w:val="16"/>
                <w:szCs w:val="16"/>
              </w:rPr>
              <w:t>303</w:t>
            </w:r>
          </w:p>
        </w:tc>
        <w:tc>
          <w:tcPr>
            <w:tcW w:w="571" w:type="pct"/>
            <w:tcBorders>
              <w:top w:val="nil"/>
              <w:left w:val="nil"/>
              <w:bottom w:val="nil"/>
              <w:right w:val="nil"/>
            </w:tcBorders>
            <w:shd w:val="clear" w:color="auto" w:fill="auto"/>
            <w:noWrap/>
            <w:vAlign w:val="bottom"/>
            <w:hideMark/>
          </w:tcPr>
          <w:p w14:paraId="5DE11CE0" w14:textId="183259CC"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201DA348" w14:textId="5EAB9D81"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2C0DB5D5" w14:textId="78C6591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5A2E3C" w14:paraId="23326B13" w14:textId="77777777" w:rsidTr="00FE1B99">
        <w:trPr>
          <w:trHeight w:val="204"/>
        </w:trPr>
        <w:tc>
          <w:tcPr>
            <w:tcW w:w="1850" w:type="pct"/>
            <w:tcBorders>
              <w:top w:val="nil"/>
              <w:left w:val="nil"/>
              <w:bottom w:val="nil"/>
              <w:right w:val="nil"/>
            </w:tcBorders>
            <w:shd w:val="clear" w:color="auto" w:fill="auto"/>
            <w:noWrap/>
            <w:vAlign w:val="bottom"/>
            <w:hideMark/>
          </w:tcPr>
          <w:p w14:paraId="5E379851" w14:textId="77777777"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Program 3.3: Cities</w:t>
            </w:r>
          </w:p>
        </w:tc>
        <w:tc>
          <w:tcPr>
            <w:tcW w:w="847" w:type="pct"/>
            <w:tcBorders>
              <w:top w:val="nil"/>
              <w:left w:val="nil"/>
              <w:bottom w:val="nil"/>
              <w:right w:val="nil"/>
            </w:tcBorders>
            <w:shd w:val="clear" w:color="auto" w:fill="auto"/>
            <w:noWrap/>
            <w:vAlign w:val="bottom"/>
            <w:hideMark/>
          </w:tcPr>
          <w:p w14:paraId="15DB5603" w14:textId="4B55423F"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(438)</w:t>
            </w:r>
          </w:p>
        </w:tc>
        <w:tc>
          <w:tcPr>
            <w:tcW w:w="566" w:type="pct"/>
            <w:tcBorders>
              <w:top w:val="nil"/>
              <w:left w:val="nil"/>
              <w:bottom w:val="nil"/>
              <w:right w:val="nil"/>
            </w:tcBorders>
            <w:shd w:val="clear" w:color="auto" w:fill="E6E6E6"/>
            <w:noWrap/>
            <w:vAlign w:val="bottom"/>
            <w:hideMark/>
          </w:tcPr>
          <w:p w14:paraId="1A7F6ADD" w14:textId="6C55CC61"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338</w:t>
            </w:r>
          </w:p>
        </w:tc>
        <w:tc>
          <w:tcPr>
            <w:tcW w:w="571" w:type="pct"/>
            <w:tcBorders>
              <w:top w:val="nil"/>
              <w:left w:val="nil"/>
              <w:bottom w:val="nil"/>
              <w:right w:val="nil"/>
            </w:tcBorders>
            <w:shd w:val="clear" w:color="auto" w:fill="auto"/>
            <w:noWrap/>
            <w:vAlign w:val="bottom"/>
            <w:hideMark/>
          </w:tcPr>
          <w:p w14:paraId="2533557C" w14:textId="328EA870"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100</w:t>
            </w:r>
          </w:p>
        </w:tc>
        <w:tc>
          <w:tcPr>
            <w:tcW w:w="583" w:type="pct"/>
            <w:tcBorders>
              <w:top w:val="nil"/>
              <w:left w:val="nil"/>
              <w:bottom w:val="nil"/>
              <w:right w:val="nil"/>
            </w:tcBorders>
            <w:shd w:val="clear" w:color="auto" w:fill="auto"/>
            <w:noWrap/>
            <w:vAlign w:val="bottom"/>
            <w:hideMark/>
          </w:tcPr>
          <w:p w14:paraId="3D634E8A" w14:textId="25E0ACA0"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25C8CB77" w14:textId="374B4B18"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w:t>
            </w:r>
          </w:p>
        </w:tc>
      </w:tr>
      <w:tr w:rsidR="002E16EE" w:rsidRPr="005A2E3C" w14:paraId="6BDE27D9" w14:textId="77777777" w:rsidTr="00FE1B99">
        <w:trPr>
          <w:trHeight w:val="204"/>
        </w:trPr>
        <w:tc>
          <w:tcPr>
            <w:tcW w:w="1850" w:type="pct"/>
            <w:tcBorders>
              <w:top w:val="nil"/>
              <w:left w:val="nil"/>
              <w:right w:val="nil"/>
            </w:tcBorders>
            <w:shd w:val="clear" w:color="auto" w:fill="auto"/>
            <w:vAlign w:val="bottom"/>
            <w:hideMark/>
          </w:tcPr>
          <w:p w14:paraId="60427F62" w14:textId="3BA2376A" w:rsidR="002E16EE" w:rsidRPr="005A2E3C" w:rsidRDefault="002E16EE" w:rsidP="002E16EE">
            <w:pPr>
              <w:spacing w:after="0" w:line="240" w:lineRule="auto"/>
              <w:ind w:left="113"/>
              <w:rPr>
                <w:rFonts w:ascii="Arial" w:hAnsi="Arial" w:cs="Arial"/>
                <w:sz w:val="16"/>
                <w:szCs w:val="16"/>
              </w:rPr>
            </w:pPr>
            <w:r w:rsidRPr="005A2E3C">
              <w:rPr>
                <w:rFonts w:ascii="Arial" w:hAnsi="Arial" w:cs="Arial"/>
                <w:sz w:val="16"/>
                <w:szCs w:val="16"/>
              </w:rPr>
              <w:t xml:space="preserve">Program 3.4: Growing a Stronger Northern </w:t>
            </w:r>
            <w:r>
              <w:rPr>
                <w:rFonts w:ascii="Arial" w:hAnsi="Arial" w:cs="Arial"/>
                <w:sz w:val="16"/>
                <w:szCs w:val="16"/>
              </w:rPr>
              <w:t>Australian</w:t>
            </w:r>
            <w:r w:rsidRPr="005A2E3C">
              <w:rPr>
                <w:rFonts w:ascii="Arial" w:hAnsi="Arial" w:cs="Arial"/>
                <w:sz w:val="16"/>
                <w:szCs w:val="16"/>
              </w:rPr>
              <w:t xml:space="preserve"> Economy</w:t>
            </w:r>
          </w:p>
        </w:tc>
        <w:tc>
          <w:tcPr>
            <w:tcW w:w="847" w:type="pct"/>
            <w:tcBorders>
              <w:top w:val="nil"/>
              <w:left w:val="nil"/>
              <w:bottom w:val="single" w:sz="4" w:space="0" w:color="auto"/>
              <w:right w:val="nil"/>
            </w:tcBorders>
            <w:shd w:val="clear" w:color="auto" w:fill="auto"/>
            <w:noWrap/>
            <w:vAlign w:val="bottom"/>
            <w:hideMark/>
          </w:tcPr>
          <w:p w14:paraId="721DB761" w14:textId="52166BD7"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(18,378)</w:t>
            </w:r>
          </w:p>
        </w:tc>
        <w:tc>
          <w:tcPr>
            <w:tcW w:w="566" w:type="pct"/>
            <w:tcBorders>
              <w:top w:val="nil"/>
              <w:left w:val="nil"/>
              <w:bottom w:val="single" w:sz="4" w:space="0" w:color="auto"/>
              <w:right w:val="nil"/>
            </w:tcBorders>
            <w:shd w:val="clear" w:color="auto" w:fill="E6E6E6"/>
            <w:noWrap/>
            <w:vAlign w:val="bottom"/>
            <w:hideMark/>
          </w:tcPr>
          <w:p w14:paraId="7910E9D6" w14:textId="5E8CB0CF"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7,633</w:t>
            </w:r>
          </w:p>
        </w:tc>
        <w:tc>
          <w:tcPr>
            <w:tcW w:w="571" w:type="pct"/>
            <w:tcBorders>
              <w:top w:val="nil"/>
              <w:left w:val="nil"/>
              <w:bottom w:val="single" w:sz="4" w:space="0" w:color="auto"/>
              <w:right w:val="nil"/>
            </w:tcBorders>
            <w:shd w:val="clear" w:color="auto" w:fill="auto"/>
            <w:noWrap/>
            <w:vAlign w:val="bottom"/>
            <w:hideMark/>
          </w:tcPr>
          <w:p w14:paraId="18E7C2A3" w14:textId="5667CDEA"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9,529</w:t>
            </w:r>
          </w:p>
        </w:tc>
        <w:tc>
          <w:tcPr>
            <w:tcW w:w="583" w:type="pct"/>
            <w:tcBorders>
              <w:top w:val="nil"/>
              <w:left w:val="nil"/>
              <w:bottom w:val="single" w:sz="4" w:space="0" w:color="auto"/>
              <w:right w:val="nil"/>
            </w:tcBorders>
            <w:shd w:val="clear" w:color="auto" w:fill="auto"/>
            <w:noWrap/>
            <w:vAlign w:val="bottom"/>
            <w:hideMark/>
          </w:tcPr>
          <w:p w14:paraId="0E229F7D" w14:textId="6753663E"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608</w:t>
            </w:r>
          </w:p>
        </w:tc>
        <w:tc>
          <w:tcPr>
            <w:tcW w:w="583" w:type="pct"/>
            <w:tcBorders>
              <w:top w:val="nil"/>
              <w:left w:val="nil"/>
              <w:bottom w:val="single" w:sz="4" w:space="0" w:color="auto"/>
              <w:right w:val="nil"/>
            </w:tcBorders>
            <w:shd w:val="clear" w:color="auto" w:fill="auto"/>
            <w:noWrap/>
            <w:vAlign w:val="bottom"/>
            <w:hideMark/>
          </w:tcPr>
          <w:p w14:paraId="614D41B2" w14:textId="0586495F" w:rsidR="002E16EE" w:rsidRPr="005A2E3C" w:rsidRDefault="002E16EE" w:rsidP="002E16EE">
            <w:pPr>
              <w:spacing w:after="0" w:line="240" w:lineRule="auto"/>
              <w:jc w:val="right"/>
              <w:rPr>
                <w:rFonts w:ascii="Arial" w:hAnsi="Arial" w:cs="Arial"/>
                <w:sz w:val="16"/>
                <w:szCs w:val="16"/>
              </w:rPr>
            </w:pPr>
            <w:r>
              <w:rPr>
                <w:rFonts w:ascii="Arial" w:hAnsi="Arial" w:cs="Arial"/>
                <w:sz w:val="16"/>
                <w:szCs w:val="16"/>
              </w:rPr>
              <w:t>608</w:t>
            </w:r>
          </w:p>
        </w:tc>
      </w:tr>
      <w:tr w:rsidR="002E16EE" w:rsidRPr="003B3EC2" w14:paraId="2B2B1388" w14:textId="77777777" w:rsidTr="00FE1B99">
        <w:trPr>
          <w:trHeight w:val="204"/>
        </w:trPr>
        <w:tc>
          <w:tcPr>
            <w:tcW w:w="1850" w:type="pct"/>
            <w:tcBorders>
              <w:top w:val="nil"/>
              <w:left w:val="nil"/>
              <w:bottom w:val="single" w:sz="4" w:space="0" w:color="auto"/>
              <w:right w:val="nil"/>
            </w:tcBorders>
            <w:shd w:val="clear" w:color="auto" w:fill="auto"/>
            <w:vAlign w:val="bottom"/>
            <w:hideMark/>
          </w:tcPr>
          <w:p w14:paraId="44AB9609" w14:textId="77777777" w:rsidR="002E16EE" w:rsidRPr="003B3EC2" w:rsidRDefault="002E16EE" w:rsidP="00BA7FAF">
            <w:pPr>
              <w:spacing w:after="60" w:line="240" w:lineRule="auto"/>
              <w:ind w:left="113"/>
              <w:rPr>
                <w:rFonts w:ascii="Arial" w:hAnsi="Arial" w:cs="Arial"/>
                <w:b/>
                <w:sz w:val="16"/>
                <w:szCs w:val="16"/>
              </w:rPr>
            </w:pPr>
            <w:r w:rsidRPr="003B3EC2">
              <w:rPr>
                <w:rFonts w:ascii="Arial" w:hAnsi="Arial" w:cs="Arial"/>
                <w:b/>
                <w:sz w:val="16"/>
                <w:szCs w:val="16"/>
              </w:rPr>
              <w:t>Total movement of administered funds between years</w:t>
            </w:r>
          </w:p>
        </w:tc>
        <w:tc>
          <w:tcPr>
            <w:tcW w:w="847" w:type="pct"/>
            <w:tcBorders>
              <w:top w:val="single" w:sz="4" w:space="0" w:color="auto"/>
              <w:left w:val="nil"/>
              <w:bottom w:val="single" w:sz="4" w:space="0" w:color="auto"/>
              <w:right w:val="nil"/>
            </w:tcBorders>
            <w:shd w:val="clear" w:color="auto" w:fill="auto"/>
            <w:noWrap/>
            <w:vAlign w:val="bottom"/>
            <w:hideMark/>
          </w:tcPr>
          <w:p w14:paraId="05A7A7D2" w14:textId="20E817B4" w:rsidR="002E16EE" w:rsidRPr="003B3EC2" w:rsidRDefault="002E16EE" w:rsidP="002E16EE">
            <w:pPr>
              <w:spacing w:after="0" w:line="240" w:lineRule="auto"/>
              <w:jc w:val="right"/>
              <w:rPr>
                <w:rFonts w:ascii="Arial" w:hAnsi="Arial" w:cs="Arial"/>
                <w:b/>
                <w:sz w:val="16"/>
                <w:szCs w:val="16"/>
              </w:rPr>
            </w:pPr>
            <w:r>
              <w:rPr>
                <w:rFonts w:ascii="Arial" w:hAnsi="Arial" w:cs="Arial"/>
                <w:b/>
                <w:bCs/>
                <w:sz w:val="16"/>
                <w:szCs w:val="16"/>
              </w:rPr>
              <w:t>(437,472)</w:t>
            </w:r>
          </w:p>
        </w:tc>
        <w:tc>
          <w:tcPr>
            <w:tcW w:w="566" w:type="pct"/>
            <w:tcBorders>
              <w:top w:val="single" w:sz="4" w:space="0" w:color="auto"/>
              <w:left w:val="nil"/>
              <w:bottom w:val="single" w:sz="4" w:space="0" w:color="auto"/>
              <w:right w:val="nil"/>
            </w:tcBorders>
            <w:shd w:val="clear" w:color="auto" w:fill="E6E6E6"/>
            <w:noWrap/>
            <w:vAlign w:val="bottom"/>
            <w:hideMark/>
          </w:tcPr>
          <w:p w14:paraId="0BDDE0E2" w14:textId="0BB963C2" w:rsidR="002E16EE" w:rsidRPr="003B3EC2" w:rsidRDefault="002E16EE" w:rsidP="002E16EE">
            <w:pPr>
              <w:spacing w:after="0" w:line="240" w:lineRule="auto"/>
              <w:jc w:val="right"/>
              <w:rPr>
                <w:rFonts w:ascii="Arial" w:hAnsi="Arial" w:cs="Arial"/>
                <w:b/>
                <w:sz w:val="16"/>
                <w:szCs w:val="16"/>
              </w:rPr>
            </w:pPr>
            <w:r>
              <w:rPr>
                <w:rFonts w:ascii="Arial" w:hAnsi="Arial" w:cs="Arial"/>
                <w:b/>
                <w:bCs/>
                <w:sz w:val="16"/>
                <w:szCs w:val="16"/>
              </w:rPr>
              <w:t>426,627</w:t>
            </w:r>
          </w:p>
        </w:tc>
        <w:tc>
          <w:tcPr>
            <w:tcW w:w="571" w:type="pct"/>
            <w:tcBorders>
              <w:top w:val="single" w:sz="4" w:space="0" w:color="auto"/>
              <w:left w:val="nil"/>
              <w:bottom w:val="single" w:sz="4" w:space="0" w:color="auto"/>
              <w:right w:val="nil"/>
            </w:tcBorders>
            <w:shd w:val="clear" w:color="auto" w:fill="auto"/>
            <w:noWrap/>
            <w:vAlign w:val="bottom"/>
            <w:hideMark/>
          </w:tcPr>
          <w:p w14:paraId="5A08FD6A" w14:textId="6234BD53" w:rsidR="002E16EE" w:rsidRPr="003B3EC2" w:rsidRDefault="002E16EE" w:rsidP="002E16EE">
            <w:pPr>
              <w:spacing w:after="0" w:line="240" w:lineRule="auto"/>
              <w:jc w:val="right"/>
              <w:rPr>
                <w:rFonts w:ascii="Arial" w:hAnsi="Arial" w:cs="Arial"/>
                <w:b/>
                <w:sz w:val="16"/>
                <w:szCs w:val="16"/>
              </w:rPr>
            </w:pPr>
            <w:r>
              <w:rPr>
                <w:rFonts w:ascii="Arial" w:hAnsi="Arial" w:cs="Arial"/>
                <w:b/>
                <w:bCs/>
                <w:sz w:val="16"/>
                <w:szCs w:val="16"/>
              </w:rPr>
              <w:t>9,629</w:t>
            </w:r>
          </w:p>
        </w:tc>
        <w:tc>
          <w:tcPr>
            <w:tcW w:w="583" w:type="pct"/>
            <w:tcBorders>
              <w:top w:val="single" w:sz="4" w:space="0" w:color="auto"/>
              <w:left w:val="nil"/>
              <w:bottom w:val="single" w:sz="4" w:space="0" w:color="auto"/>
              <w:right w:val="nil"/>
            </w:tcBorders>
            <w:shd w:val="clear" w:color="auto" w:fill="auto"/>
            <w:noWrap/>
            <w:vAlign w:val="bottom"/>
            <w:hideMark/>
          </w:tcPr>
          <w:p w14:paraId="25EEB802" w14:textId="1C500DAB" w:rsidR="002E16EE" w:rsidRPr="003B3EC2" w:rsidRDefault="002E16EE" w:rsidP="002E16EE">
            <w:pPr>
              <w:spacing w:after="0" w:line="240" w:lineRule="auto"/>
              <w:jc w:val="right"/>
              <w:rPr>
                <w:rFonts w:ascii="Arial" w:hAnsi="Arial" w:cs="Arial"/>
                <w:b/>
                <w:sz w:val="16"/>
                <w:szCs w:val="16"/>
              </w:rPr>
            </w:pPr>
            <w:r>
              <w:rPr>
                <w:rFonts w:ascii="Arial" w:hAnsi="Arial" w:cs="Arial"/>
                <w:b/>
                <w:bCs/>
                <w:sz w:val="16"/>
                <w:szCs w:val="16"/>
              </w:rPr>
              <w:t>608</w:t>
            </w:r>
          </w:p>
        </w:tc>
        <w:tc>
          <w:tcPr>
            <w:tcW w:w="583" w:type="pct"/>
            <w:tcBorders>
              <w:top w:val="single" w:sz="4" w:space="0" w:color="auto"/>
              <w:left w:val="nil"/>
              <w:bottom w:val="single" w:sz="4" w:space="0" w:color="auto"/>
              <w:right w:val="nil"/>
            </w:tcBorders>
            <w:shd w:val="clear" w:color="auto" w:fill="auto"/>
            <w:noWrap/>
            <w:vAlign w:val="bottom"/>
            <w:hideMark/>
          </w:tcPr>
          <w:p w14:paraId="5215D8CD" w14:textId="46291DE8" w:rsidR="002E16EE" w:rsidRPr="003B3EC2" w:rsidRDefault="002E16EE" w:rsidP="002E16EE">
            <w:pPr>
              <w:spacing w:after="0" w:line="240" w:lineRule="auto"/>
              <w:jc w:val="right"/>
              <w:rPr>
                <w:rFonts w:ascii="Arial" w:hAnsi="Arial" w:cs="Arial"/>
                <w:b/>
                <w:sz w:val="16"/>
                <w:szCs w:val="16"/>
              </w:rPr>
            </w:pPr>
            <w:r>
              <w:rPr>
                <w:rFonts w:ascii="Arial" w:hAnsi="Arial" w:cs="Arial"/>
                <w:b/>
                <w:bCs/>
                <w:sz w:val="16"/>
                <w:szCs w:val="16"/>
              </w:rPr>
              <w:t>608</w:t>
            </w:r>
          </w:p>
        </w:tc>
      </w:tr>
    </w:tbl>
    <w:p w14:paraId="2E9900D4" w14:textId="77777777" w:rsidR="00115843" w:rsidRDefault="00115843" w:rsidP="00115843">
      <w:pPr>
        <w:spacing w:after="0" w:line="240" w:lineRule="auto"/>
        <w:rPr>
          <w:rFonts w:ascii="Arial" w:hAnsi="Arial" w:cs="Arial"/>
          <w:sz w:val="16"/>
        </w:rPr>
      </w:pPr>
    </w:p>
    <w:tbl>
      <w:tblPr>
        <w:tblW w:w="4872" w:type="dxa"/>
        <w:tblLook w:val="04A0" w:firstRow="1" w:lastRow="0" w:firstColumn="1" w:lastColumn="0" w:noHBand="0" w:noVBand="1"/>
      </w:tblPr>
      <w:tblGrid>
        <w:gridCol w:w="2856"/>
        <w:gridCol w:w="1106"/>
        <w:gridCol w:w="910"/>
      </w:tblGrid>
      <w:tr w:rsidR="00115843" w:rsidRPr="003B3EC2" w14:paraId="0B496690" w14:textId="77777777" w:rsidTr="002F3AAF">
        <w:trPr>
          <w:trHeight w:val="204"/>
        </w:trPr>
        <w:tc>
          <w:tcPr>
            <w:tcW w:w="2856" w:type="dxa"/>
            <w:tcBorders>
              <w:top w:val="single" w:sz="4" w:space="0" w:color="auto"/>
              <w:left w:val="nil"/>
              <w:bottom w:val="nil"/>
              <w:right w:val="nil"/>
            </w:tcBorders>
            <w:shd w:val="clear" w:color="auto" w:fill="auto"/>
            <w:noWrap/>
            <w:vAlign w:val="bottom"/>
            <w:hideMark/>
          </w:tcPr>
          <w:p w14:paraId="3EC1963D" w14:textId="77777777" w:rsidR="00115843" w:rsidRPr="003B3EC2" w:rsidRDefault="00115843" w:rsidP="00FB0D02">
            <w:pPr>
              <w:spacing w:after="0" w:line="240" w:lineRule="auto"/>
              <w:rPr>
                <w:rFonts w:ascii="Arial" w:hAnsi="Arial" w:cs="Arial"/>
                <w:sz w:val="16"/>
                <w:szCs w:val="16"/>
              </w:rPr>
            </w:pPr>
            <w:r w:rsidRPr="003B3EC2">
              <w:rPr>
                <w:rFonts w:ascii="Arial" w:hAnsi="Arial" w:cs="Arial"/>
                <w:sz w:val="16"/>
                <w:szCs w:val="16"/>
              </w:rPr>
              <w:t> </w:t>
            </w:r>
          </w:p>
        </w:tc>
        <w:tc>
          <w:tcPr>
            <w:tcW w:w="1106" w:type="dxa"/>
            <w:tcBorders>
              <w:top w:val="single" w:sz="4" w:space="0" w:color="auto"/>
              <w:left w:val="nil"/>
              <w:bottom w:val="single" w:sz="4" w:space="0" w:color="auto"/>
              <w:right w:val="nil"/>
            </w:tcBorders>
            <w:shd w:val="clear" w:color="auto" w:fill="auto"/>
            <w:noWrap/>
            <w:vAlign w:val="bottom"/>
            <w:hideMark/>
          </w:tcPr>
          <w:p w14:paraId="23AD781B"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2021-22</w:t>
            </w:r>
          </w:p>
        </w:tc>
        <w:tc>
          <w:tcPr>
            <w:tcW w:w="910" w:type="dxa"/>
            <w:tcBorders>
              <w:top w:val="single" w:sz="4" w:space="0" w:color="auto"/>
              <w:left w:val="nil"/>
              <w:bottom w:val="single" w:sz="4" w:space="0" w:color="auto"/>
              <w:right w:val="nil"/>
            </w:tcBorders>
            <w:shd w:val="clear" w:color="auto" w:fill="E6E6E6"/>
            <w:vAlign w:val="bottom"/>
            <w:hideMark/>
          </w:tcPr>
          <w:p w14:paraId="50E56465"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2022-23</w:t>
            </w:r>
          </w:p>
        </w:tc>
      </w:tr>
      <w:tr w:rsidR="00115843" w:rsidRPr="003B3EC2" w14:paraId="084D1C38" w14:textId="77777777" w:rsidTr="002F3AAF">
        <w:trPr>
          <w:trHeight w:val="204"/>
        </w:trPr>
        <w:tc>
          <w:tcPr>
            <w:tcW w:w="2856" w:type="dxa"/>
            <w:tcBorders>
              <w:top w:val="nil"/>
              <w:left w:val="nil"/>
              <w:bottom w:val="single" w:sz="4" w:space="0" w:color="auto"/>
              <w:right w:val="nil"/>
            </w:tcBorders>
            <w:shd w:val="clear" w:color="auto" w:fill="auto"/>
            <w:noWrap/>
            <w:vAlign w:val="bottom"/>
            <w:hideMark/>
          </w:tcPr>
          <w:p w14:paraId="19F05D0F" w14:textId="77777777" w:rsidR="00115843" w:rsidRPr="003B3EC2" w:rsidRDefault="00115843" w:rsidP="00FB0D02">
            <w:pPr>
              <w:spacing w:after="0" w:line="240" w:lineRule="auto"/>
              <w:rPr>
                <w:rFonts w:ascii="Arial" w:hAnsi="Arial" w:cs="Arial"/>
                <w:b/>
                <w:bCs/>
                <w:sz w:val="16"/>
                <w:szCs w:val="16"/>
              </w:rPr>
            </w:pPr>
            <w:r w:rsidRPr="003B3EC2">
              <w:rPr>
                <w:rFonts w:ascii="Arial" w:hAnsi="Arial" w:cs="Arial"/>
                <w:b/>
                <w:bCs/>
                <w:sz w:val="16"/>
                <w:szCs w:val="16"/>
              </w:rPr>
              <w:t>Average staffing level (number)</w:t>
            </w:r>
          </w:p>
        </w:tc>
        <w:tc>
          <w:tcPr>
            <w:tcW w:w="1106" w:type="dxa"/>
            <w:tcBorders>
              <w:top w:val="nil"/>
              <w:left w:val="nil"/>
              <w:bottom w:val="single" w:sz="4" w:space="0" w:color="auto"/>
              <w:right w:val="nil"/>
            </w:tcBorders>
            <w:shd w:val="clear" w:color="auto" w:fill="auto"/>
            <w:noWrap/>
            <w:vAlign w:val="bottom"/>
            <w:hideMark/>
          </w:tcPr>
          <w:p w14:paraId="352ECB83"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279</w:t>
            </w:r>
          </w:p>
        </w:tc>
        <w:tc>
          <w:tcPr>
            <w:tcW w:w="910" w:type="dxa"/>
            <w:tcBorders>
              <w:top w:val="nil"/>
              <w:left w:val="nil"/>
              <w:bottom w:val="single" w:sz="4" w:space="0" w:color="auto"/>
              <w:right w:val="nil"/>
            </w:tcBorders>
            <w:shd w:val="clear" w:color="auto" w:fill="E6E6E6"/>
            <w:noWrap/>
            <w:vAlign w:val="bottom"/>
            <w:hideMark/>
          </w:tcPr>
          <w:p w14:paraId="5F4229DE" w14:textId="77777777" w:rsidR="00115843" w:rsidRPr="003B3EC2" w:rsidRDefault="00115843" w:rsidP="00FB0D02">
            <w:pPr>
              <w:spacing w:after="0" w:line="240" w:lineRule="auto"/>
              <w:jc w:val="right"/>
              <w:rPr>
                <w:rFonts w:ascii="Arial" w:hAnsi="Arial" w:cs="Arial"/>
                <w:sz w:val="16"/>
                <w:szCs w:val="16"/>
              </w:rPr>
            </w:pPr>
            <w:r w:rsidRPr="003B3EC2">
              <w:rPr>
                <w:rFonts w:ascii="Arial" w:hAnsi="Arial" w:cs="Arial"/>
                <w:sz w:val="16"/>
                <w:szCs w:val="16"/>
              </w:rPr>
              <w:t>30</w:t>
            </w:r>
            <w:r>
              <w:rPr>
                <w:rFonts w:ascii="Arial" w:hAnsi="Arial" w:cs="Arial"/>
                <w:sz w:val="16"/>
                <w:szCs w:val="16"/>
              </w:rPr>
              <w:t>8</w:t>
            </w:r>
          </w:p>
        </w:tc>
      </w:tr>
    </w:tbl>
    <w:p w14:paraId="11403968" w14:textId="0A4FDCD1" w:rsidR="00115843" w:rsidRDefault="00115843" w:rsidP="00CA1DC1">
      <w:pPr>
        <w:pStyle w:val="ListParagraph"/>
        <w:numPr>
          <w:ilvl w:val="0"/>
          <w:numId w:val="206"/>
        </w:numPr>
        <w:spacing w:before="60" w:after="0" w:line="240" w:lineRule="auto"/>
        <w:ind w:left="426" w:hanging="426"/>
        <w:rPr>
          <w:rFonts w:ascii="Arial" w:hAnsi="Arial" w:cs="Arial"/>
          <w:sz w:val="16"/>
        </w:rPr>
      </w:pPr>
      <w:r w:rsidRPr="003B3EC2">
        <w:rPr>
          <w:rFonts w:ascii="Arial" w:hAnsi="Arial" w:cs="Arial"/>
          <w:sz w:val="16"/>
        </w:rPr>
        <w:t xml:space="preserve">Administered ‘Expenses not requiring appropriation in the Budget year’ comprises </w:t>
      </w:r>
      <w:r w:rsidR="00CA1DC1">
        <w:rPr>
          <w:rFonts w:ascii="Arial" w:hAnsi="Arial" w:cs="Arial"/>
          <w:sz w:val="16"/>
        </w:rPr>
        <w:t xml:space="preserve">of </w:t>
      </w:r>
      <w:r w:rsidRPr="003B3EC2">
        <w:rPr>
          <w:rFonts w:ascii="Arial" w:hAnsi="Arial" w:cs="Arial"/>
          <w:sz w:val="16"/>
        </w:rPr>
        <w:t>expenses relating to concessional loans, accruals, payments made from prior year appropriations and other non–cash expenses.</w:t>
      </w:r>
    </w:p>
    <w:p w14:paraId="26CE57F5" w14:textId="7753DAB4" w:rsidR="00115843" w:rsidRDefault="00115843" w:rsidP="00115843">
      <w:pPr>
        <w:pStyle w:val="ListParagraph"/>
        <w:numPr>
          <w:ilvl w:val="0"/>
          <w:numId w:val="206"/>
        </w:numPr>
        <w:spacing w:before="60" w:after="0" w:line="240" w:lineRule="auto"/>
        <w:ind w:left="426" w:hanging="426"/>
        <w:rPr>
          <w:rFonts w:ascii="Arial" w:hAnsi="Arial" w:cs="Arial"/>
          <w:sz w:val="16"/>
        </w:rPr>
      </w:pPr>
      <w:r w:rsidRPr="003B3EC2">
        <w:rPr>
          <w:rFonts w:ascii="Arial" w:hAnsi="Arial" w:cs="Arial"/>
          <w:sz w:val="16"/>
        </w:rPr>
        <w:t xml:space="preserve">Relates to appropriation for corporate entities provided through </w:t>
      </w:r>
      <w:r>
        <w:rPr>
          <w:rFonts w:ascii="Arial" w:hAnsi="Arial" w:cs="Arial"/>
          <w:sz w:val="16"/>
        </w:rPr>
        <w:t>the Department</w:t>
      </w:r>
      <w:r w:rsidR="002E16EE">
        <w:rPr>
          <w:rFonts w:ascii="Arial" w:hAnsi="Arial" w:cs="Arial"/>
          <w:sz w:val="16"/>
        </w:rPr>
        <w:t>.</w:t>
      </w:r>
    </w:p>
    <w:p w14:paraId="55111284" w14:textId="77777777" w:rsidR="00115843" w:rsidRDefault="00115843" w:rsidP="00115843">
      <w:pPr>
        <w:pStyle w:val="ListParagraph"/>
        <w:numPr>
          <w:ilvl w:val="0"/>
          <w:numId w:val="206"/>
        </w:numPr>
        <w:spacing w:before="60" w:after="0" w:line="240" w:lineRule="auto"/>
        <w:ind w:left="426" w:hanging="426"/>
        <w:rPr>
          <w:rFonts w:ascii="Arial" w:hAnsi="Arial" w:cs="Arial"/>
          <w:sz w:val="16"/>
        </w:rPr>
      </w:pPr>
      <w:r w:rsidRPr="003B3EC2">
        <w:rPr>
          <w:rFonts w:ascii="Arial" w:hAnsi="Arial" w:cs="Arial"/>
          <w:sz w:val="16"/>
        </w:rPr>
        <w:t>Estimated expenses incurred in relation to receipts retained under section 74 of the PGPA Act.</w:t>
      </w:r>
    </w:p>
    <w:p w14:paraId="0B003ADB" w14:textId="77777777" w:rsidR="00115843" w:rsidRDefault="00115843" w:rsidP="00115843">
      <w:pPr>
        <w:pStyle w:val="ListParagraph"/>
        <w:numPr>
          <w:ilvl w:val="0"/>
          <w:numId w:val="206"/>
        </w:numPr>
        <w:spacing w:before="60" w:after="0" w:line="240" w:lineRule="auto"/>
        <w:ind w:left="426" w:hanging="426"/>
        <w:rPr>
          <w:rFonts w:ascii="Arial" w:hAnsi="Arial" w:cs="Arial"/>
          <w:sz w:val="16"/>
        </w:rPr>
      </w:pPr>
      <w:r w:rsidRPr="003B3EC2">
        <w:rPr>
          <w:rFonts w:ascii="Arial" w:hAnsi="Arial" w:cs="Arial"/>
          <w:sz w:val="16"/>
        </w:rPr>
        <w:t>Departmental ‘Expenses not requiring appropriation in the Budget year’ is made up of depreciation and amortisation expenses and expenses that are reduced by associated receipts.</w:t>
      </w:r>
    </w:p>
    <w:p w14:paraId="5B1C7F5B" w14:textId="77777777" w:rsidR="00433BB4" w:rsidRDefault="00115843" w:rsidP="00F80CC8">
      <w:pPr>
        <w:pStyle w:val="ListParagraph"/>
        <w:numPr>
          <w:ilvl w:val="0"/>
          <w:numId w:val="206"/>
        </w:numPr>
        <w:spacing w:before="60" w:after="0" w:line="240" w:lineRule="auto"/>
        <w:ind w:left="426" w:hanging="426"/>
        <w:rPr>
          <w:rFonts w:ascii="Arial" w:hAnsi="Arial" w:cs="Arial"/>
          <w:sz w:val="16"/>
        </w:rPr>
      </w:pPr>
      <w:r w:rsidRPr="003B3EC2">
        <w:rPr>
          <w:rFonts w:ascii="Arial" w:hAnsi="Arial" w:cs="Arial"/>
          <w:sz w:val="16"/>
        </w:rPr>
        <w:t>Figures displayed as a negative (–) represent a decrease in funds and a positive (+) represent an increase in funds.</w:t>
      </w:r>
    </w:p>
    <w:p w14:paraId="4ECA483C" w14:textId="7C548377" w:rsidR="00CA1DC1" w:rsidRDefault="00433BB4" w:rsidP="00F80CC8">
      <w:pPr>
        <w:pStyle w:val="ListParagraph"/>
        <w:numPr>
          <w:ilvl w:val="0"/>
          <w:numId w:val="206"/>
        </w:numPr>
        <w:spacing w:before="60" w:after="0" w:line="240" w:lineRule="auto"/>
        <w:ind w:left="426" w:hanging="426"/>
        <w:rPr>
          <w:rFonts w:ascii="Arial" w:hAnsi="Arial" w:cs="Arial"/>
          <w:sz w:val="16"/>
        </w:rPr>
      </w:pPr>
      <w:r w:rsidRPr="00433BB4">
        <w:rPr>
          <w:rFonts w:ascii="Arial" w:hAnsi="Arial" w:cs="Arial"/>
          <w:sz w:val="16"/>
        </w:rPr>
        <w:t xml:space="preserve">Movements of funds for </w:t>
      </w:r>
      <w:r>
        <w:rPr>
          <w:rFonts w:ascii="Arial" w:hAnsi="Arial" w:cs="Arial"/>
          <w:sz w:val="16"/>
        </w:rPr>
        <w:t>City</w:t>
      </w:r>
      <w:r w:rsidR="00FE1B99">
        <w:rPr>
          <w:rFonts w:ascii="Arial" w:hAnsi="Arial" w:cs="Arial"/>
          <w:sz w:val="16"/>
        </w:rPr>
        <w:t xml:space="preserve"> and Regional Deals </w:t>
      </w:r>
      <w:r w:rsidRPr="00433BB4">
        <w:rPr>
          <w:rFonts w:ascii="Arial" w:hAnsi="Arial" w:cs="Arial"/>
          <w:sz w:val="16"/>
        </w:rPr>
        <w:t>are disclosed in the Department of Treasury’s 2022</w:t>
      </w:r>
      <w:r w:rsidR="00FE1B99">
        <w:rPr>
          <w:rFonts w:ascii="Arial" w:hAnsi="Arial" w:cs="Arial"/>
          <w:sz w:val="16"/>
        </w:rPr>
        <w:noBreakHyphen/>
      </w:r>
      <w:r w:rsidRPr="00433BB4">
        <w:rPr>
          <w:rFonts w:ascii="Arial" w:hAnsi="Arial" w:cs="Arial"/>
          <w:sz w:val="16"/>
        </w:rPr>
        <w:t>23 Portfolio Budget Statements.</w:t>
      </w:r>
    </w:p>
    <w:p w14:paraId="483FD599" w14:textId="776091E7" w:rsidR="00115843" w:rsidRPr="00CA1DC1" w:rsidRDefault="00115843" w:rsidP="00CA1DC1">
      <w:pPr>
        <w:spacing w:before="60" w:after="0" w:line="240" w:lineRule="auto"/>
        <w:rPr>
          <w:rFonts w:ascii="Arial" w:hAnsi="Arial" w:cs="Arial"/>
          <w:sz w:val="16"/>
        </w:rPr>
      </w:pPr>
      <w:r w:rsidRPr="00CA1DC1">
        <w:rPr>
          <w:rFonts w:ascii="Arial" w:hAnsi="Arial" w:cs="Arial"/>
          <w:sz w:val="16"/>
        </w:rPr>
        <w:t>Note: Departmental appropriation splits and totals are indicative estimates and may change in the course of the budget year as government priorities change.</w:t>
      </w:r>
    </w:p>
    <w:p w14:paraId="53F21C22" w14:textId="77777777" w:rsidR="00115843" w:rsidRDefault="00115843" w:rsidP="00115843">
      <w:pPr>
        <w:pStyle w:val="TableHeading"/>
        <w:spacing w:before="480"/>
      </w:pPr>
      <w:r w:rsidRPr="00AD42E2">
        <w:lastRenderedPageBreak/>
        <w:t>Table 2.</w:t>
      </w:r>
      <w:r>
        <w:t>3</w:t>
      </w:r>
      <w:r w:rsidRPr="00AD42E2">
        <w:t>.</w:t>
      </w:r>
      <w:r>
        <w:t>2</w:t>
      </w:r>
      <w:r w:rsidRPr="00AD42E2">
        <w:t xml:space="preserve">: </w:t>
      </w:r>
      <w:r>
        <w:t>Program components</w:t>
      </w:r>
      <w:r w:rsidRPr="00AD42E2">
        <w:t xml:space="preserve"> for Outcome </w:t>
      </w:r>
      <w:r>
        <w:t>3</w:t>
      </w:r>
    </w:p>
    <w:tbl>
      <w:tblPr>
        <w:tblW w:w="5067" w:type="pct"/>
        <w:tblLook w:val="04A0" w:firstRow="1" w:lastRow="0" w:firstColumn="1" w:lastColumn="0" w:noHBand="0" w:noVBand="1"/>
      </w:tblPr>
      <w:tblGrid>
        <w:gridCol w:w="3135"/>
        <w:gridCol w:w="930"/>
        <w:gridCol w:w="928"/>
        <w:gridCol w:w="928"/>
        <w:gridCol w:w="928"/>
        <w:gridCol w:w="928"/>
        <w:gridCol w:w="36"/>
      </w:tblGrid>
      <w:tr w:rsidR="00115843" w:rsidRPr="00AA15D6" w14:paraId="518274EB" w14:textId="77777777" w:rsidTr="002F3AAF">
        <w:trPr>
          <w:gridAfter w:val="1"/>
          <w:wAfter w:w="23" w:type="pct"/>
          <w:trHeight w:val="204"/>
        </w:trPr>
        <w:tc>
          <w:tcPr>
            <w:tcW w:w="2006" w:type="pct"/>
            <w:tcBorders>
              <w:top w:val="single" w:sz="4" w:space="0" w:color="auto"/>
              <w:left w:val="nil"/>
              <w:bottom w:val="single" w:sz="4" w:space="0" w:color="auto"/>
              <w:right w:val="nil"/>
            </w:tcBorders>
            <w:shd w:val="clear" w:color="auto" w:fill="auto"/>
            <w:noWrap/>
            <w:vAlign w:val="bottom"/>
            <w:hideMark/>
          </w:tcPr>
          <w:p w14:paraId="0A2E1E1F" w14:textId="77777777" w:rsidR="00115843" w:rsidRPr="00AA15D6" w:rsidRDefault="00115843" w:rsidP="00FB0D02">
            <w:pPr>
              <w:spacing w:after="0" w:line="240" w:lineRule="auto"/>
              <w:rPr>
                <w:rFonts w:ascii="Arial" w:hAnsi="Arial" w:cs="Arial"/>
                <w:sz w:val="16"/>
                <w:szCs w:val="16"/>
              </w:rPr>
            </w:pPr>
            <w:r w:rsidRPr="00AA15D6">
              <w:rPr>
                <w:rFonts w:ascii="Arial" w:hAnsi="Arial" w:cs="Arial"/>
                <w:sz w:val="16"/>
                <w:szCs w:val="16"/>
              </w:rPr>
              <w:t> </w:t>
            </w:r>
          </w:p>
        </w:tc>
        <w:tc>
          <w:tcPr>
            <w:tcW w:w="595" w:type="pct"/>
            <w:tcBorders>
              <w:top w:val="single" w:sz="4" w:space="0" w:color="auto"/>
              <w:left w:val="nil"/>
              <w:bottom w:val="single" w:sz="4" w:space="0" w:color="auto"/>
              <w:right w:val="nil"/>
            </w:tcBorders>
            <w:shd w:val="clear" w:color="auto" w:fill="auto"/>
            <w:vAlign w:val="bottom"/>
            <w:hideMark/>
          </w:tcPr>
          <w:p w14:paraId="26462F9B"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2021-22</w:t>
            </w:r>
            <w:r w:rsidRPr="00AA15D6">
              <w:rPr>
                <w:rFonts w:ascii="Arial" w:hAnsi="Arial" w:cs="Arial"/>
                <w:sz w:val="16"/>
                <w:szCs w:val="16"/>
              </w:rPr>
              <w:br/>
              <w:t>Estimated  actual</w:t>
            </w:r>
            <w:r w:rsidRPr="00AA15D6">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E6E6E6"/>
            <w:vAlign w:val="bottom"/>
            <w:hideMark/>
          </w:tcPr>
          <w:p w14:paraId="6D9D0474"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2022-23</w:t>
            </w:r>
            <w:r w:rsidRPr="00AA15D6">
              <w:rPr>
                <w:rFonts w:ascii="Arial" w:hAnsi="Arial" w:cs="Arial"/>
                <w:sz w:val="16"/>
                <w:szCs w:val="16"/>
              </w:rPr>
              <w:br/>
              <w:t xml:space="preserve"> Budget</w:t>
            </w:r>
            <w:r w:rsidRPr="00AA15D6">
              <w:rPr>
                <w:rFonts w:ascii="Arial" w:hAnsi="Arial" w:cs="Arial"/>
                <w:sz w:val="16"/>
                <w:szCs w:val="16"/>
              </w:rPr>
              <w:br/>
              <w:t xml:space="preserve">                                      $'000</w:t>
            </w:r>
          </w:p>
        </w:tc>
        <w:tc>
          <w:tcPr>
            <w:tcW w:w="594" w:type="pct"/>
            <w:tcBorders>
              <w:top w:val="single" w:sz="4" w:space="0" w:color="auto"/>
              <w:left w:val="nil"/>
              <w:bottom w:val="single" w:sz="4" w:space="0" w:color="auto"/>
              <w:right w:val="nil"/>
            </w:tcBorders>
            <w:shd w:val="clear" w:color="auto" w:fill="auto"/>
            <w:vAlign w:val="bottom"/>
            <w:hideMark/>
          </w:tcPr>
          <w:p w14:paraId="3BC0CA5B"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2023-24</w:t>
            </w:r>
            <w:r w:rsidRPr="00AA15D6">
              <w:rPr>
                <w:rFonts w:ascii="Arial" w:hAnsi="Arial" w:cs="Arial"/>
                <w:sz w:val="16"/>
                <w:szCs w:val="16"/>
              </w:rPr>
              <w:br/>
              <w:t>Forward estimate</w:t>
            </w:r>
            <w:r w:rsidRPr="00AA15D6">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6E1FD468"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2024-25</w:t>
            </w:r>
            <w:r w:rsidRPr="00AA15D6">
              <w:rPr>
                <w:rFonts w:ascii="Arial" w:hAnsi="Arial" w:cs="Arial"/>
                <w:sz w:val="16"/>
                <w:szCs w:val="16"/>
              </w:rPr>
              <w:br/>
              <w:t>Forward estimate</w:t>
            </w:r>
            <w:r w:rsidRPr="00AA15D6">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56248155"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2025-26</w:t>
            </w:r>
            <w:r w:rsidRPr="00AA15D6">
              <w:rPr>
                <w:rFonts w:ascii="Arial" w:hAnsi="Arial" w:cs="Arial"/>
                <w:sz w:val="16"/>
                <w:szCs w:val="16"/>
              </w:rPr>
              <w:br/>
              <w:t>Forward estimate</w:t>
            </w:r>
            <w:r w:rsidRPr="00AA15D6">
              <w:rPr>
                <w:rFonts w:ascii="Arial" w:hAnsi="Arial" w:cs="Arial"/>
                <w:sz w:val="16"/>
                <w:szCs w:val="16"/>
              </w:rPr>
              <w:br/>
              <w:t>$'000</w:t>
            </w:r>
          </w:p>
        </w:tc>
      </w:tr>
      <w:tr w:rsidR="00115843" w:rsidRPr="00AA15D6" w14:paraId="775EDE97" w14:textId="77777777" w:rsidTr="002F3AAF">
        <w:trPr>
          <w:gridAfter w:val="1"/>
          <w:wAfter w:w="23" w:type="pct"/>
          <w:trHeight w:val="204"/>
        </w:trPr>
        <w:tc>
          <w:tcPr>
            <w:tcW w:w="4977" w:type="pct"/>
            <w:gridSpan w:val="6"/>
            <w:tcBorders>
              <w:top w:val="single" w:sz="4" w:space="0" w:color="auto"/>
              <w:left w:val="nil"/>
              <w:bottom w:val="single" w:sz="4" w:space="0" w:color="auto"/>
              <w:right w:val="nil"/>
            </w:tcBorders>
            <w:shd w:val="clear" w:color="auto" w:fill="E6E6E6"/>
            <w:noWrap/>
            <w:vAlign w:val="bottom"/>
            <w:hideMark/>
          </w:tcPr>
          <w:p w14:paraId="14CC2973" w14:textId="77777777" w:rsidR="00115843" w:rsidRPr="00AA15D6" w:rsidRDefault="00115843" w:rsidP="00FB0D02">
            <w:pPr>
              <w:spacing w:after="0" w:line="240" w:lineRule="auto"/>
              <w:rPr>
                <w:rFonts w:ascii="Arial" w:hAnsi="Arial" w:cs="Arial"/>
                <w:sz w:val="16"/>
                <w:szCs w:val="16"/>
              </w:rPr>
            </w:pPr>
            <w:r w:rsidRPr="00AA15D6">
              <w:rPr>
                <w:rFonts w:ascii="Arial" w:hAnsi="Arial" w:cs="Arial"/>
                <w:b/>
                <w:bCs/>
                <w:sz w:val="16"/>
                <w:szCs w:val="16"/>
              </w:rPr>
              <w:t>Components for Program 3.1: Regional development</w:t>
            </w:r>
          </w:p>
        </w:tc>
      </w:tr>
      <w:tr w:rsidR="00115843" w:rsidRPr="00AA15D6" w14:paraId="682ADD20" w14:textId="77777777" w:rsidTr="002F3AAF">
        <w:trPr>
          <w:gridAfter w:val="1"/>
          <w:wAfter w:w="23" w:type="pct"/>
          <w:trHeight w:val="204"/>
        </w:trPr>
        <w:tc>
          <w:tcPr>
            <w:tcW w:w="2006" w:type="pct"/>
            <w:tcBorders>
              <w:top w:val="nil"/>
              <w:left w:val="nil"/>
              <w:bottom w:val="nil"/>
              <w:right w:val="nil"/>
            </w:tcBorders>
            <w:shd w:val="clear" w:color="auto" w:fill="auto"/>
            <w:noWrap/>
            <w:vAlign w:val="bottom"/>
            <w:hideMark/>
          </w:tcPr>
          <w:p w14:paraId="0D8E4171" w14:textId="77777777" w:rsidR="00115843" w:rsidRPr="00AA15D6" w:rsidRDefault="00115843" w:rsidP="00FB0D02">
            <w:pPr>
              <w:spacing w:after="0" w:line="240" w:lineRule="auto"/>
              <w:rPr>
                <w:rFonts w:ascii="Arial" w:hAnsi="Arial" w:cs="Arial"/>
                <w:sz w:val="16"/>
                <w:szCs w:val="16"/>
              </w:rPr>
            </w:pPr>
            <w:r w:rsidRPr="00AA15D6">
              <w:rPr>
                <w:rFonts w:ascii="Arial" w:hAnsi="Arial" w:cs="Arial"/>
                <w:sz w:val="16"/>
                <w:szCs w:val="16"/>
              </w:rPr>
              <w:t>Administered expenses</w:t>
            </w:r>
          </w:p>
        </w:tc>
        <w:tc>
          <w:tcPr>
            <w:tcW w:w="595" w:type="pct"/>
            <w:tcBorders>
              <w:top w:val="nil"/>
              <w:left w:val="nil"/>
              <w:bottom w:val="nil"/>
              <w:right w:val="nil"/>
            </w:tcBorders>
            <w:shd w:val="clear" w:color="auto" w:fill="auto"/>
            <w:noWrap/>
            <w:vAlign w:val="bottom"/>
            <w:hideMark/>
          </w:tcPr>
          <w:p w14:paraId="257145D3" w14:textId="77777777" w:rsidR="00115843" w:rsidRPr="00AA15D6" w:rsidRDefault="00115843" w:rsidP="00FB0D02">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059064DB" w14:textId="77777777" w:rsidR="00115843" w:rsidRPr="00AA15D6" w:rsidRDefault="00115843" w:rsidP="00FB0D02">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0F79D7B0" w14:textId="77777777" w:rsidR="00115843" w:rsidRPr="00AA15D6" w:rsidRDefault="00115843" w:rsidP="00FB0D02">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0544245" w14:textId="77777777" w:rsidR="00115843" w:rsidRPr="00AA15D6" w:rsidRDefault="00115843" w:rsidP="00FB0D02">
            <w:pPr>
              <w:spacing w:after="0" w:line="240" w:lineRule="auto"/>
              <w:jc w:val="right"/>
              <w:rPr>
                <w:rFonts w:ascii="Times New Roman" w:hAnsi="Times New Roman"/>
              </w:rPr>
            </w:pPr>
          </w:p>
        </w:tc>
        <w:tc>
          <w:tcPr>
            <w:tcW w:w="594" w:type="pct"/>
            <w:tcBorders>
              <w:top w:val="nil"/>
              <w:left w:val="nil"/>
              <w:bottom w:val="nil"/>
              <w:right w:val="nil"/>
            </w:tcBorders>
            <w:shd w:val="clear" w:color="auto" w:fill="auto"/>
            <w:noWrap/>
            <w:vAlign w:val="bottom"/>
            <w:hideMark/>
          </w:tcPr>
          <w:p w14:paraId="4B7F27E8" w14:textId="77777777" w:rsidR="00115843" w:rsidRPr="00AA15D6" w:rsidRDefault="00115843" w:rsidP="00FB0D02">
            <w:pPr>
              <w:spacing w:after="0" w:line="240" w:lineRule="auto"/>
              <w:jc w:val="right"/>
              <w:rPr>
                <w:rFonts w:ascii="Times New Roman" w:hAnsi="Times New Roman"/>
              </w:rPr>
            </w:pPr>
          </w:p>
        </w:tc>
      </w:tr>
      <w:tr w:rsidR="00EE1AA5" w:rsidRPr="00AA15D6" w14:paraId="45E96C33"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4F71F967"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Barkly Regional Deal</w:t>
            </w:r>
          </w:p>
        </w:tc>
        <w:tc>
          <w:tcPr>
            <w:tcW w:w="595" w:type="pct"/>
            <w:tcBorders>
              <w:top w:val="nil"/>
              <w:left w:val="nil"/>
              <w:bottom w:val="nil"/>
              <w:right w:val="nil"/>
            </w:tcBorders>
            <w:shd w:val="clear" w:color="auto" w:fill="auto"/>
            <w:noWrap/>
            <w:vAlign w:val="bottom"/>
            <w:hideMark/>
          </w:tcPr>
          <w:p w14:paraId="6279CA05" w14:textId="0F4860A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230</w:t>
            </w:r>
          </w:p>
        </w:tc>
        <w:tc>
          <w:tcPr>
            <w:tcW w:w="594" w:type="pct"/>
            <w:tcBorders>
              <w:top w:val="nil"/>
              <w:left w:val="nil"/>
              <w:bottom w:val="nil"/>
              <w:right w:val="nil"/>
            </w:tcBorders>
            <w:shd w:val="clear" w:color="auto" w:fill="E6E6E6"/>
            <w:noWrap/>
            <w:vAlign w:val="bottom"/>
            <w:hideMark/>
          </w:tcPr>
          <w:p w14:paraId="75480757" w14:textId="66AF99F6"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207</w:t>
            </w:r>
          </w:p>
        </w:tc>
        <w:tc>
          <w:tcPr>
            <w:tcW w:w="594" w:type="pct"/>
            <w:tcBorders>
              <w:top w:val="nil"/>
              <w:left w:val="nil"/>
              <w:bottom w:val="nil"/>
              <w:right w:val="nil"/>
            </w:tcBorders>
            <w:shd w:val="clear" w:color="auto" w:fill="auto"/>
            <w:noWrap/>
            <w:vAlign w:val="bottom"/>
            <w:hideMark/>
          </w:tcPr>
          <w:p w14:paraId="674E9987" w14:textId="79B26946"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4D64B2DF" w14:textId="4C7DACB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2B2F0542" w14:textId="0C590138"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14615114"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26E8B559"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Building Better Regions Fund</w:t>
            </w:r>
          </w:p>
        </w:tc>
        <w:tc>
          <w:tcPr>
            <w:tcW w:w="595" w:type="pct"/>
            <w:tcBorders>
              <w:top w:val="nil"/>
              <w:left w:val="nil"/>
              <w:bottom w:val="nil"/>
              <w:right w:val="nil"/>
            </w:tcBorders>
            <w:shd w:val="clear" w:color="auto" w:fill="auto"/>
            <w:noWrap/>
            <w:vAlign w:val="bottom"/>
            <w:hideMark/>
          </w:tcPr>
          <w:p w14:paraId="4881E27C" w14:textId="4D906F0D"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125,182</w:t>
            </w:r>
          </w:p>
        </w:tc>
        <w:tc>
          <w:tcPr>
            <w:tcW w:w="594" w:type="pct"/>
            <w:tcBorders>
              <w:top w:val="nil"/>
              <w:left w:val="nil"/>
              <w:bottom w:val="nil"/>
              <w:right w:val="nil"/>
            </w:tcBorders>
            <w:shd w:val="clear" w:color="auto" w:fill="E6E6E6"/>
            <w:noWrap/>
            <w:vAlign w:val="bottom"/>
            <w:hideMark/>
          </w:tcPr>
          <w:p w14:paraId="39DA9001" w14:textId="390117EB"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307,719</w:t>
            </w:r>
          </w:p>
        </w:tc>
        <w:tc>
          <w:tcPr>
            <w:tcW w:w="594" w:type="pct"/>
            <w:tcBorders>
              <w:top w:val="nil"/>
              <w:left w:val="nil"/>
              <w:bottom w:val="nil"/>
              <w:right w:val="nil"/>
            </w:tcBorders>
            <w:shd w:val="clear" w:color="auto" w:fill="auto"/>
            <w:noWrap/>
            <w:vAlign w:val="bottom"/>
            <w:hideMark/>
          </w:tcPr>
          <w:p w14:paraId="10D351DB" w14:textId="79FF762C"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174,237</w:t>
            </w:r>
          </w:p>
        </w:tc>
        <w:tc>
          <w:tcPr>
            <w:tcW w:w="594" w:type="pct"/>
            <w:tcBorders>
              <w:top w:val="nil"/>
              <w:left w:val="nil"/>
              <w:bottom w:val="nil"/>
              <w:right w:val="nil"/>
            </w:tcBorders>
            <w:shd w:val="clear" w:color="auto" w:fill="auto"/>
            <w:noWrap/>
            <w:vAlign w:val="bottom"/>
            <w:hideMark/>
          </w:tcPr>
          <w:p w14:paraId="15F7E9B8" w14:textId="58657416"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62CE034B" w14:textId="472364CE"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01BA324E"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74703744"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Community Development Grants Programme</w:t>
            </w:r>
          </w:p>
        </w:tc>
        <w:tc>
          <w:tcPr>
            <w:tcW w:w="595" w:type="pct"/>
            <w:tcBorders>
              <w:top w:val="nil"/>
              <w:left w:val="nil"/>
              <w:bottom w:val="nil"/>
              <w:right w:val="nil"/>
            </w:tcBorders>
            <w:shd w:val="clear" w:color="auto" w:fill="auto"/>
            <w:noWrap/>
            <w:vAlign w:val="bottom"/>
            <w:hideMark/>
          </w:tcPr>
          <w:p w14:paraId="10052517" w14:textId="33DF137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272,823</w:t>
            </w:r>
          </w:p>
        </w:tc>
        <w:tc>
          <w:tcPr>
            <w:tcW w:w="594" w:type="pct"/>
            <w:tcBorders>
              <w:top w:val="nil"/>
              <w:left w:val="nil"/>
              <w:bottom w:val="nil"/>
              <w:right w:val="nil"/>
            </w:tcBorders>
            <w:shd w:val="clear" w:color="auto" w:fill="E6E6E6"/>
            <w:noWrap/>
            <w:vAlign w:val="bottom"/>
            <w:hideMark/>
          </w:tcPr>
          <w:p w14:paraId="306CA0B9" w14:textId="0FFBAEC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417,965</w:t>
            </w:r>
          </w:p>
        </w:tc>
        <w:tc>
          <w:tcPr>
            <w:tcW w:w="594" w:type="pct"/>
            <w:tcBorders>
              <w:top w:val="nil"/>
              <w:left w:val="nil"/>
              <w:bottom w:val="nil"/>
              <w:right w:val="nil"/>
            </w:tcBorders>
            <w:shd w:val="clear" w:color="auto" w:fill="auto"/>
            <w:noWrap/>
            <w:vAlign w:val="bottom"/>
            <w:hideMark/>
          </w:tcPr>
          <w:p w14:paraId="525EA9FB" w14:textId="456BDDC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253,509</w:t>
            </w:r>
          </w:p>
        </w:tc>
        <w:tc>
          <w:tcPr>
            <w:tcW w:w="594" w:type="pct"/>
            <w:tcBorders>
              <w:top w:val="nil"/>
              <w:left w:val="nil"/>
              <w:bottom w:val="nil"/>
              <w:right w:val="nil"/>
            </w:tcBorders>
            <w:shd w:val="clear" w:color="auto" w:fill="auto"/>
            <w:noWrap/>
            <w:vAlign w:val="bottom"/>
            <w:hideMark/>
          </w:tcPr>
          <w:p w14:paraId="14ABD4AF" w14:textId="5627256E"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226,100</w:t>
            </w:r>
          </w:p>
        </w:tc>
        <w:tc>
          <w:tcPr>
            <w:tcW w:w="594" w:type="pct"/>
            <w:tcBorders>
              <w:top w:val="nil"/>
              <w:left w:val="nil"/>
              <w:bottom w:val="nil"/>
              <w:right w:val="nil"/>
            </w:tcBorders>
            <w:shd w:val="clear" w:color="auto" w:fill="auto"/>
            <w:noWrap/>
            <w:vAlign w:val="bottom"/>
            <w:hideMark/>
          </w:tcPr>
          <w:p w14:paraId="1F0AF087" w14:textId="36D3D18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177,268</w:t>
            </w:r>
          </w:p>
        </w:tc>
      </w:tr>
      <w:tr w:rsidR="00EE1AA5" w:rsidRPr="00AA15D6" w14:paraId="582C534C" w14:textId="77777777" w:rsidTr="002F3AAF">
        <w:trPr>
          <w:gridAfter w:val="1"/>
          <w:wAfter w:w="23" w:type="pct"/>
          <w:trHeight w:val="204"/>
        </w:trPr>
        <w:tc>
          <w:tcPr>
            <w:tcW w:w="2006" w:type="pct"/>
            <w:tcBorders>
              <w:top w:val="nil"/>
              <w:left w:val="nil"/>
              <w:bottom w:val="nil"/>
              <w:right w:val="nil"/>
            </w:tcBorders>
            <w:shd w:val="clear" w:color="auto" w:fill="auto"/>
            <w:vAlign w:val="bottom"/>
          </w:tcPr>
          <w:p w14:paraId="5F2883D8" w14:textId="77777777" w:rsidR="00EE1AA5" w:rsidRPr="00AA15D6" w:rsidRDefault="00EE1AA5" w:rsidP="00EE1AA5">
            <w:pPr>
              <w:spacing w:after="0" w:line="240" w:lineRule="auto"/>
              <w:ind w:left="113"/>
              <w:rPr>
                <w:rFonts w:ascii="Arial" w:hAnsi="Arial" w:cs="Arial"/>
                <w:sz w:val="16"/>
                <w:szCs w:val="16"/>
              </w:rPr>
            </w:pPr>
            <w:r w:rsidRPr="00436529">
              <w:rPr>
                <w:rFonts w:ascii="Arial" w:hAnsi="Arial" w:cs="Arial"/>
                <w:sz w:val="16"/>
                <w:szCs w:val="16"/>
              </w:rPr>
              <w:t>Community Infrastructure Grants Program</w:t>
            </w:r>
          </w:p>
        </w:tc>
        <w:tc>
          <w:tcPr>
            <w:tcW w:w="595" w:type="pct"/>
            <w:tcBorders>
              <w:top w:val="nil"/>
              <w:left w:val="nil"/>
              <w:bottom w:val="nil"/>
              <w:right w:val="nil"/>
            </w:tcBorders>
            <w:shd w:val="clear" w:color="auto" w:fill="auto"/>
            <w:noWrap/>
            <w:vAlign w:val="bottom"/>
          </w:tcPr>
          <w:p w14:paraId="3056E770" w14:textId="771985A6"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E6E6E6"/>
            <w:noWrap/>
            <w:vAlign w:val="bottom"/>
          </w:tcPr>
          <w:p w14:paraId="10F988BC" w14:textId="2929233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62,250</w:t>
            </w:r>
          </w:p>
        </w:tc>
        <w:tc>
          <w:tcPr>
            <w:tcW w:w="594" w:type="pct"/>
            <w:tcBorders>
              <w:top w:val="nil"/>
              <w:left w:val="nil"/>
              <w:bottom w:val="nil"/>
              <w:right w:val="nil"/>
            </w:tcBorders>
            <w:shd w:val="clear" w:color="auto" w:fill="auto"/>
            <w:noWrap/>
            <w:vAlign w:val="bottom"/>
          </w:tcPr>
          <w:p w14:paraId="4FFF4DFE" w14:textId="2A38129A"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227,000</w:t>
            </w:r>
          </w:p>
        </w:tc>
        <w:tc>
          <w:tcPr>
            <w:tcW w:w="594" w:type="pct"/>
            <w:tcBorders>
              <w:top w:val="nil"/>
              <w:left w:val="nil"/>
              <w:bottom w:val="nil"/>
              <w:right w:val="nil"/>
            </w:tcBorders>
            <w:shd w:val="clear" w:color="auto" w:fill="auto"/>
            <w:noWrap/>
            <w:vAlign w:val="bottom"/>
          </w:tcPr>
          <w:p w14:paraId="105FDDDF" w14:textId="442E64D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470,000</w:t>
            </w:r>
          </w:p>
        </w:tc>
        <w:tc>
          <w:tcPr>
            <w:tcW w:w="594" w:type="pct"/>
            <w:tcBorders>
              <w:top w:val="nil"/>
              <w:left w:val="nil"/>
              <w:bottom w:val="nil"/>
              <w:right w:val="nil"/>
            </w:tcBorders>
            <w:shd w:val="clear" w:color="auto" w:fill="auto"/>
            <w:noWrap/>
            <w:vAlign w:val="bottom"/>
          </w:tcPr>
          <w:p w14:paraId="48CF6A42" w14:textId="42DEEC69"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600,000</w:t>
            </w:r>
          </w:p>
        </w:tc>
      </w:tr>
      <w:tr w:rsidR="00EE1AA5" w:rsidRPr="00AA15D6" w14:paraId="5AAE88A2"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378464F9"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Drought Communities Programme Extension</w:t>
            </w:r>
          </w:p>
        </w:tc>
        <w:tc>
          <w:tcPr>
            <w:tcW w:w="595" w:type="pct"/>
            <w:tcBorders>
              <w:top w:val="nil"/>
              <w:left w:val="nil"/>
              <w:bottom w:val="nil"/>
              <w:right w:val="nil"/>
            </w:tcBorders>
            <w:shd w:val="clear" w:color="auto" w:fill="auto"/>
            <w:noWrap/>
            <w:vAlign w:val="bottom"/>
            <w:hideMark/>
          </w:tcPr>
          <w:p w14:paraId="6D22808B" w14:textId="7D205859"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13,733</w:t>
            </w:r>
          </w:p>
        </w:tc>
        <w:tc>
          <w:tcPr>
            <w:tcW w:w="594" w:type="pct"/>
            <w:tcBorders>
              <w:top w:val="nil"/>
              <w:left w:val="nil"/>
              <w:bottom w:val="nil"/>
              <w:right w:val="nil"/>
            </w:tcBorders>
            <w:shd w:val="clear" w:color="auto" w:fill="E6E6E6"/>
            <w:noWrap/>
            <w:vAlign w:val="bottom"/>
            <w:hideMark/>
          </w:tcPr>
          <w:p w14:paraId="5FAA3766" w14:textId="5CEA5739"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10,000</w:t>
            </w:r>
          </w:p>
        </w:tc>
        <w:tc>
          <w:tcPr>
            <w:tcW w:w="594" w:type="pct"/>
            <w:tcBorders>
              <w:top w:val="nil"/>
              <w:left w:val="nil"/>
              <w:bottom w:val="nil"/>
              <w:right w:val="nil"/>
            </w:tcBorders>
            <w:shd w:val="clear" w:color="auto" w:fill="auto"/>
            <w:noWrap/>
            <w:vAlign w:val="bottom"/>
            <w:hideMark/>
          </w:tcPr>
          <w:p w14:paraId="201C3B45" w14:textId="2521208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761A792A" w14:textId="02E936A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70A73BD0" w14:textId="47E18DB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7B94F472"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74BC823E"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Hinkler Regional Deal</w:t>
            </w:r>
          </w:p>
        </w:tc>
        <w:tc>
          <w:tcPr>
            <w:tcW w:w="595" w:type="pct"/>
            <w:tcBorders>
              <w:top w:val="nil"/>
              <w:left w:val="nil"/>
              <w:bottom w:val="nil"/>
              <w:right w:val="nil"/>
            </w:tcBorders>
            <w:shd w:val="clear" w:color="auto" w:fill="auto"/>
            <w:noWrap/>
            <w:vAlign w:val="bottom"/>
            <w:hideMark/>
          </w:tcPr>
          <w:p w14:paraId="7EDD8B17" w14:textId="3305728E"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E6E6E6"/>
            <w:noWrap/>
            <w:vAlign w:val="bottom"/>
            <w:hideMark/>
          </w:tcPr>
          <w:p w14:paraId="142DFA41" w14:textId="7308855A"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250</w:t>
            </w:r>
          </w:p>
        </w:tc>
        <w:tc>
          <w:tcPr>
            <w:tcW w:w="594" w:type="pct"/>
            <w:tcBorders>
              <w:top w:val="nil"/>
              <w:left w:val="nil"/>
              <w:bottom w:val="nil"/>
              <w:right w:val="nil"/>
            </w:tcBorders>
            <w:shd w:val="clear" w:color="auto" w:fill="auto"/>
            <w:noWrap/>
            <w:vAlign w:val="bottom"/>
            <w:hideMark/>
          </w:tcPr>
          <w:p w14:paraId="42E63DB2" w14:textId="28F0D0B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15D9A457" w14:textId="3984FD6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59826CCE" w14:textId="3DF99C2D"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6DFF3EE1" w14:textId="77777777" w:rsidTr="002F3AAF">
        <w:trPr>
          <w:gridAfter w:val="1"/>
          <w:wAfter w:w="23" w:type="pct"/>
          <w:trHeight w:val="204"/>
        </w:trPr>
        <w:tc>
          <w:tcPr>
            <w:tcW w:w="2006" w:type="pct"/>
            <w:tcBorders>
              <w:top w:val="nil"/>
              <w:left w:val="nil"/>
              <w:bottom w:val="nil"/>
              <w:right w:val="nil"/>
            </w:tcBorders>
            <w:shd w:val="clear" w:color="auto" w:fill="auto"/>
            <w:vAlign w:val="bottom"/>
          </w:tcPr>
          <w:p w14:paraId="1C72C2E9" w14:textId="77777777" w:rsidR="00EE1AA5" w:rsidRPr="00AA15D6" w:rsidRDefault="00EE1AA5" w:rsidP="00EE1AA5">
            <w:pPr>
              <w:spacing w:after="0" w:line="240" w:lineRule="auto"/>
              <w:ind w:left="113"/>
              <w:rPr>
                <w:rFonts w:ascii="Arial" w:hAnsi="Arial" w:cs="Arial"/>
                <w:sz w:val="16"/>
                <w:szCs w:val="16"/>
              </w:rPr>
            </w:pPr>
            <w:r w:rsidRPr="00436529">
              <w:rPr>
                <w:rFonts w:ascii="Arial" w:hAnsi="Arial" w:cs="Arial"/>
                <w:sz w:val="16"/>
                <w:szCs w:val="16"/>
              </w:rPr>
              <w:t>Investing in Our Communities Program</w:t>
            </w:r>
          </w:p>
        </w:tc>
        <w:tc>
          <w:tcPr>
            <w:tcW w:w="595" w:type="pct"/>
            <w:tcBorders>
              <w:top w:val="nil"/>
              <w:left w:val="nil"/>
              <w:bottom w:val="nil"/>
              <w:right w:val="nil"/>
            </w:tcBorders>
            <w:shd w:val="clear" w:color="auto" w:fill="auto"/>
            <w:noWrap/>
            <w:vAlign w:val="bottom"/>
          </w:tcPr>
          <w:p w14:paraId="79AC241B" w14:textId="2BE942B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E6E6E6"/>
            <w:noWrap/>
            <w:vAlign w:val="bottom"/>
          </w:tcPr>
          <w:p w14:paraId="5BF21A3D" w14:textId="2EB039B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22,927</w:t>
            </w:r>
          </w:p>
        </w:tc>
        <w:tc>
          <w:tcPr>
            <w:tcW w:w="594" w:type="pct"/>
            <w:tcBorders>
              <w:top w:val="nil"/>
              <w:left w:val="nil"/>
              <w:bottom w:val="nil"/>
              <w:right w:val="nil"/>
            </w:tcBorders>
            <w:shd w:val="clear" w:color="auto" w:fill="auto"/>
            <w:noWrap/>
            <w:vAlign w:val="bottom"/>
          </w:tcPr>
          <w:p w14:paraId="71E58EDE" w14:textId="39A240C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108,940</w:t>
            </w:r>
          </w:p>
        </w:tc>
        <w:tc>
          <w:tcPr>
            <w:tcW w:w="594" w:type="pct"/>
            <w:tcBorders>
              <w:top w:val="nil"/>
              <w:left w:val="nil"/>
              <w:bottom w:val="nil"/>
              <w:right w:val="nil"/>
            </w:tcBorders>
            <w:shd w:val="clear" w:color="auto" w:fill="auto"/>
            <w:noWrap/>
            <w:vAlign w:val="bottom"/>
          </w:tcPr>
          <w:p w14:paraId="0EA6CC65" w14:textId="209ACC7C"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128,014</w:t>
            </w:r>
          </w:p>
        </w:tc>
        <w:tc>
          <w:tcPr>
            <w:tcW w:w="594" w:type="pct"/>
            <w:tcBorders>
              <w:top w:val="nil"/>
              <w:left w:val="nil"/>
              <w:bottom w:val="nil"/>
              <w:right w:val="nil"/>
            </w:tcBorders>
            <w:shd w:val="clear" w:color="auto" w:fill="auto"/>
            <w:noWrap/>
            <w:vAlign w:val="bottom"/>
          </w:tcPr>
          <w:p w14:paraId="2FFBE7FA" w14:textId="6DA3768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59,700</w:t>
            </w:r>
          </w:p>
        </w:tc>
      </w:tr>
      <w:tr w:rsidR="00EE1AA5" w:rsidRPr="00AA15D6" w14:paraId="76BEAF70"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741C2E81"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National Stronger Regions Fund</w:t>
            </w:r>
          </w:p>
        </w:tc>
        <w:tc>
          <w:tcPr>
            <w:tcW w:w="595" w:type="pct"/>
            <w:tcBorders>
              <w:top w:val="nil"/>
              <w:left w:val="nil"/>
              <w:bottom w:val="nil"/>
              <w:right w:val="nil"/>
            </w:tcBorders>
            <w:shd w:val="clear" w:color="auto" w:fill="auto"/>
            <w:noWrap/>
            <w:vAlign w:val="bottom"/>
            <w:hideMark/>
          </w:tcPr>
          <w:p w14:paraId="7830F2F0" w14:textId="33061B5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2,266</w:t>
            </w:r>
          </w:p>
        </w:tc>
        <w:tc>
          <w:tcPr>
            <w:tcW w:w="594" w:type="pct"/>
            <w:tcBorders>
              <w:top w:val="nil"/>
              <w:left w:val="nil"/>
              <w:bottom w:val="nil"/>
              <w:right w:val="nil"/>
            </w:tcBorders>
            <w:shd w:val="clear" w:color="auto" w:fill="E6E6E6"/>
            <w:noWrap/>
            <w:vAlign w:val="bottom"/>
            <w:hideMark/>
          </w:tcPr>
          <w:p w14:paraId="08E4C692" w14:textId="0C52ADF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4BA27960" w14:textId="5AE9D29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33172367" w14:textId="5742066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19B603DB" w14:textId="1AFDC70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06C26107"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0C5D5573"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National Water Infrastructure Development Fund</w:t>
            </w:r>
            <w:r>
              <w:rPr>
                <w:rFonts w:ascii="Arial" w:hAnsi="Arial" w:cs="Arial"/>
                <w:sz w:val="16"/>
                <w:szCs w:val="16"/>
              </w:rPr>
              <w:t xml:space="preserve"> </w:t>
            </w:r>
            <w:r w:rsidRPr="00436529">
              <w:rPr>
                <w:rFonts w:ascii="Arial" w:hAnsi="Arial" w:cs="Arial"/>
                <w:sz w:val="16"/>
                <w:szCs w:val="16"/>
                <w:vertAlign w:val="superscript"/>
              </w:rPr>
              <w:t>(a)</w:t>
            </w:r>
          </w:p>
        </w:tc>
        <w:tc>
          <w:tcPr>
            <w:tcW w:w="595" w:type="pct"/>
            <w:tcBorders>
              <w:top w:val="nil"/>
              <w:left w:val="nil"/>
              <w:bottom w:val="nil"/>
              <w:right w:val="nil"/>
            </w:tcBorders>
            <w:shd w:val="clear" w:color="auto" w:fill="auto"/>
            <w:noWrap/>
            <w:vAlign w:val="bottom"/>
            <w:hideMark/>
          </w:tcPr>
          <w:p w14:paraId="73A3D6B2" w14:textId="14C88D2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500</w:t>
            </w:r>
          </w:p>
        </w:tc>
        <w:tc>
          <w:tcPr>
            <w:tcW w:w="594" w:type="pct"/>
            <w:tcBorders>
              <w:top w:val="nil"/>
              <w:left w:val="nil"/>
              <w:bottom w:val="nil"/>
              <w:right w:val="nil"/>
            </w:tcBorders>
            <w:shd w:val="clear" w:color="auto" w:fill="E6E6E6"/>
            <w:noWrap/>
            <w:vAlign w:val="bottom"/>
            <w:hideMark/>
          </w:tcPr>
          <w:p w14:paraId="6F705429" w14:textId="6CDB69C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43599F82" w14:textId="3874FC7C"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60490662" w14:textId="7B07061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6C86B45E" w14:textId="5782D4BD"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63086CEF"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6A110C27"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National Water Grid Authority</w:t>
            </w:r>
            <w:r w:rsidRPr="00436529">
              <w:rPr>
                <w:rFonts w:ascii="Arial" w:hAnsi="Arial" w:cs="Arial"/>
                <w:sz w:val="16"/>
                <w:szCs w:val="16"/>
                <w:vertAlign w:val="superscript"/>
              </w:rPr>
              <w:t>(a)</w:t>
            </w:r>
          </w:p>
        </w:tc>
        <w:tc>
          <w:tcPr>
            <w:tcW w:w="595" w:type="pct"/>
            <w:tcBorders>
              <w:top w:val="nil"/>
              <w:left w:val="nil"/>
              <w:bottom w:val="nil"/>
              <w:right w:val="nil"/>
            </w:tcBorders>
            <w:shd w:val="clear" w:color="auto" w:fill="auto"/>
            <w:noWrap/>
            <w:vAlign w:val="bottom"/>
            <w:hideMark/>
          </w:tcPr>
          <w:p w14:paraId="2B0C205E" w14:textId="51282BB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6,117</w:t>
            </w:r>
          </w:p>
        </w:tc>
        <w:tc>
          <w:tcPr>
            <w:tcW w:w="594" w:type="pct"/>
            <w:tcBorders>
              <w:top w:val="nil"/>
              <w:left w:val="nil"/>
              <w:bottom w:val="nil"/>
              <w:right w:val="nil"/>
            </w:tcBorders>
            <w:shd w:val="clear" w:color="auto" w:fill="E6E6E6"/>
            <w:noWrap/>
            <w:vAlign w:val="bottom"/>
            <w:hideMark/>
          </w:tcPr>
          <w:p w14:paraId="0B4274B8" w14:textId="0D21787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8</w:t>
            </w:r>
          </w:p>
        </w:tc>
        <w:tc>
          <w:tcPr>
            <w:tcW w:w="594" w:type="pct"/>
            <w:tcBorders>
              <w:top w:val="nil"/>
              <w:left w:val="nil"/>
              <w:bottom w:val="nil"/>
              <w:right w:val="nil"/>
            </w:tcBorders>
            <w:shd w:val="clear" w:color="auto" w:fill="auto"/>
            <w:noWrap/>
            <w:vAlign w:val="bottom"/>
            <w:hideMark/>
          </w:tcPr>
          <w:p w14:paraId="0F845DA9" w14:textId="5816A85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6409D351" w14:textId="7846211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67FCA9BC" w14:textId="35718F95"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48A8FA6E" w14:textId="77777777" w:rsidTr="002F3AAF">
        <w:trPr>
          <w:gridAfter w:val="1"/>
          <w:wAfter w:w="23" w:type="pct"/>
          <w:trHeight w:val="204"/>
        </w:trPr>
        <w:tc>
          <w:tcPr>
            <w:tcW w:w="2006" w:type="pct"/>
            <w:tcBorders>
              <w:top w:val="nil"/>
              <w:left w:val="nil"/>
              <w:bottom w:val="nil"/>
              <w:right w:val="nil"/>
            </w:tcBorders>
            <w:shd w:val="clear" w:color="auto" w:fill="auto"/>
            <w:vAlign w:val="bottom"/>
          </w:tcPr>
          <w:p w14:paraId="5547EC48" w14:textId="77777777" w:rsidR="00EE1AA5" w:rsidRPr="00AA15D6" w:rsidRDefault="00EE1AA5" w:rsidP="00EE1AA5">
            <w:pPr>
              <w:spacing w:after="0" w:line="240" w:lineRule="auto"/>
              <w:ind w:left="113"/>
              <w:rPr>
                <w:rFonts w:ascii="Arial" w:hAnsi="Arial" w:cs="Arial"/>
                <w:sz w:val="16"/>
                <w:szCs w:val="16"/>
              </w:rPr>
            </w:pPr>
            <w:r w:rsidRPr="00436529">
              <w:rPr>
                <w:rFonts w:ascii="Arial" w:hAnsi="Arial" w:cs="Arial"/>
                <w:sz w:val="16"/>
                <w:szCs w:val="16"/>
              </w:rPr>
              <w:t>Northern Australia Projects and Supporting Clean Energy in the Hunter</w:t>
            </w:r>
          </w:p>
        </w:tc>
        <w:tc>
          <w:tcPr>
            <w:tcW w:w="595" w:type="pct"/>
            <w:tcBorders>
              <w:top w:val="nil"/>
              <w:left w:val="nil"/>
              <w:bottom w:val="nil"/>
              <w:right w:val="nil"/>
            </w:tcBorders>
            <w:shd w:val="clear" w:color="auto" w:fill="auto"/>
            <w:noWrap/>
            <w:vAlign w:val="bottom"/>
          </w:tcPr>
          <w:p w14:paraId="43406FBB" w14:textId="609E219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E6E6E6"/>
            <w:noWrap/>
            <w:vAlign w:val="bottom"/>
          </w:tcPr>
          <w:p w14:paraId="1A0B3027" w14:textId="2D7A9ABC"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7,700</w:t>
            </w:r>
          </w:p>
        </w:tc>
        <w:tc>
          <w:tcPr>
            <w:tcW w:w="594" w:type="pct"/>
            <w:tcBorders>
              <w:top w:val="nil"/>
              <w:left w:val="nil"/>
              <w:bottom w:val="nil"/>
              <w:right w:val="nil"/>
            </w:tcBorders>
            <w:shd w:val="clear" w:color="auto" w:fill="auto"/>
            <w:noWrap/>
            <w:vAlign w:val="bottom"/>
          </w:tcPr>
          <w:p w14:paraId="3A430C21" w14:textId="538ED6B8"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79,000</w:t>
            </w:r>
          </w:p>
        </w:tc>
        <w:tc>
          <w:tcPr>
            <w:tcW w:w="594" w:type="pct"/>
            <w:tcBorders>
              <w:top w:val="nil"/>
              <w:left w:val="nil"/>
              <w:bottom w:val="nil"/>
              <w:right w:val="nil"/>
            </w:tcBorders>
            <w:shd w:val="clear" w:color="auto" w:fill="auto"/>
            <w:noWrap/>
            <w:vAlign w:val="bottom"/>
          </w:tcPr>
          <w:p w14:paraId="39351E2A" w14:textId="29D0221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131,000</w:t>
            </w:r>
          </w:p>
        </w:tc>
        <w:tc>
          <w:tcPr>
            <w:tcW w:w="594" w:type="pct"/>
            <w:tcBorders>
              <w:top w:val="nil"/>
              <w:left w:val="nil"/>
              <w:bottom w:val="nil"/>
              <w:right w:val="nil"/>
            </w:tcBorders>
            <w:shd w:val="clear" w:color="auto" w:fill="auto"/>
            <w:noWrap/>
            <w:vAlign w:val="bottom"/>
          </w:tcPr>
          <w:p w14:paraId="45D2F25F" w14:textId="30B7BC1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115,000</w:t>
            </w:r>
          </w:p>
        </w:tc>
      </w:tr>
      <w:tr w:rsidR="00EE1AA5" w:rsidRPr="00AA15D6" w14:paraId="64129E03" w14:textId="77777777" w:rsidTr="002F3AAF">
        <w:trPr>
          <w:gridAfter w:val="1"/>
          <w:wAfter w:w="23" w:type="pct"/>
          <w:trHeight w:val="204"/>
        </w:trPr>
        <w:tc>
          <w:tcPr>
            <w:tcW w:w="2006" w:type="pct"/>
            <w:tcBorders>
              <w:top w:val="nil"/>
              <w:left w:val="nil"/>
              <w:bottom w:val="nil"/>
              <w:right w:val="nil"/>
            </w:tcBorders>
            <w:shd w:val="clear" w:color="auto" w:fill="auto"/>
            <w:vAlign w:val="bottom"/>
          </w:tcPr>
          <w:p w14:paraId="159C3896" w14:textId="77777777" w:rsidR="00EE1AA5" w:rsidRPr="00436529" w:rsidRDefault="00EE1AA5" w:rsidP="00EE1AA5">
            <w:pPr>
              <w:spacing w:after="0" w:line="240" w:lineRule="auto"/>
              <w:ind w:left="113"/>
              <w:rPr>
                <w:rFonts w:ascii="Arial" w:hAnsi="Arial" w:cs="Arial"/>
                <w:sz w:val="16"/>
                <w:szCs w:val="16"/>
              </w:rPr>
            </w:pPr>
            <w:r w:rsidRPr="00436529">
              <w:rPr>
                <w:rFonts w:ascii="Arial" w:hAnsi="Arial" w:cs="Arial"/>
                <w:sz w:val="16"/>
                <w:szCs w:val="16"/>
              </w:rPr>
              <w:t>Precincts and Partnerships Program (Regional Stream) – Strategic Priorities</w:t>
            </w:r>
          </w:p>
        </w:tc>
        <w:tc>
          <w:tcPr>
            <w:tcW w:w="595" w:type="pct"/>
            <w:tcBorders>
              <w:top w:val="nil"/>
              <w:left w:val="nil"/>
              <w:bottom w:val="nil"/>
              <w:right w:val="nil"/>
            </w:tcBorders>
            <w:shd w:val="clear" w:color="auto" w:fill="auto"/>
            <w:noWrap/>
            <w:vAlign w:val="bottom"/>
          </w:tcPr>
          <w:p w14:paraId="2533982D" w14:textId="13B8B1DA"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E6E6E6"/>
            <w:noWrap/>
            <w:vAlign w:val="bottom"/>
          </w:tcPr>
          <w:p w14:paraId="4761CD57" w14:textId="2F8BC1B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tcPr>
          <w:p w14:paraId="0E0F5807" w14:textId="1F92D12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125,000</w:t>
            </w:r>
          </w:p>
        </w:tc>
        <w:tc>
          <w:tcPr>
            <w:tcW w:w="594" w:type="pct"/>
            <w:tcBorders>
              <w:top w:val="nil"/>
              <w:left w:val="nil"/>
              <w:bottom w:val="nil"/>
              <w:right w:val="nil"/>
            </w:tcBorders>
            <w:shd w:val="clear" w:color="auto" w:fill="auto"/>
            <w:noWrap/>
            <w:vAlign w:val="bottom"/>
          </w:tcPr>
          <w:p w14:paraId="7DB0BAB6" w14:textId="5E6DEEC6"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175,000</w:t>
            </w:r>
          </w:p>
        </w:tc>
        <w:tc>
          <w:tcPr>
            <w:tcW w:w="594" w:type="pct"/>
            <w:tcBorders>
              <w:top w:val="nil"/>
              <w:left w:val="nil"/>
              <w:bottom w:val="nil"/>
              <w:right w:val="nil"/>
            </w:tcBorders>
            <w:shd w:val="clear" w:color="auto" w:fill="auto"/>
            <w:noWrap/>
            <w:vAlign w:val="bottom"/>
          </w:tcPr>
          <w:p w14:paraId="7FF7E4D4" w14:textId="3A6E119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200,000</w:t>
            </w:r>
          </w:p>
        </w:tc>
      </w:tr>
      <w:tr w:rsidR="00EE1AA5" w:rsidRPr="00AA15D6" w14:paraId="1FC1E21B"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3944C2D0"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Rebuilding Regional Communities</w:t>
            </w:r>
          </w:p>
        </w:tc>
        <w:tc>
          <w:tcPr>
            <w:tcW w:w="595" w:type="pct"/>
            <w:tcBorders>
              <w:top w:val="nil"/>
              <w:left w:val="nil"/>
              <w:bottom w:val="nil"/>
              <w:right w:val="nil"/>
            </w:tcBorders>
            <w:shd w:val="clear" w:color="auto" w:fill="auto"/>
            <w:noWrap/>
            <w:vAlign w:val="bottom"/>
            <w:hideMark/>
          </w:tcPr>
          <w:p w14:paraId="1DF28AB8" w14:textId="2BA5009B"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3,400</w:t>
            </w:r>
          </w:p>
        </w:tc>
        <w:tc>
          <w:tcPr>
            <w:tcW w:w="594" w:type="pct"/>
            <w:tcBorders>
              <w:top w:val="nil"/>
              <w:left w:val="nil"/>
              <w:bottom w:val="nil"/>
              <w:right w:val="nil"/>
            </w:tcBorders>
            <w:shd w:val="clear" w:color="auto" w:fill="E6E6E6"/>
            <w:noWrap/>
            <w:vAlign w:val="bottom"/>
            <w:hideMark/>
          </w:tcPr>
          <w:p w14:paraId="7CC0708F" w14:textId="741509BB"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2,304</w:t>
            </w:r>
          </w:p>
        </w:tc>
        <w:tc>
          <w:tcPr>
            <w:tcW w:w="594" w:type="pct"/>
            <w:tcBorders>
              <w:top w:val="nil"/>
              <w:left w:val="nil"/>
              <w:bottom w:val="nil"/>
              <w:right w:val="nil"/>
            </w:tcBorders>
            <w:shd w:val="clear" w:color="auto" w:fill="auto"/>
            <w:noWrap/>
            <w:vAlign w:val="bottom"/>
            <w:hideMark/>
          </w:tcPr>
          <w:p w14:paraId="7DAB153B" w14:textId="6623397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275A7F3B" w14:textId="705FEDFB"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55CFCB94" w14:textId="2B39A408"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7D1833E5"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6C0BEA84"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Regional Australia Institute</w:t>
            </w:r>
          </w:p>
        </w:tc>
        <w:tc>
          <w:tcPr>
            <w:tcW w:w="595" w:type="pct"/>
            <w:tcBorders>
              <w:top w:val="nil"/>
              <w:left w:val="nil"/>
              <w:bottom w:val="nil"/>
              <w:right w:val="nil"/>
            </w:tcBorders>
            <w:shd w:val="clear" w:color="auto" w:fill="auto"/>
            <w:noWrap/>
            <w:vAlign w:val="bottom"/>
            <w:hideMark/>
          </w:tcPr>
          <w:p w14:paraId="2030B973" w14:textId="5D568578"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2,700</w:t>
            </w:r>
          </w:p>
        </w:tc>
        <w:tc>
          <w:tcPr>
            <w:tcW w:w="594" w:type="pct"/>
            <w:tcBorders>
              <w:top w:val="nil"/>
              <w:left w:val="nil"/>
              <w:bottom w:val="nil"/>
              <w:right w:val="nil"/>
            </w:tcBorders>
            <w:shd w:val="clear" w:color="auto" w:fill="E6E6E6"/>
            <w:noWrap/>
            <w:vAlign w:val="bottom"/>
            <w:hideMark/>
          </w:tcPr>
          <w:p w14:paraId="08472F0C" w14:textId="5B4B402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2DE490AA" w14:textId="70E835A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348E912A" w14:textId="175E8D87"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5C63D611" w14:textId="2168295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6FD0173E"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248BE3B6" w14:textId="77777777" w:rsidR="00EE1AA5" w:rsidRPr="00C2657E" w:rsidRDefault="00EE1AA5" w:rsidP="00EE1AA5">
            <w:pPr>
              <w:spacing w:after="0" w:line="240" w:lineRule="auto"/>
              <w:ind w:left="113"/>
              <w:rPr>
                <w:rFonts w:ascii="Arial" w:hAnsi="Arial" w:cs="Arial"/>
                <w:sz w:val="16"/>
                <w:szCs w:val="16"/>
              </w:rPr>
            </w:pPr>
            <w:r w:rsidRPr="00C2657E">
              <w:rPr>
                <w:rFonts w:ascii="Arial" w:hAnsi="Arial" w:cs="Arial"/>
                <w:sz w:val="16"/>
                <w:szCs w:val="16"/>
              </w:rPr>
              <w:t>Regional Development Australia Committees</w:t>
            </w:r>
          </w:p>
        </w:tc>
        <w:tc>
          <w:tcPr>
            <w:tcW w:w="595" w:type="pct"/>
            <w:tcBorders>
              <w:top w:val="nil"/>
              <w:left w:val="nil"/>
              <w:bottom w:val="nil"/>
              <w:right w:val="nil"/>
            </w:tcBorders>
            <w:shd w:val="clear" w:color="auto" w:fill="auto"/>
            <w:noWrap/>
            <w:vAlign w:val="bottom"/>
            <w:hideMark/>
          </w:tcPr>
          <w:p w14:paraId="25AB78FD" w14:textId="3405E7E3"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19,044</w:t>
            </w:r>
          </w:p>
        </w:tc>
        <w:tc>
          <w:tcPr>
            <w:tcW w:w="594" w:type="pct"/>
            <w:tcBorders>
              <w:top w:val="nil"/>
              <w:left w:val="nil"/>
              <w:bottom w:val="nil"/>
              <w:right w:val="nil"/>
            </w:tcBorders>
            <w:shd w:val="clear" w:color="auto" w:fill="E6E6E6"/>
            <w:noWrap/>
            <w:vAlign w:val="bottom"/>
            <w:hideMark/>
          </w:tcPr>
          <w:p w14:paraId="3E4D3A68" w14:textId="619DB2AC"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19,947</w:t>
            </w:r>
          </w:p>
        </w:tc>
        <w:tc>
          <w:tcPr>
            <w:tcW w:w="594" w:type="pct"/>
            <w:tcBorders>
              <w:top w:val="nil"/>
              <w:left w:val="nil"/>
              <w:bottom w:val="nil"/>
              <w:right w:val="nil"/>
            </w:tcBorders>
            <w:shd w:val="clear" w:color="auto" w:fill="auto"/>
            <w:noWrap/>
            <w:vAlign w:val="bottom"/>
            <w:hideMark/>
          </w:tcPr>
          <w:p w14:paraId="33C67FF9" w14:textId="79DC6E10"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20,998</w:t>
            </w:r>
          </w:p>
        </w:tc>
        <w:tc>
          <w:tcPr>
            <w:tcW w:w="594" w:type="pct"/>
            <w:tcBorders>
              <w:top w:val="nil"/>
              <w:left w:val="nil"/>
              <w:bottom w:val="nil"/>
              <w:right w:val="nil"/>
            </w:tcBorders>
            <w:shd w:val="clear" w:color="auto" w:fill="auto"/>
            <w:noWrap/>
            <w:vAlign w:val="bottom"/>
            <w:hideMark/>
          </w:tcPr>
          <w:p w14:paraId="61284547" w14:textId="18774623"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21,595</w:t>
            </w:r>
          </w:p>
        </w:tc>
        <w:tc>
          <w:tcPr>
            <w:tcW w:w="594" w:type="pct"/>
            <w:tcBorders>
              <w:top w:val="nil"/>
              <w:left w:val="nil"/>
              <w:bottom w:val="nil"/>
              <w:right w:val="nil"/>
            </w:tcBorders>
            <w:shd w:val="clear" w:color="auto" w:fill="auto"/>
            <w:noWrap/>
            <w:vAlign w:val="bottom"/>
            <w:hideMark/>
          </w:tcPr>
          <w:p w14:paraId="60F69C1E" w14:textId="32CA7CF7"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22,039</w:t>
            </w:r>
          </w:p>
        </w:tc>
      </w:tr>
      <w:tr w:rsidR="00EE1AA5" w:rsidRPr="00C2657E" w14:paraId="7DC368B6"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1D189864" w14:textId="77777777" w:rsidR="00EE1AA5" w:rsidRPr="00C2657E" w:rsidRDefault="00EE1AA5" w:rsidP="00EE1AA5">
            <w:pPr>
              <w:spacing w:after="0" w:line="240" w:lineRule="auto"/>
              <w:ind w:left="113"/>
              <w:rPr>
                <w:rFonts w:ascii="Arial" w:hAnsi="Arial" w:cs="Arial"/>
                <w:sz w:val="16"/>
                <w:szCs w:val="16"/>
              </w:rPr>
            </w:pPr>
            <w:r w:rsidRPr="00C2657E">
              <w:rPr>
                <w:rFonts w:ascii="Arial" w:hAnsi="Arial" w:cs="Arial"/>
                <w:sz w:val="16"/>
                <w:szCs w:val="16"/>
              </w:rPr>
              <w:t>Regional Growth Fund</w:t>
            </w:r>
          </w:p>
        </w:tc>
        <w:tc>
          <w:tcPr>
            <w:tcW w:w="595" w:type="pct"/>
            <w:tcBorders>
              <w:top w:val="nil"/>
              <w:left w:val="nil"/>
              <w:bottom w:val="nil"/>
              <w:right w:val="nil"/>
            </w:tcBorders>
            <w:shd w:val="clear" w:color="auto" w:fill="auto"/>
            <w:noWrap/>
            <w:vAlign w:val="bottom"/>
            <w:hideMark/>
          </w:tcPr>
          <w:p w14:paraId="539AF956" w14:textId="1D28D7D0"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63,166</w:t>
            </w:r>
          </w:p>
        </w:tc>
        <w:tc>
          <w:tcPr>
            <w:tcW w:w="594" w:type="pct"/>
            <w:tcBorders>
              <w:top w:val="nil"/>
              <w:left w:val="nil"/>
              <w:bottom w:val="nil"/>
              <w:right w:val="nil"/>
            </w:tcBorders>
            <w:shd w:val="clear" w:color="auto" w:fill="E6E6E6"/>
            <w:noWrap/>
            <w:vAlign w:val="bottom"/>
            <w:hideMark/>
          </w:tcPr>
          <w:p w14:paraId="7B5C3D3E" w14:textId="42EC165C"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132,613</w:t>
            </w:r>
          </w:p>
        </w:tc>
        <w:tc>
          <w:tcPr>
            <w:tcW w:w="594" w:type="pct"/>
            <w:tcBorders>
              <w:top w:val="nil"/>
              <w:left w:val="nil"/>
              <w:bottom w:val="nil"/>
              <w:right w:val="nil"/>
            </w:tcBorders>
            <w:shd w:val="clear" w:color="auto" w:fill="auto"/>
            <w:noWrap/>
            <w:vAlign w:val="bottom"/>
            <w:hideMark/>
          </w:tcPr>
          <w:p w14:paraId="1CA66E09" w14:textId="7622B26B"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37D80226" w14:textId="2C239B66"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74D72C17" w14:textId="6D0D5A83"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0D4AB333"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4C94FFC8" w14:textId="77777777" w:rsidR="00EE1AA5" w:rsidRPr="00C2657E" w:rsidRDefault="00EE1AA5" w:rsidP="00EE1AA5">
            <w:pPr>
              <w:spacing w:after="0" w:line="240" w:lineRule="auto"/>
              <w:ind w:left="113"/>
              <w:rPr>
                <w:rFonts w:ascii="Arial" w:hAnsi="Arial" w:cs="Arial"/>
                <w:sz w:val="16"/>
                <w:szCs w:val="16"/>
              </w:rPr>
            </w:pPr>
            <w:r w:rsidRPr="00C2657E">
              <w:rPr>
                <w:rFonts w:ascii="Arial" w:hAnsi="Arial" w:cs="Arial"/>
                <w:sz w:val="16"/>
                <w:szCs w:val="16"/>
              </w:rPr>
              <w:t>Regional Jobs and Investment Packages</w:t>
            </w:r>
          </w:p>
        </w:tc>
        <w:tc>
          <w:tcPr>
            <w:tcW w:w="595" w:type="pct"/>
            <w:tcBorders>
              <w:top w:val="nil"/>
              <w:left w:val="nil"/>
              <w:bottom w:val="nil"/>
              <w:right w:val="nil"/>
            </w:tcBorders>
            <w:shd w:val="clear" w:color="auto" w:fill="auto"/>
            <w:noWrap/>
            <w:vAlign w:val="bottom"/>
            <w:hideMark/>
          </w:tcPr>
          <w:p w14:paraId="0B258AA1" w14:textId="34565837"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10,088</w:t>
            </w:r>
          </w:p>
        </w:tc>
        <w:tc>
          <w:tcPr>
            <w:tcW w:w="594" w:type="pct"/>
            <w:tcBorders>
              <w:top w:val="nil"/>
              <w:left w:val="nil"/>
              <w:bottom w:val="nil"/>
              <w:right w:val="nil"/>
            </w:tcBorders>
            <w:shd w:val="clear" w:color="auto" w:fill="E6E6E6"/>
            <w:noWrap/>
            <w:vAlign w:val="bottom"/>
            <w:hideMark/>
          </w:tcPr>
          <w:p w14:paraId="3A43F657" w14:textId="6F82FCEF"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4,142</w:t>
            </w:r>
          </w:p>
        </w:tc>
        <w:tc>
          <w:tcPr>
            <w:tcW w:w="594" w:type="pct"/>
            <w:tcBorders>
              <w:top w:val="nil"/>
              <w:left w:val="nil"/>
              <w:bottom w:val="nil"/>
              <w:right w:val="nil"/>
            </w:tcBorders>
            <w:shd w:val="clear" w:color="auto" w:fill="auto"/>
            <w:noWrap/>
            <w:vAlign w:val="bottom"/>
            <w:hideMark/>
          </w:tcPr>
          <w:p w14:paraId="5C4E35C1" w14:textId="0F2E5D8E"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3F711843" w14:textId="00C7C677"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70BC926F" w14:textId="0B156759"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77411BA2"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05C95D35" w14:textId="77777777" w:rsidR="00EE1AA5" w:rsidRPr="00C2657E" w:rsidRDefault="00EE1AA5" w:rsidP="00EE1AA5">
            <w:pPr>
              <w:spacing w:after="0" w:line="240" w:lineRule="auto"/>
              <w:ind w:left="113"/>
              <w:rPr>
                <w:rFonts w:ascii="Arial" w:hAnsi="Arial" w:cs="Arial"/>
                <w:sz w:val="16"/>
                <w:szCs w:val="16"/>
              </w:rPr>
            </w:pPr>
            <w:r w:rsidRPr="00C2657E">
              <w:rPr>
                <w:rFonts w:ascii="Arial" w:hAnsi="Arial" w:cs="Arial"/>
                <w:sz w:val="16"/>
                <w:szCs w:val="16"/>
              </w:rPr>
              <w:t>Regionalisation and Decentralisation Policy - Research and Development Program</w:t>
            </w:r>
          </w:p>
        </w:tc>
        <w:tc>
          <w:tcPr>
            <w:tcW w:w="595" w:type="pct"/>
            <w:tcBorders>
              <w:top w:val="nil"/>
              <w:left w:val="nil"/>
              <w:bottom w:val="nil"/>
              <w:right w:val="nil"/>
            </w:tcBorders>
            <w:shd w:val="clear" w:color="auto" w:fill="auto"/>
            <w:noWrap/>
            <w:vAlign w:val="bottom"/>
            <w:hideMark/>
          </w:tcPr>
          <w:p w14:paraId="19097E24" w14:textId="4F2A89F0"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11,848</w:t>
            </w:r>
          </w:p>
        </w:tc>
        <w:tc>
          <w:tcPr>
            <w:tcW w:w="594" w:type="pct"/>
            <w:tcBorders>
              <w:top w:val="nil"/>
              <w:left w:val="nil"/>
              <w:bottom w:val="nil"/>
              <w:right w:val="nil"/>
            </w:tcBorders>
            <w:shd w:val="clear" w:color="auto" w:fill="E6E6E6"/>
            <w:noWrap/>
            <w:vAlign w:val="bottom"/>
            <w:hideMark/>
          </w:tcPr>
          <w:p w14:paraId="1C38F449" w14:textId="2DFAA1E7"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8,398</w:t>
            </w:r>
          </w:p>
        </w:tc>
        <w:tc>
          <w:tcPr>
            <w:tcW w:w="594" w:type="pct"/>
            <w:tcBorders>
              <w:top w:val="nil"/>
              <w:left w:val="nil"/>
              <w:bottom w:val="nil"/>
              <w:right w:val="nil"/>
            </w:tcBorders>
            <w:shd w:val="clear" w:color="auto" w:fill="auto"/>
            <w:noWrap/>
            <w:vAlign w:val="bottom"/>
            <w:hideMark/>
          </w:tcPr>
          <w:p w14:paraId="500059C1" w14:textId="0321F7AF"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10,434</w:t>
            </w:r>
          </w:p>
        </w:tc>
        <w:tc>
          <w:tcPr>
            <w:tcW w:w="594" w:type="pct"/>
            <w:tcBorders>
              <w:top w:val="nil"/>
              <w:left w:val="nil"/>
              <w:bottom w:val="nil"/>
              <w:right w:val="nil"/>
            </w:tcBorders>
            <w:shd w:val="clear" w:color="auto" w:fill="auto"/>
            <w:noWrap/>
            <w:vAlign w:val="bottom"/>
            <w:hideMark/>
          </w:tcPr>
          <w:p w14:paraId="388014A9" w14:textId="4927A31B"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10,150</w:t>
            </w:r>
          </w:p>
        </w:tc>
        <w:tc>
          <w:tcPr>
            <w:tcW w:w="594" w:type="pct"/>
            <w:tcBorders>
              <w:top w:val="nil"/>
              <w:left w:val="nil"/>
              <w:bottom w:val="nil"/>
              <w:right w:val="nil"/>
            </w:tcBorders>
            <w:shd w:val="clear" w:color="auto" w:fill="auto"/>
            <w:noWrap/>
            <w:vAlign w:val="bottom"/>
            <w:hideMark/>
          </w:tcPr>
          <w:p w14:paraId="24A55F2E" w14:textId="10A914F0"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440945F5" w14:textId="77777777" w:rsidTr="002F3AAF">
        <w:trPr>
          <w:gridAfter w:val="1"/>
          <w:wAfter w:w="23" w:type="pct"/>
          <w:trHeight w:val="204"/>
        </w:trPr>
        <w:tc>
          <w:tcPr>
            <w:tcW w:w="2006" w:type="pct"/>
            <w:tcBorders>
              <w:top w:val="nil"/>
              <w:left w:val="nil"/>
              <w:bottom w:val="nil"/>
              <w:right w:val="nil"/>
            </w:tcBorders>
            <w:shd w:val="clear" w:color="auto" w:fill="auto"/>
            <w:vAlign w:val="bottom"/>
            <w:hideMark/>
          </w:tcPr>
          <w:p w14:paraId="17CE1156" w14:textId="77777777" w:rsidR="00EE1AA5" w:rsidRPr="00C2657E" w:rsidRDefault="00EE1AA5" w:rsidP="00EE1AA5">
            <w:pPr>
              <w:spacing w:after="0" w:line="240" w:lineRule="auto"/>
              <w:ind w:left="113"/>
              <w:rPr>
                <w:rFonts w:ascii="Arial" w:hAnsi="Arial" w:cs="Arial"/>
                <w:sz w:val="16"/>
                <w:szCs w:val="16"/>
              </w:rPr>
            </w:pPr>
            <w:r w:rsidRPr="00C2657E">
              <w:rPr>
                <w:rFonts w:ascii="Arial" w:hAnsi="Arial" w:cs="Arial"/>
                <w:sz w:val="16"/>
                <w:szCs w:val="16"/>
              </w:rPr>
              <w:t>Resilient Regional Leaders Program</w:t>
            </w:r>
          </w:p>
        </w:tc>
        <w:tc>
          <w:tcPr>
            <w:tcW w:w="595" w:type="pct"/>
            <w:tcBorders>
              <w:top w:val="nil"/>
              <w:left w:val="nil"/>
              <w:bottom w:val="nil"/>
              <w:right w:val="nil"/>
            </w:tcBorders>
            <w:shd w:val="clear" w:color="auto" w:fill="auto"/>
            <w:noWrap/>
            <w:vAlign w:val="bottom"/>
            <w:hideMark/>
          </w:tcPr>
          <w:p w14:paraId="577BD0E7" w14:textId="4194E24D"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3,000</w:t>
            </w:r>
          </w:p>
        </w:tc>
        <w:tc>
          <w:tcPr>
            <w:tcW w:w="594" w:type="pct"/>
            <w:tcBorders>
              <w:top w:val="nil"/>
              <w:left w:val="nil"/>
              <w:bottom w:val="nil"/>
              <w:right w:val="nil"/>
            </w:tcBorders>
            <w:shd w:val="clear" w:color="auto" w:fill="E6E6E6"/>
            <w:noWrap/>
            <w:vAlign w:val="bottom"/>
            <w:hideMark/>
          </w:tcPr>
          <w:p w14:paraId="440A24C1" w14:textId="07BA76C6"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2,000</w:t>
            </w:r>
          </w:p>
        </w:tc>
        <w:tc>
          <w:tcPr>
            <w:tcW w:w="594" w:type="pct"/>
            <w:tcBorders>
              <w:top w:val="nil"/>
              <w:left w:val="nil"/>
              <w:bottom w:val="nil"/>
              <w:right w:val="nil"/>
            </w:tcBorders>
            <w:shd w:val="clear" w:color="auto" w:fill="auto"/>
            <w:noWrap/>
            <w:vAlign w:val="bottom"/>
            <w:hideMark/>
          </w:tcPr>
          <w:p w14:paraId="5430DD19" w14:textId="176B3265"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719EF1E1" w14:textId="06790378"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79B230DB" w14:textId="6B86BD9A"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4D005340" w14:textId="77777777" w:rsidTr="002F3AAF">
        <w:trPr>
          <w:gridAfter w:val="1"/>
          <w:wAfter w:w="23" w:type="pct"/>
          <w:trHeight w:val="204"/>
        </w:trPr>
        <w:tc>
          <w:tcPr>
            <w:tcW w:w="2006" w:type="pct"/>
            <w:tcBorders>
              <w:top w:val="nil"/>
              <w:left w:val="nil"/>
              <w:right w:val="nil"/>
            </w:tcBorders>
            <w:shd w:val="clear" w:color="auto" w:fill="auto"/>
            <w:vAlign w:val="bottom"/>
            <w:hideMark/>
          </w:tcPr>
          <w:p w14:paraId="32CDA058" w14:textId="77777777" w:rsidR="00EE1AA5" w:rsidRPr="00C2657E" w:rsidRDefault="00EE1AA5" w:rsidP="00EE1AA5">
            <w:pPr>
              <w:spacing w:after="0" w:line="240" w:lineRule="auto"/>
              <w:ind w:left="113"/>
              <w:rPr>
                <w:rFonts w:ascii="Arial" w:hAnsi="Arial" w:cs="Arial"/>
                <w:sz w:val="16"/>
                <w:szCs w:val="16"/>
              </w:rPr>
            </w:pPr>
            <w:r w:rsidRPr="00C2657E">
              <w:rPr>
                <w:rFonts w:ascii="Arial" w:hAnsi="Arial" w:cs="Arial"/>
                <w:sz w:val="16"/>
                <w:szCs w:val="16"/>
              </w:rPr>
              <w:t>Stronger Communities Programme</w:t>
            </w:r>
          </w:p>
        </w:tc>
        <w:tc>
          <w:tcPr>
            <w:tcW w:w="595" w:type="pct"/>
            <w:tcBorders>
              <w:top w:val="nil"/>
              <w:left w:val="nil"/>
              <w:bottom w:val="nil"/>
              <w:right w:val="nil"/>
            </w:tcBorders>
            <w:shd w:val="clear" w:color="auto" w:fill="auto"/>
            <w:noWrap/>
            <w:vAlign w:val="bottom"/>
            <w:hideMark/>
          </w:tcPr>
          <w:p w14:paraId="158D2FBB" w14:textId="2B24A0D4"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22,029</w:t>
            </w:r>
          </w:p>
        </w:tc>
        <w:tc>
          <w:tcPr>
            <w:tcW w:w="594" w:type="pct"/>
            <w:tcBorders>
              <w:top w:val="nil"/>
              <w:left w:val="nil"/>
              <w:bottom w:val="nil"/>
              <w:right w:val="nil"/>
            </w:tcBorders>
            <w:shd w:val="clear" w:color="auto" w:fill="E6E6E6"/>
            <w:noWrap/>
            <w:vAlign w:val="bottom"/>
            <w:hideMark/>
          </w:tcPr>
          <w:p w14:paraId="646CD1A7" w14:textId="373A9D70"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22,650</w:t>
            </w:r>
          </w:p>
        </w:tc>
        <w:tc>
          <w:tcPr>
            <w:tcW w:w="594" w:type="pct"/>
            <w:tcBorders>
              <w:top w:val="nil"/>
              <w:left w:val="nil"/>
              <w:bottom w:val="nil"/>
              <w:right w:val="nil"/>
            </w:tcBorders>
            <w:shd w:val="clear" w:color="auto" w:fill="auto"/>
            <w:noWrap/>
            <w:vAlign w:val="bottom"/>
            <w:hideMark/>
          </w:tcPr>
          <w:p w14:paraId="3DB3E0C4" w14:textId="5EB6A2E9"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38C284AA" w14:textId="1F949A97"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19682FD9" w14:textId="22FB5372"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253155BD" w14:textId="77777777" w:rsidTr="002F3AAF">
        <w:trPr>
          <w:gridAfter w:val="1"/>
          <w:wAfter w:w="23" w:type="pct"/>
          <w:trHeight w:val="204"/>
        </w:trPr>
        <w:tc>
          <w:tcPr>
            <w:tcW w:w="2006" w:type="pct"/>
            <w:tcBorders>
              <w:top w:val="nil"/>
              <w:left w:val="nil"/>
              <w:right w:val="nil"/>
            </w:tcBorders>
            <w:shd w:val="clear" w:color="auto" w:fill="auto"/>
            <w:vAlign w:val="bottom"/>
          </w:tcPr>
          <w:p w14:paraId="208699AA" w14:textId="77777777" w:rsidR="00EE1AA5" w:rsidRPr="00C2657E" w:rsidRDefault="00EE1AA5" w:rsidP="00EE1AA5">
            <w:pPr>
              <w:spacing w:after="0" w:line="240" w:lineRule="auto"/>
              <w:ind w:left="113"/>
              <w:rPr>
                <w:rFonts w:ascii="Arial" w:hAnsi="Arial" w:cs="Arial"/>
                <w:sz w:val="16"/>
                <w:szCs w:val="16"/>
              </w:rPr>
            </w:pPr>
            <w:r>
              <w:rPr>
                <w:rFonts w:ascii="Arial" w:hAnsi="Arial" w:cs="Arial"/>
                <w:sz w:val="16"/>
                <w:szCs w:val="16"/>
              </w:rPr>
              <w:t>Supporting Regional Australia Institute</w:t>
            </w:r>
          </w:p>
        </w:tc>
        <w:tc>
          <w:tcPr>
            <w:tcW w:w="595" w:type="pct"/>
            <w:tcBorders>
              <w:top w:val="nil"/>
              <w:left w:val="nil"/>
              <w:bottom w:val="nil"/>
              <w:right w:val="nil"/>
            </w:tcBorders>
            <w:shd w:val="clear" w:color="auto" w:fill="auto"/>
            <w:noWrap/>
            <w:vAlign w:val="bottom"/>
          </w:tcPr>
          <w:p w14:paraId="66C1D94F" w14:textId="1EBD05EC"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E6E6E6"/>
            <w:noWrap/>
            <w:vAlign w:val="bottom"/>
          </w:tcPr>
          <w:p w14:paraId="35BAA1A3" w14:textId="5498E97A"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1,000</w:t>
            </w:r>
          </w:p>
        </w:tc>
        <w:tc>
          <w:tcPr>
            <w:tcW w:w="594" w:type="pct"/>
            <w:tcBorders>
              <w:top w:val="nil"/>
              <w:left w:val="nil"/>
              <w:bottom w:val="nil"/>
              <w:right w:val="nil"/>
            </w:tcBorders>
            <w:shd w:val="clear" w:color="auto" w:fill="auto"/>
            <w:noWrap/>
            <w:vAlign w:val="bottom"/>
          </w:tcPr>
          <w:p w14:paraId="53D7C04E" w14:textId="0941D6C0"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2,000</w:t>
            </w:r>
          </w:p>
        </w:tc>
        <w:tc>
          <w:tcPr>
            <w:tcW w:w="594" w:type="pct"/>
            <w:tcBorders>
              <w:top w:val="nil"/>
              <w:left w:val="nil"/>
              <w:bottom w:val="nil"/>
              <w:right w:val="nil"/>
            </w:tcBorders>
            <w:shd w:val="clear" w:color="auto" w:fill="auto"/>
            <w:noWrap/>
            <w:vAlign w:val="bottom"/>
          </w:tcPr>
          <w:p w14:paraId="16F9653A" w14:textId="3DD826AB"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2,000</w:t>
            </w:r>
          </w:p>
        </w:tc>
        <w:tc>
          <w:tcPr>
            <w:tcW w:w="594" w:type="pct"/>
            <w:tcBorders>
              <w:top w:val="nil"/>
              <w:left w:val="nil"/>
              <w:bottom w:val="nil"/>
              <w:right w:val="nil"/>
            </w:tcBorders>
            <w:shd w:val="clear" w:color="auto" w:fill="auto"/>
            <w:noWrap/>
            <w:vAlign w:val="bottom"/>
          </w:tcPr>
          <w:p w14:paraId="78AD2354" w14:textId="28503A53" w:rsidR="00EE1AA5" w:rsidRPr="00C2657E"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C2657E" w14:paraId="56AD5746" w14:textId="77777777" w:rsidTr="002F3AAF">
        <w:trPr>
          <w:gridAfter w:val="1"/>
          <w:wAfter w:w="23" w:type="pct"/>
          <w:trHeight w:val="204"/>
        </w:trPr>
        <w:tc>
          <w:tcPr>
            <w:tcW w:w="2006" w:type="pct"/>
            <w:tcBorders>
              <w:top w:val="nil"/>
              <w:left w:val="nil"/>
              <w:bottom w:val="single" w:sz="4" w:space="0" w:color="auto"/>
              <w:right w:val="nil"/>
            </w:tcBorders>
            <w:shd w:val="clear" w:color="auto" w:fill="auto"/>
            <w:noWrap/>
            <w:vAlign w:val="bottom"/>
            <w:hideMark/>
          </w:tcPr>
          <w:p w14:paraId="70B2EFD3" w14:textId="77777777" w:rsidR="00EE1AA5" w:rsidRPr="00C2657E" w:rsidRDefault="00EE1AA5" w:rsidP="00EE1AA5">
            <w:pPr>
              <w:spacing w:after="0" w:line="240" w:lineRule="auto"/>
              <w:rPr>
                <w:rFonts w:ascii="Arial" w:hAnsi="Arial" w:cs="Arial"/>
                <w:b/>
                <w:bCs/>
                <w:sz w:val="16"/>
                <w:szCs w:val="16"/>
              </w:rPr>
            </w:pPr>
            <w:r w:rsidRPr="00C2657E">
              <w:rPr>
                <w:rFonts w:ascii="Arial" w:hAnsi="Arial" w:cs="Arial"/>
                <w:b/>
                <w:bCs/>
                <w:sz w:val="16"/>
                <w:szCs w:val="16"/>
              </w:rPr>
              <w:t>Total expenses for Program 3.1</w:t>
            </w:r>
          </w:p>
        </w:tc>
        <w:tc>
          <w:tcPr>
            <w:tcW w:w="595" w:type="pct"/>
            <w:tcBorders>
              <w:top w:val="single" w:sz="4" w:space="0" w:color="auto"/>
              <w:left w:val="nil"/>
              <w:bottom w:val="single" w:sz="4" w:space="0" w:color="auto"/>
              <w:right w:val="nil"/>
            </w:tcBorders>
            <w:shd w:val="clear" w:color="auto" w:fill="auto"/>
            <w:noWrap/>
            <w:vAlign w:val="bottom"/>
            <w:hideMark/>
          </w:tcPr>
          <w:p w14:paraId="1BA76C63" w14:textId="28DA5194" w:rsidR="00EE1AA5" w:rsidRPr="00C2657E" w:rsidRDefault="00EE1AA5" w:rsidP="00EE1AA5">
            <w:pPr>
              <w:spacing w:after="0" w:line="240" w:lineRule="auto"/>
              <w:jc w:val="right"/>
              <w:rPr>
                <w:rFonts w:ascii="Arial" w:hAnsi="Arial" w:cs="Arial"/>
                <w:b/>
                <w:bCs/>
                <w:sz w:val="16"/>
                <w:szCs w:val="16"/>
              </w:rPr>
            </w:pPr>
            <w:r>
              <w:rPr>
                <w:rFonts w:ascii="Arial" w:hAnsi="Arial" w:cs="Arial"/>
                <w:b/>
                <w:bCs/>
                <w:sz w:val="16"/>
                <w:szCs w:val="16"/>
              </w:rPr>
              <w:t>556,126</w:t>
            </w:r>
          </w:p>
        </w:tc>
        <w:tc>
          <w:tcPr>
            <w:tcW w:w="594" w:type="pct"/>
            <w:tcBorders>
              <w:top w:val="single" w:sz="4" w:space="0" w:color="auto"/>
              <w:left w:val="nil"/>
              <w:bottom w:val="single" w:sz="4" w:space="0" w:color="auto"/>
              <w:right w:val="nil"/>
            </w:tcBorders>
            <w:shd w:val="clear" w:color="auto" w:fill="E6E6E6"/>
            <w:noWrap/>
            <w:vAlign w:val="bottom"/>
            <w:hideMark/>
          </w:tcPr>
          <w:p w14:paraId="00F5D9D3" w14:textId="5A7862EC" w:rsidR="00EE1AA5" w:rsidRPr="00C2657E" w:rsidRDefault="00EE1AA5" w:rsidP="00EE1AA5">
            <w:pPr>
              <w:spacing w:after="0" w:line="240" w:lineRule="auto"/>
              <w:jc w:val="right"/>
              <w:rPr>
                <w:rFonts w:ascii="Arial" w:hAnsi="Arial" w:cs="Arial"/>
                <w:b/>
                <w:bCs/>
                <w:sz w:val="16"/>
                <w:szCs w:val="16"/>
              </w:rPr>
            </w:pPr>
            <w:r>
              <w:rPr>
                <w:rFonts w:ascii="Arial" w:hAnsi="Arial" w:cs="Arial"/>
                <w:b/>
                <w:bCs/>
                <w:sz w:val="16"/>
                <w:szCs w:val="16"/>
              </w:rPr>
              <w:t>1,022,080</w:t>
            </w:r>
          </w:p>
        </w:tc>
        <w:tc>
          <w:tcPr>
            <w:tcW w:w="594" w:type="pct"/>
            <w:tcBorders>
              <w:top w:val="single" w:sz="4" w:space="0" w:color="auto"/>
              <w:left w:val="nil"/>
              <w:bottom w:val="single" w:sz="4" w:space="0" w:color="auto"/>
              <w:right w:val="nil"/>
            </w:tcBorders>
            <w:shd w:val="clear" w:color="auto" w:fill="auto"/>
            <w:noWrap/>
            <w:vAlign w:val="bottom"/>
            <w:hideMark/>
          </w:tcPr>
          <w:p w14:paraId="72B22E8B" w14:textId="5777CE80" w:rsidR="00EE1AA5" w:rsidRPr="00C2657E" w:rsidRDefault="00EE1AA5" w:rsidP="00EE1AA5">
            <w:pPr>
              <w:spacing w:after="0" w:line="240" w:lineRule="auto"/>
              <w:jc w:val="right"/>
              <w:rPr>
                <w:rFonts w:ascii="Arial" w:hAnsi="Arial" w:cs="Arial"/>
                <w:b/>
                <w:bCs/>
                <w:sz w:val="16"/>
                <w:szCs w:val="16"/>
              </w:rPr>
            </w:pPr>
            <w:r>
              <w:rPr>
                <w:rFonts w:ascii="Arial" w:hAnsi="Arial" w:cs="Arial"/>
                <w:b/>
                <w:bCs/>
                <w:sz w:val="16"/>
                <w:szCs w:val="16"/>
              </w:rPr>
              <w:t>1,001,118</w:t>
            </w:r>
          </w:p>
        </w:tc>
        <w:tc>
          <w:tcPr>
            <w:tcW w:w="594" w:type="pct"/>
            <w:tcBorders>
              <w:top w:val="single" w:sz="4" w:space="0" w:color="auto"/>
              <w:left w:val="nil"/>
              <w:bottom w:val="single" w:sz="4" w:space="0" w:color="auto"/>
              <w:right w:val="nil"/>
            </w:tcBorders>
            <w:shd w:val="clear" w:color="auto" w:fill="auto"/>
            <w:noWrap/>
            <w:vAlign w:val="bottom"/>
            <w:hideMark/>
          </w:tcPr>
          <w:p w14:paraId="38B081DC" w14:textId="2A39EB61" w:rsidR="00EE1AA5" w:rsidRPr="00C2657E" w:rsidRDefault="00EE1AA5" w:rsidP="00EE1AA5">
            <w:pPr>
              <w:spacing w:after="0" w:line="240" w:lineRule="auto"/>
              <w:jc w:val="right"/>
              <w:rPr>
                <w:rFonts w:ascii="Arial" w:hAnsi="Arial" w:cs="Arial"/>
                <w:b/>
                <w:bCs/>
                <w:sz w:val="16"/>
                <w:szCs w:val="16"/>
              </w:rPr>
            </w:pPr>
            <w:r>
              <w:rPr>
                <w:rFonts w:ascii="Arial" w:hAnsi="Arial" w:cs="Arial"/>
                <w:b/>
                <w:bCs/>
                <w:sz w:val="16"/>
                <w:szCs w:val="16"/>
              </w:rPr>
              <w:t>1,163,859</w:t>
            </w:r>
          </w:p>
        </w:tc>
        <w:tc>
          <w:tcPr>
            <w:tcW w:w="594" w:type="pct"/>
            <w:tcBorders>
              <w:top w:val="single" w:sz="4" w:space="0" w:color="auto"/>
              <w:left w:val="nil"/>
              <w:bottom w:val="single" w:sz="4" w:space="0" w:color="auto"/>
              <w:right w:val="nil"/>
            </w:tcBorders>
            <w:shd w:val="clear" w:color="auto" w:fill="auto"/>
            <w:noWrap/>
            <w:vAlign w:val="bottom"/>
            <w:hideMark/>
          </w:tcPr>
          <w:p w14:paraId="6672A192" w14:textId="0B07AAC7" w:rsidR="00EE1AA5" w:rsidRPr="00C2657E" w:rsidRDefault="00EE1AA5" w:rsidP="00EE1AA5">
            <w:pPr>
              <w:spacing w:after="0" w:line="240" w:lineRule="auto"/>
              <w:jc w:val="right"/>
              <w:rPr>
                <w:rFonts w:ascii="Arial" w:hAnsi="Arial" w:cs="Arial"/>
                <w:b/>
                <w:bCs/>
                <w:sz w:val="16"/>
                <w:szCs w:val="16"/>
              </w:rPr>
            </w:pPr>
            <w:r>
              <w:rPr>
                <w:rFonts w:ascii="Arial" w:hAnsi="Arial" w:cs="Arial"/>
                <w:b/>
                <w:bCs/>
                <w:sz w:val="16"/>
                <w:szCs w:val="16"/>
              </w:rPr>
              <w:t>1,174,007</w:t>
            </w:r>
          </w:p>
        </w:tc>
      </w:tr>
      <w:tr w:rsidR="00115843" w:rsidRPr="00AA15D6" w14:paraId="26FFCE03" w14:textId="77777777" w:rsidTr="002F3AAF">
        <w:trPr>
          <w:trHeight w:val="204"/>
        </w:trPr>
        <w:tc>
          <w:tcPr>
            <w:tcW w:w="2601" w:type="pct"/>
            <w:gridSpan w:val="2"/>
            <w:tcBorders>
              <w:top w:val="single" w:sz="4" w:space="0" w:color="auto"/>
              <w:left w:val="nil"/>
              <w:bottom w:val="single" w:sz="4" w:space="0" w:color="auto"/>
              <w:right w:val="nil"/>
            </w:tcBorders>
            <w:shd w:val="clear" w:color="auto" w:fill="E6E6E6"/>
            <w:noWrap/>
            <w:vAlign w:val="bottom"/>
            <w:hideMark/>
          </w:tcPr>
          <w:p w14:paraId="52F9EE39" w14:textId="77777777" w:rsidR="00115843" w:rsidRPr="00AA15D6" w:rsidRDefault="00115843" w:rsidP="00FB0D02">
            <w:pPr>
              <w:spacing w:after="0" w:line="240" w:lineRule="auto"/>
              <w:rPr>
                <w:rFonts w:ascii="Arial" w:hAnsi="Arial" w:cs="Arial"/>
                <w:b/>
                <w:bCs/>
                <w:sz w:val="16"/>
                <w:szCs w:val="16"/>
              </w:rPr>
            </w:pPr>
            <w:r w:rsidRPr="00AA15D6">
              <w:rPr>
                <w:rFonts w:ascii="Arial" w:hAnsi="Arial" w:cs="Arial"/>
                <w:b/>
                <w:bCs/>
                <w:sz w:val="16"/>
                <w:szCs w:val="16"/>
              </w:rPr>
              <w:t>Components for Program 3.2: Local government</w:t>
            </w:r>
          </w:p>
        </w:tc>
        <w:tc>
          <w:tcPr>
            <w:tcW w:w="594" w:type="pct"/>
            <w:tcBorders>
              <w:top w:val="single" w:sz="4" w:space="0" w:color="auto"/>
              <w:left w:val="nil"/>
              <w:bottom w:val="single" w:sz="4" w:space="0" w:color="auto"/>
              <w:right w:val="nil"/>
            </w:tcBorders>
            <w:shd w:val="clear" w:color="auto" w:fill="E6E6E6"/>
            <w:noWrap/>
            <w:vAlign w:val="bottom"/>
            <w:hideMark/>
          </w:tcPr>
          <w:p w14:paraId="5934D9B8"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 </w:t>
            </w:r>
          </w:p>
        </w:tc>
        <w:tc>
          <w:tcPr>
            <w:tcW w:w="594" w:type="pct"/>
            <w:tcBorders>
              <w:top w:val="single" w:sz="4" w:space="0" w:color="auto"/>
              <w:left w:val="nil"/>
              <w:bottom w:val="single" w:sz="4" w:space="0" w:color="auto"/>
              <w:right w:val="nil"/>
            </w:tcBorders>
            <w:shd w:val="clear" w:color="auto" w:fill="E6E6E6"/>
            <w:noWrap/>
            <w:vAlign w:val="bottom"/>
            <w:hideMark/>
          </w:tcPr>
          <w:p w14:paraId="5B915FF4"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 </w:t>
            </w:r>
          </w:p>
        </w:tc>
        <w:tc>
          <w:tcPr>
            <w:tcW w:w="594" w:type="pct"/>
            <w:tcBorders>
              <w:top w:val="single" w:sz="4" w:space="0" w:color="auto"/>
              <w:left w:val="nil"/>
              <w:bottom w:val="single" w:sz="4" w:space="0" w:color="auto"/>
              <w:right w:val="nil"/>
            </w:tcBorders>
            <w:shd w:val="clear" w:color="auto" w:fill="E6E6E6"/>
            <w:noWrap/>
            <w:vAlign w:val="bottom"/>
            <w:hideMark/>
          </w:tcPr>
          <w:p w14:paraId="731AF3FF"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 </w:t>
            </w:r>
          </w:p>
        </w:tc>
        <w:tc>
          <w:tcPr>
            <w:tcW w:w="617" w:type="pct"/>
            <w:gridSpan w:val="2"/>
            <w:tcBorders>
              <w:top w:val="single" w:sz="4" w:space="0" w:color="auto"/>
              <w:left w:val="nil"/>
              <w:bottom w:val="single" w:sz="4" w:space="0" w:color="auto"/>
              <w:right w:val="nil"/>
            </w:tcBorders>
            <w:shd w:val="clear" w:color="auto" w:fill="E6E6E6"/>
            <w:noWrap/>
            <w:vAlign w:val="bottom"/>
            <w:hideMark/>
          </w:tcPr>
          <w:p w14:paraId="6C0F6E1A"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 </w:t>
            </w:r>
          </w:p>
        </w:tc>
      </w:tr>
      <w:tr w:rsidR="00115843" w:rsidRPr="00AA15D6" w14:paraId="08A53C2D" w14:textId="77777777" w:rsidTr="002F3AAF">
        <w:trPr>
          <w:trHeight w:val="204"/>
        </w:trPr>
        <w:tc>
          <w:tcPr>
            <w:tcW w:w="2006" w:type="pct"/>
            <w:tcBorders>
              <w:top w:val="nil"/>
              <w:left w:val="nil"/>
              <w:bottom w:val="nil"/>
              <w:right w:val="nil"/>
            </w:tcBorders>
            <w:shd w:val="clear" w:color="auto" w:fill="auto"/>
            <w:noWrap/>
            <w:vAlign w:val="bottom"/>
            <w:hideMark/>
          </w:tcPr>
          <w:p w14:paraId="3E8F1897" w14:textId="77777777" w:rsidR="00115843" w:rsidRPr="00AA15D6" w:rsidRDefault="00115843" w:rsidP="00FB0D02">
            <w:pPr>
              <w:spacing w:after="0" w:line="240" w:lineRule="auto"/>
              <w:rPr>
                <w:rFonts w:ascii="Arial" w:hAnsi="Arial" w:cs="Arial"/>
                <w:sz w:val="16"/>
                <w:szCs w:val="16"/>
              </w:rPr>
            </w:pPr>
            <w:r w:rsidRPr="00AA15D6">
              <w:rPr>
                <w:rFonts w:ascii="Arial" w:hAnsi="Arial" w:cs="Arial"/>
                <w:sz w:val="16"/>
                <w:szCs w:val="16"/>
              </w:rPr>
              <w:t>Administered expenses</w:t>
            </w:r>
          </w:p>
        </w:tc>
        <w:tc>
          <w:tcPr>
            <w:tcW w:w="595" w:type="pct"/>
            <w:tcBorders>
              <w:top w:val="nil"/>
              <w:left w:val="nil"/>
              <w:bottom w:val="nil"/>
              <w:right w:val="nil"/>
            </w:tcBorders>
            <w:shd w:val="clear" w:color="auto" w:fill="auto"/>
            <w:noWrap/>
            <w:vAlign w:val="bottom"/>
            <w:hideMark/>
          </w:tcPr>
          <w:p w14:paraId="12AF27FC" w14:textId="77777777" w:rsidR="00115843" w:rsidRPr="00AA15D6" w:rsidRDefault="00115843" w:rsidP="00FB0D02">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649D9AD4" w14:textId="77777777" w:rsidR="00115843" w:rsidRPr="00AA15D6" w:rsidRDefault="00115843" w:rsidP="00FB0D02">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0D499E45" w14:textId="77777777" w:rsidR="00115843" w:rsidRPr="00AA15D6" w:rsidRDefault="00115843" w:rsidP="00FB0D02">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C497C14" w14:textId="77777777" w:rsidR="00115843" w:rsidRPr="00AA15D6" w:rsidRDefault="00115843" w:rsidP="00FB0D02">
            <w:pPr>
              <w:spacing w:after="0" w:line="240" w:lineRule="auto"/>
              <w:jc w:val="right"/>
              <w:rPr>
                <w:rFonts w:ascii="Times New Roman" w:hAnsi="Times New Roman"/>
              </w:rPr>
            </w:pPr>
          </w:p>
        </w:tc>
        <w:tc>
          <w:tcPr>
            <w:tcW w:w="617" w:type="pct"/>
            <w:gridSpan w:val="2"/>
            <w:tcBorders>
              <w:top w:val="nil"/>
              <w:left w:val="nil"/>
              <w:bottom w:val="nil"/>
              <w:right w:val="nil"/>
            </w:tcBorders>
            <w:shd w:val="clear" w:color="auto" w:fill="auto"/>
            <w:noWrap/>
            <w:vAlign w:val="bottom"/>
            <w:hideMark/>
          </w:tcPr>
          <w:p w14:paraId="0A2A0241" w14:textId="77777777" w:rsidR="00115843" w:rsidRPr="00AA15D6" w:rsidRDefault="00115843" w:rsidP="00FB0D02">
            <w:pPr>
              <w:spacing w:after="0" w:line="240" w:lineRule="auto"/>
              <w:jc w:val="right"/>
              <w:rPr>
                <w:rFonts w:ascii="Times New Roman" w:hAnsi="Times New Roman"/>
              </w:rPr>
            </w:pPr>
          </w:p>
        </w:tc>
      </w:tr>
      <w:tr w:rsidR="00EE1AA5" w:rsidRPr="00AA15D6" w14:paraId="1C3ED1C3" w14:textId="77777777" w:rsidTr="002F3AAF">
        <w:trPr>
          <w:trHeight w:val="204"/>
        </w:trPr>
        <w:tc>
          <w:tcPr>
            <w:tcW w:w="2006" w:type="pct"/>
            <w:tcBorders>
              <w:top w:val="nil"/>
              <w:left w:val="nil"/>
              <w:bottom w:val="nil"/>
              <w:right w:val="nil"/>
            </w:tcBorders>
            <w:shd w:val="clear" w:color="auto" w:fill="auto"/>
            <w:vAlign w:val="bottom"/>
            <w:hideMark/>
          </w:tcPr>
          <w:p w14:paraId="4602458A"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Local Roads and Community Infrastructure</w:t>
            </w:r>
          </w:p>
        </w:tc>
        <w:tc>
          <w:tcPr>
            <w:tcW w:w="595" w:type="pct"/>
            <w:tcBorders>
              <w:top w:val="nil"/>
              <w:left w:val="nil"/>
              <w:bottom w:val="nil"/>
              <w:right w:val="nil"/>
            </w:tcBorders>
            <w:shd w:val="clear" w:color="auto" w:fill="auto"/>
            <w:noWrap/>
            <w:vAlign w:val="bottom"/>
            <w:hideMark/>
          </w:tcPr>
          <w:p w14:paraId="6032AC01" w14:textId="49DE1689"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597,679</w:t>
            </w:r>
          </w:p>
        </w:tc>
        <w:tc>
          <w:tcPr>
            <w:tcW w:w="594" w:type="pct"/>
            <w:tcBorders>
              <w:top w:val="nil"/>
              <w:left w:val="nil"/>
              <w:bottom w:val="nil"/>
              <w:right w:val="nil"/>
            </w:tcBorders>
            <w:shd w:val="clear" w:color="auto" w:fill="E6E6E6"/>
            <w:noWrap/>
            <w:vAlign w:val="bottom"/>
            <w:hideMark/>
          </w:tcPr>
          <w:p w14:paraId="12FD7948" w14:textId="6813675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966,303</w:t>
            </w:r>
          </w:p>
        </w:tc>
        <w:tc>
          <w:tcPr>
            <w:tcW w:w="594" w:type="pct"/>
            <w:tcBorders>
              <w:top w:val="nil"/>
              <w:left w:val="nil"/>
              <w:bottom w:val="nil"/>
              <w:right w:val="nil"/>
            </w:tcBorders>
            <w:shd w:val="clear" w:color="auto" w:fill="auto"/>
            <w:noWrap/>
            <w:vAlign w:val="bottom"/>
            <w:hideMark/>
          </w:tcPr>
          <w:p w14:paraId="21228D9C" w14:textId="4B6FC806"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350,000</w:t>
            </w:r>
          </w:p>
        </w:tc>
        <w:tc>
          <w:tcPr>
            <w:tcW w:w="594" w:type="pct"/>
            <w:tcBorders>
              <w:top w:val="nil"/>
              <w:left w:val="nil"/>
              <w:bottom w:val="nil"/>
              <w:right w:val="nil"/>
            </w:tcBorders>
            <w:shd w:val="clear" w:color="auto" w:fill="auto"/>
            <w:noWrap/>
            <w:vAlign w:val="bottom"/>
            <w:hideMark/>
          </w:tcPr>
          <w:p w14:paraId="459F53F7" w14:textId="1A596519"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250,000</w:t>
            </w:r>
          </w:p>
        </w:tc>
        <w:tc>
          <w:tcPr>
            <w:tcW w:w="617" w:type="pct"/>
            <w:gridSpan w:val="2"/>
            <w:tcBorders>
              <w:top w:val="nil"/>
              <w:left w:val="nil"/>
              <w:bottom w:val="nil"/>
              <w:right w:val="nil"/>
            </w:tcBorders>
            <w:shd w:val="clear" w:color="auto" w:fill="auto"/>
            <w:noWrap/>
            <w:vAlign w:val="bottom"/>
            <w:hideMark/>
          </w:tcPr>
          <w:p w14:paraId="0C6510B6" w14:textId="72883E87"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250,000</w:t>
            </w:r>
          </w:p>
        </w:tc>
      </w:tr>
      <w:tr w:rsidR="00EE1AA5" w:rsidRPr="00AA15D6" w14:paraId="24F93F7F" w14:textId="77777777" w:rsidTr="002F3AAF">
        <w:trPr>
          <w:trHeight w:val="204"/>
        </w:trPr>
        <w:tc>
          <w:tcPr>
            <w:tcW w:w="2006" w:type="pct"/>
            <w:tcBorders>
              <w:top w:val="nil"/>
              <w:left w:val="nil"/>
              <w:bottom w:val="nil"/>
              <w:right w:val="nil"/>
            </w:tcBorders>
            <w:shd w:val="clear" w:color="auto" w:fill="auto"/>
            <w:vAlign w:val="bottom"/>
            <w:hideMark/>
          </w:tcPr>
          <w:p w14:paraId="3101EFCC"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Supplementary Funding for South Australian Roads</w:t>
            </w:r>
          </w:p>
        </w:tc>
        <w:tc>
          <w:tcPr>
            <w:tcW w:w="595" w:type="pct"/>
            <w:tcBorders>
              <w:top w:val="nil"/>
              <w:left w:val="nil"/>
              <w:bottom w:val="nil"/>
              <w:right w:val="nil"/>
            </w:tcBorders>
            <w:shd w:val="clear" w:color="auto" w:fill="auto"/>
            <w:noWrap/>
            <w:vAlign w:val="bottom"/>
            <w:hideMark/>
          </w:tcPr>
          <w:p w14:paraId="3259234D" w14:textId="6FD3C81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20,000</w:t>
            </w:r>
          </w:p>
        </w:tc>
        <w:tc>
          <w:tcPr>
            <w:tcW w:w="594" w:type="pct"/>
            <w:tcBorders>
              <w:top w:val="nil"/>
              <w:left w:val="nil"/>
              <w:bottom w:val="nil"/>
              <w:right w:val="nil"/>
            </w:tcBorders>
            <w:shd w:val="clear" w:color="auto" w:fill="E6E6E6"/>
            <w:noWrap/>
            <w:vAlign w:val="bottom"/>
            <w:hideMark/>
          </w:tcPr>
          <w:p w14:paraId="20AC11AC" w14:textId="2AAEF3F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20,000</w:t>
            </w:r>
          </w:p>
        </w:tc>
        <w:tc>
          <w:tcPr>
            <w:tcW w:w="594" w:type="pct"/>
            <w:tcBorders>
              <w:top w:val="nil"/>
              <w:left w:val="nil"/>
              <w:bottom w:val="nil"/>
              <w:right w:val="nil"/>
            </w:tcBorders>
            <w:shd w:val="clear" w:color="auto" w:fill="auto"/>
            <w:noWrap/>
            <w:vAlign w:val="bottom"/>
            <w:hideMark/>
          </w:tcPr>
          <w:p w14:paraId="042EBF04" w14:textId="14D12E35"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594" w:type="pct"/>
            <w:tcBorders>
              <w:top w:val="nil"/>
              <w:left w:val="nil"/>
              <w:bottom w:val="nil"/>
              <w:right w:val="nil"/>
            </w:tcBorders>
            <w:shd w:val="clear" w:color="auto" w:fill="auto"/>
            <w:noWrap/>
            <w:vAlign w:val="bottom"/>
            <w:hideMark/>
          </w:tcPr>
          <w:p w14:paraId="1062B387" w14:textId="37E66FE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c>
          <w:tcPr>
            <w:tcW w:w="617" w:type="pct"/>
            <w:gridSpan w:val="2"/>
            <w:tcBorders>
              <w:top w:val="nil"/>
              <w:left w:val="nil"/>
              <w:bottom w:val="nil"/>
              <w:right w:val="nil"/>
            </w:tcBorders>
            <w:shd w:val="clear" w:color="auto" w:fill="auto"/>
            <w:noWrap/>
            <w:vAlign w:val="bottom"/>
            <w:hideMark/>
          </w:tcPr>
          <w:p w14:paraId="358E08ED" w14:textId="1E61050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w:t>
            </w:r>
          </w:p>
        </w:tc>
      </w:tr>
      <w:tr w:rsidR="00EE1AA5" w:rsidRPr="00AA15D6" w14:paraId="7FB3E2B4" w14:textId="77777777" w:rsidTr="002F3AAF">
        <w:trPr>
          <w:trHeight w:val="204"/>
        </w:trPr>
        <w:tc>
          <w:tcPr>
            <w:tcW w:w="2006" w:type="pct"/>
            <w:tcBorders>
              <w:top w:val="nil"/>
              <w:left w:val="nil"/>
              <w:bottom w:val="nil"/>
              <w:right w:val="nil"/>
            </w:tcBorders>
            <w:shd w:val="clear" w:color="auto" w:fill="auto"/>
            <w:vAlign w:val="bottom"/>
            <w:hideMark/>
          </w:tcPr>
          <w:p w14:paraId="0905A4FC" w14:textId="77777777" w:rsidR="00EE1AA5" w:rsidRPr="00AA15D6" w:rsidRDefault="00EE1AA5" w:rsidP="00EE1AA5">
            <w:pPr>
              <w:spacing w:after="0" w:line="240" w:lineRule="auto"/>
              <w:rPr>
                <w:rFonts w:ascii="Arial" w:hAnsi="Arial" w:cs="Arial"/>
                <w:sz w:val="16"/>
                <w:szCs w:val="16"/>
              </w:rPr>
            </w:pPr>
            <w:r w:rsidRPr="00AA15D6">
              <w:rPr>
                <w:rFonts w:ascii="Arial" w:hAnsi="Arial" w:cs="Arial"/>
                <w:sz w:val="16"/>
                <w:szCs w:val="16"/>
              </w:rPr>
              <w:t>Special Appropriations</w:t>
            </w:r>
          </w:p>
        </w:tc>
        <w:tc>
          <w:tcPr>
            <w:tcW w:w="595" w:type="pct"/>
            <w:tcBorders>
              <w:top w:val="nil"/>
              <w:left w:val="nil"/>
              <w:bottom w:val="nil"/>
              <w:right w:val="nil"/>
            </w:tcBorders>
            <w:shd w:val="clear" w:color="auto" w:fill="auto"/>
            <w:noWrap/>
            <w:vAlign w:val="bottom"/>
            <w:hideMark/>
          </w:tcPr>
          <w:p w14:paraId="389713B7" w14:textId="77777777" w:rsidR="00EE1AA5" w:rsidRPr="00AA15D6" w:rsidRDefault="00EE1AA5" w:rsidP="00EE1AA5">
            <w:pPr>
              <w:spacing w:after="0" w:line="240" w:lineRule="auto"/>
              <w:ind w:firstLineChars="100" w:firstLine="160"/>
              <w:jc w:val="right"/>
              <w:rPr>
                <w:rFonts w:ascii="Arial" w:hAnsi="Arial" w:cs="Arial"/>
                <w:sz w:val="16"/>
                <w:szCs w:val="16"/>
              </w:rPr>
            </w:pPr>
          </w:p>
        </w:tc>
        <w:tc>
          <w:tcPr>
            <w:tcW w:w="594" w:type="pct"/>
            <w:tcBorders>
              <w:top w:val="nil"/>
              <w:left w:val="nil"/>
              <w:bottom w:val="nil"/>
              <w:right w:val="nil"/>
            </w:tcBorders>
            <w:shd w:val="clear" w:color="auto" w:fill="E6E6E6"/>
            <w:noWrap/>
            <w:vAlign w:val="bottom"/>
            <w:hideMark/>
          </w:tcPr>
          <w:p w14:paraId="16DC27DA" w14:textId="0B09E7C2" w:rsidR="00EE1AA5" w:rsidRPr="00AA15D6" w:rsidRDefault="00EE1AA5" w:rsidP="00EE1AA5">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16F19DE8" w14:textId="77777777" w:rsidR="00EE1AA5" w:rsidRPr="00AA15D6" w:rsidRDefault="00EE1AA5" w:rsidP="00EE1AA5">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4E437A3D" w14:textId="77777777" w:rsidR="00EE1AA5" w:rsidRPr="00AA15D6" w:rsidRDefault="00EE1AA5" w:rsidP="00EE1AA5">
            <w:pPr>
              <w:spacing w:after="0" w:line="240" w:lineRule="auto"/>
              <w:jc w:val="right"/>
              <w:rPr>
                <w:rFonts w:ascii="Times New Roman" w:hAnsi="Times New Roman"/>
              </w:rPr>
            </w:pPr>
          </w:p>
        </w:tc>
        <w:tc>
          <w:tcPr>
            <w:tcW w:w="617" w:type="pct"/>
            <w:gridSpan w:val="2"/>
            <w:tcBorders>
              <w:top w:val="nil"/>
              <w:left w:val="nil"/>
              <w:bottom w:val="nil"/>
              <w:right w:val="nil"/>
            </w:tcBorders>
            <w:shd w:val="clear" w:color="auto" w:fill="auto"/>
            <w:noWrap/>
            <w:vAlign w:val="bottom"/>
            <w:hideMark/>
          </w:tcPr>
          <w:p w14:paraId="0DB54F67" w14:textId="77777777" w:rsidR="00EE1AA5" w:rsidRPr="00AA15D6" w:rsidRDefault="00EE1AA5" w:rsidP="00EE1AA5">
            <w:pPr>
              <w:spacing w:after="0" w:line="240" w:lineRule="auto"/>
              <w:jc w:val="right"/>
              <w:rPr>
                <w:rFonts w:ascii="Times New Roman" w:hAnsi="Times New Roman"/>
              </w:rPr>
            </w:pPr>
          </w:p>
        </w:tc>
      </w:tr>
      <w:tr w:rsidR="00EE1AA5" w:rsidRPr="00AA15D6" w14:paraId="5E1128F2" w14:textId="77777777" w:rsidTr="002F3AAF">
        <w:trPr>
          <w:trHeight w:val="204"/>
        </w:trPr>
        <w:tc>
          <w:tcPr>
            <w:tcW w:w="2006" w:type="pct"/>
            <w:tcBorders>
              <w:top w:val="nil"/>
              <w:left w:val="nil"/>
              <w:bottom w:val="nil"/>
              <w:right w:val="nil"/>
            </w:tcBorders>
            <w:shd w:val="clear" w:color="auto" w:fill="auto"/>
            <w:vAlign w:val="bottom"/>
            <w:hideMark/>
          </w:tcPr>
          <w:p w14:paraId="330D0DC0" w14:textId="77777777" w:rsidR="00EE1AA5" w:rsidRPr="002656D3" w:rsidRDefault="00EE1AA5" w:rsidP="00EE1AA5">
            <w:pPr>
              <w:spacing w:after="0" w:line="240" w:lineRule="auto"/>
              <w:ind w:left="113"/>
              <w:rPr>
                <w:rFonts w:ascii="Arial" w:hAnsi="Arial" w:cs="Arial"/>
                <w:i/>
                <w:iCs/>
                <w:sz w:val="16"/>
                <w:szCs w:val="16"/>
              </w:rPr>
            </w:pPr>
            <w:r w:rsidRPr="002656D3">
              <w:rPr>
                <w:rFonts w:ascii="Arial" w:hAnsi="Arial" w:cs="Arial"/>
                <w:i/>
                <w:iCs/>
                <w:sz w:val="16"/>
                <w:szCs w:val="16"/>
              </w:rPr>
              <w:t>Local Government (Financial Assistance) Act 1995</w:t>
            </w:r>
          </w:p>
        </w:tc>
        <w:tc>
          <w:tcPr>
            <w:tcW w:w="595" w:type="pct"/>
            <w:tcBorders>
              <w:top w:val="nil"/>
              <w:left w:val="nil"/>
              <w:bottom w:val="nil"/>
              <w:right w:val="nil"/>
            </w:tcBorders>
            <w:shd w:val="clear" w:color="auto" w:fill="auto"/>
            <w:noWrap/>
            <w:vAlign w:val="bottom"/>
            <w:hideMark/>
          </w:tcPr>
          <w:p w14:paraId="16D54A0E" w14:textId="160CC2A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3,530,275</w:t>
            </w:r>
          </w:p>
        </w:tc>
        <w:tc>
          <w:tcPr>
            <w:tcW w:w="594" w:type="pct"/>
            <w:tcBorders>
              <w:top w:val="nil"/>
              <w:left w:val="nil"/>
              <w:bottom w:val="nil"/>
              <w:right w:val="nil"/>
            </w:tcBorders>
            <w:shd w:val="clear" w:color="auto" w:fill="E6E6E6"/>
            <w:noWrap/>
            <w:vAlign w:val="bottom"/>
            <w:hideMark/>
          </w:tcPr>
          <w:p w14:paraId="0F86C39F" w14:textId="0293B3CC"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821,494</w:t>
            </w:r>
          </w:p>
        </w:tc>
        <w:tc>
          <w:tcPr>
            <w:tcW w:w="594" w:type="pct"/>
            <w:tcBorders>
              <w:top w:val="nil"/>
              <w:left w:val="nil"/>
              <w:bottom w:val="nil"/>
              <w:right w:val="nil"/>
            </w:tcBorders>
            <w:shd w:val="clear" w:color="auto" w:fill="auto"/>
            <w:noWrap/>
            <w:vAlign w:val="bottom"/>
            <w:hideMark/>
          </w:tcPr>
          <w:p w14:paraId="400B57A5" w14:textId="77653EA5"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3,052,345</w:t>
            </w:r>
          </w:p>
        </w:tc>
        <w:tc>
          <w:tcPr>
            <w:tcW w:w="594" w:type="pct"/>
            <w:tcBorders>
              <w:top w:val="nil"/>
              <w:left w:val="nil"/>
              <w:bottom w:val="nil"/>
              <w:right w:val="nil"/>
            </w:tcBorders>
            <w:shd w:val="clear" w:color="auto" w:fill="auto"/>
            <w:noWrap/>
            <w:vAlign w:val="bottom"/>
            <w:hideMark/>
          </w:tcPr>
          <w:p w14:paraId="0E2E2737" w14:textId="0221403A"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3,170,474</w:t>
            </w:r>
          </w:p>
        </w:tc>
        <w:tc>
          <w:tcPr>
            <w:tcW w:w="617" w:type="pct"/>
            <w:gridSpan w:val="2"/>
            <w:tcBorders>
              <w:top w:val="nil"/>
              <w:left w:val="nil"/>
              <w:bottom w:val="nil"/>
              <w:right w:val="nil"/>
            </w:tcBorders>
            <w:shd w:val="clear" w:color="auto" w:fill="auto"/>
            <w:noWrap/>
            <w:vAlign w:val="bottom"/>
            <w:hideMark/>
          </w:tcPr>
          <w:p w14:paraId="1BA32D64" w14:textId="50A9941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3,294,438</w:t>
            </w:r>
          </w:p>
        </w:tc>
      </w:tr>
      <w:tr w:rsidR="00EE1AA5" w:rsidRPr="00AA15D6" w14:paraId="01524052" w14:textId="77777777" w:rsidTr="002F3AAF">
        <w:trPr>
          <w:trHeight w:val="204"/>
        </w:trPr>
        <w:tc>
          <w:tcPr>
            <w:tcW w:w="2006" w:type="pct"/>
            <w:tcBorders>
              <w:top w:val="nil"/>
              <w:left w:val="nil"/>
              <w:bottom w:val="single" w:sz="4" w:space="0" w:color="auto"/>
              <w:right w:val="nil"/>
            </w:tcBorders>
            <w:shd w:val="clear" w:color="auto" w:fill="auto"/>
            <w:noWrap/>
            <w:vAlign w:val="bottom"/>
            <w:hideMark/>
          </w:tcPr>
          <w:p w14:paraId="535CC107" w14:textId="77777777" w:rsidR="00EE1AA5" w:rsidRPr="00AA15D6" w:rsidRDefault="00EE1AA5" w:rsidP="00EE1AA5">
            <w:pPr>
              <w:spacing w:after="0" w:line="240" w:lineRule="auto"/>
              <w:rPr>
                <w:rFonts w:ascii="Arial" w:hAnsi="Arial" w:cs="Arial"/>
                <w:b/>
                <w:bCs/>
                <w:sz w:val="16"/>
                <w:szCs w:val="16"/>
              </w:rPr>
            </w:pPr>
            <w:r w:rsidRPr="00AA15D6">
              <w:rPr>
                <w:rFonts w:ascii="Arial" w:hAnsi="Arial" w:cs="Arial"/>
                <w:b/>
                <w:bCs/>
                <w:sz w:val="16"/>
                <w:szCs w:val="16"/>
              </w:rPr>
              <w:t>Total expenses for Program 3.2</w:t>
            </w:r>
          </w:p>
        </w:tc>
        <w:tc>
          <w:tcPr>
            <w:tcW w:w="595" w:type="pct"/>
            <w:tcBorders>
              <w:top w:val="single" w:sz="4" w:space="0" w:color="auto"/>
              <w:left w:val="nil"/>
              <w:bottom w:val="single" w:sz="4" w:space="0" w:color="auto"/>
              <w:right w:val="nil"/>
            </w:tcBorders>
            <w:shd w:val="clear" w:color="auto" w:fill="auto"/>
            <w:noWrap/>
            <w:vAlign w:val="bottom"/>
            <w:hideMark/>
          </w:tcPr>
          <w:p w14:paraId="2865FFB6" w14:textId="14A1FCFD"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4,147,954</w:t>
            </w:r>
          </w:p>
        </w:tc>
        <w:tc>
          <w:tcPr>
            <w:tcW w:w="594" w:type="pct"/>
            <w:tcBorders>
              <w:top w:val="single" w:sz="4" w:space="0" w:color="auto"/>
              <w:left w:val="nil"/>
              <w:bottom w:val="single" w:sz="4" w:space="0" w:color="auto"/>
              <w:right w:val="nil"/>
            </w:tcBorders>
            <w:shd w:val="clear" w:color="auto" w:fill="E6E6E6"/>
            <w:noWrap/>
            <w:vAlign w:val="bottom"/>
            <w:hideMark/>
          </w:tcPr>
          <w:p w14:paraId="6C0FBE9C" w14:textId="257331DB"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1,807,797</w:t>
            </w:r>
          </w:p>
        </w:tc>
        <w:tc>
          <w:tcPr>
            <w:tcW w:w="594" w:type="pct"/>
            <w:tcBorders>
              <w:top w:val="single" w:sz="4" w:space="0" w:color="auto"/>
              <w:left w:val="nil"/>
              <w:bottom w:val="single" w:sz="4" w:space="0" w:color="auto"/>
              <w:right w:val="nil"/>
            </w:tcBorders>
            <w:shd w:val="clear" w:color="auto" w:fill="auto"/>
            <w:noWrap/>
            <w:vAlign w:val="bottom"/>
            <w:hideMark/>
          </w:tcPr>
          <w:p w14:paraId="33104A2E" w14:textId="4F4C5E06"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3,402,345</w:t>
            </w:r>
          </w:p>
        </w:tc>
        <w:tc>
          <w:tcPr>
            <w:tcW w:w="594" w:type="pct"/>
            <w:tcBorders>
              <w:top w:val="single" w:sz="4" w:space="0" w:color="auto"/>
              <w:left w:val="nil"/>
              <w:bottom w:val="single" w:sz="4" w:space="0" w:color="auto"/>
              <w:right w:val="nil"/>
            </w:tcBorders>
            <w:shd w:val="clear" w:color="auto" w:fill="auto"/>
            <w:noWrap/>
            <w:vAlign w:val="bottom"/>
            <w:hideMark/>
          </w:tcPr>
          <w:p w14:paraId="12FA8295" w14:textId="3FBFE040"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3,420,474</w:t>
            </w:r>
          </w:p>
        </w:tc>
        <w:tc>
          <w:tcPr>
            <w:tcW w:w="617" w:type="pct"/>
            <w:gridSpan w:val="2"/>
            <w:tcBorders>
              <w:top w:val="single" w:sz="4" w:space="0" w:color="auto"/>
              <w:left w:val="nil"/>
              <w:bottom w:val="single" w:sz="4" w:space="0" w:color="auto"/>
              <w:right w:val="nil"/>
            </w:tcBorders>
            <w:shd w:val="clear" w:color="auto" w:fill="auto"/>
            <w:noWrap/>
            <w:vAlign w:val="bottom"/>
            <w:hideMark/>
          </w:tcPr>
          <w:p w14:paraId="2F7046A0" w14:textId="3F0AC972"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3,544,438</w:t>
            </w:r>
          </w:p>
        </w:tc>
      </w:tr>
    </w:tbl>
    <w:p w14:paraId="4B7A353F" w14:textId="77777777" w:rsidR="00115843" w:rsidRDefault="00115843" w:rsidP="00115843">
      <w:r>
        <w:br w:type="page"/>
      </w:r>
    </w:p>
    <w:p w14:paraId="2A599937" w14:textId="77777777" w:rsidR="00115843" w:rsidRDefault="00115843" w:rsidP="00115843">
      <w:pPr>
        <w:pStyle w:val="TableHeading"/>
      </w:pPr>
      <w:r w:rsidRPr="00AD42E2">
        <w:lastRenderedPageBreak/>
        <w:t>Table 2.</w:t>
      </w:r>
      <w:r>
        <w:t>3</w:t>
      </w:r>
      <w:r w:rsidRPr="00AD42E2">
        <w:t>.</w:t>
      </w:r>
      <w:r>
        <w:t>2</w:t>
      </w:r>
      <w:r w:rsidRPr="00AD42E2">
        <w:t xml:space="preserve">: </w:t>
      </w:r>
      <w:r>
        <w:t>Program components</w:t>
      </w:r>
      <w:r w:rsidRPr="00AD42E2">
        <w:t xml:space="preserve"> for Outcome </w:t>
      </w:r>
      <w:r>
        <w:t>3 (continued)</w:t>
      </w:r>
    </w:p>
    <w:tbl>
      <w:tblPr>
        <w:tblW w:w="5027" w:type="pct"/>
        <w:tblLook w:val="04A0" w:firstRow="1" w:lastRow="0" w:firstColumn="1" w:lastColumn="0" w:noHBand="0" w:noVBand="1"/>
      </w:tblPr>
      <w:tblGrid>
        <w:gridCol w:w="3063"/>
        <w:gridCol w:w="73"/>
        <w:gridCol w:w="863"/>
        <w:gridCol w:w="8"/>
        <w:gridCol w:w="920"/>
        <w:gridCol w:w="8"/>
        <w:gridCol w:w="922"/>
        <w:gridCol w:w="8"/>
        <w:gridCol w:w="924"/>
        <w:gridCol w:w="6"/>
        <w:gridCol w:w="924"/>
        <w:gridCol w:w="33"/>
      </w:tblGrid>
      <w:tr w:rsidR="00115843" w:rsidRPr="00AA15D6" w14:paraId="72D37774" w14:textId="77777777" w:rsidTr="002F3AAF">
        <w:trPr>
          <w:gridAfter w:val="1"/>
          <w:wAfter w:w="21" w:type="pct"/>
          <w:trHeight w:val="204"/>
        </w:trPr>
        <w:tc>
          <w:tcPr>
            <w:tcW w:w="1976" w:type="pct"/>
            <w:tcBorders>
              <w:top w:val="single" w:sz="4" w:space="0" w:color="auto"/>
              <w:left w:val="nil"/>
              <w:bottom w:val="single" w:sz="4" w:space="0" w:color="auto"/>
              <w:right w:val="nil"/>
            </w:tcBorders>
            <w:shd w:val="clear" w:color="auto" w:fill="auto"/>
            <w:noWrap/>
            <w:vAlign w:val="bottom"/>
            <w:hideMark/>
          </w:tcPr>
          <w:p w14:paraId="4A57A46D" w14:textId="77777777" w:rsidR="00115843" w:rsidRPr="00AA15D6" w:rsidRDefault="00115843" w:rsidP="00FB0D02">
            <w:pPr>
              <w:spacing w:after="0" w:line="240" w:lineRule="auto"/>
              <w:rPr>
                <w:rFonts w:ascii="Arial" w:hAnsi="Arial" w:cs="Arial"/>
                <w:b/>
                <w:bCs/>
                <w:sz w:val="16"/>
                <w:szCs w:val="16"/>
              </w:rPr>
            </w:pPr>
            <w:r w:rsidRPr="00AA15D6">
              <w:rPr>
                <w:rFonts w:ascii="Arial" w:hAnsi="Arial" w:cs="Arial"/>
                <w:b/>
                <w:bCs/>
                <w:sz w:val="16"/>
                <w:szCs w:val="16"/>
              </w:rPr>
              <w:t> </w:t>
            </w:r>
          </w:p>
        </w:tc>
        <w:tc>
          <w:tcPr>
            <w:tcW w:w="603" w:type="pct"/>
            <w:gridSpan w:val="2"/>
            <w:tcBorders>
              <w:top w:val="single" w:sz="4" w:space="0" w:color="auto"/>
              <w:left w:val="nil"/>
              <w:bottom w:val="single" w:sz="4" w:space="0" w:color="auto"/>
              <w:right w:val="nil"/>
            </w:tcBorders>
            <w:shd w:val="clear" w:color="auto" w:fill="auto"/>
            <w:vAlign w:val="bottom"/>
            <w:hideMark/>
          </w:tcPr>
          <w:p w14:paraId="1F4BD473"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2021-22</w:t>
            </w:r>
            <w:r w:rsidRPr="00AA15D6">
              <w:rPr>
                <w:rFonts w:ascii="Arial" w:hAnsi="Arial" w:cs="Arial"/>
                <w:sz w:val="16"/>
                <w:szCs w:val="16"/>
              </w:rPr>
              <w:br/>
              <w:t>Estimated  actual</w:t>
            </w:r>
            <w:r w:rsidRPr="00AA15D6">
              <w:rPr>
                <w:rFonts w:ascii="Arial" w:hAnsi="Arial" w:cs="Arial"/>
                <w:sz w:val="16"/>
                <w:szCs w:val="16"/>
              </w:rPr>
              <w:br/>
              <w:t>$'000</w:t>
            </w:r>
          </w:p>
        </w:tc>
        <w:tc>
          <w:tcPr>
            <w:tcW w:w="599" w:type="pct"/>
            <w:gridSpan w:val="2"/>
            <w:tcBorders>
              <w:top w:val="single" w:sz="4" w:space="0" w:color="auto"/>
              <w:left w:val="nil"/>
              <w:bottom w:val="single" w:sz="4" w:space="0" w:color="auto"/>
              <w:right w:val="nil"/>
            </w:tcBorders>
            <w:shd w:val="clear" w:color="auto" w:fill="E6E6E6"/>
            <w:vAlign w:val="bottom"/>
            <w:hideMark/>
          </w:tcPr>
          <w:p w14:paraId="3B21F401"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2022-23</w:t>
            </w:r>
            <w:r w:rsidRPr="00AA15D6">
              <w:rPr>
                <w:rFonts w:ascii="Arial" w:hAnsi="Arial" w:cs="Arial"/>
                <w:sz w:val="16"/>
                <w:szCs w:val="16"/>
              </w:rPr>
              <w:br/>
              <w:t xml:space="preserve"> Budget</w:t>
            </w:r>
            <w:r w:rsidRPr="00AA15D6">
              <w:rPr>
                <w:rFonts w:ascii="Arial" w:hAnsi="Arial" w:cs="Arial"/>
                <w:sz w:val="16"/>
                <w:szCs w:val="16"/>
              </w:rPr>
              <w:br/>
              <w:t xml:space="preserve">                                      $'000</w:t>
            </w:r>
          </w:p>
        </w:tc>
        <w:tc>
          <w:tcPr>
            <w:tcW w:w="600" w:type="pct"/>
            <w:gridSpan w:val="2"/>
            <w:tcBorders>
              <w:top w:val="single" w:sz="4" w:space="0" w:color="auto"/>
              <w:left w:val="nil"/>
              <w:bottom w:val="single" w:sz="4" w:space="0" w:color="auto"/>
              <w:right w:val="nil"/>
            </w:tcBorders>
            <w:shd w:val="clear" w:color="auto" w:fill="auto"/>
            <w:vAlign w:val="bottom"/>
            <w:hideMark/>
          </w:tcPr>
          <w:p w14:paraId="209A94FE"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2023-24</w:t>
            </w:r>
            <w:r w:rsidRPr="00AA15D6">
              <w:rPr>
                <w:rFonts w:ascii="Arial" w:hAnsi="Arial" w:cs="Arial"/>
                <w:sz w:val="16"/>
                <w:szCs w:val="16"/>
              </w:rPr>
              <w:br/>
              <w:t>Forward estimate</w:t>
            </w:r>
            <w:r w:rsidRPr="00AA15D6">
              <w:rPr>
                <w:rFonts w:ascii="Arial" w:hAnsi="Arial" w:cs="Arial"/>
                <w:sz w:val="16"/>
                <w:szCs w:val="16"/>
              </w:rPr>
              <w:br/>
              <w:t>$'000</w:t>
            </w:r>
          </w:p>
        </w:tc>
        <w:tc>
          <w:tcPr>
            <w:tcW w:w="601" w:type="pct"/>
            <w:gridSpan w:val="2"/>
            <w:tcBorders>
              <w:top w:val="single" w:sz="4" w:space="0" w:color="auto"/>
              <w:left w:val="nil"/>
              <w:bottom w:val="single" w:sz="4" w:space="0" w:color="auto"/>
              <w:right w:val="nil"/>
            </w:tcBorders>
            <w:shd w:val="clear" w:color="auto" w:fill="auto"/>
            <w:vAlign w:val="bottom"/>
            <w:hideMark/>
          </w:tcPr>
          <w:p w14:paraId="6552AAD0"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2024-25</w:t>
            </w:r>
            <w:r w:rsidRPr="00AA15D6">
              <w:rPr>
                <w:rFonts w:ascii="Arial" w:hAnsi="Arial" w:cs="Arial"/>
                <w:sz w:val="16"/>
                <w:szCs w:val="16"/>
              </w:rPr>
              <w:br/>
              <w:t>Forward estimate</w:t>
            </w:r>
            <w:r w:rsidRPr="00AA15D6">
              <w:rPr>
                <w:rFonts w:ascii="Arial" w:hAnsi="Arial" w:cs="Arial"/>
                <w:sz w:val="16"/>
                <w:szCs w:val="16"/>
              </w:rPr>
              <w:br/>
              <w:t>$'000</w:t>
            </w:r>
          </w:p>
        </w:tc>
        <w:tc>
          <w:tcPr>
            <w:tcW w:w="600" w:type="pct"/>
            <w:gridSpan w:val="2"/>
            <w:tcBorders>
              <w:top w:val="single" w:sz="4" w:space="0" w:color="auto"/>
              <w:left w:val="nil"/>
              <w:bottom w:val="single" w:sz="4" w:space="0" w:color="auto"/>
              <w:right w:val="nil"/>
            </w:tcBorders>
            <w:shd w:val="clear" w:color="auto" w:fill="auto"/>
            <w:vAlign w:val="bottom"/>
            <w:hideMark/>
          </w:tcPr>
          <w:p w14:paraId="2F6FE5E6"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2025-26</w:t>
            </w:r>
            <w:r w:rsidRPr="00AA15D6">
              <w:rPr>
                <w:rFonts w:ascii="Arial" w:hAnsi="Arial" w:cs="Arial"/>
                <w:sz w:val="16"/>
                <w:szCs w:val="16"/>
              </w:rPr>
              <w:br/>
              <w:t>Forward estimate</w:t>
            </w:r>
            <w:r w:rsidRPr="00AA15D6">
              <w:rPr>
                <w:rFonts w:ascii="Arial" w:hAnsi="Arial" w:cs="Arial"/>
                <w:sz w:val="16"/>
                <w:szCs w:val="16"/>
              </w:rPr>
              <w:br/>
              <w:t>$'000</w:t>
            </w:r>
          </w:p>
        </w:tc>
      </w:tr>
      <w:tr w:rsidR="00115843" w:rsidRPr="00AA15D6" w14:paraId="1B166BFF" w14:textId="77777777" w:rsidTr="002F3AAF">
        <w:trPr>
          <w:trHeight w:val="204"/>
        </w:trPr>
        <w:tc>
          <w:tcPr>
            <w:tcW w:w="2022" w:type="pct"/>
            <w:gridSpan w:val="2"/>
            <w:tcBorders>
              <w:top w:val="single" w:sz="4" w:space="0" w:color="auto"/>
              <w:left w:val="nil"/>
              <w:bottom w:val="single" w:sz="4" w:space="0" w:color="auto"/>
              <w:right w:val="nil"/>
            </w:tcBorders>
            <w:shd w:val="clear" w:color="auto" w:fill="E6E6E6"/>
            <w:noWrap/>
            <w:vAlign w:val="bottom"/>
            <w:hideMark/>
          </w:tcPr>
          <w:p w14:paraId="359A813F" w14:textId="77777777" w:rsidR="00115843" w:rsidRPr="00AA15D6" w:rsidRDefault="00115843" w:rsidP="00FB0D02">
            <w:pPr>
              <w:spacing w:after="0" w:line="240" w:lineRule="auto"/>
              <w:rPr>
                <w:rFonts w:ascii="Arial" w:hAnsi="Arial" w:cs="Arial"/>
                <w:b/>
                <w:bCs/>
                <w:sz w:val="16"/>
                <w:szCs w:val="16"/>
              </w:rPr>
            </w:pPr>
            <w:r w:rsidRPr="00AA15D6">
              <w:rPr>
                <w:rFonts w:ascii="Arial" w:hAnsi="Arial" w:cs="Arial"/>
                <w:b/>
                <w:bCs/>
                <w:sz w:val="16"/>
                <w:szCs w:val="16"/>
              </w:rPr>
              <w:t>Components for Program 3.3: Cities</w:t>
            </w:r>
          </w:p>
        </w:tc>
        <w:tc>
          <w:tcPr>
            <w:tcW w:w="562" w:type="pct"/>
            <w:gridSpan w:val="2"/>
            <w:tcBorders>
              <w:top w:val="nil"/>
              <w:left w:val="nil"/>
              <w:bottom w:val="single" w:sz="4" w:space="0" w:color="auto"/>
              <w:right w:val="nil"/>
            </w:tcBorders>
            <w:shd w:val="clear" w:color="auto" w:fill="E6E6E6"/>
            <w:noWrap/>
            <w:vAlign w:val="bottom"/>
            <w:hideMark/>
          </w:tcPr>
          <w:p w14:paraId="035D1B24" w14:textId="77777777" w:rsidR="00115843" w:rsidRPr="00AA15D6" w:rsidRDefault="00115843" w:rsidP="00FB0D02">
            <w:pPr>
              <w:spacing w:after="0" w:line="240" w:lineRule="auto"/>
              <w:jc w:val="right"/>
              <w:rPr>
                <w:rFonts w:ascii="Arial" w:hAnsi="Arial" w:cs="Arial"/>
                <w:sz w:val="16"/>
                <w:szCs w:val="16"/>
              </w:rPr>
            </w:pPr>
          </w:p>
        </w:tc>
        <w:tc>
          <w:tcPr>
            <w:tcW w:w="599" w:type="pct"/>
            <w:gridSpan w:val="2"/>
            <w:tcBorders>
              <w:top w:val="nil"/>
              <w:left w:val="nil"/>
              <w:bottom w:val="single" w:sz="4" w:space="0" w:color="auto"/>
              <w:right w:val="nil"/>
            </w:tcBorders>
            <w:shd w:val="clear" w:color="auto" w:fill="E6E6E6"/>
            <w:noWrap/>
            <w:vAlign w:val="bottom"/>
            <w:hideMark/>
          </w:tcPr>
          <w:p w14:paraId="25E6F1F9" w14:textId="77777777" w:rsidR="00115843" w:rsidRPr="00AA15D6" w:rsidRDefault="00115843" w:rsidP="00FB0D02">
            <w:pPr>
              <w:spacing w:after="0" w:line="240" w:lineRule="auto"/>
              <w:jc w:val="right"/>
              <w:rPr>
                <w:rFonts w:ascii="Arial" w:hAnsi="Arial" w:cs="Arial"/>
                <w:sz w:val="16"/>
                <w:szCs w:val="16"/>
              </w:rPr>
            </w:pPr>
          </w:p>
        </w:tc>
        <w:tc>
          <w:tcPr>
            <w:tcW w:w="600" w:type="pct"/>
            <w:gridSpan w:val="2"/>
            <w:tcBorders>
              <w:top w:val="nil"/>
              <w:left w:val="nil"/>
              <w:bottom w:val="single" w:sz="4" w:space="0" w:color="auto"/>
              <w:right w:val="nil"/>
            </w:tcBorders>
            <w:shd w:val="clear" w:color="auto" w:fill="E6E6E6"/>
            <w:noWrap/>
            <w:vAlign w:val="bottom"/>
            <w:hideMark/>
          </w:tcPr>
          <w:p w14:paraId="27DD9249" w14:textId="77777777" w:rsidR="00115843" w:rsidRPr="00AA15D6" w:rsidRDefault="00115843" w:rsidP="00FB0D02">
            <w:pPr>
              <w:spacing w:after="0" w:line="240" w:lineRule="auto"/>
              <w:jc w:val="right"/>
              <w:rPr>
                <w:rFonts w:ascii="Arial" w:hAnsi="Arial" w:cs="Arial"/>
                <w:sz w:val="16"/>
                <w:szCs w:val="16"/>
              </w:rPr>
            </w:pPr>
          </w:p>
        </w:tc>
        <w:tc>
          <w:tcPr>
            <w:tcW w:w="600" w:type="pct"/>
            <w:gridSpan w:val="2"/>
            <w:tcBorders>
              <w:top w:val="nil"/>
              <w:left w:val="nil"/>
              <w:bottom w:val="single" w:sz="4" w:space="0" w:color="auto"/>
              <w:right w:val="nil"/>
            </w:tcBorders>
            <w:shd w:val="clear" w:color="auto" w:fill="E6E6E6"/>
            <w:noWrap/>
            <w:vAlign w:val="bottom"/>
            <w:hideMark/>
          </w:tcPr>
          <w:p w14:paraId="7A41B02A" w14:textId="77777777" w:rsidR="00115843" w:rsidRPr="00AA15D6" w:rsidRDefault="00115843" w:rsidP="00FB0D02">
            <w:pPr>
              <w:spacing w:after="0" w:line="240" w:lineRule="auto"/>
              <w:jc w:val="right"/>
              <w:rPr>
                <w:rFonts w:ascii="Arial" w:hAnsi="Arial" w:cs="Arial"/>
                <w:sz w:val="16"/>
                <w:szCs w:val="16"/>
              </w:rPr>
            </w:pPr>
          </w:p>
        </w:tc>
        <w:tc>
          <w:tcPr>
            <w:tcW w:w="617" w:type="pct"/>
            <w:gridSpan w:val="2"/>
            <w:tcBorders>
              <w:top w:val="nil"/>
              <w:left w:val="nil"/>
              <w:bottom w:val="single" w:sz="4" w:space="0" w:color="auto"/>
              <w:right w:val="nil"/>
            </w:tcBorders>
            <w:shd w:val="clear" w:color="auto" w:fill="E6E6E6"/>
            <w:noWrap/>
            <w:vAlign w:val="bottom"/>
            <w:hideMark/>
          </w:tcPr>
          <w:p w14:paraId="45103D8F" w14:textId="77777777" w:rsidR="00115843" w:rsidRPr="00AA15D6" w:rsidRDefault="00115843" w:rsidP="00FB0D02">
            <w:pPr>
              <w:spacing w:after="0" w:line="240" w:lineRule="auto"/>
              <w:jc w:val="right"/>
              <w:rPr>
                <w:rFonts w:ascii="Arial" w:hAnsi="Arial" w:cs="Arial"/>
                <w:sz w:val="16"/>
                <w:szCs w:val="16"/>
              </w:rPr>
            </w:pPr>
          </w:p>
        </w:tc>
      </w:tr>
      <w:tr w:rsidR="00115843" w:rsidRPr="00AA15D6" w14:paraId="7C63C515" w14:textId="77777777" w:rsidTr="002F3AAF">
        <w:trPr>
          <w:trHeight w:val="204"/>
        </w:trPr>
        <w:tc>
          <w:tcPr>
            <w:tcW w:w="2022" w:type="pct"/>
            <w:gridSpan w:val="2"/>
            <w:tcBorders>
              <w:top w:val="nil"/>
              <w:left w:val="nil"/>
              <w:bottom w:val="nil"/>
              <w:right w:val="nil"/>
            </w:tcBorders>
            <w:shd w:val="clear" w:color="auto" w:fill="auto"/>
            <w:noWrap/>
            <w:vAlign w:val="bottom"/>
            <w:hideMark/>
          </w:tcPr>
          <w:p w14:paraId="4639CF55" w14:textId="77777777" w:rsidR="00115843" w:rsidRPr="00AA15D6" w:rsidRDefault="00115843" w:rsidP="00B562BD">
            <w:pPr>
              <w:spacing w:after="0" w:line="240" w:lineRule="auto"/>
              <w:rPr>
                <w:rFonts w:ascii="Arial" w:hAnsi="Arial" w:cs="Arial"/>
                <w:sz w:val="16"/>
                <w:szCs w:val="16"/>
              </w:rPr>
            </w:pPr>
            <w:r w:rsidRPr="00AA15D6">
              <w:rPr>
                <w:rFonts w:ascii="Arial" w:hAnsi="Arial" w:cs="Arial"/>
                <w:sz w:val="16"/>
                <w:szCs w:val="16"/>
              </w:rPr>
              <w:t>Administered expenses</w:t>
            </w:r>
          </w:p>
        </w:tc>
        <w:tc>
          <w:tcPr>
            <w:tcW w:w="562" w:type="pct"/>
            <w:gridSpan w:val="2"/>
            <w:tcBorders>
              <w:top w:val="nil"/>
              <w:left w:val="nil"/>
              <w:bottom w:val="nil"/>
              <w:right w:val="nil"/>
            </w:tcBorders>
            <w:shd w:val="clear" w:color="auto" w:fill="auto"/>
            <w:noWrap/>
            <w:vAlign w:val="bottom"/>
            <w:hideMark/>
          </w:tcPr>
          <w:p w14:paraId="32D3C479" w14:textId="77777777" w:rsidR="00115843" w:rsidRPr="00AA15D6" w:rsidRDefault="00115843" w:rsidP="00B562BD">
            <w:pPr>
              <w:spacing w:after="0" w:line="240" w:lineRule="auto"/>
              <w:jc w:val="right"/>
              <w:rPr>
                <w:rFonts w:ascii="Arial" w:hAnsi="Arial" w:cs="Arial"/>
                <w:sz w:val="16"/>
                <w:szCs w:val="16"/>
              </w:rPr>
            </w:pPr>
          </w:p>
        </w:tc>
        <w:tc>
          <w:tcPr>
            <w:tcW w:w="599" w:type="pct"/>
            <w:gridSpan w:val="2"/>
            <w:tcBorders>
              <w:top w:val="nil"/>
              <w:left w:val="nil"/>
              <w:bottom w:val="nil"/>
              <w:right w:val="nil"/>
            </w:tcBorders>
            <w:shd w:val="clear" w:color="auto" w:fill="E6E6E6"/>
            <w:noWrap/>
            <w:vAlign w:val="bottom"/>
            <w:hideMark/>
          </w:tcPr>
          <w:p w14:paraId="01253293" w14:textId="77777777" w:rsidR="00115843" w:rsidRPr="00AA15D6" w:rsidRDefault="00115843" w:rsidP="00B562BD">
            <w:pPr>
              <w:spacing w:after="0" w:line="240" w:lineRule="auto"/>
              <w:jc w:val="right"/>
              <w:rPr>
                <w:rFonts w:ascii="Arial" w:hAnsi="Arial" w:cs="Arial"/>
                <w:sz w:val="16"/>
                <w:szCs w:val="16"/>
              </w:rPr>
            </w:pPr>
          </w:p>
        </w:tc>
        <w:tc>
          <w:tcPr>
            <w:tcW w:w="600" w:type="pct"/>
            <w:gridSpan w:val="2"/>
            <w:tcBorders>
              <w:top w:val="nil"/>
              <w:left w:val="nil"/>
              <w:bottom w:val="nil"/>
              <w:right w:val="nil"/>
            </w:tcBorders>
            <w:shd w:val="clear" w:color="auto" w:fill="auto"/>
            <w:noWrap/>
            <w:vAlign w:val="bottom"/>
            <w:hideMark/>
          </w:tcPr>
          <w:p w14:paraId="0B11D200" w14:textId="77777777" w:rsidR="00115843" w:rsidRPr="00AA15D6" w:rsidRDefault="00115843" w:rsidP="00B562BD">
            <w:pPr>
              <w:spacing w:after="0" w:line="240" w:lineRule="auto"/>
              <w:jc w:val="right"/>
              <w:rPr>
                <w:rFonts w:ascii="Arial" w:hAnsi="Arial" w:cs="Arial"/>
                <w:sz w:val="16"/>
                <w:szCs w:val="16"/>
              </w:rPr>
            </w:pPr>
          </w:p>
        </w:tc>
        <w:tc>
          <w:tcPr>
            <w:tcW w:w="600" w:type="pct"/>
            <w:gridSpan w:val="2"/>
            <w:tcBorders>
              <w:top w:val="nil"/>
              <w:left w:val="nil"/>
              <w:bottom w:val="nil"/>
              <w:right w:val="nil"/>
            </w:tcBorders>
            <w:shd w:val="clear" w:color="auto" w:fill="auto"/>
            <w:noWrap/>
            <w:vAlign w:val="bottom"/>
            <w:hideMark/>
          </w:tcPr>
          <w:p w14:paraId="45B1FE00" w14:textId="77777777" w:rsidR="00115843" w:rsidRPr="00AA15D6" w:rsidRDefault="00115843" w:rsidP="00B562BD">
            <w:pPr>
              <w:spacing w:after="0" w:line="240" w:lineRule="auto"/>
              <w:jc w:val="right"/>
              <w:rPr>
                <w:rFonts w:ascii="Times New Roman" w:hAnsi="Times New Roman"/>
              </w:rPr>
            </w:pPr>
          </w:p>
        </w:tc>
        <w:tc>
          <w:tcPr>
            <w:tcW w:w="617" w:type="pct"/>
            <w:gridSpan w:val="2"/>
            <w:tcBorders>
              <w:top w:val="nil"/>
              <w:left w:val="nil"/>
              <w:bottom w:val="nil"/>
              <w:right w:val="nil"/>
            </w:tcBorders>
            <w:shd w:val="clear" w:color="auto" w:fill="auto"/>
            <w:noWrap/>
            <w:vAlign w:val="bottom"/>
            <w:hideMark/>
          </w:tcPr>
          <w:p w14:paraId="586A2D96" w14:textId="77777777" w:rsidR="00115843" w:rsidRPr="00AA15D6" w:rsidRDefault="00115843" w:rsidP="00B562BD">
            <w:pPr>
              <w:spacing w:after="0" w:line="240" w:lineRule="auto"/>
              <w:jc w:val="right"/>
              <w:rPr>
                <w:rFonts w:ascii="Times New Roman" w:hAnsi="Times New Roman"/>
              </w:rPr>
            </w:pPr>
          </w:p>
        </w:tc>
      </w:tr>
      <w:tr w:rsidR="00115843" w:rsidRPr="00AA15D6" w14:paraId="52EA03E8" w14:textId="77777777" w:rsidTr="002F3AAF">
        <w:trPr>
          <w:trHeight w:val="204"/>
        </w:trPr>
        <w:tc>
          <w:tcPr>
            <w:tcW w:w="2022" w:type="pct"/>
            <w:gridSpan w:val="2"/>
            <w:tcBorders>
              <w:top w:val="nil"/>
              <w:left w:val="nil"/>
              <w:bottom w:val="nil"/>
              <w:right w:val="nil"/>
            </w:tcBorders>
            <w:shd w:val="clear" w:color="auto" w:fill="auto"/>
            <w:vAlign w:val="bottom"/>
            <w:hideMark/>
          </w:tcPr>
          <w:p w14:paraId="1A8C9E8F" w14:textId="77777777" w:rsidR="00115843" w:rsidRPr="00AA15D6" w:rsidRDefault="00115843" w:rsidP="00B562BD">
            <w:pPr>
              <w:spacing w:after="0" w:line="240" w:lineRule="auto"/>
              <w:ind w:left="113"/>
              <w:rPr>
                <w:rFonts w:ascii="Arial" w:hAnsi="Arial" w:cs="Arial"/>
                <w:sz w:val="16"/>
                <w:szCs w:val="16"/>
              </w:rPr>
            </w:pPr>
            <w:r w:rsidRPr="00AA15D6">
              <w:rPr>
                <w:rFonts w:ascii="Arial" w:hAnsi="Arial" w:cs="Arial"/>
                <w:sz w:val="16"/>
                <w:szCs w:val="16"/>
              </w:rPr>
              <w:t>Support for City Deals</w:t>
            </w:r>
          </w:p>
        </w:tc>
        <w:tc>
          <w:tcPr>
            <w:tcW w:w="562" w:type="pct"/>
            <w:gridSpan w:val="2"/>
            <w:tcBorders>
              <w:top w:val="nil"/>
              <w:left w:val="nil"/>
              <w:bottom w:val="nil"/>
              <w:right w:val="nil"/>
            </w:tcBorders>
            <w:shd w:val="clear" w:color="auto" w:fill="auto"/>
            <w:noWrap/>
            <w:vAlign w:val="bottom"/>
            <w:hideMark/>
          </w:tcPr>
          <w:p w14:paraId="1FAB8508"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368</w:t>
            </w:r>
          </w:p>
        </w:tc>
        <w:tc>
          <w:tcPr>
            <w:tcW w:w="599" w:type="pct"/>
            <w:gridSpan w:val="2"/>
            <w:tcBorders>
              <w:top w:val="nil"/>
              <w:left w:val="nil"/>
              <w:bottom w:val="nil"/>
              <w:right w:val="nil"/>
            </w:tcBorders>
            <w:shd w:val="clear" w:color="auto" w:fill="E6E6E6"/>
            <w:noWrap/>
            <w:vAlign w:val="bottom"/>
            <w:hideMark/>
          </w:tcPr>
          <w:p w14:paraId="121B3669"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4,598</w:t>
            </w:r>
          </w:p>
        </w:tc>
        <w:tc>
          <w:tcPr>
            <w:tcW w:w="600" w:type="pct"/>
            <w:gridSpan w:val="2"/>
            <w:tcBorders>
              <w:top w:val="nil"/>
              <w:left w:val="nil"/>
              <w:bottom w:val="nil"/>
              <w:right w:val="nil"/>
            </w:tcBorders>
            <w:shd w:val="clear" w:color="auto" w:fill="auto"/>
            <w:noWrap/>
            <w:vAlign w:val="bottom"/>
            <w:hideMark/>
          </w:tcPr>
          <w:p w14:paraId="39031DF5"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100</w:t>
            </w:r>
          </w:p>
        </w:tc>
        <w:tc>
          <w:tcPr>
            <w:tcW w:w="600" w:type="pct"/>
            <w:gridSpan w:val="2"/>
            <w:tcBorders>
              <w:top w:val="nil"/>
              <w:left w:val="nil"/>
              <w:bottom w:val="nil"/>
              <w:right w:val="nil"/>
            </w:tcBorders>
            <w:shd w:val="clear" w:color="auto" w:fill="auto"/>
            <w:noWrap/>
            <w:vAlign w:val="bottom"/>
            <w:hideMark/>
          </w:tcPr>
          <w:p w14:paraId="47A1023E"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w:t>
            </w:r>
          </w:p>
        </w:tc>
        <w:tc>
          <w:tcPr>
            <w:tcW w:w="617" w:type="pct"/>
            <w:gridSpan w:val="2"/>
            <w:tcBorders>
              <w:top w:val="nil"/>
              <w:left w:val="nil"/>
              <w:bottom w:val="nil"/>
              <w:right w:val="nil"/>
            </w:tcBorders>
            <w:shd w:val="clear" w:color="auto" w:fill="auto"/>
            <w:noWrap/>
            <w:vAlign w:val="bottom"/>
            <w:hideMark/>
          </w:tcPr>
          <w:p w14:paraId="06DFCDE2"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w:t>
            </w:r>
          </w:p>
        </w:tc>
      </w:tr>
      <w:tr w:rsidR="00115843" w:rsidRPr="00AA15D6" w14:paraId="45F39964" w14:textId="77777777" w:rsidTr="002F3AAF">
        <w:trPr>
          <w:trHeight w:val="204"/>
        </w:trPr>
        <w:tc>
          <w:tcPr>
            <w:tcW w:w="2022" w:type="pct"/>
            <w:gridSpan w:val="2"/>
            <w:tcBorders>
              <w:top w:val="nil"/>
              <w:left w:val="nil"/>
              <w:bottom w:val="nil"/>
              <w:right w:val="nil"/>
            </w:tcBorders>
            <w:shd w:val="clear" w:color="auto" w:fill="auto"/>
            <w:vAlign w:val="bottom"/>
            <w:hideMark/>
          </w:tcPr>
          <w:p w14:paraId="76A4CCF2" w14:textId="77777777" w:rsidR="00115843" w:rsidRPr="00AA15D6" w:rsidRDefault="00115843" w:rsidP="00B562BD">
            <w:pPr>
              <w:spacing w:after="0" w:line="240" w:lineRule="auto"/>
              <w:ind w:left="113"/>
              <w:rPr>
                <w:rFonts w:ascii="Arial" w:hAnsi="Arial" w:cs="Arial"/>
                <w:sz w:val="16"/>
                <w:szCs w:val="16"/>
              </w:rPr>
            </w:pPr>
            <w:r w:rsidRPr="00AA15D6">
              <w:rPr>
                <w:rFonts w:ascii="Arial" w:hAnsi="Arial" w:cs="Arial"/>
                <w:sz w:val="16"/>
                <w:szCs w:val="16"/>
              </w:rPr>
              <w:t>Western Sydney City Deal</w:t>
            </w:r>
          </w:p>
        </w:tc>
        <w:tc>
          <w:tcPr>
            <w:tcW w:w="562" w:type="pct"/>
            <w:gridSpan w:val="2"/>
            <w:tcBorders>
              <w:top w:val="nil"/>
              <w:left w:val="nil"/>
              <w:bottom w:val="nil"/>
              <w:right w:val="nil"/>
            </w:tcBorders>
            <w:shd w:val="clear" w:color="auto" w:fill="auto"/>
            <w:noWrap/>
            <w:vAlign w:val="bottom"/>
            <w:hideMark/>
          </w:tcPr>
          <w:p w14:paraId="2B574ECF"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173</w:t>
            </w:r>
          </w:p>
        </w:tc>
        <w:tc>
          <w:tcPr>
            <w:tcW w:w="599" w:type="pct"/>
            <w:gridSpan w:val="2"/>
            <w:tcBorders>
              <w:top w:val="nil"/>
              <w:left w:val="nil"/>
              <w:bottom w:val="nil"/>
              <w:right w:val="nil"/>
            </w:tcBorders>
            <w:shd w:val="clear" w:color="auto" w:fill="E6E6E6"/>
            <w:noWrap/>
            <w:vAlign w:val="bottom"/>
            <w:hideMark/>
          </w:tcPr>
          <w:p w14:paraId="4F772E72"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227</w:t>
            </w:r>
          </w:p>
        </w:tc>
        <w:tc>
          <w:tcPr>
            <w:tcW w:w="600" w:type="pct"/>
            <w:gridSpan w:val="2"/>
            <w:tcBorders>
              <w:top w:val="nil"/>
              <w:left w:val="nil"/>
              <w:bottom w:val="nil"/>
              <w:right w:val="nil"/>
            </w:tcBorders>
            <w:shd w:val="clear" w:color="auto" w:fill="auto"/>
            <w:noWrap/>
            <w:vAlign w:val="bottom"/>
            <w:hideMark/>
          </w:tcPr>
          <w:p w14:paraId="2A3D9DB0"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100</w:t>
            </w:r>
          </w:p>
        </w:tc>
        <w:tc>
          <w:tcPr>
            <w:tcW w:w="600" w:type="pct"/>
            <w:gridSpan w:val="2"/>
            <w:tcBorders>
              <w:top w:val="nil"/>
              <w:left w:val="nil"/>
              <w:bottom w:val="nil"/>
              <w:right w:val="nil"/>
            </w:tcBorders>
            <w:shd w:val="clear" w:color="auto" w:fill="auto"/>
            <w:noWrap/>
            <w:vAlign w:val="bottom"/>
            <w:hideMark/>
          </w:tcPr>
          <w:p w14:paraId="18D72D5A"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w:t>
            </w:r>
          </w:p>
        </w:tc>
        <w:tc>
          <w:tcPr>
            <w:tcW w:w="617" w:type="pct"/>
            <w:gridSpan w:val="2"/>
            <w:tcBorders>
              <w:top w:val="nil"/>
              <w:left w:val="nil"/>
              <w:bottom w:val="nil"/>
              <w:right w:val="nil"/>
            </w:tcBorders>
            <w:shd w:val="clear" w:color="auto" w:fill="auto"/>
            <w:noWrap/>
            <w:vAlign w:val="bottom"/>
            <w:hideMark/>
          </w:tcPr>
          <w:p w14:paraId="11F382F5" w14:textId="77777777" w:rsidR="00115843" w:rsidRPr="00AA15D6" w:rsidRDefault="00115843" w:rsidP="00B562BD">
            <w:pPr>
              <w:spacing w:after="0" w:line="240" w:lineRule="auto"/>
              <w:jc w:val="right"/>
              <w:rPr>
                <w:rFonts w:ascii="Arial" w:hAnsi="Arial" w:cs="Arial"/>
                <w:sz w:val="16"/>
                <w:szCs w:val="16"/>
              </w:rPr>
            </w:pPr>
            <w:r>
              <w:rPr>
                <w:rFonts w:ascii="Arial" w:hAnsi="Arial" w:cs="Arial"/>
                <w:sz w:val="16"/>
                <w:szCs w:val="16"/>
              </w:rPr>
              <w:t>-</w:t>
            </w:r>
          </w:p>
        </w:tc>
      </w:tr>
      <w:tr w:rsidR="00115843" w:rsidRPr="00AA15D6" w14:paraId="16C0C4EF" w14:textId="77777777" w:rsidTr="002F3AAF">
        <w:trPr>
          <w:trHeight w:val="204"/>
        </w:trPr>
        <w:tc>
          <w:tcPr>
            <w:tcW w:w="2022" w:type="pct"/>
            <w:gridSpan w:val="2"/>
            <w:tcBorders>
              <w:top w:val="nil"/>
              <w:left w:val="nil"/>
              <w:bottom w:val="single" w:sz="4" w:space="0" w:color="auto"/>
              <w:right w:val="nil"/>
            </w:tcBorders>
            <w:shd w:val="clear" w:color="auto" w:fill="auto"/>
            <w:noWrap/>
            <w:vAlign w:val="bottom"/>
            <w:hideMark/>
          </w:tcPr>
          <w:p w14:paraId="2D50677F" w14:textId="77777777" w:rsidR="00115843" w:rsidRPr="00AA15D6" w:rsidRDefault="00115843" w:rsidP="00B562BD">
            <w:pPr>
              <w:spacing w:after="0" w:line="240" w:lineRule="auto"/>
              <w:rPr>
                <w:rFonts w:ascii="Arial" w:hAnsi="Arial" w:cs="Arial"/>
                <w:b/>
                <w:bCs/>
                <w:sz w:val="16"/>
                <w:szCs w:val="16"/>
              </w:rPr>
            </w:pPr>
            <w:r w:rsidRPr="00AA15D6">
              <w:rPr>
                <w:rFonts w:ascii="Arial" w:hAnsi="Arial" w:cs="Arial"/>
                <w:b/>
                <w:bCs/>
                <w:sz w:val="16"/>
                <w:szCs w:val="16"/>
              </w:rPr>
              <w:t>Total expenses for Program 3.3</w:t>
            </w:r>
          </w:p>
        </w:tc>
        <w:tc>
          <w:tcPr>
            <w:tcW w:w="562" w:type="pct"/>
            <w:gridSpan w:val="2"/>
            <w:tcBorders>
              <w:top w:val="single" w:sz="4" w:space="0" w:color="auto"/>
              <w:left w:val="nil"/>
              <w:bottom w:val="single" w:sz="4" w:space="0" w:color="auto"/>
              <w:right w:val="nil"/>
            </w:tcBorders>
            <w:shd w:val="clear" w:color="auto" w:fill="auto"/>
            <w:noWrap/>
            <w:vAlign w:val="bottom"/>
            <w:hideMark/>
          </w:tcPr>
          <w:p w14:paraId="009F48A2" w14:textId="77777777" w:rsidR="00115843" w:rsidRPr="00AA15D6" w:rsidRDefault="00115843" w:rsidP="00B562BD">
            <w:pPr>
              <w:spacing w:after="0" w:line="240" w:lineRule="auto"/>
              <w:jc w:val="right"/>
              <w:rPr>
                <w:rFonts w:ascii="Arial" w:hAnsi="Arial" w:cs="Arial"/>
                <w:b/>
                <w:bCs/>
                <w:sz w:val="16"/>
                <w:szCs w:val="16"/>
              </w:rPr>
            </w:pPr>
            <w:r>
              <w:rPr>
                <w:rFonts w:ascii="Arial" w:hAnsi="Arial" w:cs="Arial"/>
                <w:b/>
                <w:bCs/>
                <w:sz w:val="16"/>
                <w:szCs w:val="16"/>
              </w:rPr>
              <w:t>541</w:t>
            </w:r>
          </w:p>
        </w:tc>
        <w:tc>
          <w:tcPr>
            <w:tcW w:w="599" w:type="pct"/>
            <w:gridSpan w:val="2"/>
            <w:tcBorders>
              <w:top w:val="single" w:sz="4" w:space="0" w:color="auto"/>
              <w:left w:val="nil"/>
              <w:bottom w:val="single" w:sz="4" w:space="0" w:color="auto"/>
              <w:right w:val="nil"/>
            </w:tcBorders>
            <w:shd w:val="clear" w:color="auto" w:fill="E6E6E6"/>
            <w:noWrap/>
            <w:vAlign w:val="bottom"/>
            <w:hideMark/>
          </w:tcPr>
          <w:p w14:paraId="79B22BFD" w14:textId="77777777" w:rsidR="00115843" w:rsidRPr="00AA15D6" w:rsidRDefault="00115843" w:rsidP="00B562BD">
            <w:pPr>
              <w:spacing w:after="0" w:line="240" w:lineRule="auto"/>
              <w:jc w:val="right"/>
              <w:rPr>
                <w:rFonts w:ascii="Arial" w:hAnsi="Arial" w:cs="Arial"/>
                <w:b/>
                <w:bCs/>
                <w:sz w:val="16"/>
                <w:szCs w:val="16"/>
              </w:rPr>
            </w:pPr>
            <w:r>
              <w:rPr>
                <w:rFonts w:ascii="Arial" w:hAnsi="Arial" w:cs="Arial"/>
                <w:b/>
                <w:bCs/>
                <w:sz w:val="16"/>
                <w:szCs w:val="16"/>
              </w:rPr>
              <w:t>4,825</w:t>
            </w:r>
          </w:p>
        </w:tc>
        <w:tc>
          <w:tcPr>
            <w:tcW w:w="600" w:type="pct"/>
            <w:gridSpan w:val="2"/>
            <w:tcBorders>
              <w:top w:val="single" w:sz="4" w:space="0" w:color="auto"/>
              <w:left w:val="nil"/>
              <w:bottom w:val="single" w:sz="4" w:space="0" w:color="auto"/>
              <w:right w:val="nil"/>
            </w:tcBorders>
            <w:shd w:val="clear" w:color="auto" w:fill="auto"/>
            <w:noWrap/>
            <w:vAlign w:val="bottom"/>
            <w:hideMark/>
          </w:tcPr>
          <w:p w14:paraId="434E9181" w14:textId="77777777" w:rsidR="00115843" w:rsidRPr="00AA15D6" w:rsidRDefault="00115843" w:rsidP="00B562BD">
            <w:pPr>
              <w:spacing w:after="0" w:line="240" w:lineRule="auto"/>
              <w:jc w:val="right"/>
              <w:rPr>
                <w:rFonts w:ascii="Arial" w:hAnsi="Arial" w:cs="Arial"/>
                <w:b/>
                <w:bCs/>
                <w:sz w:val="16"/>
                <w:szCs w:val="16"/>
              </w:rPr>
            </w:pPr>
            <w:r>
              <w:rPr>
                <w:rFonts w:ascii="Arial" w:hAnsi="Arial" w:cs="Arial"/>
                <w:b/>
                <w:bCs/>
                <w:sz w:val="16"/>
                <w:szCs w:val="16"/>
              </w:rPr>
              <w:t>200</w:t>
            </w:r>
          </w:p>
        </w:tc>
        <w:tc>
          <w:tcPr>
            <w:tcW w:w="600" w:type="pct"/>
            <w:gridSpan w:val="2"/>
            <w:tcBorders>
              <w:top w:val="single" w:sz="4" w:space="0" w:color="auto"/>
              <w:left w:val="nil"/>
              <w:bottom w:val="single" w:sz="4" w:space="0" w:color="auto"/>
              <w:right w:val="nil"/>
            </w:tcBorders>
            <w:shd w:val="clear" w:color="auto" w:fill="auto"/>
            <w:noWrap/>
            <w:vAlign w:val="bottom"/>
            <w:hideMark/>
          </w:tcPr>
          <w:p w14:paraId="3830EC56" w14:textId="77777777" w:rsidR="00115843" w:rsidRPr="00AA15D6" w:rsidRDefault="00115843" w:rsidP="00B562BD">
            <w:pPr>
              <w:spacing w:after="0" w:line="240" w:lineRule="auto"/>
              <w:jc w:val="right"/>
              <w:rPr>
                <w:rFonts w:ascii="Arial" w:hAnsi="Arial" w:cs="Arial"/>
                <w:b/>
                <w:bCs/>
                <w:sz w:val="16"/>
                <w:szCs w:val="16"/>
              </w:rPr>
            </w:pPr>
            <w:r>
              <w:rPr>
                <w:rFonts w:ascii="Arial" w:hAnsi="Arial" w:cs="Arial"/>
                <w:b/>
                <w:bCs/>
                <w:sz w:val="16"/>
                <w:szCs w:val="16"/>
              </w:rPr>
              <w:t>-</w:t>
            </w:r>
          </w:p>
        </w:tc>
        <w:tc>
          <w:tcPr>
            <w:tcW w:w="617" w:type="pct"/>
            <w:gridSpan w:val="2"/>
            <w:tcBorders>
              <w:top w:val="single" w:sz="4" w:space="0" w:color="auto"/>
              <w:left w:val="nil"/>
              <w:bottom w:val="single" w:sz="4" w:space="0" w:color="auto"/>
              <w:right w:val="nil"/>
            </w:tcBorders>
            <w:shd w:val="clear" w:color="auto" w:fill="auto"/>
            <w:noWrap/>
            <w:vAlign w:val="bottom"/>
            <w:hideMark/>
          </w:tcPr>
          <w:p w14:paraId="47E77D5A" w14:textId="77777777" w:rsidR="00115843" w:rsidRPr="00AA15D6" w:rsidRDefault="00115843" w:rsidP="00B562BD">
            <w:pPr>
              <w:spacing w:after="0" w:line="240" w:lineRule="auto"/>
              <w:jc w:val="right"/>
              <w:rPr>
                <w:rFonts w:ascii="Arial" w:hAnsi="Arial" w:cs="Arial"/>
                <w:b/>
                <w:bCs/>
                <w:sz w:val="16"/>
                <w:szCs w:val="16"/>
              </w:rPr>
            </w:pPr>
            <w:r>
              <w:rPr>
                <w:rFonts w:ascii="Arial" w:hAnsi="Arial" w:cs="Arial"/>
                <w:b/>
                <w:bCs/>
                <w:sz w:val="16"/>
                <w:szCs w:val="16"/>
              </w:rPr>
              <w:t>-</w:t>
            </w:r>
          </w:p>
        </w:tc>
      </w:tr>
      <w:tr w:rsidR="00115843" w:rsidRPr="00AA15D6" w14:paraId="14F58FF4" w14:textId="77777777" w:rsidTr="002F3AAF">
        <w:trPr>
          <w:gridAfter w:val="1"/>
          <w:wAfter w:w="21" w:type="pct"/>
          <w:trHeight w:val="204"/>
        </w:trPr>
        <w:tc>
          <w:tcPr>
            <w:tcW w:w="4379" w:type="pct"/>
            <w:gridSpan w:val="9"/>
            <w:tcBorders>
              <w:top w:val="single" w:sz="4" w:space="0" w:color="auto"/>
              <w:left w:val="nil"/>
              <w:bottom w:val="single" w:sz="4" w:space="0" w:color="auto"/>
              <w:right w:val="nil"/>
            </w:tcBorders>
            <w:shd w:val="clear" w:color="auto" w:fill="E6E6E6"/>
            <w:noWrap/>
            <w:vAlign w:val="bottom"/>
            <w:hideMark/>
          </w:tcPr>
          <w:p w14:paraId="7C4FB320" w14:textId="3D10ACE4" w:rsidR="00115843" w:rsidRPr="00AA15D6" w:rsidRDefault="00115843" w:rsidP="00FB0D02">
            <w:pPr>
              <w:spacing w:after="0" w:line="240" w:lineRule="auto"/>
              <w:rPr>
                <w:rFonts w:ascii="Arial" w:hAnsi="Arial" w:cs="Arial"/>
                <w:b/>
                <w:bCs/>
                <w:sz w:val="16"/>
                <w:szCs w:val="16"/>
              </w:rPr>
            </w:pPr>
            <w:r w:rsidRPr="00AA15D6">
              <w:rPr>
                <w:rFonts w:ascii="Arial" w:hAnsi="Arial" w:cs="Arial"/>
                <w:b/>
                <w:bCs/>
                <w:sz w:val="16"/>
                <w:szCs w:val="16"/>
              </w:rPr>
              <w:t>Components for Program 3.4: Growing a Stronger Northern Australian Economy</w:t>
            </w:r>
          </w:p>
        </w:tc>
        <w:tc>
          <w:tcPr>
            <w:tcW w:w="600" w:type="pct"/>
            <w:gridSpan w:val="2"/>
            <w:tcBorders>
              <w:top w:val="nil"/>
              <w:left w:val="nil"/>
              <w:bottom w:val="single" w:sz="4" w:space="0" w:color="auto"/>
              <w:right w:val="nil"/>
            </w:tcBorders>
            <w:shd w:val="clear" w:color="auto" w:fill="E6E6E6"/>
            <w:noWrap/>
            <w:vAlign w:val="bottom"/>
            <w:hideMark/>
          </w:tcPr>
          <w:p w14:paraId="1897DC92" w14:textId="77777777" w:rsidR="00115843" w:rsidRPr="00AA15D6" w:rsidRDefault="00115843" w:rsidP="00FB0D02">
            <w:pPr>
              <w:spacing w:after="0" w:line="240" w:lineRule="auto"/>
              <w:jc w:val="right"/>
              <w:rPr>
                <w:rFonts w:ascii="Arial" w:hAnsi="Arial" w:cs="Arial"/>
                <w:sz w:val="16"/>
                <w:szCs w:val="16"/>
              </w:rPr>
            </w:pPr>
            <w:r w:rsidRPr="00AA15D6">
              <w:rPr>
                <w:rFonts w:ascii="Arial" w:hAnsi="Arial" w:cs="Arial"/>
                <w:sz w:val="16"/>
                <w:szCs w:val="16"/>
              </w:rPr>
              <w:t> </w:t>
            </w:r>
          </w:p>
        </w:tc>
      </w:tr>
      <w:tr w:rsidR="00115843" w:rsidRPr="00AA15D6" w14:paraId="21599A65" w14:textId="77777777" w:rsidTr="002F3AAF">
        <w:trPr>
          <w:gridAfter w:val="1"/>
          <w:wAfter w:w="21" w:type="pct"/>
          <w:trHeight w:val="204"/>
        </w:trPr>
        <w:tc>
          <w:tcPr>
            <w:tcW w:w="1976" w:type="pct"/>
            <w:tcBorders>
              <w:top w:val="nil"/>
              <w:left w:val="nil"/>
              <w:bottom w:val="nil"/>
              <w:right w:val="nil"/>
            </w:tcBorders>
            <w:shd w:val="clear" w:color="auto" w:fill="auto"/>
            <w:noWrap/>
            <w:vAlign w:val="bottom"/>
            <w:hideMark/>
          </w:tcPr>
          <w:p w14:paraId="2BA03EFC" w14:textId="77777777" w:rsidR="00115843" w:rsidRPr="00AA15D6" w:rsidRDefault="00115843" w:rsidP="00FB0D02">
            <w:pPr>
              <w:spacing w:after="0" w:line="240" w:lineRule="auto"/>
              <w:rPr>
                <w:rFonts w:ascii="Arial" w:hAnsi="Arial" w:cs="Arial"/>
                <w:sz w:val="16"/>
                <w:szCs w:val="16"/>
              </w:rPr>
            </w:pPr>
            <w:r w:rsidRPr="00AA15D6">
              <w:rPr>
                <w:rFonts w:ascii="Arial" w:hAnsi="Arial" w:cs="Arial"/>
                <w:sz w:val="16"/>
                <w:szCs w:val="16"/>
              </w:rPr>
              <w:t>Administered expenses</w:t>
            </w:r>
          </w:p>
        </w:tc>
        <w:tc>
          <w:tcPr>
            <w:tcW w:w="603" w:type="pct"/>
            <w:gridSpan w:val="2"/>
            <w:tcBorders>
              <w:top w:val="nil"/>
              <w:left w:val="nil"/>
              <w:bottom w:val="nil"/>
              <w:right w:val="nil"/>
            </w:tcBorders>
            <w:shd w:val="clear" w:color="auto" w:fill="auto"/>
            <w:noWrap/>
            <w:vAlign w:val="bottom"/>
            <w:hideMark/>
          </w:tcPr>
          <w:p w14:paraId="3D9D1DFE" w14:textId="77777777" w:rsidR="00115843" w:rsidRPr="00AA15D6" w:rsidRDefault="00115843" w:rsidP="00FB0D02">
            <w:pPr>
              <w:spacing w:after="0" w:line="240" w:lineRule="auto"/>
              <w:jc w:val="right"/>
              <w:rPr>
                <w:rFonts w:ascii="Arial" w:hAnsi="Arial" w:cs="Arial"/>
                <w:sz w:val="16"/>
                <w:szCs w:val="16"/>
              </w:rPr>
            </w:pPr>
          </w:p>
        </w:tc>
        <w:tc>
          <w:tcPr>
            <w:tcW w:w="599" w:type="pct"/>
            <w:gridSpan w:val="2"/>
            <w:tcBorders>
              <w:top w:val="nil"/>
              <w:left w:val="nil"/>
              <w:bottom w:val="nil"/>
              <w:right w:val="nil"/>
            </w:tcBorders>
            <w:shd w:val="clear" w:color="auto" w:fill="E6E6E6"/>
            <w:noWrap/>
            <w:vAlign w:val="bottom"/>
            <w:hideMark/>
          </w:tcPr>
          <w:p w14:paraId="4F9467F3" w14:textId="77777777" w:rsidR="00115843" w:rsidRPr="00AA15D6" w:rsidRDefault="00115843" w:rsidP="00FB0D02">
            <w:pPr>
              <w:spacing w:after="0" w:line="240" w:lineRule="auto"/>
              <w:jc w:val="right"/>
              <w:rPr>
                <w:rFonts w:ascii="Arial" w:hAnsi="Arial" w:cs="Arial"/>
                <w:sz w:val="16"/>
                <w:szCs w:val="16"/>
              </w:rPr>
            </w:pPr>
          </w:p>
        </w:tc>
        <w:tc>
          <w:tcPr>
            <w:tcW w:w="600" w:type="pct"/>
            <w:gridSpan w:val="2"/>
            <w:tcBorders>
              <w:top w:val="nil"/>
              <w:left w:val="nil"/>
              <w:bottom w:val="nil"/>
              <w:right w:val="nil"/>
            </w:tcBorders>
            <w:shd w:val="clear" w:color="auto" w:fill="auto"/>
            <w:noWrap/>
            <w:vAlign w:val="bottom"/>
            <w:hideMark/>
          </w:tcPr>
          <w:p w14:paraId="0B64A47B" w14:textId="77777777" w:rsidR="00115843" w:rsidRPr="00AA15D6" w:rsidRDefault="00115843" w:rsidP="00FB0D02">
            <w:pPr>
              <w:spacing w:after="0" w:line="240" w:lineRule="auto"/>
              <w:jc w:val="right"/>
              <w:rPr>
                <w:rFonts w:ascii="Arial" w:hAnsi="Arial" w:cs="Arial"/>
                <w:sz w:val="16"/>
                <w:szCs w:val="16"/>
              </w:rPr>
            </w:pPr>
          </w:p>
        </w:tc>
        <w:tc>
          <w:tcPr>
            <w:tcW w:w="601" w:type="pct"/>
            <w:gridSpan w:val="2"/>
            <w:tcBorders>
              <w:top w:val="nil"/>
              <w:left w:val="nil"/>
              <w:bottom w:val="nil"/>
              <w:right w:val="nil"/>
            </w:tcBorders>
            <w:shd w:val="clear" w:color="auto" w:fill="auto"/>
            <w:noWrap/>
            <w:vAlign w:val="bottom"/>
            <w:hideMark/>
          </w:tcPr>
          <w:p w14:paraId="2F06B5F0" w14:textId="77777777" w:rsidR="00115843" w:rsidRPr="00AA15D6" w:rsidRDefault="00115843" w:rsidP="00FB0D02">
            <w:pPr>
              <w:spacing w:after="0" w:line="240" w:lineRule="auto"/>
              <w:jc w:val="right"/>
              <w:rPr>
                <w:rFonts w:ascii="Times New Roman" w:hAnsi="Times New Roman"/>
              </w:rPr>
            </w:pPr>
          </w:p>
        </w:tc>
        <w:tc>
          <w:tcPr>
            <w:tcW w:w="600" w:type="pct"/>
            <w:gridSpan w:val="2"/>
            <w:tcBorders>
              <w:top w:val="nil"/>
              <w:left w:val="nil"/>
              <w:bottom w:val="nil"/>
              <w:right w:val="nil"/>
            </w:tcBorders>
            <w:shd w:val="clear" w:color="auto" w:fill="auto"/>
            <w:noWrap/>
            <w:vAlign w:val="bottom"/>
            <w:hideMark/>
          </w:tcPr>
          <w:p w14:paraId="2F7E74F5" w14:textId="77777777" w:rsidR="00115843" w:rsidRPr="00AA15D6" w:rsidRDefault="00115843" w:rsidP="00FB0D02">
            <w:pPr>
              <w:spacing w:after="0" w:line="240" w:lineRule="auto"/>
              <w:jc w:val="right"/>
              <w:rPr>
                <w:rFonts w:ascii="Times New Roman" w:hAnsi="Times New Roman"/>
              </w:rPr>
            </w:pPr>
          </w:p>
        </w:tc>
      </w:tr>
      <w:tr w:rsidR="00EE1AA5" w:rsidRPr="00AA15D6" w14:paraId="487D3945" w14:textId="77777777" w:rsidTr="002F3AAF">
        <w:trPr>
          <w:gridAfter w:val="1"/>
          <w:wAfter w:w="21" w:type="pct"/>
          <w:trHeight w:val="204"/>
        </w:trPr>
        <w:tc>
          <w:tcPr>
            <w:tcW w:w="1976" w:type="pct"/>
            <w:tcBorders>
              <w:top w:val="nil"/>
              <w:left w:val="nil"/>
              <w:bottom w:val="nil"/>
              <w:right w:val="nil"/>
            </w:tcBorders>
            <w:shd w:val="clear" w:color="auto" w:fill="auto"/>
            <w:vAlign w:val="bottom"/>
            <w:hideMark/>
          </w:tcPr>
          <w:p w14:paraId="0584E1CC"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Northern Australia Development Program</w:t>
            </w:r>
          </w:p>
        </w:tc>
        <w:tc>
          <w:tcPr>
            <w:tcW w:w="603" w:type="pct"/>
            <w:gridSpan w:val="2"/>
            <w:tcBorders>
              <w:top w:val="nil"/>
              <w:left w:val="nil"/>
              <w:bottom w:val="nil"/>
              <w:right w:val="nil"/>
            </w:tcBorders>
            <w:shd w:val="clear" w:color="auto" w:fill="auto"/>
            <w:noWrap/>
            <w:vAlign w:val="bottom"/>
            <w:hideMark/>
          </w:tcPr>
          <w:p w14:paraId="55D6FF10" w14:textId="2BEF0AD2"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12,399</w:t>
            </w:r>
          </w:p>
        </w:tc>
        <w:tc>
          <w:tcPr>
            <w:tcW w:w="599" w:type="pct"/>
            <w:gridSpan w:val="2"/>
            <w:tcBorders>
              <w:top w:val="nil"/>
              <w:left w:val="nil"/>
              <w:bottom w:val="nil"/>
              <w:right w:val="nil"/>
            </w:tcBorders>
            <w:shd w:val="clear" w:color="auto" w:fill="E6E6E6"/>
            <w:noWrap/>
            <w:vAlign w:val="bottom"/>
            <w:hideMark/>
          </w:tcPr>
          <w:p w14:paraId="3403EC3E" w14:textId="0C7EE598"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38,410</w:t>
            </w:r>
          </w:p>
        </w:tc>
        <w:tc>
          <w:tcPr>
            <w:tcW w:w="600" w:type="pct"/>
            <w:gridSpan w:val="2"/>
            <w:tcBorders>
              <w:top w:val="nil"/>
              <w:left w:val="nil"/>
              <w:bottom w:val="nil"/>
              <w:right w:val="nil"/>
            </w:tcBorders>
            <w:shd w:val="clear" w:color="auto" w:fill="auto"/>
            <w:noWrap/>
            <w:vAlign w:val="bottom"/>
            <w:hideMark/>
          </w:tcPr>
          <w:p w14:paraId="158AE1CA" w14:textId="7B3AC0B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40,306</w:t>
            </w:r>
          </w:p>
        </w:tc>
        <w:tc>
          <w:tcPr>
            <w:tcW w:w="601" w:type="pct"/>
            <w:gridSpan w:val="2"/>
            <w:tcBorders>
              <w:top w:val="nil"/>
              <w:left w:val="nil"/>
              <w:bottom w:val="nil"/>
              <w:right w:val="nil"/>
            </w:tcBorders>
            <w:shd w:val="clear" w:color="auto" w:fill="auto"/>
            <w:noWrap/>
            <w:vAlign w:val="bottom"/>
            <w:hideMark/>
          </w:tcPr>
          <w:p w14:paraId="0C04BF01" w14:textId="18015900"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4,718</w:t>
            </w:r>
          </w:p>
        </w:tc>
        <w:tc>
          <w:tcPr>
            <w:tcW w:w="600" w:type="pct"/>
            <w:gridSpan w:val="2"/>
            <w:tcBorders>
              <w:top w:val="nil"/>
              <w:left w:val="nil"/>
              <w:bottom w:val="nil"/>
              <w:right w:val="nil"/>
            </w:tcBorders>
            <w:shd w:val="clear" w:color="auto" w:fill="auto"/>
            <w:noWrap/>
            <w:vAlign w:val="bottom"/>
            <w:hideMark/>
          </w:tcPr>
          <w:p w14:paraId="2D203AD1" w14:textId="06C000FD"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4,718</w:t>
            </w:r>
          </w:p>
        </w:tc>
      </w:tr>
      <w:tr w:rsidR="00EE1AA5" w:rsidRPr="00AA15D6" w14:paraId="0EDF9CFE" w14:textId="77777777" w:rsidTr="002F3AAF">
        <w:trPr>
          <w:gridAfter w:val="1"/>
          <w:wAfter w:w="21" w:type="pct"/>
          <w:trHeight w:val="204"/>
        </w:trPr>
        <w:tc>
          <w:tcPr>
            <w:tcW w:w="1976" w:type="pct"/>
            <w:tcBorders>
              <w:top w:val="nil"/>
              <w:left w:val="nil"/>
              <w:bottom w:val="nil"/>
              <w:right w:val="nil"/>
            </w:tcBorders>
            <w:shd w:val="clear" w:color="auto" w:fill="auto"/>
            <w:vAlign w:val="bottom"/>
            <w:hideMark/>
          </w:tcPr>
          <w:p w14:paraId="070AE1A3" w14:textId="77777777"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Northern Australia Infrastructure Facility</w:t>
            </w:r>
          </w:p>
        </w:tc>
        <w:tc>
          <w:tcPr>
            <w:tcW w:w="603" w:type="pct"/>
            <w:gridSpan w:val="2"/>
            <w:tcBorders>
              <w:top w:val="nil"/>
              <w:left w:val="nil"/>
              <w:bottom w:val="nil"/>
              <w:right w:val="nil"/>
            </w:tcBorders>
            <w:shd w:val="clear" w:color="auto" w:fill="auto"/>
            <w:noWrap/>
            <w:vAlign w:val="bottom"/>
            <w:hideMark/>
          </w:tcPr>
          <w:p w14:paraId="477EEE53" w14:textId="0EF28EEE"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115,172</w:t>
            </w:r>
          </w:p>
        </w:tc>
        <w:tc>
          <w:tcPr>
            <w:tcW w:w="599" w:type="pct"/>
            <w:gridSpan w:val="2"/>
            <w:tcBorders>
              <w:top w:val="nil"/>
              <w:left w:val="nil"/>
              <w:bottom w:val="nil"/>
              <w:right w:val="nil"/>
            </w:tcBorders>
            <w:shd w:val="clear" w:color="auto" w:fill="E6E6E6"/>
            <w:noWrap/>
            <w:vAlign w:val="bottom"/>
            <w:hideMark/>
          </w:tcPr>
          <w:p w14:paraId="6B89C443" w14:textId="0A61E99A"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164,794</w:t>
            </w:r>
          </w:p>
        </w:tc>
        <w:tc>
          <w:tcPr>
            <w:tcW w:w="600" w:type="pct"/>
            <w:gridSpan w:val="2"/>
            <w:tcBorders>
              <w:top w:val="nil"/>
              <w:left w:val="nil"/>
              <w:bottom w:val="nil"/>
              <w:right w:val="nil"/>
            </w:tcBorders>
            <w:shd w:val="clear" w:color="auto" w:fill="auto"/>
            <w:noWrap/>
            <w:vAlign w:val="bottom"/>
            <w:hideMark/>
          </w:tcPr>
          <w:p w14:paraId="1F3B1D93" w14:textId="694B61B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461,727</w:t>
            </w:r>
          </w:p>
        </w:tc>
        <w:tc>
          <w:tcPr>
            <w:tcW w:w="601" w:type="pct"/>
            <w:gridSpan w:val="2"/>
            <w:tcBorders>
              <w:top w:val="nil"/>
              <w:left w:val="nil"/>
              <w:bottom w:val="nil"/>
              <w:right w:val="nil"/>
            </w:tcBorders>
            <w:shd w:val="clear" w:color="auto" w:fill="auto"/>
            <w:noWrap/>
            <w:vAlign w:val="bottom"/>
            <w:hideMark/>
          </w:tcPr>
          <w:p w14:paraId="39EA6526" w14:textId="0BF02F67"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278,717</w:t>
            </w:r>
          </w:p>
        </w:tc>
        <w:tc>
          <w:tcPr>
            <w:tcW w:w="600" w:type="pct"/>
            <w:gridSpan w:val="2"/>
            <w:tcBorders>
              <w:top w:val="nil"/>
              <w:left w:val="nil"/>
              <w:bottom w:val="nil"/>
              <w:right w:val="nil"/>
            </w:tcBorders>
            <w:shd w:val="clear" w:color="auto" w:fill="auto"/>
            <w:noWrap/>
            <w:vAlign w:val="bottom"/>
            <w:hideMark/>
          </w:tcPr>
          <w:p w14:paraId="703726FD" w14:textId="1857434F"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212,350</w:t>
            </w:r>
          </w:p>
        </w:tc>
      </w:tr>
      <w:tr w:rsidR="00EE1AA5" w:rsidRPr="00AA15D6" w14:paraId="268574C7" w14:textId="77777777" w:rsidTr="002F3AAF">
        <w:trPr>
          <w:gridAfter w:val="1"/>
          <w:wAfter w:w="21" w:type="pct"/>
          <w:trHeight w:val="204"/>
        </w:trPr>
        <w:tc>
          <w:tcPr>
            <w:tcW w:w="1976" w:type="pct"/>
            <w:tcBorders>
              <w:top w:val="nil"/>
              <w:left w:val="nil"/>
              <w:bottom w:val="nil"/>
              <w:right w:val="nil"/>
            </w:tcBorders>
            <w:shd w:val="clear" w:color="auto" w:fill="auto"/>
            <w:vAlign w:val="bottom"/>
            <w:hideMark/>
          </w:tcPr>
          <w:p w14:paraId="33967119" w14:textId="27E1EC68" w:rsidR="00EE1AA5" w:rsidRPr="00AA15D6" w:rsidRDefault="00EE1AA5" w:rsidP="00EE1AA5">
            <w:pPr>
              <w:spacing w:after="0" w:line="240" w:lineRule="auto"/>
              <w:ind w:left="113"/>
              <w:rPr>
                <w:rFonts w:ascii="Arial" w:hAnsi="Arial" w:cs="Arial"/>
                <w:sz w:val="16"/>
                <w:szCs w:val="16"/>
              </w:rPr>
            </w:pPr>
            <w:r w:rsidRPr="00AA15D6">
              <w:rPr>
                <w:rFonts w:ascii="Arial" w:hAnsi="Arial" w:cs="Arial"/>
                <w:sz w:val="16"/>
                <w:szCs w:val="16"/>
              </w:rPr>
              <w:t xml:space="preserve">Payments to corporate entities </w:t>
            </w:r>
            <w:r w:rsidRPr="00AA15D6">
              <w:rPr>
                <w:rFonts w:ascii="Arial" w:hAnsi="Arial" w:cs="Arial"/>
                <w:sz w:val="16"/>
                <w:szCs w:val="16"/>
                <w:vertAlign w:val="superscript"/>
              </w:rPr>
              <w:t>(</w:t>
            </w:r>
            <w:r>
              <w:rPr>
                <w:rFonts w:ascii="Arial" w:hAnsi="Arial" w:cs="Arial"/>
                <w:sz w:val="16"/>
                <w:szCs w:val="16"/>
                <w:vertAlign w:val="superscript"/>
              </w:rPr>
              <w:t>b</w:t>
            </w:r>
            <w:r w:rsidRPr="00AA15D6">
              <w:rPr>
                <w:rFonts w:ascii="Arial" w:hAnsi="Arial" w:cs="Arial"/>
                <w:sz w:val="16"/>
                <w:szCs w:val="16"/>
                <w:vertAlign w:val="superscript"/>
              </w:rPr>
              <w:t>)</w:t>
            </w:r>
          </w:p>
        </w:tc>
        <w:tc>
          <w:tcPr>
            <w:tcW w:w="603" w:type="pct"/>
            <w:gridSpan w:val="2"/>
            <w:tcBorders>
              <w:top w:val="nil"/>
              <w:left w:val="nil"/>
              <w:bottom w:val="nil"/>
              <w:right w:val="nil"/>
            </w:tcBorders>
            <w:shd w:val="clear" w:color="auto" w:fill="auto"/>
            <w:noWrap/>
            <w:vAlign w:val="bottom"/>
            <w:hideMark/>
          </w:tcPr>
          <w:p w14:paraId="2D7DA818" w14:textId="77777777" w:rsidR="00EE1AA5" w:rsidRPr="00AA15D6" w:rsidRDefault="00EE1AA5" w:rsidP="00EE1AA5">
            <w:pPr>
              <w:spacing w:after="0" w:line="240" w:lineRule="auto"/>
              <w:ind w:firstLineChars="100" w:firstLine="160"/>
              <w:jc w:val="right"/>
              <w:rPr>
                <w:rFonts w:ascii="Arial" w:hAnsi="Arial" w:cs="Arial"/>
                <w:sz w:val="16"/>
                <w:szCs w:val="16"/>
              </w:rPr>
            </w:pPr>
          </w:p>
        </w:tc>
        <w:tc>
          <w:tcPr>
            <w:tcW w:w="599" w:type="pct"/>
            <w:gridSpan w:val="2"/>
            <w:tcBorders>
              <w:top w:val="nil"/>
              <w:left w:val="nil"/>
              <w:bottom w:val="nil"/>
              <w:right w:val="nil"/>
            </w:tcBorders>
            <w:shd w:val="clear" w:color="auto" w:fill="E6E6E6"/>
            <w:noWrap/>
            <w:vAlign w:val="bottom"/>
            <w:hideMark/>
          </w:tcPr>
          <w:p w14:paraId="48A67CA8" w14:textId="66BDECB6" w:rsidR="00EE1AA5" w:rsidRPr="00AA15D6" w:rsidRDefault="00EE1AA5" w:rsidP="00EE1AA5">
            <w:pPr>
              <w:spacing w:after="0" w:line="240" w:lineRule="auto"/>
              <w:jc w:val="right"/>
              <w:rPr>
                <w:rFonts w:ascii="Arial" w:hAnsi="Arial" w:cs="Arial"/>
                <w:sz w:val="16"/>
                <w:szCs w:val="16"/>
              </w:rPr>
            </w:pPr>
          </w:p>
        </w:tc>
        <w:tc>
          <w:tcPr>
            <w:tcW w:w="600" w:type="pct"/>
            <w:gridSpan w:val="2"/>
            <w:tcBorders>
              <w:top w:val="nil"/>
              <w:left w:val="nil"/>
              <w:bottom w:val="nil"/>
              <w:right w:val="nil"/>
            </w:tcBorders>
            <w:shd w:val="clear" w:color="auto" w:fill="auto"/>
            <w:noWrap/>
            <w:vAlign w:val="bottom"/>
            <w:hideMark/>
          </w:tcPr>
          <w:p w14:paraId="36090E00" w14:textId="77777777" w:rsidR="00EE1AA5" w:rsidRPr="00AA15D6" w:rsidRDefault="00EE1AA5" w:rsidP="00EE1AA5">
            <w:pPr>
              <w:spacing w:after="0" w:line="240" w:lineRule="auto"/>
              <w:jc w:val="right"/>
              <w:rPr>
                <w:rFonts w:ascii="Arial" w:hAnsi="Arial" w:cs="Arial"/>
                <w:sz w:val="16"/>
                <w:szCs w:val="16"/>
              </w:rPr>
            </w:pPr>
          </w:p>
        </w:tc>
        <w:tc>
          <w:tcPr>
            <w:tcW w:w="601" w:type="pct"/>
            <w:gridSpan w:val="2"/>
            <w:tcBorders>
              <w:top w:val="nil"/>
              <w:left w:val="nil"/>
              <w:bottom w:val="nil"/>
              <w:right w:val="nil"/>
            </w:tcBorders>
            <w:shd w:val="clear" w:color="auto" w:fill="auto"/>
            <w:noWrap/>
            <w:vAlign w:val="bottom"/>
            <w:hideMark/>
          </w:tcPr>
          <w:p w14:paraId="146AEF18" w14:textId="77777777" w:rsidR="00EE1AA5" w:rsidRPr="00AA15D6" w:rsidRDefault="00EE1AA5" w:rsidP="00EE1AA5">
            <w:pPr>
              <w:spacing w:after="0" w:line="240" w:lineRule="auto"/>
              <w:jc w:val="right"/>
              <w:rPr>
                <w:rFonts w:ascii="Times New Roman" w:hAnsi="Times New Roman"/>
              </w:rPr>
            </w:pPr>
          </w:p>
        </w:tc>
        <w:tc>
          <w:tcPr>
            <w:tcW w:w="600" w:type="pct"/>
            <w:gridSpan w:val="2"/>
            <w:tcBorders>
              <w:top w:val="nil"/>
              <w:left w:val="nil"/>
              <w:bottom w:val="nil"/>
              <w:right w:val="nil"/>
            </w:tcBorders>
            <w:shd w:val="clear" w:color="auto" w:fill="auto"/>
            <w:noWrap/>
            <w:vAlign w:val="bottom"/>
            <w:hideMark/>
          </w:tcPr>
          <w:p w14:paraId="65631E12" w14:textId="77777777" w:rsidR="00EE1AA5" w:rsidRPr="00AA15D6" w:rsidRDefault="00EE1AA5" w:rsidP="00EE1AA5">
            <w:pPr>
              <w:spacing w:after="0" w:line="240" w:lineRule="auto"/>
              <w:jc w:val="right"/>
              <w:rPr>
                <w:rFonts w:ascii="Times New Roman" w:hAnsi="Times New Roman"/>
              </w:rPr>
            </w:pPr>
          </w:p>
        </w:tc>
      </w:tr>
      <w:tr w:rsidR="00EE1AA5" w:rsidRPr="00AA15D6" w14:paraId="4CA41BFA" w14:textId="77777777" w:rsidTr="002F3AAF">
        <w:trPr>
          <w:gridAfter w:val="1"/>
          <w:wAfter w:w="21" w:type="pct"/>
          <w:trHeight w:val="204"/>
        </w:trPr>
        <w:tc>
          <w:tcPr>
            <w:tcW w:w="1976" w:type="pct"/>
            <w:tcBorders>
              <w:top w:val="nil"/>
              <w:left w:val="nil"/>
              <w:bottom w:val="nil"/>
              <w:right w:val="nil"/>
            </w:tcBorders>
            <w:shd w:val="clear" w:color="auto" w:fill="auto"/>
            <w:vAlign w:val="bottom"/>
            <w:hideMark/>
          </w:tcPr>
          <w:p w14:paraId="68DDC0C5" w14:textId="77777777" w:rsidR="00EE1AA5" w:rsidRPr="00AA15D6" w:rsidRDefault="00EE1AA5" w:rsidP="00EE1AA5">
            <w:pPr>
              <w:pStyle w:val="ListParagraph"/>
              <w:numPr>
                <w:ilvl w:val="0"/>
                <w:numId w:val="256"/>
              </w:numPr>
              <w:spacing w:after="0" w:line="240" w:lineRule="auto"/>
              <w:ind w:left="302" w:hanging="189"/>
              <w:rPr>
                <w:rFonts w:ascii="Arial" w:hAnsi="Arial" w:cs="Arial"/>
                <w:sz w:val="16"/>
                <w:szCs w:val="16"/>
              </w:rPr>
            </w:pPr>
            <w:r w:rsidRPr="00AA15D6">
              <w:rPr>
                <w:rFonts w:ascii="Arial" w:hAnsi="Arial" w:cs="Arial"/>
                <w:sz w:val="16"/>
                <w:szCs w:val="16"/>
              </w:rPr>
              <w:t>Northern Australia Infrastructure Facility</w:t>
            </w:r>
          </w:p>
        </w:tc>
        <w:tc>
          <w:tcPr>
            <w:tcW w:w="603" w:type="pct"/>
            <w:gridSpan w:val="2"/>
            <w:tcBorders>
              <w:top w:val="nil"/>
              <w:left w:val="nil"/>
              <w:bottom w:val="nil"/>
              <w:right w:val="nil"/>
            </w:tcBorders>
            <w:shd w:val="clear" w:color="auto" w:fill="auto"/>
            <w:noWrap/>
            <w:vAlign w:val="bottom"/>
            <w:hideMark/>
          </w:tcPr>
          <w:p w14:paraId="1E39348A" w14:textId="1F2EF91B"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14,227</w:t>
            </w:r>
          </w:p>
        </w:tc>
        <w:tc>
          <w:tcPr>
            <w:tcW w:w="599" w:type="pct"/>
            <w:gridSpan w:val="2"/>
            <w:tcBorders>
              <w:top w:val="nil"/>
              <w:left w:val="nil"/>
              <w:bottom w:val="nil"/>
              <w:right w:val="nil"/>
            </w:tcBorders>
            <w:shd w:val="clear" w:color="auto" w:fill="E6E6E6"/>
            <w:noWrap/>
            <w:vAlign w:val="bottom"/>
            <w:hideMark/>
          </w:tcPr>
          <w:p w14:paraId="13A145FC" w14:textId="6817455E"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20,939</w:t>
            </w:r>
          </w:p>
        </w:tc>
        <w:tc>
          <w:tcPr>
            <w:tcW w:w="600" w:type="pct"/>
            <w:gridSpan w:val="2"/>
            <w:tcBorders>
              <w:top w:val="nil"/>
              <w:left w:val="nil"/>
              <w:bottom w:val="nil"/>
              <w:right w:val="nil"/>
            </w:tcBorders>
            <w:shd w:val="clear" w:color="auto" w:fill="auto"/>
            <w:noWrap/>
            <w:vAlign w:val="bottom"/>
            <w:hideMark/>
          </w:tcPr>
          <w:p w14:paraId="2D06A2B3" w14:textId="5FCD08B4"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21,090</w:t>
            </w:r>
          </w:p>
        </w:tc>
        <w:tc>
          <w:tcPr>
            <w:tcW w:w="601" w:type="pct"/>
            <w:gridSpan w:val="2"/>
            <w:tcBorders>
              <w:top w:val="nil"/>
              <w:left w:val="nil"/>
              <w:bottom w:val="nil"/>
              <w:right w:val="nil"/>
            </w:tcBorders>
            <w:shd w:val="clear" w:color="auto" w:fill="auto"/>
            <w:noWrap/>
            <w:vAlign w:val="bottom"/>
            <w:hideMark/>
          </w:tcPr>
          <w:p w14:paraId="729C71CF" w14:textId="57D3CE43"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21,254</w:t>
            </w:r>
          </w:p>
        </w:tc>
        <w:tc>
          <w:tcPr>
            <w:tcW w:w="600" w:type="pct"/>
            <w:gridSpan w:val="2"/>
            <w:tcBorders>
              <w:top w:val="nil"/>
              <w:left w:val="nil"/>
              <w:bottom w:val="nil"/>
              <w:right w:val="nil"/>
            </w:tcBorders>
            <w:shd w:val="clear" w:color="auto" w:fill="auto"/>
            <w:noWrap/>
            <w:vAlign w:val="bottom"/>
            <w:hideMark/>
          </w:tcPr>
          <w:p w14:paraId="76C708A8" w14:textId="739CB741" w:rsidR="00EE1AA5" w:rsidRPr="00AA15D6" w:rsidRDefault="00EE1AA5" w:rsidP="00EE1AA5">
            <w:pPr>
              <w:spacing w:after="0" w:line="240" w:lineRule="auto"/>
              <w:jc w:val="right"/>
              <w:rPr>
                <w:rFonts w:ascii="Arial" w:hAnsi="Arial" w:cs="Arial"/>
                <w:sz w:val="16"/>
                <w:szCs w:val="16"/>
              </w:rPr>
            </w:pPr>
            <w:r>
              <w:rPr>
                <w:rFonts w:ascii="Arial" w:hAnsi="Arial" w:cs="Arial"/>
                <w:sz w:val="16"/>
                <w:szCs w:val="16"/>
              </w:rPr>
              <w:t>21,615</w:t>
            </w:r>
          </w:p>
        </w:tc>
      </w:tr>
      <w:tr w:rsidR="00EE1AA5" w:rsidRPr="00AA15D6" w14:paraId="5020949A" w14:textId="77777777" w:rsidTr="002F3AAF">
        <w:trPr>
          <w:gridAfter w:val="1"/>
          <w:wAfter w:w="21" w:type="pct"/>
          <w:trHeight w:val="204"/>
        </w:trPr>
        <w:tc>
          <w:tcPr>
            <w:tcW w:w="1976" w:type="pct"/>
            <w:tcBorders>
              <w:top w:val="nil"/>
              <w:left w:val="nil"/>
              <w:bottom w:val="single" w:sz="4" w:space="0" w:color="auto"/>
              <w:right w:val="nil"/>
            </w:tcBorders>
            <w:shd w:val="clear" w:color="auto" w:fill="auto"/>
            <w:noWrap/>
            <w:vAlign w:val="bottom"/>
            <w:hideMark/>
          </w:tcPr>
          <w:p w14:paraId="4ED224E7" w14:textId="77777777" w:rsidR="00EE1AA5" w:rsidRPr="00AA15D6" w:rsidRDefault="00EE1AA5" w:rsidP="00EE1AA5">
            <w:pPr>
              <w:spacing w:after="0" w:line="240" w:lineRule="auto"/>
              <w:rPr>
                <w:rFonts w:ascii="Arial" w:hAnsi="Arial" w:cs="Arial"/>
                <w:b/>
                <w:bCs/>
                <w:sz w:val="16"/>
                <w:szCs w:val="16"/>
              </w:rPr>
            </w:pPr>
            <w:r w:rsidRPr="00AA15D6">
              <w:rPr>
                <w:rFonts w:ascii="Arial" w:hAnsi="Arial" w:cs="Arial"/>
                <w:b/>
                <w:bCs/>
                <w:sz w:val="16"/>
                <w:szCs w:val="16"/>
              </w:rPr>
              <w:t>Total expenses for Program 3.4</w:t>
            </w:r>
          </w:p>
        </w:tc>
        <w:tc>
          <w:tcPr>
            <w:tcW w:w="603" w:type="pct"/>
            <w:gridSpan w:val="2"/>
            <w:tcBorders>
              <w:top w:val="single" w:sz="4" w:space="0" w:color="auto"/>
              <w:left w:val="nil"/>
              <w:bottom w:val="single" w:sz="4" w:space="0" w:color="auto"/>
              <w:right w:val="nil"/>
            </w:tcBorders>
            <w:shd w:val="clear" w:color="auto" w:fill="auto"/>
            <w:noWrap/>
            <w:vAlign w:val="bottom"/>
            <w:hideMark/>
          </w:tcPr>
          <w:p w14:paraId="6EDE9F03" w14:textId="5E2F2D6D"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141,798</w:t>
            </w:r>
          </w:p>
        </w:tc>
        <w:tc>
          <w:tcPr>
            <w:tcW w:w="599" w:type="pct"/>
            <w:gridSpan w:val="2"/>
            <w:tcBorders>
              <w:top w:val="single" w:sz="4" w:space="0" w:color="auto"/>
              <w:left w:val="nil"/>
              <w:bottom w:val="single" w:sz="4" w:space="0" w:color="auto"/>
              <w:right w:val="nil"/>
            </w:tcBorders>
            <w:shd w:val="clear" w:color="auto" w:fill="E6E6E6"/>
            <w:noWrap/>
            <w:vAlign w:val="bottom"/>
            <w:hideMark/>
          </w:tcPr>
          <w:p w14:paraId="6D8721E9" w14:textId="52EE8F54"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224,143</w:t>
            </w:r>
          </w:p>
        </w:tc>
        <w:tc>
          <w:tcPr>
            <w:tcW w:w="600" w:type="pct"/>
            <w:gridSpan w:val="2"/>
            <w:tcBorders>
              <w:top w:val="single" w:sz="4" w:space="0" w:color="auto"/>
              <w:left w:val="nil"/>
              <w:bottom w:val="single" w:sz="4" w:space="0" w:color="auto"/>
              <w:right w:val="nil"/>
            </w:tcBorders>
            <w:shd w:val="clear" w:color="auto" w:fill="auto"/>
            <w:noWrap/>
            <w:vAlign w:val="bottom"/>
            <w:hideMark/>
          </w:tcPr>
          <w:p w14:paraId="742CD02B" w14:textId="24FD7677"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523,123</w:t>
            </w:r>
          </w:p>
        </w:tc>
        <w:tc>
          <w:tcPr>
            <w:tcW w:w="601" w:type="pct"/>
            <w:gridSpan w:val="2"/>
            <w:tcBorders>
              <w:top w:val="single" w:sz="4" w:space="0" w:color="auto"/>
              <w:left w:val="nil"/>
              <w:bottom w:val="single" w:sz="4" w:space="0" w:color="auto"/>
              <w:right w:val="nil"/>
            </w:tcBorders>
            <w:shd w:val="clear" w:color="auto" w:fill="auto"/>
            <w:noWrap/>
            <w:vAlign w:val="bottom"/>
            <w:hideMark/>
          </w:tcPr>
          <w:p w14:paraId="763AEA71" w14:textId="2AB66AC1"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304,689</w:t>
            </w:r>
          </w:p>
        </w:tc>
        <w:tc>
          <w:tcPr>
            <w:tcW w:w="600" w:type="pct"/>
            <w:gridSpan w:val="2"/>
            <w:tcBorders>
              <w:top w:val="single" w:sz="4" w:space="0" w:color="auto"/>
              <w:left w:val="nil"/>
              <w:bottom w:val="single" w:sz="4" w:space="0" w:color="auto"/>
              <w:right w:val="nil"/>
            </w:tcBorders>
            <w:shd w:val="clear" w:color="auto" w:fill="auto"/>
            <w:noWrap/>
            <w:vAlign w:val="bottom"/>
            <w:hideMark/>
          </w:tcPr>
          <w:p w14:paraId="4D40F5C0" w14:textId="332A3871" w:rsidR="00EE1AA5" w:rsidRPr="00AA15D6" w:rsidRDefault="00EE1AA5" w:rsidP="00EE1AA5">
            <w:pPr>
              <w:spacing w:after="0" w:line="240" w:lineRule="auto"/>
              <w:jc w:val="right"/>
              <w:rPr>
                <w:rFonts w:ascii="Arial" w:hAnsi="Arial" w:cs="Arial"/>
                <w:b/>
                <w:bCs/>
                <w:sz w:val="16"/>
                <w:szCs w:val="16"/>
              </w:rPr>
            </w:pPr>
            <w:r>
              <w:rPr>
                <w:rFonts w:ascii="Arial" w:hAnsi="Arial" w:cs="Arial"/>
                <w:b/>
                <w:bCs/>
                <w:sz w:val="16"/>
                <w:szCs w:val="16"/>
              </w:rPr>
              <w:t>238,683</w:t>
            </w:r>
          </w:p>
        </w:tc>
      </w:tr>
    </w:tbl>
    <w:p w14:paraId="0CF1A739" w14:textId="1725116E" w:rsidR="00115843" w:rsidRDefault="00115843" w:rsidP="00115843">
      <w:pPr>
        <w:pStyle w:val="ListParagraph"/>
        <w:numPr>
          <w:ilvl w:val="0"/>
          <w:numId w:val="207"/>
        </w:numPr>
        <w:spacing w:before="60" w:after="0" w:line="240" w:lineRule="auto"/>
        <w:ind w:left="426" w:hanging="426"/>
        <w:rPr>
          <w:rFonts w:ascii="Arial" w:hAnsi="Arial" w:cs="Arial"/>
          <w:sz w:val="16"/>
        </w:rPr>
      </w:pPr>
      <w:r w:rsidRPr="00921718">
        <w:rPr>
          <w:rFonts w:ascii="Arial" w:hAnsi="Arial" w:cs="Arial"/>
          <w:sz w:val="16"/>
        </w:rPr>
        <w:t>This program was transferred from the Department to the Department of Climate Change,</w:t>
      </w:r>
      <w:r w:rsidR="00B73F10">
        <w:rPr>
          <w:rFonts w:ascii="Arial" w:hAnsi="Arial" w:cs="Arial"/>
          <w:sz w:val="16"/>
        </w:rPr>
        <w:t xml:space="preserve"> </w:t>
      </w:r>
      <w:r w:rsidRPr="00921718">
        <w:rPr>
          <w:rFonts w:ascii="Arial" w:hAnsi="Arial" w:cs="Arial"/>
          <w:sz w:val="16"/>
        </w:rPr>
        <w:t>Energy</w:t>
      </w:r>
      <w:r w:rsidR="00B73F10">
        <w:rPr>
          <w:rFonts w:ascii="Arial" w:hAnsi="Arial" w:cs="Arial"/>
          <w:sz w:val="16"/>
        </w:rPr>
        <w:t>, the Environment and</w:t>
      </w:r>
      <w:r w:rsidRPr="00921718">
        <w:rPr>
          <w:rFonts w:ascii="Arial" w:hAnsi="Arial" w:cs="Arial"/>
          <w:sz w:val="16"/>
        </w:rPr>
        <w:t xml:space="preserve"> Water as part of the amendment to the Administrative Arrangements Order (AAO) with effect on 1 July 2022.</w:t>
      </w:r>
    </w:p>
    <w:p w14:paraId="4509361B" w14:textId="77777777" w:rsidR="00115843" w:rsidRPr="00AA15D6" w:rsidRDefault="00115843" w:rsidP="00115843">
      <w:pPr>
        <w:pStyle w:val="ListParagraph"/>
        <w:numPr>
          <w:ilvl w:val="0"/>
          <w:numId w:val="207"/>
        </w:numPr>
        <w:spacing w:after="0" w:line="240" w:lineRule="auto"/>
        <w:ind w:left="426" w:hanging="426"/>
        <w:rPr>
          <w:rFonts w:ascii="Arial" w:hAnsi="Arial" w:cs="Arial"/>
          <w:sz w:val="16"/>
        </w:rPr>
      </w:pPr>
      <w:r w:rsidRPr="00AA15D6">
        <w:rPr>
          <w:rFonts w:ascii="Arial" w:hAnsi="Arial" w:cs="Arial"/>
          <w:sz w:val="16"/>
        </w:rPr>
        <w:t xml:space="preserve">Relates to appropriation for corporate entities provided through the </w:t>
      </w:r>
      <w:r>
        <w:rPr>
          <w:rFonts w:ascii="Arial" w:hAnsi="Arial" w:cs="Arial"/>
          <w:sz w:val="16"/>
        </w:rPr>
        <w:t>D</w:t>
      </w:r>
      <w:r w:rsidRPr="00AA15D6">
        <w:rPr>
          <w:rFonts w:ascii="Arial" w:hAnsi="Arial" w:cs="Arial"/>
          <w:sz w:val="16"/>
        </w:rPr>
        <w:t>epartment.</w:t>
      </w:r>
    </w:p>
    <w:p w14:paraId="0D6D8FF0"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3F37B3C4" w14:textId="77777777" w:rsidR="00115843" w:rsidRPr="00F71634" w:rsidRDefault="00115843" w:rsidP="00115843">
      <w:pPr>
        <w:pStyle w:val="TableHeading"/>
      </w:pPr>
      <w:r w:rsidRPr="00F71634">
        <w:lastRenderedPageBreak/>
        <w:t>Table 2.</w:t>
      </w:r>
      <w:r>
        <w:t>3</w:t>
      </w:r>
      <w:r w:rsidRPr="00F71634">
        <w:t xml:space="preserve">.3: Performance </w:t>
      </w:r>
      <w:r>
        <w:t>measure</w:t>
      </w:r>
      <w:r w:rsidRPr="00F71634">
        <w:t xml:space="preserve"> for Outcome </w:t>
      </w:r>
      <w:r>
        <w:t>3</w:t>
      </w:r>
    </w:p>
    <w:p w14:paraId="56F84E47" w14:textId="77777777" w:rsidR="00115843" w:rsidRPr="005A19CC" w:rsidRDefault="00115843" w:rsidP="00115843">
      <w:r w:rsidRPr="005A19CC">
        <w:t>Table 2.</w:t>
      </w:r>
      <w:r>
        <w:t>3</w:t>
      </w:r>
      <w:r w:rsidRPr="005A19CC">
        <w:t xml:space="preserve">.3 details the performance measures for each program associated with Outcome </w:t>
      </w:r>
      <w:r>
        <w:t>3.</w:t>
      </w:r>
      <w:r w:rsidRPr="005A19CC">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 </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2"/>
        <w:gridCol w:w="3667"/>
        <w:gridCol w:w="11"/>
      </w:tblGrid>
      <w:tr w:rsidR="00115843" w:rsidRPr="001B2F81" w14:paraId="3D7E8BBD" w14:textId="77777777" w:rsidTr="002F3AAF">
        <w:trPr>
          <w:trHeight w:val="569"/>
        </w:trPr>
        <w:tc>
          <w:tcPr>
            <w:tcW w:w="5000" w:type="pct"/>
            <w:gridSpan w:val="4"/>
            <w:shd w:val="clear" w:color="auto" w:fill="E6E6E6"/>
          </w:tcPr>
          <w:p w14:paraId="0EDFDF19" w14:textId="4E23BC8E" w:rsidR="00115843" w:rsidRPr="006D2076" w:rsidRDefault="00115843" w:rsidP="00FB0D02">
            <w:pPr>
              <w:spacing w:before="60" w:after="60" w:line="240" w:lineRule="auto"/>
              <w:rPr>
                <w:rFonts w:ascii="Arial" w:hAnsi="Arial" w:cs="Arial"/>
                <w:b/>
                <w:highlight w:val="yellow"/>
              </w:rPr>
            </w:pPr>
            <w:r w:rsidRPr="006D2076">
              <w:rPr>
                <w:rFonts w:ascii="Arial" w:eastAsia="Calibri" w:hAnsi="Arial" w:cs="Arial"/>
                <w:b/>
              </w:rPr>
              <w:t>Outcome 3</w:t>
            </w:r>
            <w:r w:rsidRPr="006D2076">
              <w:rPr>
                <w:rFonts w:ascii="Arial" w:hAnsi="Arial" w:cs="Arial"/>
              </w:rPr>
              <w:t xml:space="preserve"> </w:t>
            </w:r>
            <w:r w:rsidRPr="002232E5">
              <w:rPr>
                <w:rFonts w:ascii="Arial" w:hAnsi="Arial" w:cs="Arial"/>
              </w:rPr>
              <w:t xml:space="preserve">– </w:t>
            </w:r>
            <w:r w:rsidRPr="006D2076">
              <w:rPr>
                <w:rFonts w:ascii="Arial" w:eastAsia="Calibri" w:hAnsi="Arial" w:cs="Arial"/>
              </w:rPr>
              <w:t xml:space="preserve">Strengthening the sustainability, capacity and diversity of Australia’s cities and regions including </w:t>
            </w:r>
            <w:r>
              <w:rPr>
                <w:rFonts w:ascii="Arial" w:eastAsia="Calibri" w:hAnsi="Arial" w:cs="Arial"/>
              </w:rPr>
              <w:t>northern Australia,</w:t>
            </w:r>
            <w:r w:rsidR="002232E5">
              <w:rPr>
                <w:rFonts w:ascii="Arial" w:eastAsia="Calibri" w:hAnsi="Arial" w:cs="Arial"/>
              </w:rPr>
              <w:t xml:space="preserve"> including</w:t>
            </w:r>
            <w:r>
              <w:rPr>
                <w:rFonts w:ascii="Arial" w:eastAsia="Calibri" w:hAnsi="Arial" w:cs="Arial"/>
              </w:rPr>
              <w:t xml:space="preserve"> </w:t>
            </w:r>
            <w:r w:rsidRPr="006D2076">
              <w:rPr>
                <w:rFonts w:ascii="Arial" w:eastAsia="Calibri" w:hAnsi="Arial" w:cs="Arial"/>
              </w:rPr>
              <w:t>through facilitating local partnerships between all levels of government and local communities; through investment in infrastructure and measures that stimulate economic growth; and providing grants and financial assistance</w:t>
            </w:r>
          </w:p>
        </w:tc>
      </w:tr>
      <w:tr w:rsidR="00115843" w:rsidRPr="008E07F1" w14:paraId="3E96FB6A" w14:textId="77777777" w:rsidTr="002F3AAF">
        <w:trPr>
          <w:trHeight w:val="522"/>
        </w:trPr>
        <w:tc>
          <w:tcPr>
            <w:tcW w:w="5000" w:type="pct"/>
            <w:gridSpan w:val="4"/>
            <w:tcBorders>
              <w:bottom w:val="single" w:sz="4" w:space="0" w:color="auto"/>
            </w:tcBorders>
            <w:shd w:val="clear" w:color="auto" w:fill="E6E6E6"/>
          </w:tcPr>
          <w:p w14:paraId="3AC39A57" w14:textId="77777777" w:rsidR="00115843" w:rsidRPr="008E07F1" w:rsidRDefault="00115843" w:rsidP="002232E5">
            <w:pPr>
              <w:spacing w:before="60" w:after="60" w:line="240" w:lineRule="auto"/>
              <w:rPr>
                <w:rFonts w:ascii="Arial" w:eastAsia="Calibri" w:hAnsi="Arial" w:cs="Arial"/>
                <w:b/>
                <w:sz w:val="18"/>
                <w:szCs w:val="18"/>
              </w:rPr>
            </w:pPr>
            <w:r w:rsidRPr="008E07F1">
              <w:rPr>
                <w:rFonts w:ascii="Arial" w:eastAsia="Calibri" w:hAnsi="Arial" w:cs="Arial"/>
                <w:b/>
                <w:sz w:val="18"/>
                <w:szCs w:val="18"/>
              </w:rPr>
              <w:t>Program 3.1 – Regional Development</w:t>
            </w:r>
          </w:p>
          <w:p w14:paraId="7D04DCC9" w14:textId="77777777" w:rsidR="00115843" w:rsidRPr="008E07F1" w:rsidRDefault="00115843" w:rsidP="00FB0D02">
            <w:pPr>
              <w:pStyle w:val="TableTextLeft"/>
              <w:rPr>
                <w:szCs w:val="18"/>
                <w:highlight w:val="yellow"/>
              </w:rPr>
            </w:pPr>
            <w:r w:rsidRPr="008E07F1">
              <w:rPr>
                <w:rFonts w:eastAsia="Calibri" w:cs="Arial"/>
                <w:szCs w:val="18"/>
                <w:lang w:eastAsia="en-US"/>
              </w:rPr>
              <w:t>The regional development program supports regional development and local communities through regionally focused stakeholder consultation and engagement, research, policy development and program delivery activities to create jobs, drive regional economic growth and build stronger regional communities.</w:t>
            </w:r>
          </w:p>
        </w:tc>
      </w:tr>
      <w:tr w:rsidR="00115843" w:rsidRPr="001B2F81" w14:paraId="6436E45F" w14:textId="77777777" w:rsidTr="00FB0D02">
        <w:trPr>
          <w:trHeight w:val="694"/>
        </w:trPr>
        <w:tc>
          <w:tcPr>
            <w:tcW w:w="999" w:type="pct"/>
          </w:tcPr>
          <w:p w14:paraId="4137D6AB"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r>
              <w:rPr>
                <w:rFonts w:ascii="Arial" w:eastAsia="Calibri" w:hAnsi="Arial" w:cs="Arial"/>
                <w:b/>
                <w:sz w:val="16"/>
                <w:szCs w:val="16"/>
              </w:rPr>
              <w:t xml:space="preserve"> </w:t>
            </w:r>
            <w:r w:rsidRPr="00F80E3B">
              <w:rPr>
                <w:rFonts w:ascii="Arial" w:eastAsia="Calibri" w:hAnsi="Arial" w:cs="Arial"/>
                <w:b/>
                <w:sz w:val="16"/>
                <w:szCs w:val="16"/>
                <w:vertAlign w:val="superscript"/>
              </w:rPr>
              <w:t>(a)</w:t>
            </w:r>
          </w:p>
        </w:tc>
        <w:tc>
          <w:tcPr>
            <w:tcW w:w="4001" w:type="pct"/>
            <w:gridSpan w:val="3"/>
          </w:tcPr>
          <w:p w14:paraId="16332AB3" w14:textId="77777777" w:rsidR="00115843" w:rsidRDefault="00115843" w:rsidP="00115843">
            <w:pPr>
              <w:numPr>
                <w:ilvl w:val="0"/>
                <w:numId w:val="13"/>
              </w:numPr>
              <w:spacing w:before="60" w:after="0" w:line="240" w:lineRule="auto"/>
              <w:ind w:left="322" w:hanging="322"/>
              <w:rPr>
                <w:rFonts w:ascii="Arial" w:eastAsia="Calibri" w:hAnsi="Arial" w:cs="Arial"/>
                <w:sz w:val="16"/>
                <w:szCs w:val="16"/>
              </w:rPr>
            </w:pPr>
            <w:r w:rsidRPr="007210CD">
              <w:rPr>
                <w:rFonts w:ascii="Arial" w:eastAsia="Calibri" w:hAnsi="Arial" w:cs="Arial"/>
                <w:sz w:val="16"/>
                <w:szCs w:val="16"/>
              </w:rPr>
              <w:t>Provide policy leadership and deliver programs to support regional development and local governments</w:t>
            </w:r>
          </w:p>
          <w:p w14:paraId="43F9E0EE" w14:textId="77777777" w:rsidR="00115843" w:rsidRPr="007210CD" w:rsidRDefault="00115843" w:rsidP="00115843">
            <w:pPr>
              <w:numPr>
                <w:ilvl w:val="0"/>
                <w:numId w:val="13"/>
              </w:numPr>
              <w:spacing w:after="60" w:line="240" w:lineRule="auto"/>
              <w:ind w:left="322" w:hanging="322"/>
              <w:rPr>
                <w:rFonts w:ascii="Arial" w:hAnsi="Arial" w:cs="Arial"/>
                <w:sz w:val="16"/>
                <w:szCs w:val="16"/>
              </w:rPr>
            </w:pPr>
            <w:r w:rsidRPr="007210CD">
              <w:rPr>
                <w:rFonts w:ascii="Arial" w:eastAsia="Calibri" w:hAnsi="Arial" w:cs="Arial"/>
                <w:sz w:val="16"/>
                <w:szCs w:val="16"/>
              </w:rPr>
              <w:t>Advise on and deliver City Deals and Regional Deals</w:t>
            </w:r>
            <w:r>
              <w:rPr>
                <w:rFonts w:ascii="Arial" w:eastAsia="Calibri" w:hAnsi="Arial" w:cs="Arial"/>
                <w:sz w:val="16"/>
                <w:szCs w:val="16"/>
              </w:rPr>
              <w:t xml:space="preserve"> </w:t>
            </w:r>
            <w:r w:rsidRPr="005D0E5A">
              <w:rPr>
                <w:rFonts w:ascii="Arial" w:eastAsia="Calibri" w:hAnsi="Arial" w:cs="Arial"/>
                <w:sz w:val="16"/>
                <w:szCs w:val="16"/>
                <w:vertAlign w:val="superscript"/>
              </w:rPr>
              <w:t>(b)</w:t>
            </w:r>
          </w:p>
        </w:tc>
      </w:tr>
      <w:tr w:rsidR="00115843" w:rsidRPr="001B2F81" w14:paraId="75C083ED" w14:textId="77777777" w:rsidTr="00FB0D02">
        <w:trPr>
          <w:gridAfter w:val="1"/>
          <w:wAfter w:w="7" w:type="pct"/>
          <w:trHeight w:val="258"/>
        </w:trPr>
        <w:tc>
          <w:tcPr>
            <w:tcW w:w="999" w:type="pct"/>
            <w:tcBorders>
              <w:top w:val="double" w:sz="4" w:space="0" w:color="auto"/>
              <w:bottom w:val="single" w:sz="4" w:space="0" w:color="auto"/>
              <w:right w:val="single" w:sz="4" w:space="0" w:color="auto"/>
            </w:tcBorders>
          </w:tcPr>
          <w:p w14:paraId="28E40F84" w14:textId="77777777" w:rsidR="00115843" w:rsidRPr="00707BCF" w:rsidRDefault="00115843" w:rsidP="00FB0D02">
            <w:pPr>
              <w:pStyle w:val="TableTextBase"/>
              <w:rPr>
                <w:b/>
                <w:sz w:val="16"/>
                <w:szCs w:val="16"/>
              </w:rPr>
            </w:pPr>
            <w:bookmarkStart w:id="24" w:name="_Hlk114146566"/>
            <w:r w:rsidRPr="00707BCF">
              <w:rPr>
                <w:b/>
                <w:sz w:val="16"/>
                <w:szCs w:val="16"/>
              </w:rPr>
              <w:t>Year</w:t>
            </w:r>
          </w:p>
        </w:tc>
        <w:tc>
          <w:tcPr>
            <w:tcW w:w="1639" w:type="pct"/>
            <w:tcBorders>
              <w:top w:val="double" w:sz="4" w:space="0" w:color="auto"/>
              <w:left w:val="single" w:sz="4" w:space="0" w:color="auto"/>
              <w:bottom w:val="single" w:sz="4" w:space="0" w:color="auto"/>
              <w:right w:val="single" w:sz="4" w:space="0" w:color="auto"/>
            </w:tcBorders>
          </w:tcPr>
          <w:p w14:paraId="50341039"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55" w:type="pct"/>
            <w:tcBorders>
              <w:top w:val="double" w:sz="4" w:space="0" w:color="auto"/>
              <w:left w:val="single" w:sz="4" w:space="0" w:color="auto"/>
              <w:bottom w:val="single" w:sz="4" w:space="0" w:color="auto"/>
            </w:tcBorders>
          </w:tcPr>
          <w:p w14:paraId="785F294E" w14:textId="77777777" w:rsidR="00115843" w:rsidRPr="00707BCF" w:rsidRDefault="00115843" w:rsidP="00FB0D02">
            <w:pPr>
              <w:pStyle w:val="TableTextBase"/>
              <w:rPr>
                <w:rFonts w:cs="Arial"/>
                <w:b/>
                <w:sz w:val="16"/>
                <w:szCs w:val="16"/>
              </w:rPr>
            </w:pPr>
            <w:r w:rsidRPr="00707BCF">
              <w:rPr>
                <w:rFonts w:cs="Arial"/>
                <w:b/>
                <w:sz w:val="16"/>
                <w:szCs w:val="16"/>
              </w:rPr>
              <w:t>Expected Performance Results</w:t>
            </w:r>
          </w:p>
        </w:tc>
      </w:tr>
      <w:tr w:rsidR="00115843" w:rsidRPr="001B2F81" w14:paraId="42C41ECA" w14:textId="77777777" w:rsidTr="00FB0D02">
        <w:trPr>
          <w:gridAfter w:val="1"/>
          <w:wAfter w:w="7" w:type="pct"/>
          <w:cantSplit/>
          <w:trHeight w:val="642"/>
        </w:trPr>
        <w:tc>
          <w:tcPr>
            <w:tcW w:w="999" w:type="pct"/>
            <w:tcBorders>
              <w:top w:val="single" w:sz="4" w:space="0" w:color="auto"/>
              <w:right w:val="single" w:sz="4" w:space="0" w:color="auto"/>
            </w:tcBorders>
          </w:tcPr>
          <w:p w14:paraId="75921F31" w14:textId="77777777" w:rsidR="00115843" w:rsidRPr="00FD292C" w:rsidRDefault="00115843" w:rsidP="00FB0D02">
            <w:pPr>
              <w:pStyle w:val="TableTextBase"/>
              <w:rPr>
                <w:sz w:val="16"/>
                <w:szCs w:val="16"/>
              </w:rPr>
            </w:pPr>
            <w:r w:rsidRPr="00FD292C">
              <w:rPr>
                <w:sz w:val="16"/>
                <w:szCs w:val="16"/>
              </w:rPr>
              <w:t xml:space="preserve">Prior year </w:t>
            </w:r>
          </w:p>
          <w:p w14:paraId="01C3A400" w14:textId="77777777" w:rsidR="00115843" w:rsidRPr="00FD292C" w:rsidRDefault="00115843" w:rsidP="00FB0D02">
            <w:pPr>
              <w:pStyle w:val="TableTextBase"/>
              <w:rPr>
                <w:sz w:val="16"/>
                <w:szCs w:val="16"/>
              </w:rPr>
            </w:pPr>
            <w:r w:rsidRPr="00FD292C">
              <w:rPr>
                <w:sz w:val="16"/>
                <w:szCs w:val="16"/>
              </w:rPr>
              <w:t>2021–22</w:t>
            </w:r>
          </w:p>
        </w:tc>
        <w:tc>
          <w:tcPr>
            <w:tcW w:w="1639" w:type="pct"/>
            <w:tcBorders>
              <w:top w:val="single" w:sz="4" w:space="0" w:color="auto"/>
              <w:left w:val="single" w:sz="4" w:space="0" w:color="auto"/>
              <w:bottom w:val="single" w:sz="4" w:space="0" w:color="auto"/>
              <w:right w:val="single" w:sz="4" w:space="0" w:color="auto"/>
            </w:tcBorders>
          </w:tcPr>
          <w:p w14:paraId="49773797"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Performance in delivering regional programs indicated through projects contracted, completed and funds expended for:</w:t>
            </w:r>
          </w:p>
          <w:p w14:paraId="7D9C8068" w14:textId="77777777" w:rsidR="00115843" w:rsidRPr="00FD292C" w:rsidRDefault="00115843" w:rsidP="00115843">
            <w:pPr>
              <w:numPr>
                <w:ilvl w:val="0"/>
                <w:numId w:val="208"/>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 xml:space="preserve">Community Development Grants </w:t>
            </w:r>
          </w:p>
          <w:p w14:paraId="77F723D8" w14:textId="77777777" w:rsidR="00115843" w:rsidRPr="00FD292C" w:rsidRDefault="00115843" w:rsidP="00115843">
            <w:pPr>
              <w:numPr>
                <w:ilvl w:val="0"/>
                <w:numId w:val="208"/>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 xml:space="preserve">Stronger Communities Program (Round 5) </w:t>
            </w:r>
          </w:p>
          <w:p w14:paraId="5F26FE4B" w14:textId="77777777" w:rsidR="00115843" w:rsidRPr="00FD292C" w:rsidRDefault="00115843" w:rsidP="00115843">
            <w:pPr>
              <w:numPr>
                <w:ilvl w:val="0"/>
                <w:numId w:val="208"/>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Building Better Regions Fund (Round 4)</w:t>
            </w:r>
          </w:p>
          <w:p w14:paraId="75F66194" w14:textId="77777777" w:rsidR="00115843" w:rsidRPr="00FD292C" w:rsidRDefault="00115843" w:rsidP="00115843">
            <w:pPr>
              <w:numPr>
                <w:ilvl w:val="0"/>
                <w:numId w:val="208"/>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Regional Growth Fund</w:t>
            </w:r>
          </w:p>
        </w:tc>
        <w:tc>
          <w:tcPr>
            <w:tcW w:w="2355" w:type="pct"/>
            <w:tcBorders>
              <w:top w:val="single" w:sz="4" w:space="0" w:color="auto"/>
              <w:left w:val="single" w:sz="4" w:space="0" w:color="auto"/>
              <w:bottom w:val="single" w:sz="4" w:space="0" w:color="auto"/>
            </w:tcBorders>
          </w:tcPr>
          <w:p w14:paraId="080A5EE9" w14:textId="77777777"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Target for Community Development Grants, Stronger Communities Program and </w:t>
            </w:r>
            <w:r w:rsidRPr="00FD292C">
              <w:rPr>
                <w:rFonts w:ascii="Arial" w:hAnsi="Arial" w:cs="Arial"/>
                <w:sz w:val="16"/>
                <w:szCs w:val="16"/>
              </w:rPr>
              <w:t>Building Better Regions Fund Projects, b</w:t>
            </w:r>
            <w:r w:rsidRPr="00FD292C">
              <w:rPr>
                <w:rFonts w:ascii="Arial" w:eastAsia="Calibri" w:hAnsi="Arial" w:cs="Arial"/>
                <w:sz w:val="16"/>
                <w:szCs w:val="16"/>
              </w:rPr>
              <w:t>y June 2022: ≥90% of all commitments (up to May 2019) contracted; and ≥70% of 2019 commitments completed</w:t>
            </w:r>
          </w:p>
          <w:p w14:paraId="10E7B2BD" w14:textId="77777777" w:rsidR="00115843" w:rsidRPr="00FD292C" w:rsidRDefault="00115843" w:rsidP="00FB0D02">
            <w:pPr>
              <w:tabs>
                <w:tab w:val="left" w:pos="204"/>
                <w:tab w:val="left" w:pos="396"/>
              </w:tabs>
              <w:spacing w:before="60" w:after="60" w:line="240" w:lineRule="auto"/>
              <w:rPr>
                <w:rFonts w:ascii="Arial" w:hAnsi="Arial" w:cs="Arial"/>
                <w:sz w:val="16"/>
                <w:szCs w:val="16"/>
              </w:rPr>
            </w:pPr>
            <w:r w:rsidRPr="00FD292C">
              <w:rPr>
                <w:rFonts w:ascii="Arial" w:eastAsia="Calibri" w:hAnsi="Arial" w:cs="Arial"/>
                <w:sz w:val="16"/>
                <w:szCs w:val="16"/>
              </w:rPr>
              <w:t xml:space="preserve">Actual: </w:t>
            </w:r>
            <w:r w:rsidRPr="00FD292C">
              <w:rPr>
                <w:rFonts w:ascii="Arial" w:hAnsi="Arial" w:cs="Arial"/>
                <w:sz w:val="16"/>
                <w:szCs w:val="16"/>
              </w:rPr>
              <w:t>96.9% of all commitments up to 2019 contracted</w:t>
            </w:r>
          </w:p>
          <w:p w14:paraId="23C0C8F0" w14:textId="77777777"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35E97595" w14:textId="77777777" w:rsidR="00115843" w:rsidRPr="00FD292C" w:rsidRDefault="00115843" w:rsidP="00FB0D02">
            <w:pPr>
              <w:tabs>
                <w:tab w:val="left" w:pos="204"/>
                <w:tab w:val="left" w:pos="396"/>
              </w:tabs>
              <w:spacing w:before="60" w:after="60" w:line="240" w:lineRule="auto"/>
              <w:rPr>
                <w:rFonts w:ascii="Arial" w:hAnsi="Arial" w:cs="Arial"/>
                <w:sz w:val="16"/>
                <w:szCs w:val="16"/>
              </w:rPr>
            </w:pPr>
            <w:r w:rsidRPr="00FD292C">
              <w:rPr>
                <w:rFonts w:ascii="Arial" w:eastAsia="Calibri" w:hAnsi="Arial" w:cs="Arial"/>
                <w:sz w:val="16"/>
                <w:szCs w:val="16"/>
              </w:rPr>
              <w:t xml:space="preserve">Actual: </w:t>
            </w:r>
            <w:r w:rsidRPr="00FD292C">
              <w:rPr>
                <w:rFonts w:ascii="Arial" w:hAnsi="Arial" w:cs="Arial"/>
                <w:sz w:val="16"/>
                <w:szCs w:val="16"/>
              </w:rPr>
              <w:t xml:space="preserve">56% of 2019 commitments completed </w:t>
            </w:r>
          </w:p>
          <w:p w14:paraId="5850992A" w14:textId="77777777"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Target not met</w:t>
            </w:r>
          </w:p>
          <w:p w14:paraId="2710B767" w14:textId="77777777" w:rsidR="00115843" w:rsidRPr="00FD292C" w:rsidRDefault="00115843" w:rsidP="00FB0D02">
            <w:pPr>
              <w:tabs>
                <w:tab w:val="left" w:pos="204"/>
                <w:tab w:val="left" w:pos="396"/>
              </w:tabs>
              <w:spacing w:before="60" w:after="60" w:line="240" w:lineRule="auto"/>
              <w:rPr>
                <w:rFonts w:ascii="Arial" w:hAnsi="Arial" w:cs="Arial"/>
                <w:sz w:val="16"/>
                <w:szCs w:val="16"/>
              </w:rPr>
            </w:pPr>
            <w:r w:rsidRPr="00FD292C">
              <w:rPr>
                <w:rFonts w:ascii="Arial" w:hAnsi="Arial" w:cs="Arial"/>
                <w:sz w:val="16"/>
                <w:szCs w:val="16"/>
              </w:rPr>
              <w:t>Actual – details for each program:</w:t>
            </w:r>
          </w:p>
          <w:p w14:paraId="4758A769" w14:textId="13CE5E58" w:rsidR="00115843" w:rsidRPr="00FD292C" w:rsidRDefault="00115843" w:rsidP="00115843">
            <w:pPr>
              <w:pStyle w:val="TableTextPortrait"/>
              <w:numPr>
                <w:ilvl w:val="0"/>
                <w:numId w:val="209"/>
              </w:numPr>
              <w:spacing w:before="60" w:after="60"/>
              <w:rPr>
                <w:rFonts w:ascii="Arial" w:hAnsi="Arial" w:cs="Arial"/>
                <w:sz w:val="16"/>
                <w:szCs w:val="16"/>
              </w:rPr>
            </w:pPr>
            <w:r w:rsidRPr="00FD292C">
              <w:rPr>
                <w:rFonts w:ascii="Arial" w:hAnsi="Arial" w:cs="Arial"/>
                <w:sz w:val="16"/>
                <w:szCs w:val="16"/>
              </w:rPr>
              <w:t xml:space="preserve">At 30 June 2022, of the 1,519 </w:t>
            </w:r>
            <w:r w:rsidRPr="00FD292C">
              <w:rPr>
                <w:rFonts w:ascii="Arial" w:eastAsia="Calibri" w:hAnsi="Arial" w:cs="Arial"/>
                <w:sz w:val="16"/>
                <w:szCs w:val="16"/>
              </w:rPr>
              <w:t xml:space="preserve">Community Development Grants </w:t>
            </w:r>
            <w:r w:rsidRPr="00FD292C">
              <w:rPr>
                <w:rFonts w:ascii="Arial" w:hAnsi="Arial" w:cs="Arial"/>
                <w:sz w:val="16"/>
                <w:szCs w:val="16"/>
              </w:rPr>
              <w:t>Program projects, 1,397 (92%) were contracted and 1,105 (73%) were completed ($1.3 billion expended)</w:t>
            </w:r>
            <w:r w:rsidR="002232E5">
              <w:rPr>
                <w:rFonts w:ascii="Arial" w:hAnsi="Arial" w:cs="Arial"/>
                <w:sz w:val="16"/>
                <w:szCs w:val="16"/>
              </w:rPr>
              <w:t>.</w:t>
            </w:r>
          </w:p>
          <w:p w14:paraId="2F1B3B71" w14:textId="002EE735" w:rsidR="00115843" w:rsidRPr="00FD292C" w:rsidRDefault="00115843" w:rsidP="00115843">
            <w:pPr>
              <w:pStyle w:val="TableTextPortrait"/>
              <w:numPr>
                <w:ilvl w:val="0"/>
                <w:numId w:val="209"/>
              </w:numPr>
              <w:spacing w:before="60" w:after="60"/>
              <w:rPr>
                <w:rFonts w:ascii="Arial" w:hAnsi="Arial" w:cs="Arial"/>
                <w:sz w:val="16"/>
                <w:szCs w:val="16"/>
              </w:rPr>
            </w:pPr>
            <w:r w:rsidRPr="00FD292C">
              <w:rPr>
                <w:rFonts w:ascii="Arial" w:hAnsi="Arial" w:cs="Arial"/>
                <w:sz w:val="16"/>
                <w:szCs w:val="16"/>
              </w:rPr>
              <w:t>At 30 June 2022, of the 15,151 Stronger Communities Program projects, 15,151 (100%) were contracted and 11,967 (79%) were completed ($143.5 million expended in progress and completed). The data provided is for Round 1 to 7</w:t>
            </w:r>
            <w:r w:rsidR="002232E5">
              <w:rPr>
                <w:rFonts w:ascii="Arial" w:hAnsi="Arial" w:cs="Arial"/>
                <w:sz w:val="16"/>
                <w:szCs w:val="16"/>
              </w:rPr>
              <w:t>.</w:t>
            </w:r>
          </w:p>
        </w:tc>
      </w:tr>
    </w:tbl>
    <w:p w14:paraId="78DE02D2"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45C54914" w14:textId="77777777" w:rsidTr="00FB0D02">
        <w:trPr>
          <w:trHeight w:val="258"/>
          <w:tblHeader/>
        </w:trPr>
        <w:tc>
          <w:tcPr>
            <w:tcW w:w="873" w:type="pct"/>
            <w:tcBorders>
              <w:top w:val="double" w:sz="4" w:space="0" w:color="auto"/>
              <w:bottom w:val="single" w:sz="4" w:space="0" w:color="auto"/>
              <w:right w:val="single" w:sz="4" w:space="0" w:color="auto"/>
            </w:tcBorders>
          </w:tcPr>
          <w:p w14:paraId="781F3184" w14:textId="77777777" w:rsidR="00115843" w:rsidRPr="00707BCF" w:rsidRDefault="00115843" w:rsidP="00FB0D02">
            <w:pPr>
              <w:pStyle w:val="TableTextBase"/>
              <w:rPr>
                <w:b/>
                <w:sz w:val="16"/>
                <w:szCs w:val="16"/>
              </w:rPr>
            </w:pPr>
            <w:r w:rsidRPr="00707BCF">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5FBB7F46"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370E970B" w14:textId="77777777" w:rsidR="00115843" w:rsidRPr="00707BCF" w:rsidRDefault="00115843" w:rsidP="00FB0D02">
            <w:pPr>
              <w:pStyle w:val="TableTextBase"/>
              <w:rPr>
                <w:rFonts w:cs="Arial"/>
                <w:b/>
                <w:sz w:val="16"/>
                <w:szCs w:val="16"/>
              </w:rPr>
            </w:pPr>
            <w:r w:rsidRPr="00707BCF">
              <w:rPr>
                <w:rFonts w:cs="Arial"/>
                <w:b/>
                <w:sz w:val="16"/>
                <w:szCs w:val="16"/>
              </w:rPr>
              <w:t>Expected Performance Results</w:t>
            </w:r>
          </w:p>
        </w:tc>
      </w:tr>
      <w:bookmarkEnd w:id="24"/>
      <w:tr w:rsidR="00115843" w:rsidRPr="001B2F81" w14:paraId="4432B6ED" w14:textId="77777777" w:rsidTr="00FB0D02">
        <w:trPr>
          <w:cantSplit/>
          <w:trHeight w:val="642"/>
        </w:trPr>
        <w:tc>
          <w:tcPr>
            <w:tcW w:w="873" w:type="pct"/>
            <w:vMerge w:val="restart"/>
            <w:tcBorders>
              <w:top w:val="single" w:sz="4" w:space="0" w:color="auto"/>
              <w:right w:val="single" w:sz="4" w:space="0" w:color="auto"/>
            </w:tcBorders>
          </w:tcPr>
          <w:p w14:paraId="3C915411" w14:textId="77777777" w:rsidR="00115843" w:rsidRPr="00FD292C" w:rsidRDefault="00115843" w:rsidP="00FB0D02">
            <w:pPr>
              <w:pStyle w:val="TableTextBase"/>
              <w:rPr>
                <w:sz w:val="16"/>
                <w:szCs w:val="16"/>
              </w:rPr>
            </w:pPr>
            <w:r w:rsidRPr="00FD292C">
              <w:rPr>
                <w:sz w:val="16"/>
                <w:szCs w:val="16"/>
              </w:rPr>
              <w:t xml:space="preserve">Prior year </w:t>
            </w:r>
          </w:p>
          <w:p w14:paraId="2E52D4D0" w14:textId="77777777" w:rsidR="00115843" w:rsidRPr="00FD292C" w:rsidRDefault="00115843" w:rsidP="00FB0D02">
            <w:pPr>
              <w:pStyle w:val="TableTextBase"/>
              <w:rPr>
                <w:sz w:val="16"/>
                <w:szCs w:val="16"/>
              </w:rPr>
            </w:pPr>
            <w:r w:rsidRPr="00FD292C">
              <w:rPr>
                <w:sz w:val="16"/>
                <w:szCs w:val="16"/>
              </w:rPr>
              <w:t>2021–22 cont.</w:t>
            </w:r>
          </w:p>
        </w:tc>
        <w:tc>
          <w:tcPr>
            <w:tcW w:w="1746" w:type="pct"/>
            <w:tcBorders>
              <w:top w:val="single" w:sz="4" w:space="0" w:color="auto"/>
              <w:left w:val="single" w:sz="4" w:space="0" w:color="auto"/>
              <w:bottom w:val="single" w:sz="4" w:space="0" w:color="auto"/>
              <w:right w:val="single" w:sz="4" w:space="0" w:color="auto"/>
            </w:tcBorders>
          </w:tcPr>
          <w:p w14:paraId="3ABAF1BA" w14:textId="77777777" w:rsidR="00115843" w:rsidRPr="00FD292C" w:rsidRDefault="00115843" w:rsidP="00FB0D02">
            <w:pPr>
              <w:spacing w:before="60" w:after="60" w:line="240" w:lineRule="auto"/>
              <w:contextualSpacing/>
              <w:rPr>
                <w:rFonts w:ascii="Arial" w:eastAsia="Calibri" w:hAnsi="Arial" w:cs="Arial"/>
                <w:sz w:val="16"/>
                <w:szCs w:val="16"/>
              </w:rPr>
            </w:pPr>
          </w:p>
        </w:tc>
        <w:tc>
          <w:tcPr>
            <w:tcW w:w="2381" w:type="pct"/>
            <w:tcBorders>
              <w:top w:val="single" w:sz="4" w:space="0" w:color="auto"/>
              <w:left w:val="single" w:sz="4" w:space="0" w:color="auto"/>
              <w:bottom w:val="single" w:sz="4" w:space="0" w:color="auto"/>
            </w:tcBorders>
          </w:tcPr>
          <w:p w14:paraId="30D82EF5" w14:textId="1DD57FBC" w:rsidR="00115843" w:rsidRPr="00FD292C" w:rsidRDefault="00115843" w:rsidP="00115843">
            <w:pPr>
              <w:pStyle w:val="TableTextPortrait"/>
              <w:numPr>
                <w:ilvl w:val="0"/>
                <w:numId w:val="209"/>
              </w:numPr>
              <w:spacing w:before="60" w:after="60"/>
              <w:rPr>
                <w:rFonts w:ascii="Arial" w:hAnsi="Arial" w:cs="Arial"/>
                <w:sz w:val="16"/>
                <w:szCs w:val="16"/>
              </w:rPr>
            </w:pPr>
            <w:r w:rsidRPr="00FD292C">
              <w:rPr>
                <w:rFonts w:ascii="Arial" w:hAnsi="Arial" w:cs="Arial"/>
                <w:sz w:val="16"/>
                <w:szCs w:val="16"/>
              </w:rPr>
              <w:t>At 30 June 2022, of the 1,293 Building Better Regions Fund Projects, 1,287 (99%) were contracted and 768 (59%) were completed ($591.5 million expended in progress and completed)</w:t>
            </w:r>
            <w:r w:rsidR="002232E5">
              <w:rPr>
                <w:rFonts w:ascii="Arial" w:hAnsi="Arial" w:cs="Arial"/>
                <w:sz w:val="16"/>
                <w:szCs w:val="16"/>
              </w:rPr>
              <w:t>.</w:t>
            </w:r>
          </w:p>
          <w:p w14:paraId="708E444B" w14:textId="77777777" w:rsidR="00115843" w:rsidRPr="00FD292C" w:rsidRDefault="00115843" w:rsidP="00FB0D02">
            <w:pPr>
              <w:tabs>
                <w:tab w:val="left" w:pos="396"/>
              </w:tabs>
              <w:spacing w:before="60" w:after="60" w:line="240" w:lineRule="auto"/>
              <w:rPr>
                <w:rFonts w:ascii="Arial" w:hAnsi="Arial" w:cs="Arial"/>
                <w:sz w:val="16"/>
                <w:szCs w:val="16"/>
              </w:rPr>
            </w:pPr>
            <w:r w:rsidRPr="00FD292C">
              <w:rPr>
                <w:rFonts w:ascii="Arial" w:hAnsi="Arial" w:cs="Arial"/>
                <w:sz w:val="16"/>
                <w:szCs w:val="16"/>
              </w:rPr>
              <w:t>Target for Regional Growth Fund: on track for all projects to be completed by June 2023</w:t>
            </w:r>
          </w:p>
          <w:p w14:paraId="1CDEE28A" w14:textId="77777777" w:rsidR="00115843" w:rsidRPr="00FD292C" w:rsidRDefault="00115843" w:rsidP="00FB0D02">
            <w:pPr>
              <w:tabs>
                <w:tab w:val="left" w:pos="396"/>
              </w:tabs>
              <w:spacing w:before="60" w:after="60" w:line="240" w:lineRule="auto"/>
              <w:rPr>
                <w:rFonts w:ascii="Arial" w:hAnsi="Arial" w:cs="Arial"/>
                <w:sz w:val="16"/>
                <w:szCs w:val="16"/>
              </w:rPr>
            </w:pPr>
            <w:r w:rsidRPr="00FD292C">
              <w:rPr>
                <w:rFonts w:ascii="Arial" w:hAnsi="Arial" w:cs="Arial"/>
                <w:sz w:val="16"/>
                <w:szCs w:val="16"/>
              </w:rPr>
              <w:t>Target met</w:t>
            </w:r>
          </w:p>
          <w:p w14:paraId="2DA59430" w14:textId="1E7A4D57" w:rsidR="00115843" w:rsidRPr="00FD292C" w:rsidRDefault="00115843" w:rsidP="00115843">
            <w:pPr>
              <w:pStyle w:val="TableTextPortrait"/>
              <w:numPr>
                <w:ilvl w:val="0"/>
                <w:numId w:val="259"/>
              </w:numPr>
              <w:spacing w:before="60" w:after="60"/>
              <w:rPr>
                <w:rFonts w:ascii="Arial" w:hAnsi="Arial" w:cs="Arial"/>
                <w:sz w:val="16"/>
                <w:szCs w:val="16"/>
              </w:rPr>
            </w:pPr>
            <w:r w:rsidRPr="00FD292C">
              <w:rPr>
                <w:rFonts w:ascii="Arial" w:hAnsi="Arial" w:cs="Arial"/>
                <w:sz w:val="16"/>
                <w:szCs w:val="16"/>
              </w:rPr>
              <w:t>At 30 June 2022 Regional Growth Fund’s target met, with 15 projects anticipated to be completed by 30 June 2023 and two projects terminated. At 30 June 2022, of the 17 Regional Growth Fund projects, 15 were contracted (88%) and two (12%) were terminated ($114.6 million expended)</w:t>
            </w:r>
            <w:r w:rsidR="002232E5">
              <w:rPr>
                <w:rFonts w:ascii="Arial" w:hAnsi="Arial" w:cs="Arial"/>
                <w:sz w:val="16"/>
                <w:szCs w:val="16"/>
              </w:rPr>
              <w:t>.</w:t>
            </w:r>
          </w:p>
        </w:tc>
      </w:tr>
      <w:tr w:rsidR="00115843" w:rsidRPr="001B2F81" w14:paraId="0E046DE0" w14:textId="77777777" w:rsidTr="00FB0D02">
        <w:trPr>
          <w:cantSplit/>
          <w:trHeight w:val="1362"/>
        </w:trPr>
        <w:tc>
          <w:tcPr>
            <w:tcW w:w="873" w:type="pct"/>
            <w:vMerge/>
            <w:tcBorders>
              <w:bottom w:val="nil"/>
              <w:right w:val="single" w:sz="4" w:space="0" w:color="auto"/>
            </w:tcBorders>
          </w:tcPr>
          <w:p w14:paraId="68A0727E"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E554827" w14:textId="77777777" w:rsidR="00115843" w:rsidRPr="00FD292C" w:rsidRDefault="00115843" w:rsidP="00FB0D02">
            <w:pPr>
              <w:pStyle w:val="TableTextBase"/>
              <w:rPr>
                <w:rFonts w:eastAsia="Calibri" w:cs="Arial"/>
                <w:i/>
                <w:sz w:val="16"/>
                <w:szCs w:val="16"/>
                <w:vertAlign w:val="superscript"/>
                <w:lang w:eastAsia="en-US"/>
              </w:rPr>
            </w:pPr>
            <w:r w:rsidRPr="00FD292C">
              <w:rPr>
                <w:rFonts w:eastAsia="Calibri" w:cs="Arial"/>
                <w:sz w:val="16"/>
                <w:szCs w:val="16"/>
                <w:lang w:eastAsia="en-US"/>
              </w:rPr>
              <w:t>Number of Regional Deal commitments on track to be completed within agreed timeframe</w:t>
            </w:r>
          </w:p>
        </w:tc>
        <w:tc>
          <w:tcPr>
            <w:tcW w:w="2381" w:type="pct"/>
            <w:tcBorders>
              <w:top w:val="single" w:sz="4" w:space="0" w:color="auto"/>
              <w:left w:val="single" w:sz="4" w:space="0" w:color="auto"/>
              <w:bottom w:val="single" w:sz="4" w:space="0" w:color="auto"/>
            </w:tcBorders>
          </w:tcPr>
          <w:p w14:paraId="58BDEE16"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100% of projects on track to be completed by their scheduled timeframes</w:t>
            </w:r>
          </w:p>
          <w:p w14:paraId="0963ADD1"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not met</w:t>
            </w:r>
          </w:p>
          <w:p w14:paraId="500FED03" w14:textId="22137F7D"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Most projects are on track to be completed by their scheduled completion date. Strategies are in place to address projects behind schedule</w:t>
            </w:r>
            <w:r w:rsidR="002232E5">
              <w:rPr>
                <w:rFonts w:ascii="Arial" w:eastAsia="Calibri" w:hAnsi="Arial" w:cs="Arial"/>
                <w:sz w:val="16"/>
                <w:szCs w:val="16"/>
              </w:rPr>
              <w:t>.</w:t>
            </w:r>
          </w:p>
        </w:tc>
      </w:tr>
      <w:tr w:rsidR="00115843" w:rsidRPr="008E07F1" w14:paraId="1A477545" w14:textId="77777777" w:rsidTr="00FB0D02">
        <w:trPr>
          <w:cantSplit/>
          <w:trHeight w:val="642"/>
        </w:trPr>
        <w:tc>
          <w:tcPr>
            <w:tcW w:w="873" w:type="pct"/>
            <w:tcBorders>
              <w:top w:val="nil"/>
              <w:bottom w:val="nil"/>
              <w:right w:val="single" w:sz="4" w:space="0" w:color="auto"/>
            </w:tcBorders>
          </w:tcPr>
          <w:p w14:paraId="5AF7DF6C"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2432326" w14:textId="77777777" w:rsidR="00115843" w:rsidRPr="00FD292C" w:rsidRDefault="00115843" w:rsidP="00FB0D02">
            <w:pPr>
              <w:pStyle w:val="TableTextBase"/>
              <w:rPr>
                <w:rFonts w:cs="Arial"/>
                <w:b/>
                <w:sz w:val="16"/>
                <w:szCs w:val="16"/>
                <w:lang w:val="en-US"/>
              </w:rPr>
            </w:pPr>
            <w:r w:rsidRPr="00FD292C">
              <w:rPr>
                <w:rFonts w:eastAsia="Calibri" w:cs="Arial"/>
                <w:sz w:val="16"/>
                <w:szCs w:val="16"/>
                <w:lang w:eastAsia="en-US"/>
              </w:rPr>
              <w:t>Estimated number of jobs supported over the life of projects, from regional development projects underway during the financial year (based on proponent reported data)</w:t>
            </w:r>
            <w:r w:rsidRPr="00FD292C">
              <w:rPr>
                <w:rFonts w:eastAsia="Calibri" w:cs="Arial"/>
                <w:sz w:val="16"/>
                <w:szCs w:val="16"/>
              </w:rPr>
              <w:t xml:space="preserve"> </w:t>
            </w:r>
            <w:r w:rsidRPr="00FD292C">
              <w:rPr>
                <w:rFonts w:eastAsia="Calibri" w:cs="Arial"/>
                <w:sz w:val="16"/>
                <w:szCs w:val="16"/>
                <w:vertAlign w:val="superscript"/>
              </w:rPr>
              <w:t>(c)</w:t>
            </w:r>
          </w:p>
        </w:tc>
        <w:tc>
          <w:tcPr>
            <w:tcW w:w="2381" w:type="pct"/>
            <w:tcBorders>
              <w:top w:val="single" w:sz="4" w:space="0" w:color="auto"/>
              <w:left w:val="single" w:sz="4" w:space="0" w:color="auto"/>
              <w:bottom w:val="single" w:sz="4" w:space="0" w:color="auto"/>
            </w:tcBorders>
          </w:tcPr>
          <w:p w14:paraId="14A85EBF"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Programs support projects for which work requirements fluctuate. While it is appropriate to monitor jobs supported, it is not appropriate to set annual targets</w:t>
            </w:r>
          </w:p>
        </w:tc>
      </w:tr>
      <w:tr w:rsidR="00115843" w:rsidRPr="008E07F1" w14:paraId="7962291D" w14:textId="77777777" w:rsidTr="00FB0D02">
        <w:trPr>
          <w:cantSplit/>
          <w:trHeight w:val="1656"/>
        </w:trPr>
        <w:tc>
          <w:tcPr>
            <w:tcW w:w="873" w:type="pct"/>
            <w:tcBorders>
              <w:top w:val="nil"/>
              <w:bottom w:val="nil"/>
              <w:right w:val="single" w:sz="4" w:space="0" w:color="auto"/>
            </w:tcBorders>
          </w:tcPr>
          <w:p w14:paraId="426A8E2A"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0CDCC0A5"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Percentage of Regional Development Australia (RDA) Committees achieving agreed outcomes as demonstrated by:</w:t>
            </w:r>
          </w:p>
          <w:p w14:paraId="0BD73630" w14:textId="77777777" w:rsidR="00115843" w:rsidRPr="00FD292C" w:rsidRDefault="00115843" w:rsidP="00115843">
            <w:pPr>
              <w:numPr>
                <w:ilvl w:val="0"/>
                <w:numId w:val="210"/>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Stakeholders satisfied with the performance of their RDA</w:t>
            </w:r>
          </w:p>
          <w:p w14:paraId="5A468469" w14:textId="77777777" w:rsidR="00115843" w:rsidRPr="00FD292C" w:rsidRDefault="00115843" w:rsidP="00115843">
            <w:pPr>
              <w:numPr>
                <w:ilvl w:val="0"/>
                <w:numId w:val="210"/>
              </w:numPr>
              <w:spacing w:before="60" w:after="60" w:line="240" w:lineRule="auto"/>
              <w:contextualSpacing/>
              <w:rPr>
                <w:rFonts w:ascii="Arial" w:hAnsi="Arial" w:cs="Arial"/>
                <w:b/>
                <w:sz w:val="16"/>
                <w:szCs w:val="16"/>
                <w:lang w:val="en-US"/>
              </w:rPr>
            </w:pPr>
            <w:r w:rsidRPr="00FD292C">
              <w:rPr>
                <w:rFonts w:ascii="Arial" w:eastAsia="Calibri" w:hAnsi="Arial" w:cs="Arial"/>
                <w:sz w:val="16"/>
                <w:szCs w:val="16"/>
              </w:rPr>
              <w:t xml:space="preserve">Departmental review of RDA reporting </w:t>
            </w:r>
            <w:r w:rsidRPr="00FD292C">
              <w:rPr>
                <w:rFonts w:ascii="Arial" w:eastAsia="Calibri" w:hAnsi="Arial" w:cs="Arial"/>
                <w:sz w:val="16"/>
                <w:szCs w:val="16"/>
                <w:vertAlign w:val="superscript"/>
              </w:rPr>
              <w:t>(c)</w:t>
            </w:r>
          </w:p>
        </w:tc>
        <w:tc>
          <w:tcPr>
            <w:tcW w:w="2381" w:type="pct"/>
            <w:tcBorders>
              <w:top w:val="single" w:sz="4" w:space="0" w:color="auto"/>
              <w:left w:val="single" w:sz="4" w:space="0" w:color="auto"/>
              <w:bottom w:val="single" w:sz="4" w:space="0" w:color="auto"/>
            </w:tcBorders>
          </w:tcPr>
          <w:p w14:paraId="5E529A17"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 xml:space="preserve">Target: </w:t>
            </w:r>
            <w:r w:rsidRPr="00FD292C">
              <w:rPr>
                <w:rFonts w:ascii="Arial" w:eastAsia="Calibri" w:hAnsi="Arial" w:cs="Arial"/>
                <w:sz w:val="16"/>
                <w:szCs w:val="16"/>
              </w:rPr>
              <w:sym w:font="Symbol" w:char="F0B3"/>
            </w:r>
            <w:r w:rsidRPr="00FD292C">
              <w:rPr>
                <w:rFonts w:ascii="Arial" w:eastAsia="Calibri" w:hAnsi="Arial" w:cs="Arial"/>
                <w:sz w:val="16"/>
                <w:szCs w:val="16"/>
              </w:rPr>
              <w:t>90% of RDAs rated satisfactory or above</w:t>
            </w:r>
          </w:p>
          <w:p w14:paraId="21EE5E6A"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50A8DE3A" w14:textId="6E6B6F2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 xml:space="preserve">Actual: </w:t>
            </w:r>
            <w:r w:rsidRPr="00FD292C">
              <w:rPr>
                <w:rFonts w:ascii="Arial" w:eastAsia="Calibri" w:hAnsi="Arial" w:cs="Arial"/>
                <w:sz w:val="16"/>
                <w:szCs w:val="16"/>
              </w:rPr>
              <w:sym w:font="Symbol" w:char="F0B3"/>
            </w:r>
            <w:r w:rsidRPr="00FD292C">
              <w:rPr>
                <w:rFonts w:ascii="Arial" w:eastAsia="Calibri" w:hAnsi="Arial" w:cs="Arial"/>
                <w:sz w:val="16"/>
                <w:szCs w:val="16"/>
              </w:rPr>
              <w:t>90% of RDAs rated satisfactory</w:t>
            </w:r>
            <w:r w:rsidR="002232E5">
              <w:rPr>
                <w:rFonts w:ascii="Arial" w:eastAsia="Calibri" w:hAnsi="Arial" w:cs="Arial"/>
                <w:sz w:val="16"/>
                <w:szCs w:val="16"/>
              </w:rPr>
              <w:t>.</w:t>
            </w:r>
          </w:p>
        </w:tc>
      </w:tr>
      <w:tr w:rsidR="00115843" w:rsidRPr="008E07F1" w14:paraId="7007BDAC" w14:textId="77777777" w:rsidTr="00FB0D02">
        <w:trPr>
          <w:cantSplit/>
          <w:trHeight w:val="642"/>
        </w:trPr>
        <w:tc>
          <w:tcPr>
            <w:tcW w:w="873" w:type="pct"/>
            <w:tcBorders>
              <w:top w:val="nil"/>
              <w:bottom w:val="nil"/>
              <w:right w:val="single" w:sz="4" w:space="0" w:color="auto"/>
            </w:tcBorders>
          </w:tcPr>
          <w:p w14:paraId="45D039C4"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044F456" w14:textId="77777777" w:rsidR="00115843" w:rsidRPr="00FD292C" w:rsidRDefault="00115843" w:rsidP="00FB0D02">
            <w:pPr>
              <w:spacing w:before="60" w:after="60" w:line="240" w:lineRule="auto"/>
              <w:rPr>
                <w:rFonts w:ascii="Arial" w:hAnsi="Arial" w:cs="Arial"/>
                <w:b/>
                <w:sz w:val="16"/>
                <w:szCs w:val="16"/>
                <w:lang w:val="en-US"/>
              </w:rPr>
            </w:pPr>
            <w:r w:rsidRPr="00FD292C">
              <w:rPr>
                <w:rFonts w:ascii="Arial" w:eastAsia="Calibri" w:hAnsi="Arial" w:cs="Arial"/>
                <w:sz w:val="16"/>
                <w:szCs w:val="16"/>
              </w:rPr>
              <w:t xml:space="preserve">Progress of water infrastructure capital projects </w:t>
            </w:r>
          </w:p>
        </w:tc>
        <w:tc>
          <w:tcPr>
            <w:tcW w:w="2381" w:type="pct"/>
            <w:tcBorders>
              <w:top w:val="single" w:sz="4" w:space="0" w:color="auto"/>
              <w:left w:val="single" w:sz="4" w:space="0" w:color="auto"/>
              <w:bottom w:val="single" w:sz="4" w:space="0" w:color="auto"/>
            </w:tcBorders>
          </w:tcPr>
          <w:p w14:paraId="505E62CE"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Projects progressed in accordance with agreed timeframes in each financial year</w:t>
            </w:r>
          </w:p>
          <w:p w14:paraId="50015153"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not met</w:t>
            </w:r>
          </w:p>
          <w:p w14:paraId="5D99CAD9" w14:textId="10B33B61"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78 out of 102 payment milestones were met as scheduled</w:t>
            </w:r>
            <w:r w:rsidR="002232E5">
              <w:rPr>
                <w:rFonts w:ascii="Arial" w:eastAsia="Calibri" w:hAnsi="Arial" w:cs="Arial"/>
                <w:sz w:val="16"/>
                <w:szCs w:val="16"/>
              </w:rPr>
              <w:t>.</w:t>
            </w:r>
          </w:p>
        </w:tc>
      </w:tr>
      <w:tr w:rsidR="00115843" w:rsidRPr="008E07F1" w14:paraId="67D2518B" w14:textId="77777777" w:rsidTr="00FB0D02">
        <w:trPr>
          <w:cantSplit/>
          <w:trHeight w:val="642"/>
        </w:trPr>
        <w:tc>
          <w:tcPr>
            <w:tcW w:w="873" w:type="pct"/>
            <w:tcBorders>
              <w:top w:val="nil"/>
              <w:right w:val="single" w:sz="4" w:space="0" w:color="auto"/>
            </w:tcBorders>
          </w:tcPr>
          <w:p w14:paraId="74045D54"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67D4471" w14:textId="77777777" w:rsidR="00115843" w:rsidRPr="00FD292C" w:rsidRDefault="00115843" w:rsidP="00FB0D02">
            <w:pPr>
              <w:spacing w:before="60" w:after="60" w:line="240" w:lineRule="auto"/>
              <w:rPr>
                <w:rFonts w:ascii="Arial" w:hAnsi="Arial" w:cs="Arial"/>
                <w:b/>
                <w:sz w:val="16"/>
                <w:szCs w:val="16"/>
                <w:lang w:val="en-US"/>
              </w:rPr>
            </w:pPr>
            <w:r w:rsidRPr="00FD292C">
              <w:rPr>
                <w:rFonts w:ascii="Arial" w:eastAsia="Calibri" w:hAnsi="Arial" w:cs="Arial"/>
                <w:sz w:val="16"/>
                <w:szCs w:val="16"/>
              </w:rPr>
              <w:t>Estimated number of construction and ongoing jobs supported over the life of the projects, from National Water Grid Fund (NWGF) capital projects</w:t>
            </w:r>
          </w:p>
        </w:tc>
        <w:tc>
          <w:tcPr>
            <w:tcW w:w="2381" w:type="pct"/>
            <w:tcBorders>
              <w:top w:val="single" w:sz="4" w:space="0" w:color="auto"/>
              <w:left w:val="single" w:sz="4" w:space="0" w:color="auto"/>
              <w:bottom w:val="single" w:sz="4" w:space="0" w:color="auto"/>
            </w:tcBorders>
          </w:tcPr>
          <w:p w14:paraId="6EB796AA"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Completed projects deliver 2 construction jobs and at least 4 ongoing employees per $</w:t>
            </w:r>
            <w:proofErr w:type="spellStart"/>
            <w:r w:rsidRPr="00FD292C">
              <w:rPr>
                <w:rFonts w:ascii="Arial" w:eastAsia="Calibri" w:hAnsi="Arial" w:cs="Arial"/>
                <w:sz w:val="16"/>
                <w:szCs w:val="16"/>
              </w:rPr>
              <w:t>million</w:t>
            </w:r>
            <w:proofErr w:type="spellEnd"/>
            <w:r w:rsidRPr="00FD292C">
              <w:rPr>
                <w:rFonts w:ascii="Arial" w:eastAsia="Calibri" w:hAnsi="Arial" w:cs="Arial"/>
                <w:sz w:val="16"/>
                <w:szCs w:val="16"/>
              </w:rPr>
              <w:t xml:space="preserve"> of NWGF funding expensed</w:t>
            </w:r>
          </w:p>
          <w:p w14:paraId="141BDC04"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met</w:t>
            </w:r>
          </w:p>
          <w:p w14:paraId="0BD43A6E" w14:textId="27284A55"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There were 6.2 construction jobs and 7.6 ongoing jobs supported across the completed projects, per $</w:t>
            </w:r>
            <w:proofErr w:type="spellStart"/>
            <w:r w:rsidRPr="00FD292C">
              <w:rPr>
                <w:rFonts w:ascii="Arial" w:eastAsia="Calibri" w:hAnsi="Arial" w:cs="Arial"/>
                <w:sz w:val="16"/>
                <w:szCs w:val="16"/>
              </w:rPr>
              <w:t>million</w:t>
            </w:r>
            <w:proofErr w:type="spellEnd"/>
            <w:r w:rsidRPr="00FD292C">
              <w:rPr>
                <w:rFonts w:ascii="Arial" w:eastAsia="Calibri" w:hAnsi="Arial" w:cs="Arial"/>
                <w:sz w:val="16"/>
                <w:szCs w:val="16"/>
              </w:rPr>
              <w:t xml:space="preserve"> of NWGF funding invested</w:t>
            </w:r>
            <w:r w:rsidR="002232E5">
              <w:rPr>
                <w:rFonts w:ascii="Arial" w:eastAsia="Calibri" w:hAnsi="Arial" w:cs="Arial"/>
                <w:sz w:val="16"/>
                <w:szCs w:val="16"/>
              </w:rPr>
              <w:t>.</w:t>
            </w:r>
          </w:p>
        </w:tc>
      </w:tr>
      <w:tr w:rsidR="00115843" w:rsidRPr="008E07F1" w14:paraId="54B7D449" w14:textId="77777777" w:rsidTr="00FB0D02">
        <w:trPr>
          <w:cantSplit/>
          <w:trHeight w:val="642"/>
        </w:trPr>
        <w:tc>
          <w:tcPr>
            <w:tcW w:w="873" w:type="pct"/>
            <w:tcBorders>
              <w:bottom w:val="nil"/>
              <w:right w:val="single" w:sz="4" w:space="0" w:color="auto"/>
            </w:tcBorders>
          </w:tcPr>
          <w:p w14:paraId="0A8F3B8F" w14:textId="77777777" w:rsidR="00115843" w:rsidRPr="00FD292C" w:rsidRDefault="00115843" w:rsidP="00FB0D02">
            <w:pPr>
              <w:pStyle w:val="TableTextBase"/>
              <w:rPr>
                <w:sz w:val="16"/>
                <w:szCs w:val="16"/>
              </w:rPr>
            </w:pPr>
            <w:r w:rsidRPr="00FD292C">
              <w:rPr>
                <w:sz w:val="16"/>
                <w:szCs w:val="16"/>
              </w:rPr>
              <w:lastRenderedPageBreak/>
              <w:t xml:space="preserve">Prior year </w:t>
            </w:r>
          </w:p>
          <w:p w14:paraId="33EC8C4E" w14:textId="77777777" w:rsidR="00115843" w:rsidRPr="00FD292C" w:rsidRDefault="00115843" w:rsidP="00FB0D02">
            <w:pPr>
              <w:pStyle w:val="TableTextBase"/>
              <w:rPr>
                <w:rFonts w:cs="Arial"/>
                <w:sz w:val="16"/>
                <w:szCs w:val="16"/>
              </w:rPr>
            </w:pPr>
            <w:r w:rsidRPr="00FD292C">
              <w:rPr>
                <w:sz w:val="16"/>
                <w:szCs w:val="16"/>
              </w:rPr>
              <w:t>2021–22 cont.</w:t>
            </w:r>
          </w:p>
        </w:tc>
        <w:tc>
          <w:tcPr>
            <w:tcW w:w="1746" w:type="pct"/>
            <w:tcBorders>
              <w:top w:val="single" w:sz="4" w:space="0" w:color="auto"/>
              <w:left w:val="single" w:sz="4" w:space="0" w:color="auto"/>
              <w:bottom w:val="single" w:sz="4" w:space="0" w:color="auto"/>
              <w:right w:val="single" w:sz="4" w:space="0" w:color="auto"/>
            </w:tcBorders>
          </w:tcPr>
          <w:p w14:paraId="14CF5E63" w14:textId="77777777" w:rsidR="00115843" w:rsidRPr="00FD292C" w:rsidRDefault="00115843" w:rsidP="00FB0D02">
            <w:pPr>
              <w:spacing w:before="60" w:after="60" w:line="240" w:lineRule="auto"/>
              <w:rPr>
                <w:rFonts w:ascii="Arial" w:hAnsi="Arial" w:cs="Arial"/>
                <w:b/>
                <w:sz w:val="16"/>
                <w:szCs w:val="16"/>
                <w:lang w:val="en-US"/>
              </w:rPr>
            </w:pPr>
            <w:r w:rsidRPr="00FD292C">
              <w:rPr>
                <w:rFonts w:ascii="Arial" w:eastAsia="Calibri" w:hAnsi="Arial" w:cs="Arial"/>
                <w:sz w:val="16"/>
                <w:szCs w:val="16"/>
              </w:rPr>
              <w:t>Expected increase in the availability and reliability of water arising from projects receiving NWGF capital funding</w:t>
            </w:r>
          </w:p>
        </w:tc>
        <w:tc>
          <w:tcPr>
            <w:tcW w:w="2381" w:type="pct"/>
            <w:tcBorders>
              <w:top w:val="single" w:sz="4" w:space="0" w:color="auto"/>
              <w:left w:val="single" w:sz="4" w:space="0" w:color="auto"/>
              <w:bottom w:val="single" w:sz="4" w:space="0" w:color="auto"/>
            </w:tcBorders>
          </w:tcPr>
          <w:p w14:paraId="7264AB77"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For completed projects, an annual increase of 180 megalitres of water available for productive use per annum and at least 30 hectares of additional irrigable land and new areas serviced per $</w:t>
            </w:r>
            <w:proofErr w:type="spellStart"/>
            <w:r w:rsidRPr="00FD292C">
              <w:rPr>
                <w:rFonts w:ascii="Arial" w:eastAsia="Calibri" w:hAnsi="Arial" w:cs="Arial"/>
                <w:sz w:val="16"/>
                <w:szCs w:val="16"/>
              </w:rPr>
              <w:t>million</w:t>
            </w:r>
            <w:proofErr w:type="spellEnd"/>
            <w:r w:rsidRPr="00FD292C">
              <w:rPr>
                <w:rFonts w:ascii="Arial" w:eastAsia="Calibri" w:hAnsi="Arial" w:cs="Arial"/>
                <w:sz w:val="16"/>
                <w:szCs w:val="16"/>
              </w:rPr>
              <w:t xml:space="preserve"> of NWGF funding expensed</w:t>
            </w:r>
          </w:p>
          <w:p w14:paraId="1B12FA94"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met</w:t>
            </w:r>
          </w:p>
          <w:p w14:paraId="4223CD77" w14:textId="78B50C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Actual: Completed projects are making 548ML p/a available for productive use per $</w:t>
            </w:r>
            <w:proofErr w:type="spellStart"/>
            <w:r w:rsidRPr="00FD292C">
              <w:rPr>
                <w:rFonts w:eastAsia="Calibri" w:cs="Arial"/>
                <w:sz w:val="16"/>
                <w:szCs w:val="16"/>
                <w:lang w:eastAsia="en-US"/>
              </w:rPr>
              <w:t>million</w:t>
            </w:r>
            <w:proofErr w:type="spellEnd"/>
            <w:r w:rsidRPr="00FD292C">
              <w:rPr>
                <w:rFonts w:eastAsia="Calibri" w:cs="Arial"/>
                <w:sz w:val="16"/>
                <w:szCs w:val="16"/>
                <w:lang w:eastAsia="en-US"/>
              </w:rPr>
              <w:t xml:space="preserve"> of NWGF funding expensed</w:t>
            </w:r>
            <w:r w:rsidR="002232E5">
              <w:rPr>
                <w:rFonts w:eastAsia="Calibri" w:cs="Arial"/>
                <w:sz w:val="16"/>
                <w:szCs w:val="16"/>
                <w:lang w:eastAsia="en-US"/>
              </w:rPr>
              <w:t>.</w:t>
            </w:r>
          </w:p>
          <w:p w14:paraId="728E35EE"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Completed projects supported 2,029 hectares in irrigable land and new areas serviced per $</w:t>
            </w:r>
            <w:proofErr w:type="spellStart"/>
            <w:r w:rsidRPr="00FD292C">
              <w:rPr>
                <w:rFonts w:ascii="Arial" w:eastAsia="Calibri" w:hAnsi="Arial" w:cs="Arial"/>
                <w:sz w:val="16"/>
                <w:szCs w:val="16"/>
              </w:rPr>
              <w:t>million</w:t>
            </w:r>
            <w:proofErr w:type="spellEnd"/>
            <w:r w:rsidRPr="00FD292C">
              <w:rPr>
                <w:rFonts w:ascii="Arial" w:eastAsia="Calibri" w:hAnsi="Arial" w:cs="Arial"/>
                <w:sz w:val="16"/>
                <w:szCs w:val="16"/>
              </w:rPr>
              <w:t xml:space="preserve"> of NWGF funding expensed</w:t>
            </w:r>
          </w:p>
        </w:tc>
      </w:tr>
      <w:tr w:rsidR="00115843" w:rsidRPr="008E07F1" w14:paraId="0FB13EA4" w14:textId="77777777" w:rsidTr="00FB0D02">
        <w:trPr>
          <w:cantSplit/>
          <w:trHeight w:val="642"/>
        </w:trPr>
        <w:tc>
          <w:tcPr>
            <w:tcW w:w="873" w:type="pct"/>
            <w:tcBorders>
              <w:top w:val="nil"/>
              <w:bottom w:val="double" w:sz="4" w:space="0" w:color="auto"/>
              <w:right w:val="single" w:sz="4" w:space="0" w:color="auto"/>
            </w:tcBorders>
          </w:tcPr>
          <w:p w14:paraId="2B57D2DB"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340E955" w14:textId="77777777" w:rsidR="00115843" w:rsidRPr="00FD292C" w:rsidRDefault="00115843" w:rsidP="00FB0D02">
            <w:pPr>
              <w:spacing w:before="60" w:after="60" w:line="240" w:lineRule="auto"/>
              <w:rPr>
                <w:rFonts w:ascii="Arial" w:hAnsi="Arial" w:cs="Arial"/>
                <w:b/>
                <w:sz w:val="16"/>
                <w:szCs w:val="16"/>
                <w:lang w:val="en-US"/>
              </w:rPr>
            </w:pPr>
            <w:r w:rsidRPr="00FD292C">
              <w:rPr>
                <w:rFonts w:ascii="Arial" w:eastAsia="Calibri" w:hAnsi="Arial" w:cs="Arial"/>
                <w:sz w:val="16"/>
                <w:szCs w:val="16"/>
              </w:rPr>
              <w:t>Expected ongoing increase in gross value of agriculture and industrial production arising from projects receiving NWGF capital funding</w:t>
            </w:r>
          </w:p>
        </w:tc>
        <w:tc>
          <w:tcPr>
            <w:tcW w:w="2381" w:type="pct"/>
            <w:tcBorders>
              <w:top w:val="single" w:sz="4" w:space="0" w:color="auto"/>
              <w:left w:val="single" w:sz="4" w:space="0" w:color="auto"/>
              <w:bottom w:val="single" w:sz="4" w:space="0" w:color="auto"/>
            </w:tcBorders>
          </w:tcPr>
          <w:p w14:paraId="4C44508C"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For completed projects, an annual increase of $900,000 per annum per million of NWGF funding expensed</w:t>
            </w:r>
          </w:p>
          <w:p w14:paraId="73D2EF8F"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met</w:t>
            </w:r>
          </w:p>
          <w:p w14:paraId="7E3D45F2" w14:textId="070F8569"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Completed projects delivered an estimated increase of $1.7 million per annum in the gross value of agricultural and industrial production per $</w:t>
            </w:r>
            <w:proofErr w:type="spellStart"/>
            <w:r w:rsidRPr="00FD292C">
              <w:rPr>
                <w:rFonts w:ascii="Arial" w:eastAsia="Calibri" w:hAnsi="Arial" w:cs="Arial"/>
                <w:sz w:val="16"/>
                <w:szCs w:val="16"/>
              </w:rPr>
              <w:t>million</w:t>
            </w:r>
            <w:proofErr w:type="spellEnd"/>
            <w:r w:rsidRPr="00FD292C">
              <w:rPr>
                <w:rFonts w:ascii="Arial" w:eastAsia="Calibri" w:hAnsi="Arial" w:cs="Arial"/>
                <w:sz w:val="16"/>
                <w:szCs w:val="16"/>
              </w:rPr>
              <w:t xml:space="preserve"> of NWGF funding expensed</w:t>
            </w:r>
            <w:r w:rsidR="002232E5">
              <w:rPr>
                <w:rFonts w:ascii="Arial" w:eastAsia="Calibri" w:hAnsi="Arial" w:cs="Arial"/>
                <w:sz w:val="16"/>
                <w:szCs w:val="16"/>
              </w:rPr>
              <w:t>.</w:t>
            </w:r>
          </w:p>
        </w:tc>
      </w:tr>
      <w:tr w:rsidR="00115843" w:rsidRPr="00160C23" w14:paraId="0AE9CBC6" w14:textId="77777777" w:rsidTr="00FB0D02">
        <w:trPr>
          <w:trHeight w:val="258"/>
        </w:trPr>
        <w:tc>
          <w:tcPr>
            <w:tcW w:w="873" w:type="pct"/>
            <w:tcBorders>
              <w:top w:val="double" w:sz="4" w:space="0" w:color="auto"/>
              <w:bottom w:val="single" w:sz="4" w:space="0" w:color="auto"/>
              <w:right w:val="single" w:sz="4" w:space="0" w:color="auto"/>
            </w:tcBorders>
          </w:tcPr>
          <w:p w14:paraId="1DBCD872" w14:textId="77777777" w:rsidR="00115843" w:rsidRPr="00707BCF" w:rsidRDefault="00115843" w:rsidP="00FB0D02">
            <w:pPr>
              <w:pStyle w:val="TableTextBase"/>
              <w:keepNext/>
              <w:rPr>
                <w:b/>
                <w:sz w:val="16"/>
                <w:szCs w:val="16"/>
              </w:rPr>
            </w:pPr>
            <w:bookmarkStart w:id="25" w:name="_Hlk114146674"/>
            <w:r w:rsidRPr="00707BCF">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70C85019" w14:textId="77777777" w:rsidR="00115843" w:rsidRPr="00707BCF" w:rsidRDefault="00115843" w:rsidP="00FB0D02">
            <w:pPr>
              <w:pStyle w:val="TableTextBase"/>
              <w:rPr>
                <w:rFonts w:cs="Arial"/>
                <w:b/>
                <w:sz w:val="16"/>
                <w:szCs w:val="16"/>
              </w:rPr>
            </w:pPr>
            <w:r w:rsidRPr="00707BCF">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4FB5C23F" w14:textId="77777777" w:rsidR="00115843" w:rsidRPr="00707BCF" w:rsidRDefault="00115843" w:rsidP="00FB0D02">
            <w:pPr>
              <w:pStyle w:val="TableTextBase"/>
              <w:rPr>
                <w:rFonts w:cs="Arial"/>
                <w:b/>
                <w:sz w:val="16"/>
                <w:szCs w:val="16"/>
              </w:rPr>
            </w:pPr>
            <w:r w:rsidRPr="00707BCF">
              <w:rPr>
                <w:rFonts w:eastAsia="Calibri" w:cs="Arial"/>
                <w:b/>
                <w:sz w:val="16"/>
                <w:szCs w:val="16"/>
                <w:lang w:eastAsia="en-US"/>
              </w:rPr>
              <w:t xml:space="preserve">Planned </w:t>
            </w:r>
            <w:r w:rsidRPr="00707BCF">
              <w:rPr>
                <w:rFonts w:cs="Arial"/>
                <w:b/>
                <w:sz w:val="16"/>
                <w:szCs w:val="16"/>
              </w:rPr>
              <w:t>Performance Results</w:t>
            </w:r>
          </w:p>
        </w:tc>
      </w:tr>
      <w:bookmarkEnd w:id="25"/>
      <w:tr w:rsidR="00115843" w:rsidRPr="00180110" w14:paraId="6AA3D53C" w14:textId="77777777" w:rsidTr="00FB0D02">
        <w:trPr>
          <w:cantSplit/>
          <w:trHeight w:val="139"/>
        </w:trPr>
        <w:tc>
          <w:tcPr>
            <w:tcW w:w="873" w:type="pct"/>
            <w:vMerge w:val="restart"/>
            <w:tcBorders>
              <w:top w:val="single" w:sz="4" w:space="0" w:color="auto"/>
              <w:right w:val="single" w:sz="4" w:space="0" w:color="auto"/>
            </w:tcBorders>
          </w:tcPr>
          <w:p w14:paraId="463B1916"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Budget year</w:t>
            </w:r>
            <w:r w:rsidRPr="00FD292C">
              <w:rPr>
                <w:rFonts w:ascii="Arial" w:eastAsia="Calibri" w:hAnsi="Arial" w:cs="Arial"/>
                <w:sz w:val="16"/>
                <w:szCs w:val="16"/>
              </w:rPr>
              <w:br/>
            </w:r>
            <w:r w:rsidRPr="00FD292C">
              <w:rPr>
                <w:rFonts w:ascii="Arial" w:eastAsia="Calibri" w:hAnsi="Arial" w:cs="Arial"/>
                <w:sz w:val="16"/>
                <w:szCs w:val="16"/>
                <w:lang w:eastAsia="en-US"/>
              </w:rPr>
              <w:t xml:space="preserve">2022–23 </w:t>
            </w:r>
            <w:r w:rsidRPr="00FD292C">
              <w:rPr>
                <w:rFonts w:ascii="Arial" w:eastAsia="Calibri" w:hAnsi="Arial" w:cs="Arial"/>
                <w:sz w:val="16"/>
                <w:szCs w:val="16"/>
                <w:vertAlign w:val="superscript"/>
                <w:lang w:eastAsia="en-US"/>
              </w:rPr>
              <w:t>(a)</w:t>
            </w:r>
          </w:p>
        </w:tc>
        <w:tc>
          <w:tcPr>
            <w:tcW w:w="1746" w:type="pct"/>
            <w:tcBorders>
              <w:top w:val="single" w:sz="4" w:space="0" w:color="auto"/>
              <w:left w:val="single" w:sz="4" w:space="0" w:color="auto"/>
              <w:bottom w:val="single" w:sz="4" w:space="0" w:color="auto"/>
              <w:right w:val="single" w:sz="4" w:space="0" w:color="auto"/>
            </w:tcBorders>
          </w:tcPr>
          <w:p w14:paraId="643E36A2" w14:textId="77777777" w:rsidR="00115843" w:rsidRPr="00FD292C" w:rsidRDefault="00115843" w:rsidP="00FB0D02">
            <w:pPr>
              <w:spacing w:before="60" w:after="60" w:line="240" w:lineRule="auto"/>
              <w:rPr>
                <w:b/>
                <w:sz w:val="16"/>
                <w:szCs w:val="16"/>
                <w:lang w:val="en-US"/>
              </w:rPr>
            </w:pPr>
            <w:r w:rsidRPr="00FD292C">
              <w:rPr>
                <w:rFonts w:ascii="Arial" w:hAnsi="Arial" w:cs="Arial"/>
                <w:sz w:val="16"/>
                <w:szCs w:val="16"/>
              </w:rPr>
              <w:t>Performance in delivering legacy regional programs</w:t>
            </w:r>
          </w:p>
        </w:tc>
        <w:tc>
          <w:tcPr>
            <w:tcW w:w="2381" w:type="pct"/>
            <w:tcBorders>
              <w:top w:val="single" w:sz="4" w:space="0" w:color="auto"/>
              <w:left w:val="single" w:sz="4" w:space="0" w:color="auto"/>
              <w:bottom w:val="single" w:sz="4" w:space="0" w:color="auto"/>
            </w:tcBorders>
          </w:tcPr>
          <w:p w14:paraId="41C2D64B" w14:textId="6CE5EB7C" w:rsidR="00115843" w:rsidRPr="00FD292C" w:rsidRDefault="00115843" w:rsidP="00FB0D02">
            <w:pPr>
              <w:pStyle w:val="TableTextBase"/>
              <w:rPr>
                <w:rFonts w:eastAsia="Calibri" w:cs="Arial"/>
                <w:b/>
                <w:sz w:val="16"/>
                <w:szCs w:val="16"/>
                <w:lang w:eastAsia="en-US"/>
              </w:rPr>
            </w:pPr>
            <w:r w:rsidRPr="00FD292C">
              <w:rPr>
                <w:sz w:val="16"/>
                <w:szCs w:val="16"/>
              </w:rPr>
              <w:t>By June 2023, 95% of all contracted commitments in legacy programs on target for completion</w:t>
            </w:r>
            <w:r w:rsidR="002232E5">
              <w:rPr>
                <w:sz w:val="16"/>
                <w:szCs w:val="16"/>
              </w:rPr>
              <w:t>.</w:t>
            </w:r>
          </w:p>
        </w:tc>
      </w:tr>
      <w:tr w:rsidR="00115843" w:rsidRPr="001B002F" w14:paraId="65D2CE65" w14:textId="77777777" w:rsidTr="00FB0D02">
        <w:trPr>
          <w:cantSplit/>
          <w:trHeight w:val="642"/>
        </w:trPr>
        <w:tc>
          <w:tcPr>
            <w:tcW w:w="873" w:type="pct"/>
            <w:vMerge/>
            <w:tcBorders>
              <w:bottom w:val="single" w:sz="4" w:space="0" w:color="auto"/>
              <w:right w:val="single" w:sz="4" w:space="0" w:color="auto"/>
            </w:tcBorders>
          </w:tcPr>
          <w:p w14:paraId="2A383E68"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ABEECEE" w14:textId="77777777" w:rsidR="00115843" w:rsidRPr="00FD292C" w:rsidRDefault="00115843" w:rsidP="00FB0D02">
            <w:pPr>
              <w:pStyle w:val="TableTextBase"/>
              <w:rPr>
                <w:b/>
                <w:sz w:val="16"/>
                <w:szCs w:val="16"/>
                <w:lang w:val="en-US"/>
              </w:rPr>
            </w:pPr>
            <w:r w:rsidRPr="00FD292C">
              <w:rPr>
                <w:rFonts w:eastAsia="Calibri" w:cs="Arial"/>
                <w:i/>
                <w:sz w:val="16"/>
                <w:szCs w:val="16"/>
                <w:lang w:eastAsia="en-US"/>
              </w:rPr>
              <w:t xml:space="preserve">Number of City and Regional Deal commitments on track to be completed within agreed timeframes </w:t>
            </w:r>
            <w:r w:rsidRPr="00FD292C">
              <w:rPr>
                <w:rFonts w:eastAsia="Calibri" w:cs="Arial"/>
                <w:i/>
                <w:sz w:val="16"/>
                <w:szCs w:val="16"/>
                <w:vertAlign w:val="superscript"/>
                <w:lang w:eastAsia="en-US"/>
              </w:rPr>
              <w:t>(d)(e)</w:t>
            </w:r>
          </w:p>
        </w:tc>
        <w:tc>
          <w:tcPr>
            <w:tcW w:w="2381" w:type="pct"/>
            <w:tcBorders>
              <w:top w:val="single" w:sz="4" w:space="0" w:color="auto"/>
              <w:left w:val="single" w:sz="4" w:space="0" w:color="auto"/>
              <w:bottom w:val="single" w:sz="4" w:space="0" w:color="auto"/>
            </w:tcBorders>
          </w:tcPr>
          <w:p w14:paraId="19943570" w14:textId="65B20011" w:rsidR="00115843" w:rsidRPr="00FD292C" w:rsidRDefault="00115843" w:rsidP="00FB0D02">
            <w:pPr>
              <w:pStyle w:val="TableTextBase"/>
              <w:rPr>
                <w:rFonts w:cs="Arial"/>
                <w:sz w:val="16"/>
                <w:szCs w:val="16"/>
              </w:rPr>
            </w:pPr>
            <w:r w:rsidRPr="00FD292C">
              <w:rPr>
                <w:rFonts w:cs="Arial"/>
                <w:sz w:val="16"/>
                <w:szCs w:val="16"/>
              </w:rPr>
              <w:t>Projects are delivered according to agreed milestones</w:t>
            </w:r>
            <w:r w:rsidR="002232E5">
              <w:rPr>
                <w:rFonts w:cs="Arial"/>
                <w:sz w:val="16"/>
                <w:szCs w:val="16"/>
              </w:rPr>
              <w:t>.</w:t>
            </w:r>
          </w:p>
        </w:tc>
      </w:tr>
      <w:tr w:rsidR="00115843" w:rsidRPr="008E07F1" w14:paraId="2A3E22DC" w14:textId="77777777" w:rsidTr="00FB0D02">
        <w:trPr>
          <w:cantSplit/>
          <w:trHeight w:val="462"/>
        </w:trPr>
        <w:tc>
          <w:tcPr>
            <w:tcW w:w="873" w:type="pct"/>
            <w:vMerge w:val="restart"/>
            <w:tcBorders>
              <w:top w:val="single" w:sz="4" w:space="0" w:color="auto"/>
              <w:left w:val="single" w:sz="4" w:space="0" w:color="auto"/>
              <w:right w:val="single" w:sz="4" w:space="0" w:color="auto"/>
            </w:tcBorders>
          </w:tcPr>
          <w:p w14:paraId="6344E82F" w14:textId="77777777" w:rsidR="00115843" w:rsidRPr="00FD292C" w:rsidRDefault="00115843" w:rsidP="00FB0D02">
            <w:pPr>
              <w:pStyle w:val="TableTextBase"/>
              <w:rPr>
                <w:sz w:val="16"/>
                <w:szCs w:val="16"/>
              </w:rPr>
            </w:pPr>
            <w:r w:rsidRPr="00FD292C">
              <w:rPr>
                <w:sz w:val="16"/>
                <w:szCs w:val="16"/>
              </w:rPr>
              <w:t>Forward Estimates</w:t>
            </w:r>
            <w:r w:rsidRPr="00FD292C">
              <w:rPr>
                <w:sz w:val="16"/>
                <w:szCs w:val="16"/>
              </w:rPr>
              <w:br/>
              <w:t>2023–26</w:t>
            </w:r>
          </w:p>
        </w:tc>
        <w:tc>
          <w:tcPr>
            <w:tcW w:w="1746" w:type="pct"/>
            <w:tcBorders>
              <w:top w:val="single" w:sz="4" w:space="0" w:color="auto"/>
              <w:left w:val="single" w:sz="4" w:space="0" w:color="auto"/>
              <w:bottom w:val="single" w:sz="4" w:space="0" w:color="auto"/>
              <w:right w:val="single" w:sz="4" w:space="0" w:color="auto"/>
            </w:tcBorders>
          </w:tcPr>
          <w:p w14:paraId="658C37B3" w14:textId="77777777" w:rsidR="00115843" w:rsidRPr="00FD292C" w:rsidRDefault="00115843" w:rsidP="00FB0D02">
            <w:pPr>
              <w:pStyle w:val="TableTextBase"/>
              <w:rPr>
                <w:rFonts w:eastAsia="Calibri" w:cs="Arial"/>
                <w:i/>
                <w:sz w:val="16"/>
                <w:szCs w:val="16"/>
                <w:lang w:eastAsia="en-US"/>
              </w:rPr>
            </w:pPr>
            <w:r w:rsidRPr="00FD292C">
              <w:rPr>
                <w:rFonts w:eastAsia="Calibri" w:cs="Arial"/>
                <w:i/>
                <w:sz w:val="16"/>
                <w:szCs w:val="16"/>
                <w:lang w:eastAsia="en-US"/>
              </w:rPr>
              <w:t>Performance in delivering legacy regional programs</w:t>
            </w:r>
          </w:p>
        </w:tc>
        <w:tc>
          <w:tcPr>
            <w:tcW w:w="2381" w:type="pct"/>
            <w:tcBorders>
              <w:top w:val="single" w:sz="4" w:space="0" w:color="auto"/>
              <w:left w:val="single" w:sz="4" w:space="0" w:color="auto"/>
              <w:bottom w:val="single" w:sz="4" w:space="0" w:color="auto"/>
              <w:right w:val="single" w:sz="4" w:space="0" w:color="auto"/>
            </w:tcBorders>
          </w:tcPr>
          <w:p w14:paraId="4F41CC0E" w14:textId="18DB6F36" w:rsidR="00115843" w:rsidRPr="00FD292C" w:rsidDel="008E1A6E" w:rsidRDefault="00115843" w:rsidP="00FB0D02">
            <w:pPr>
              <w:pStyle w:val="TableTextBase"/>
              <w:rPr>
                <w:rFonts w:cs="Arial"/>
                <w:sz w:val="16"/>
                <w:szCs w:val="16"/>
              </w:rPr>
            </w:pPr>
            <w:r w:rsidRPr="00FD292C">
              <w:rPr>
                <w:rFonts w:cs="Arial"/>
                <w:sz w:val="16"/>
                <w:szCs w:val="16"/>
              </w:rPr>
              <w:t>Programs completed prior to the end date for each program</w:t>
            </w:r>
            <w:r w:rsidR="002232E5">
              <w:rPr>
                <w:rFonts w:cs="Arial"/>
                <w:sz w:val="16"/>
                <w:szCs w:val="16"/>
              </w:rPr>
              <w:t>.</w:t>
            </w:r>
          </w:p>
        </w:tc>
      </w:tr>
      <w:tr w:rsidR="00115843" w:rsidRPr="008E07F1" w14:paraId="043FA158" w14:textId="77777777" w:rsidTr="00FB0D02">
        <w:trPr>
          <w:cantSplit/>
          <w:trHeight w:val="642"/>
        </w:trPr>
        <w:tc>
          <w:tcPr>
            <w:tcW w:w="873" w:type="pct"/>
            <w:vMerge/>
            <w:tcBorders>
              <w:left w:val="single" w:sz="4" w:space="0" w:color="auto"/>
              <w:bottom w:val="single" w:sz="4" w:space="0" w:color="auto"/>
              <w:right w:val="single" w:sz="4" w:space="0" w:color="auto"/>
            </w:tcBorders>
          </w:tcPr>
          <w:p w14:paraId="2CCC095F"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2A9044E0" w14:textId="77777777" w:rsidR="00115843" w:rsidRPr="00FD292C" w:rsidRDefault="00115843" w:rsidP="00FB0D02">
            <w:pPr>
              <w:pStyle w:val="TableTextBase"/>
              <w:rPr>
                <w:rFonts w:eastAsia="Calibri" w:cs="Arial"/>
                <w:i/>
                <w:sz w:val="16"/>
                <w:szCs w:val="16"/>
                <w:lang w:eastAsia="en-US"/>
              </w:rPr>
            </w:pPr>
            <w:r w:rsidRPr="00FD292C">
              <w:rPr>
                <w:rFonts w:eastAsia="Calibri" w:cs="Arial"/>
                <w:i/>
                <w:sz w:val="16"/>
                <w:szCs w:val="16"/>
                <w:lang w:eastAsia="en-US"/>
              </w:rPr>
              <w:t xml:space="preserve">Number of City and Regional Deal commitments on track to be completed within agreed timeframes </w:t>
            </w:r>
            <w:r w:rsidRPr="00FD292C">
              <w:rPr>
                <w:rFonts w:eastAsia="Calibri" w:cs="Arial"/>
                <w:i/>
                <w:sz w:val="16"/>
                <w:szCs w:val="16"/>
                <w:vertAlign w:val="superscript"/>
                <w:lang w:eastAsia="en-US"/>
              </w:rPr>
              <w:t>(d)(e)</w:t>
            </w:r>
          </w:p>
        </w:tc>
        <w:tc>
          <w:tcPr>
            <w:tcW w:w="2381" w:type="pct"/>
            <w:tcBorders>
              <w:top w:val="single" w:sz="4" w:space="0" w:color="auto"/>
              <w:left w:val="single" w:sz="4" w:space="0" w:color="auto"/>
              <w:bottom w:val="single" w:sz="4" w:space="0" w:color="auto"/>
              <w:right w:val="single" w:sz="4" w:space="0" w:color="auto"/>
            </w:tcBorders>
          </w:tcPr>
          <w:p w14:paraId="7BAF0429" w14:textId="3B1F81F8" w:rsidR="00115843" w:rsidRPr="00FD292C" w:rsidDel="008E1A6E" w:rsidRDefault="00115843" w:rsidP="00FB0D02">
            <w:pPr>
              <w:pStyle w:val="TableTextBase"/>
              <w:rPr>
                <w:rFonts w:cs="Arial"/>
                <w:sz w:val="16"/>
                <w:szCs w:val="16"/>
              </w:rPr>
            </w:pPr>
            <w:r w:rsidRPr="00FD292C">
              <w:rPr>
                <w:rFonts w:cs="Arial"/>
                <w:sz w:val="16"/>
                <w:szCs w:val="16"/>
              </w:rPr>
              <w:t>Projects are delivered according to agreed milestones</w:t>
            </w:r>
            <w:r w:rsidR="002232E5">
              <w:rPr>
                <w:rFonts w:cs="Arial"/>
                <w:sz w:val="16"/>
                <w:szCs w:val="16"/>
              </w:rPr>
              <w:t>.</w:t>
            </w:r>
          </w:p>
        </w:tc>
      </w:tr>
    </w:tbl>
    <w:p w14:paraId="181D579B" w14:textId="77777777" w:rsidR="00115843" w:rsidRPr="008E07F1" w:rsidRDefault="00115843" w:rsidP="00115843">
      <w:pPr>
        <w:spacing w:before="60" w:after="0" w:line="240" w:lineRule="auto"/>
        <w:rPr>
          <w:rFonts w:ascii="Arial" w:eastAsiaTheme="minorHAnsi" w:hAnsi="Arial" w:cs="Arial"/>
          <w:sz w:val="16"/>
          <w:szCs w:val="22"/>
          <w:lang w:eastAsia="en-US"/>
        </w:rPr>
      </w:pPr>
      <w:bookmarkStart w:id="26" w:name="_Hlk115704281"/>
      <w:r w:rsidRPr="008E07F1">
        <w:rPr>
          <w:rFonts w:ascii="Arial" w:eastAsiaTheme="minorHAnsi" w:hAnsi="Arial" w:cs="Arial"/>
          <w:sz w:val="16"/>
          <w:szCs w:val="22"/>
          <w:lang w:eastAsia="en-US"/>
        </w:rPr>
        <w:t xml:space="preserve">New or modified performance measures that reflect new or materially changed programs are shown in </w:t>
      </w:r>
      <w:r w:rsidRPr="008E07F1">
        <w:rPr>
          <w:rFonts w:ascii="Arial" w:eastAsiaTheme="minorHAnsi" w:hAnsi="Arial" w:cs="Arial"/>
          <w:i/>
          <w:sz w:val="16"/>
          <w:szCs w:val="22"/>
          <w:lang w:eastAsia="en-US"/>
        </w:rPr>
        <w:t>italics.</w:t>
      </w:r>
      <w:r w:rsidRPr="008E07F1">
        <w:rPr>
          <w:rFonts w:ascii="Arial" w:eastAsiaTheme="minorHAnsi" w:hAnsi="Arial" w:cs="Arial"/>
          <w:sz w:val="16"/>
          <w:szCs w:val="22"/>
          <w:lang w:eastAsia="en-US"/>
        </w:rPr>
        <w:t xml:space="preserve"> </w:t>
      </w:r>
    </w:p>
    <w:p w14:paraId="38B69659" w14:textId="77777777" w:rsidR="00115843" w:rsidRPr="008E07F1" w:rsidRDefault="00115843" w:rsidP="00115843">
      <w:pPr>
        <w:numPr>
          <w:ilvl w:val="0"/>
          <w:numId w:val="211"/>
        </w:numPr>
        <w:spacing w:after="0" w:line="240" w:lineRule="auto"/>
        <w:contextualSpacing/>
        <w:rPr>
          <w:rFonts w:ascii="Arial" w:eastAsia="Calibri" w:hAnsi="Arial" w:cs="Arial"/>
          <w:sz w:val="16"/>
          <w:szCs w:val="16"/>
          <w:lang w:val="en-US" w:eastAsia="en-US"/>
        </w:rPr>
      </w:pPr>
      <w:r>
        <w:rPr>
          <w:rFonts w:ascii="Arial" w:eastAsia="Calibri" w:hAnsi="Arial" w:cs="Arial"/>
          <w:sz w:val="16"/>
          <w:szCs w:val="16"/>
          <w:lang w:val="en-US" w:eastAsia="en-US"/>
        </w:rPr>
        <w:t>K</w:t>
      </w:r>
      <w:r w:rsidRPr="008E07F1">
        <w:rPr>
          <w:rFonts w:ascii="Arial" w:eastAsia="Calibri" w:hAnsi="Arial" w:cs="Arial"/>
          <w:sz w:val="16"/>
          <w:szCs w:val="16"/>
          <w:lang w:val="en-US" w:eastAsia="en-US"/>
        </w:rPr>
        <w:t xml:space="preserve">ey </w:t>
      </w:r>
      <w:r>
        <w:rPr>
          <w:rFonts w:ascii="Arial" w:eastAsia="Calibri" w:hAnsi="Arial" w:cs="Arial"/>
          <w:sz w:val="16"/>
          <w:szCs w:val="16"/>
          <w:lang w:val="en-US" w:eastAsia="en-US"/>
        </w:rPr>
        <w:t>a</w:t>
      </w:r>
      <w:r w:rsidRPr="008E07F1">
        <w:rPr>
          <w:rFonts w:ascii="Arial" w:eastAsia="Calibri" w:hAnsi="Arial" w:cs="Arial"/>
          <w:sz w:val="16"/>
          <w:szCs w:val="16"/>
          <w:lang w:val="en-US" w:eastAsia="en-US"/>
        </w:rPr>
        <w:t>ctivity</w:t>
      </w:r>
      <w:r>
        <w:rPr>
          <w:rFonts w:ascii="Arial" w:eastAsia="Calibri" w:hAnsi="Arial" w:cs="Arial"/>
          <w:sz w:val="16"/>
          <w:szCs w:val="16"/>
          <w:lang w:val="en-US" w:eastAsia="en-US"/>
        </w:rPr>
        <w:t xml:space="preserve"> applies only to 2021</w:t>
      </w:r>
      <w:r w:rsidRPr="008E07F1">
        <w:rPr>
          <w:rFonts w:ascii="Arial" w:eastAsia="Calibri" w:hAnsi="Arial" w:cs="Arial"/>
          <w:sz w:val="16"/>
          <w:szCs w:val="22"/>
          <w:lang w:val="en-US" w:eastAsia="en-US"/>
        </w:rPr>
        <w:t>–</w:t>
      </w:r>
      <w:r>
        <w:rPr>
          <w:rFonts w:ascii="Arial" w:eastAsia="Calibri" w:hAnsi="Arial" w:cs="Arial"/>
          <w:sz w:val="16"/>
          <w:szCs w:val="16"/>
          <w:lang w:val="en-US" w:eastAsia="en-US"/>
        </w:rPr>
        <w:t xml:space="preserve">22 as the NWGA transferred to the Department of Climate Change, Energy, the Environment and Water on 1 July 2022. </w:t>
      </w:r>
      <w:r w:rsidRPr="00077200">
        <w:rPr>
          <w:rFonts w:ascii="Arial" w:eastAsia="Calibri" w:hAnsi="Arial" w:cs="Arial"/>
          <w:sz w:val="16"/>
          <w:szCs w:val="16"/>
          <w:lang w:val="en-US" w:eastAsia="en-US"/>
        </w:rPr>
        <w:t xml:space="preserve">As a result, </w:t>
      </w:r>
      <w:r>
        <w:rPr>
          <w:rFonts w:ascii="Arial" w:eastAsia="Calibri" w:hAnsi="Arial" w:cs="Arial"/>
          <w:sz w:val="16"/>
          <w:szCs w:val="16"/>
          <w:lang w:val="en-US" w:eastAsia="en-US"/>
        </w:rPr>
        <w:t>from 2022</w:t>
      </w:r>
      <w:r w:rsidRPr="008E07F1">
        <w:rPr>
          <w:rFonts w:ascii="Arial" w:eastAsia="Calibri" w:hAnsi="Arial" w:cs="Arial"/>
          <w:sz w:val="16"/>
          <w:szCs w:val="22"/>
          <w:lang w:val="en-US" w:eastAsia="en-US"/>
        </w:rPr>
        <w:t>–</w:t>
      </w:r>
      <w:r>
        <w:rPr>
          <w:rFonts w:ascii="Arial" w:eastAsia="Calibri" w:hAnsi="Arial" w:cs="Arial"/>
          <w:sz w:val="16"/>
          <w:szCs w:val="16"/>
          <w:lang w:val="en-US" w:eastAsia="en-US"/>
        </w:rPr>
        <w:t>23 the</w:t>
      </w:r>
      <w:r w:rsidRPr="00077200">
        <w:rPr>
          <w:rFonts w:ascii="Arial" w:eastAsia="Calibri" w:hAnsi="Arial" w:cs="Arial"/>
          <w:sz w:val="16"/>
          <w:szCs w:val="16"/>
          <w:lang w:val="en-US" w:eastAsia="en-US"/>
        </w:rPr>
        <w:t xml:space="preserve"> performance framework excludes one key activity and </w:t>
      </w:r>
      <w:r>
        <w:rPr>
          <w:rFonts w:ascii="Arial" w:eastAsia="Calibri" w:hAnsi="Arial" w:cs="Arial"/>
          <w:sz w:val="16"/>
          <w:szCs w:val="16"/>
          <w:lang w:val="en-US" w:eastAsia="en-US"/>
        </w:rPr>
        <w:t>four</w:t>
      </w:r>
      <w:r w:rsidRPr="00077200">
        <w:rPr>
          <w:rFonts w:ascii="Arial" w:eastAsia="Calibri" w:hAnsi="Arial" w:cs="Arial"/>
          <w:sz w:val="16"/>
          <w:szCs w:val="16"/>
          <w:lang w:val="en-US" w:eastAsia="en-US"/>
        </w:rPr>
        <w:t xml:space="preserve"> performance measures previously reported within the water infrastructure purpose</w:t>
      </w:r>
      <w:r>
        <w:rPr>
          <w:rFonts w:ascii="Arial" w:eastAsia="Calibri" w:hAnsi="Arial" w:cs="Arial"/>
          <w:sz w:val="16"/>
          <w:szCs w:val="16"/>
          <w:lang w:val="en-US" w:eastAsia="en-US"/>
        </w:rPr>
        <w:t>.</w:t>
      </w:r>
    </w:p>
    <w:p w14:paraId="4FB2A148" w14:textId="77777777" w:rsidR="00115843" w:rsidRPr="008E07F1" w:rsidRDefault="00115843" w:rsidP="00115843">
      <w:pPr>
        <w:numPr>
          <w:ilvl w:val="0"/>
          <w:numId w:val="211"/>
        </w:numPr>
        <w:spacing w:after="0" w:line="240" w:lineRule="auto"/>
        <w:contextualSpacing/>
        <w:rPr>
          <w:rFonts w:ascii="Arial" w:eastAsia="Calibri" w:hAnsi="Arial" w:cs="Arial"/>
          <w:sz w:val="16"/>
          <w:szCs w:val="22"/>
          <w:lang w:val="en-US" w:eastAsia="en-US"/>
        </w:rPr>
      </w:pPr>
      <w:r w:rsidRPr="008E07F1">
        <w:rPr>
          <w:rFonts w:ascii="Arial" w:eastAsia="Calibri" w:hAnsi="Arial" w:cs="Arial"/>
          <w:sz w:val="16"/>
          <w:szCs w:val="22"/>
          <w:lang w:val="en-US" w:eastAsia="en-US"/>
        </w:rPr>
        <w:t>Refers to updated key activity that is reflected in the 2022–23 Corporate Plan</w:t>
      </w:r>
      <w:r>
        <w:rPr>
          <w:rFonts w:ascii="Arial" w:eastAsia="Calibri" w:hAnsi="Arial" w:cs="Arial"/>
          <w:sz w:val="16"/>
          <w:szCs w:val="22"/>
          <w:lang w:val="en-US" w:eastAsia="en-US"/>
        </w:rPr>
        <w:t>.</w:t>
      </w:r>
    </w:p>
    <w:p w14:paraId="12E235E7" w14:textId="77777777" w:rsidR="00115843" w:rsidRPr="008E07F1" w:rsidRDefault="00115843" w:rsidP="00115843">
      <w:pPr>
        <w:numPr>
          <w:ilvl w:val="0"/>
          <w:numId w:val="211"/>
        </w:numPr>
        <w:spacing w:after="0" w:line="240" w:lineRule="auto"/>
        <w:contextualSpacing/>
        <w:rPr>
          <w:rFonts w:ascii="Arial" w:eastAsia="Calibri" w:hAnsi="Arial" w:cs="Arial"/>
          <w:sz w:val="16"/>
          <w:szCs w:val="22"/>
          <w:lang w:val="en-US" w:eastAsia="en-US"/>
        </w:rPr>
      </w:pPr>
      <w:r w:rsidRPr="008E07F1">
        <w:rPr>
          <w:rFonts w:ascii="Arial" w:eastAsia="Calibri" w:hAnsi="Arial" w:cs="Arial"/>
          <w:sz w:val="16"/>
          <w:szCs w:val="22"/>
          <w:lang w:val="en-US" w:eastAsia="en-US"/>
        </w:rPr>
        <w:t>Final reporting period for this measure. Further details are included in the 2022–23 Corporate Plan.</w:t>
      </w:r>
    </w:p>
    <w:p w14:paraId="0B3AA43B" w14:textId="77777777" w:rsidR="00115843" w:rsidRPr="008E07F1" w:rsidRDefault="00115843" w:rsidP="00115843">
      <w:pPr>
        <w:numPr>
          <w:ilvl w:val="0"/>
          <w:numId w:val="211"/>
        </w:numPr>
        <w:spacing w:after="0" w:line="240" w:lineRule="auto"/>
        <w:contextualSpacing/>
        <w:rPr>
          <w:rFonts w:ascii="Arial" w:eastAsia="Calibri" w:hAnsi="Arial" w:cs="Arial"/>
          <w:sz w:val="16"/>
          <w:szCs w:val="22"/>
          <w:lang w:val="en-US" w:eastAsia="en-US"/>
        </w:rPr>
      </w:pPr>
      <w:r w:rsidRPr="008E07F1">
        <w:rPr>
          <w:rFonts w:ascii="Arial" w:eastAsia="Calibri" w:hAnsi="Arial" w:cs="Arial"/>
          <w:sz w:val="16"/>
          <w:szCs w:val="22"/>
          <w:lang w:val="en-US" w:eastAsia="en-US"/>
        </w:rPr>
        <w:t>This 2022–23 measure combines two 2021–22 measures</w:t>
      </w:r>
      <w:r>
        <w:rPr>
          <w:rFonts w:ascii="Arial" w:eastAsia="Calibri" w:hAnsi="Arial" w:cs="Arial"/>
          <w:sz w:val="16"/>
          <w:szCs w:val="22"/>
          <w:lang w:val="en-US" w:eastAsia="en-US"/>
        </w:rPr>
        <w:t>.</w:t>
      </w:r>
    </w:p>
    <w:p w14:paraId="63BB1F95" w14:textId="5DB39A35" w:rsidR="00115843" w:rsidRDefault="00115843" w:rsidP="00115843">
      <w:pPr>
        <w:numPr>
          <w:ilvl w:val="0"/>
          <w:numId w:val="211"/>
        </w:numPr>
        <w:spacing w:after="0" w:line="240" w:lineRule="auto"/>
        <w:contextualSpacing/>
        <w:rPr>
          <w:rFonts w:ascii="Arial" w:eastAsia="Calibri" w:hAnsi="Arial" w:cs="Arial"/>
          <w:sz w:val="16"/>
          <w:szCs w:val="16"/>
          <w:lang w:val="en-US" w:eastAsia="en-US"/>
        </w:rPr>
      </w:pPr>
      <w:r w:rsidRPr="008E07F1">
        <w:rPr>
          <w:rFonts w:ascii="Arial" w:eastAsia="Calibri" w:hAnsi="Arial" w:cs="Arial"/>
          <w:sz w:val="16"/>
          <w:szCs w:val="16"/>
          <w:lang w:val="en-US" w:eastAsia="en-US"/>
        </w:rPr>
        <w:t>This measure is linked to Program 3.3 Cities.</w:t>
      </w:r>
    </w:p>
    <w:p w14:paraId="1CB78128" w14:textId="77777777" w:rsidR="00115843" w:rsidRDefault="00115843" w:rsidP="00115843">
      <w:pPr>
        <w:spacing w:after="0" w:line="240" w:lineRule="auto"/>
        <w:rPr>
          <w:rFonts w:ascii="Arial" w:eastAsia="Calibri" w:hAnsi="Arial" w:cs="Arial"/>
          <w:sz w:val="16"/>
          <w:szCs w:val="16"/>
          <w:lang w:val="en-US" w:eastAsia="en-US"/>
        </w:rPr>
      </w:pPr>
      <w:r>
        <w:rPr>
          <w:rFonts w:ascii="Arial" w:eastAsia="Calibri" w:hAnsi="Arial" w:cs="Arial"/>
          <w:sz w:val="16"/>
          <w:szCs w:val="16"/>
          <w:lang w:val="en-US" w:eastAsia="en-US"/>
        </w:rPr>
        <w:br w:type="page"/>
      </w:r>
    </w:p>
    <w:bookmarkEnd w:id="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EC4F85" w14:paraId="3ACFDC3E" w14:textId="77777777" w:rsidTr="002F3AAF">
        <w:trPr>
          <w:trHeight w:val="522"/>
        </w:trPr>
        <w:tc>
          <w:tcPr>
            <w:tcW w:w="5000" w:type="pct"/>
            <w:gridSpan w:val="3"/>
            <w:shd w:val="clear" w:color="auto" w:fill="E6E6E6"/>
          </w:tcPr>
          <w:p w14:paraId="46E28FD5" w14:textId="77777777" w:rsidR="00115843" w:rsidRPr="00EC4F85" w:rsidRDefault="00115843" w:rsidP="00FB0D02">
            <w:pPr>
              <w:spacing w:before="60" w:after="120" w:line="240" w:lineRule="auto"/>
              <w:rPr>
                <w:rFonts w:ascii="Arial" w:eastAsia="Calibri" w:hAnsi="Arial" w:cs="Arial"/>
                <w:b/>
                <w:sz w:val="18"/>
                <w:szCs w:val="18"/>
              </w:rPr>
            </w:pPr>
            <w:r w:rsidRPr="00EC4F85">
              <w:rPr>
                <w:rFonts w:ascii="Arial" w:hAnsi="Arial" w:cs="Arial"/>
                <w:sz w:val="18"/>
                <w:szCs w:val="18"/>
              </w:rPr>
              <w:lastRenderedPageBreak/>
              <w:br w:type="page"/>
            </w:r>
            <w:bookmarkStart w:id="27" w:name="LocalGovernment3_2"/>
            <w:r w:rsidRPr="00EC4F85">
              <w:rPr>
                <w:rFonts w:ascii="Arial" w:hAnsi="Arial" w:cs="Arial"/>
                <w:b/>
                <w:sz w:val="18"/>
                <w:szCs w:val="18"/>
              </w:rPr>
              <w:t>P</w:t>
            </w:r>
            <w:r w:rsidRPr="00EC4F85">
              <w:rPr>
                <w:rFonts w:ascii="Arial" w:eastAsia="Calibri" w:hAnsi="Arial" w:cs="Arial"/>
                <w:b/>
                <w:sz w:val="18"/>
                <w:szCs w:val="18"/>
              </w:rPr>
              <w:t xml:space="preserve">rogram 3.2 – Local Government </w:t>
            </w:r>
            <w:bookmarkEnd w:id="27"/>
          </w:p>
          <w:p w14:paraId="7CB4AFF9" w14:textId="77777777" w:rsidR="00115843" w:rsidRPr="00EC4F85" w:rsidRDefault="00115843" w:rsidP="00FB0D02">
            <w:pPr>
              <w:pStyle w:val="TableTextLeft"/>
              <w:rPr>
                <w:szCs w:val="18"/>
                <w:highlight w:val="yellow"/>
              </w:rPr>
            </w:pPr>
            <w:r w:rsidRPr="00EC4F85">
              <w:rPr>
                <w:rFonts w:eastAsia="Calibri" w:cs="Arial"/>
                <w:szCs w:val="18"/>
                <w:lang w:eastAsia="en-US"/>
              </w:rPr>
              <w:t>The local government program supports regional development and local communities through delivery of policy advice to the Australian Government and financial assistance to local governments to strengthen local government capacity and better support local communities.</w:t>
            </w:r>
          </w:p>
        </w:tc>
      </w:tr>
      <w:tr w:rsidR="00115843" w:rsidRPr="00160C23" w14:paraId="2FE0B1D4" w14:textId="77777777" w:rsidTr="00FB0D02">
        <w:trPr>
          <w:trHeight w:val="174"/>
        </w:trPr>
        <w:tc>
          <w:tcPr>
            <w:tcW w:w="1010" w:type="pct"/>
            <w:tcBorders>
              <w:bottom w:val="double" w:sz="4" w:space="0" w:color="auto"/>
            </w:tcBorders>
          </w:tcPr>
          <w:p w14:paraId="534108DE"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w:t>
            </w:r>
            <w:r>
              <w:rPr>
                <w:rFonts w:ascii="Arial" w:eastAsia="Calibri" w:hAnsi="Arial" w:cs="Arial"/>
                <w:b/>
                <w:sz w:val="16"/>
                <w:szCs w:val="16"/>
              </w:rPr>
              <w:t>y</w:t>
            </w:r>
          </w:p>
        </w:tc>
        <w:tc>
          <w:tcPr>
            <w:tcW w:w="3990" w:type="pct"/>
            <w:gridSpan w:val="2"/>
            <w:tcBorders>
              <w:bottom w:val="double" w:sz="4" w:space="0" w:color="auto"/>
            </w:tcBorders>
          </w:tcPr>
          <w:p w14:paraId="00FE1E65" w14:textId="77777777" w:rsidR="00115843" w:rsidRPr="001F7463" w:rsidRDefault="00115843" w:rsidP="00115843">
            <w:pPr>
              <w:numPr>
                <w:ilvl w:val="0"/>
                <w:numId w:val="13"/>
              </w:numPr>
              <w:spacing w:before="60" w:after="60" w:line="240" w:lineRule="auto"/>
              <w:ind w:left="321"/>
              <w:rPr>
                <w:rFonts w:ascii="Arial" w:eastAsia="Calibri" w:hAnsi="Arial" w:cs="Arial"/>
                <w:sz w:val="16"/>
                <w:szCs w:val="16"/>
              </w:rPr>
            </w:pPr>
            <w:r w:rsidRPr="00A46594">
              <w:rPr>
                <w:rFonts w:ascii="Arial" w:eastAsia="Calibri" w:hAnsi="Arial" w:cs="Arial"/>
                <w:sz w:val="16"/>
                <w:szCs w:val="16"/>
              </w:rPr>
              <w:t>Provide policy leadership and deliver programs to support regional development and local governments</w:t>
            </w:r>
          </w:p>
        </w:tc>
      </w:tr>
      <w:tr w:rsidR="00115843" w:rsidRPr="00160C23" w14:paraId="51E91009" w14:textId="77777777" w:rsidTr="00FB0D02">
        <w:trPr>
          <w:trHeight w:val="258"/>
        </w:trPr>
        <w:tc>
          <w:tcPr>
            <w:tcW w:w="1010" w:type="pct"/>
            <w:tcBorders>
              <w:top w:val="double" w:sz="4" w:space="0" w:color="auto"/>
              <w:bottom w:val="single" w:sz="4" w:space="0" w:color="auto"/>
              <w:right w:val="single" w:sz="4" w:space="0" w:color="auto"/>
            </w:tcBorders>
          </w:tcPr>
          <w:p w14:paraId="5A12E124" w14:textId="77777777" w:rsidR="00115843" w:rsidRPr="00CD1CF1" w:rsidRDefault="00115843" w:rsidP="00FB0D02">
            <w:pPr>
              <w:pStyle w:val="TableTextBase"/>
              <w:rPr>
                <w:b/>
                <w:sz w:val="16"/>
                <w:szCs w:val="16"/>
              </w:rPr>
            </w:pPr>
            <w:r w:rsidRPr="00CD1CF1">
              <w:rPr>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2154003A"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34" w:type="pct"/>
            <w:tcBorders>
              <w:top w:val="double" w:sz="4" w:space="0" w:color="auto"/>
              <w:left w:val="single" w:sz="4" w:space="0" w:color="auto"/>
              <w:bottom w:val="single" w:sz="4" w:space="0" w:color="auto"/>
            </w:tcBorders>
          </w:tcPr>
          <w:p w14:paraId="2E9980A5"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5307EA" w14:paraId="48BA9607" w14:textId="77777777" w:rsidTr="00FB0D02">
        <w:trPr>
          <w:cantSplit/>
          <w:trHeight w:val="642"/>
        </w:trPr>
        <w:tc>
          <w:tcPr>
            <w:tcW w:w="1010" w:type="pct"/>
            <w:tcBorders>
              <w:top w:val="single" w:sz="4" w:space="0" w:color="auto"/>
              <w:bottom w:val="single" w:sz="4" w:space="0" w:color="auto"/>
              <w:right w:val="single" w:sz="4" w:space="0" w:color="auto"/>
            </w:tcBorders>
          </w:tcPr>
          <w:p w14:paraId="7518F7CB"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w:t>
            </w:r>
          </w:p>
        </w:tc>
        <w:tc>
          <w:tcPr>
            <w:tcW w:w="1656" w:type="pct"/>
            <w:tcBorders>
              <w:top w:val="single" w:sz="4" w:space="0" w:color="auto"/>
              <w:left w:val="single" w:sz="4" w:space="0" w:color="auto"/>
              <w:bottom w:val="single" w:sz="4" w:space="0" w:color="auto"/>
              <w:right w:val="single" w:sz="4" w:space="0" w:color="auto"/>
            </w:tcBorders>
          </w:tcPr>
          <w:p w14:paraId="59E70E5F" w14:textId="77777777" w:rsidR="00115843" w:rsidRPr="00FD292C" w:rsidRDefault="00115843" w:rsidP="00FB0D02">
            <w:pPr>
              <w:spacing w:before="60" w:after="60" w:line="240" w:lineRule="auto"/>
              <w:contextualSpacing/>
              <w:rPr>
                <w:b/>
                <w:sz w:val="16"/>
                <w:szCs w:val="16"/>
                <w:lang w:val="en-US"/>
              </w:rPr>
            </w:pPr>
            <w:r w:rsidRPr="00FD292C">
              <w:rPr>
                <w:rFonts w:ascii="Arial" w:eastAsia="Calibri" w:hAnsi="Arial" w:cs="Arial"/>
                <w:sz w:val="16"/>
                <w:szCs w:val="16"/>
              </w:rPr>
              <w:t>Financial assistance is provided to local government</w:t>
            </w:r>
          </w:p>
        </w:tc>
        <w:tc>
          <w:tcPr>
            <w:tcW w:w="2334" w:type="pct"/>
            <w:tcBorders>
              <w:top w:val="single" w:sz="4" w:space="0" w:color="auto"/>
              <w:left w:val="single" w:sz="4" w:space="0" w:color="auto"/>
              <w:bottom w:val="single" w:sz="4" w:space="0" w:color="auto"/>
            </w:tcBorders>
          </w:tcPr>
          <w:p w14:paraId="101F3472" w14:textId="77777777" w:rsidR="00115843" w:rsidRPr="00FD292C" w:rsidRDefault="00115843" w:rsidP="00FB0D02">
            <w:pPr>
              <w:spacing w:before="60" w:after="60" w:line="240" w:lineRule="auto"/>
              <w:rPr>
                <w:rFonts w:ascii="Arial" w:eastAsia="Calibri" w:hAnsi="Arial" w:cs="Arial"/>
                <w:i/>
                <w:sz w:val="16"/>
                <w:szCs w:val="16"/>
              </w:rPr>
            </w:pPr>
            <w:r w:rsidRPr="00FD292C">
              <w:rPr>
                <w:rFonts w:ascii="Arial" w:eastAsia="Calibri" w:hAnsi="Arial" w:cs="Arial"/>
                <w:sz w:val="16"/>
                <w:szCs w:val="16"/>
              </w:rPr>
              <w:t xml:space="preserve">Target: Assistance is provided in accordance with the </w:t>
            </w:r>
            <w:r w:rsidRPr="00FD292C">
              <w:rPr>
                <w:rFonts w:ascii="Arial" w:eastAsia="Calibri" w:hAnsi="Arial" w:cs="Arial"/>
                <w:i/>
                <w:sz w:val="16"/>
                <w:szCs w:val="16"/>
              </w:rPr>
              <w:t>Local Government (Financial Assistance) Act 1995</w:t>
            </w:r>
          </w:p>
          <w:p w14:paraId="182BBC67"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60E77DBA"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$3.5 billion in financial assistance was provided in 2021–22</w:t>
            </w:r>
          </w:p>
          <w:p w14:paraId="2BCF3F42"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The Australian Government provided a total of $3.5 billion in untied funds under the Financial Assistance Grant program. This included an early payment of 75% of the 2022–23 estimated entitlement ($2.1 billion) to give councils immediate access to funds to help manage the cumulative impacts of drought, bushfires and the COVID-19 pandemic</w:t>
            </w:r>
          </w:p>
        </w:tc>
      </w:tr>
      <w:tr w:rsidR="00115843" w14:paraId="778C8B30" w14:textId="77777777" w:rsidTr="00FB0D02">
        <w:trPr>
          <w:cantSplit/>
          <w:trHeight w:val="317"/>
        </w:trPr>
        <w:tc>
          <w:tcPr>
            <w:tcW w:w="1010" w:type="pct"/>
            <w:tcBorders>
              <w:top w:val="double" w:sz="4" w:space="0" w:color="auto"/>
              <w:bottom w:val="single" w:sz="4" w:space="0" w:color="auto"/>
              <w:right w:val="single" w:sz="4" w:space="0" w:color="auto"/>
            </w:tcBorders>
          </w:tcPr>
          <w:p w14:paraId="391A5639" w14:textId="77777777" w:rsidR="00115843" w:rsidRPr="00CD1CF1" w:rsidRDefault="00115843" w:rsidP="00FB0D02">
            <w:pPr>
              <w:pStyle w:val="TableTextBase"/>
              <w:rPr>
                <w:b/>
                <w:sz w:val="16"/>
                <w:szCs w:val="16"/>
              </w:rPr>
            </w:pPr>
            <w:r w:rsidRPr="00CD1CF1">
              <w:rPr>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26A8DB7" w14:textId="77777777" w:rsidR="00115843" w:rsidRPr="00CD1CF1" w:rsidRDefault="00115843" w:rsidP="00FB0D02">
            <w:pPr>
              <w:pStyle w:val="TableTextBase"/>
              <w:rPr>
                <w:b/>
                <w:sz w:val="16"/>
                <w:szCs w:val="16"/>
              </w:rPr>
            </w:pPr>
            <w:r w:rsidRPr="00CD1CF1">
              <w:rPr>
                <w:b/>
                <w:sz w:val="16"/>
                <w:szCs w:val="16"/>
              </w:rPr>
              <w:t>Performance measures</w:t>
            </w:r>
          </w:p>
        </w:tc>
        <w:tc>
          <w:tcPr>
            <w:tcW w:w="2334" w:type="pct"/>
            <w:tcBorders>
              <w:top w:val="double" w:sz="4" w:space="0" w:color="auto"/>
              <w:left w:val="single" w:sz="4" w:space="0" w:color="auto"/>
              <w:bottom w:val="single" w:sz="4" w:space="0" w:color="auto"/>
            </w:tcBorders>
          </w:tcPr>
          <w:p w14:paraId="0CCB8A7D" w14:textId="77777777" w:rsidR="00115843" w:rsidRPr="00CD1CF1" w:rsidDel="008E1A6E" w:rsidRDefault="00115843" w:rsidP="00FB0D02">
            <w:pPr>
              <w:pStyle w:val="TableTextBase"/>
              <w:rPr>
                <w:b/>
                <w:sz w:val="16"/>
                <w:szCs w:val="16"/>
              </w:rPr>
            </w:pPr>
            <w:r w:rsidRPr="00CD1CF1">
              <w:rPr>
                <w:b/>
                <w:sz w:val="16"/>
                <w:szCs w:val="16"/>
              </w:rPr>
              <w:t>Planned Performance Results</w:t>
            </w:r>
          </w:p>
        </w:tc>
      </w:tr>
      <w:tr w:rsidR="00115843" w14:paraId="030ED0C4" w14:textId="77777777" w:rsidTr="002232E5">
        <w:trPr>
          <w:cantSplit/>
          <w:trHeight w:val="1046"/>
        </w:trPr>
        <w:tc>
          <w:tcPr>
            <w:tcW w:w="1010" w:type="pct"/>
            <w:tcBorders>
              <w:top w:val="single" w:sz="4" w:space="0" w:color="auto"/>
              <w:left w:val="single" w:sz="4" w:space="0" w:color="auto"/>
              <w:bottom w:val="single" w:sz="4" w:space="0" w:color="auto"/>
              <w:right w:val="single" w:sz="4" w:space="0" w:color="auto"/>
            </w:tcBorders>
          </w:tcPr>
          <w:p w14:paraId="65C4AFF7" w14:textId="77777777" w:rsidR="00115843" w:rsidRPr="00FD292C" w:rsidRDefault="00115843" w:rsidP="00FB0D02">
            <w:pPr>
              <w:pStyle w:val="TableTextBase"/>
              <w:rPr>
                <w:sz w:val="16"/>
                <w:szCs w:val="16"/>
              </w:rPr>
            </w:pPr>
            <w:r w:rsidRPr="00FD292C">
              <w:rPr>
                <w:sz w:val="16"/>
                <w:szCs w:val="16"/>
              </w:rPr>
              <w:t>Budget year</w:t>
            </w:r>
            <w:r w:rsidRPr="00FD292C">
              <w:rPr>
                <w:sz w:val="16"/>
                <w:szCs w:val="16"/>
              </w:rPr>
              <w:br/>
              <w:t>2022–23</w:t>
            </w:r>
          </w:p>
        </w:tc>
        <w:tc>
          <w:tcPr>
            <w:tcW w:w="1656" w:type="pct"/>
            <w:tcBorders>
              <w:top w:val="single" w:sz="4" w:space="0" w:color="auto"/>
              <w:left w:val="single" w:sz="4" w:space="0" w:color="auto"/>
              <w:bottom w:val="single" w:sz="4" w:space="0" w:color="auto"/>
              <w:right w:val="single" w:sz="4" w:space="0" w:color="auto"/>
            </w:tcBorders>
          </w:tcPr>
          <w:p w14:paraId="459F7690" w14:textId="77777777" w:rsidR="00115843" w:rsidRPr="00FD292C" w:rsidRDefault="00115843" w:rsidP="00FB0D02">
            <w:p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 xml:space="preserve">Financial assistance is provided to local government in accordance with </w:t>
            </w:r>
            <w:r w:rsidRPr="00FD292C">
              <w:rPr>
                <w:rFonts w:ascii="Arial" w:eastAsia="Calibri" w:hAnsi="Arial" w:cs="Arial"/>
                <w:i/>
                <w:sz w:val="16"/>
                <w:szCs w:val="16"/>
              </w:rPr>
              <w:t xml:space="preserve">the Local Government (Financial </w:t>
            </w:r>
            <w:r w:rsidRPr="002232E5">
              <w:rPr>
                <w:rFonts w:ascii="Arial" w:hAnsi="Arial" w:cs="Arial"/>
                <w:i/>
                <w:sz w:val="16"/>
                <w:szCs w:val="16"/>
              </w:rPr>
              <w:t>Assistance) Act 1995</w:t>
            </w:r>
          </w:p>
        </w:tc>
        <w:tc>
          <w:tcPr>
            <w:tcW w:w="2334" w:type="pct"/>
            <w:tcBorders>
              <w:top w:val="single" w:sz="4" w:space="0" w:color="auto"/>
              <w:left w:val="single" w:sz="4" w:space="0" w:color="auto"/>
              <w:bottom w:val="single" w:sz="4" w:space="0" w:color="auto"/>
              <w:right w:val="single" w:sz="4" w:space="0" w:color="auto"/>
            </w:tcBorders>
          </w:tcPr>
          <w:p w14:paraId="1194585E"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Assistance is provided on time and aligned with the budget appropriation</w:t>
            </w:r>
          </w:p>
        </w:tc>
      </w:tr>
      <w:tr w:rsidR="00115843" w14:paraId="51A42B28" w14:textId="77777777" w:rsidTr="00FB0D02">
        <w:trPr>
          <w:cantSplit/>
          <w:trHeight w:val="642"/>
        </w:trPr>
        <w:tc>
          <w:tcPr>
            <w:tcW w:w="1010" w:type="pct"/>
            <w:tcBorders>
              <w:top w:val="single" w:sz="4" w:space="0" w:color="auto"/>
              <w:bottom w:val="single" w:sz="4" w:space="0" w:color="auto"/>
              <w:right w:val="single" w:sz="4" w:space="0" w:color="auto"/>
            </w:tcBorders>
          </w:tcPr>
          <w:p w14:paraId="6A6B8EAC"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Forward Estimates</w:t>
            </w:r>
            <w:r w:rsidRPr="00FD292C">
              <w:rPr>
                <w:rFonts w:ascii="Arial" w:eastAsia="Calibri" w:hAnsi="Arial" w:cs="Arial"/>
                <w:sz w:val="16"/>
                <w:szCs w:val="16"/>
              </w:rPr>
              <w:br/>
              <w:t>2023–26</w:t>
            </w:r>
          </w:p>
        </w:tc>
        <w:tc>
          <w:tcPr>
            <w:tcW w:w="1656" w:type="pct"/>
            <w:tcBorders>
              <w:top w:val="single" w:sz="4" w:space="0" w:color="auto"/>
              <w:left w:val="single" w:sz="4" w:space="0" w:color="auto"/>
              <w:bottom w:val="single" w:sz="4" w:space="0" w:color="auto"/>
              <w:right w:val="single" w:sz="4" w:space="0" w:color="auto"/>
            </w:tcBorders>
          </w:tcPr>
          <w:p w14:paraId="3B4D416A" w14:textId="77777777" w:rsidR="00115843" w:rsidRPr="00FD292C" w:rsidRDefault="00115843" w:rsidP="00FB0D02">
            <w:pPr>
              <w:spacing w:before="60" w:after="60" w:line="240" w:lineRule="auto"/>
              <w:contextualSpacing/>
              <w:rPr>
                <w:b/>
                <w:sz w:val="16"/>
                <w:szCs w:val="16"/>
                <w:lang w:val="en-US"/>
              </w:rPr>
            </w:pPr>
            <w:r w:rsidRPr="00FD292C">
              <w:rPr>
                <w:rFonts w:ascii="Arial" w:hAnsi="Arial" w:cs="Arial"/>
                <w:sz w:val="16"/>
                <w:szCs w:val="16"/>
              </w:rPr>
              <w:t xml:space="preserve">Financial assistance is provided to local government in accordance with the </w:t>
            </w:r>
            <w:r w:rsidRPr="00FD292C">
              <w:rPr>
                <w:rFonts w:ascii="Arial" w:hAnsi="Arial" w:cs="Arial"/>
                <w:i/>
                <w:sz w:val="16"/>
                <w:szCs w:val="16"/>
              </w:rPr>
              <w:t>Local Government (Financial Assistance) Act 1995</w:t>
            </w:r>
          </w:p>
        </w:tc>
        <w:tc>
          <w:tcPr>
            <w:tcW w:w="2334" w:type="pct"/>
            <w:tcBorders>
              <w:top w:val="single" w:sz="4" w:space="0" w:color="auto"/>
              <w:left w:val="single" w:sz="4" w:space="0" w:color="auto"/>
              <w:bottom w:val="single" w:sz="4" w:space="0" w:color="auto"/>
            </w:tcBorders>
          </w:tcPr>
          <w:p w14:paraId="1DD363B0" w14:textId="77777777" w:rsidR="00115843" w:rsidRPr="00FD292C" w:rsidDel="008E1A6E" w:rsidRDefault="00115843" w:rsidP="00FB0D02">
            <w:pPr>
              <w:pStyle w:val="TableTextBase"/>
              <w:rPr>
                <w:rFonts w:eastAsia="Calibri" w:cs="Arial"/>
                <w:b/>
                <w:sz w:val="16"/>
                <w:szCs w:val="16"/>
                <w:lang w:eastAsia="en-US"/>
              </w:rPr>
            </w:pPr>
            <w:r w:rsidRPr="00FD292C">
              <w:rPr>
                <w:rFonts w:eastAsia="Calibri" w:cs="Arial"/>
                <w:sz w:val="16"/>
                <w:szCs w:val="16"/>
                <w:lang w:eastAsia="en-US"/>
              </w:rPr>
              <w:t>Assistance is provided on time and aligned with the budget appropriation</w:t>
            </w:r>
          </w:p>
        </w:tc>
      </w:tr>
    </w:tbl>
    <w:p w14:paraId="22187DAB" w14:textId="77777777" w:rsidR="00115843" w:rsidRDefault="00115843" w:rsidP="00115843">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15843" w:rsidRPr="008E07F1" w14:paraId="0A41197E" w14:textId="77777777" w:rsidTr="002F3AAF">
        <w:trPr>
          <w:trHeight w:val="522"/>
        </w:trPr>
        <w:tc>
          <w:tcPr>
            <w:tcW w:w="5000" w:type="pct"/>
            <w:gridSpan w:val="3"/>
            <w:shd w:val="clear" w:color="auto" w:fill="E6E6E6"/>
          </w:tcPr>
          <w:p w14:paraId="2099BE53" w14:textId="77777777" w:rsidR="00115843" w:rsidRPr="008E07F1" w:rsidRDefault="00115843" w:rsidP="00FB0D02">
            <w:pPr>
              <w:spacing w:before="60" w:after="0" w:line="240" w:lineRule="auto"/>
              <w:rPr>
                <w:rFonts w:ascii="Arial" w:eastAsia="Calibri" w:hAnsi="Arial" w:cs="Arial"/>
                <w:b/>
                <w:sz w:val="18"/>
                <w:szCs w:val="18"/>
                <w:lang w:eastAsia="en-US"/>
              </w:rPr>
            </w:pPr>
            <w:bookmarkStart w:id="28" w:name="Cities3_3"/>
            <w:r w:rsidRPr="008E07F1">
              <w:rPr>
                <w:rFonts w:ascii="Arial" w:eastAsia="Calibri" w:hAnsi="Arial" w:cs="Arial"/>
                <w:b/>
                <w:sz w:val="18"/>
                <w:szCs w:val="18"/>
                <w:lang w:eastAsia="en-US"/>
              </w:rPr>
              <w:lastRenderedPageBreak/>
              <w:t>Program 3.3 – Cities</w:t>
            </w:r>
            <w:bookmarkEnd w:id="28"/>
          </w:p>
          <w:p w14:paraId="45272848" w14:textId="77777777" w:rsidR="00115843" w:rsidRPr="008E07F1" w:rsidRDefault="00115843" w:rsidP="00FB0D02">
            <w:pPr>
              <w:spacing w:before="60" w:after="60" w:line="240" w:lineRule="auto"/>
              <w:rPr>
                <w:rFonts w:ascii="Arial" w:hAnsi="Arial"/>
                <w:sz w:val="18"/>
                <w:highlight w:val="yellow"/>
              </w:rPr>
            </w:pPr>
            <w:r w:rsidRPr="008E07F1">
              <w:rPr>
                <w:rFonts w:ascii="Arial" w:eastAsia="Calibri" w:hAnsi="Arial" w:cs="Arial"/>
                <w:sz w:val="18"/>
                <w:szCs w:val="18"/>
                <w:lang w:eastAsia="en-US"/>
              </w:rPr>
              <w:t>The cities program supports the development of more liveable and productive cities through programs and policies that support jobs and economic growth, manage population pressures and reduce congestion.</w:t>
            </w:r>
          </w:p>
        </w:tc>
      </w:tr>
      <w:tr w:rsidR="00115843" w:rsidRPr="008E07F1" w14:paraId="7C5DEDA5" w14:textId="77777777" w:rsidTr="00FB0D02">
        <w:trPr>
          <w:trHeight w:val="174"/>
        </w:trPr>
        <w:tc>
          <w:tcPr>
            <w:tcW w:w="1010" w:type="pct"/>
            <w:tcBorders>
              <w:bottom w:val="double" w:sz="4" w:space="0" w:color="auto"/>
            </w:tcBorders>
          </w:tcPr>
          <w:p w14:paraId="7E7BA740" w14:textId="77777777" w:rsidR="00115843" w:rsidRPr="008E07F1" w:rsidRDefault="00115843" w:rsidP="00FB0D02">
            <w:pPr>
              <w:tabs>
                <w:tab w:val="left" w:pos="709"/>
              </w:tabs>
              <w:spacing w:before="60" w:after="60" w:line="259" w:lineRule="auto"/>
              <w:rPr>
                <w:rFonts w:ascii="Arial" w:eastAsiaTheme="minorHAnsi" w:hAnsi="Arial" w:cs="Arial"/>
                <w:b/>
                <w:sz w:val="16"/>
                <w:szCs w:val="16"/>
                <w:lang w:eastAsia="en-US"/>
              </w:rPr>
            </w:pPr>
            <w:r w:rsidRPr="008E07F1">
              <w:rPr>
                <w:rFonts w:ascii="Arial" w:eastAsia="Calibri" w:hAnsi="Arial" w:cs="Arial"/>
                <w:b/>
                <w:sz w:val="16"/>
                <w:szCs w:val="16"/>
                <w:lang w:eastAsia="en-US"/>
              </w:rPr>
              <w:t>Key Activity</w:t>
            </w:r>
          </w:p>
        </w:tc>
        <w:tc>
          <w:tcPr>
            <w:tcW w:w="3990" w:type="pct"/>
            <w:gridSpan w:val="2"/>
            <w:tcBorders>
              <w:bottom w:val="double" w:sz="4" w:space="0" w:color="auto"/>
            </w:tcBorders>
          </w:tcPr>
          <w:p w14:paraId="68CC3018" w14:textId="77777777" w:rsidR="00115843" w:rsidRPr="008E07F1" w:rsidRDefault="00115843" w:rsidP="00115843">
            <w:pPr>
              <w:numPr>
                <w:ilvl w:val="0"/>
                <w:numId w:val="13"/>
              </w:numPr>
              <w:spacing w:before="60" w:after="60" w:line="240" w:lineRule="auto"/>
              <w:ind w:left="321"/>
              <w:rPr>
                <w:rFonts w:ascii="Arial" w:eastAsia="Calibri" w:hAnsi="Arial" w:cs="Arial"/>
                <w:sz w:val="16"/>
                <w:szCs w:val="16"/>
                <w:lang w:eastAsia="en-US"/>
              </w:rPr>
            </w:pPr>
            <w:r w:rsidRPr="008E07F1">
              <w:rPr>
                <w:rFonts w:ascii="Arial" w:eastAsia="Calibri" w:hAnsi="Arial" w:cs="Arial"/>
                <w:sz w:val="16"/>
                <w:szCs w:val="16"/>
                <w:lang w:eastAsia="en-US"/>
              </w:rPr>
              <w:t xml:space="preserve">Advise on and deliver City Deals and Regional Deals </w:t>
            </w:r>
            <w:r w:rsidRPr="008E07F1">
              <w:rPr>
                <w:rFonts w:ascii="Arial" w:eastAsia="Calibri" w:hAnsi="Arial" w:cs="Arial"/>
                <w:sz w:val="16"/>
                <w:szCs w:val="16"/>
                <w:vertAlign w:val="superscript"/>
                <w:lang w:eastAsia="en-US"/>
              </w:rPr>
              <w:t>(a)</w:t>
            </w:r>
          </w:p>
        </w:tc>
      </w:tr>
      <w:tr w:rsidR="00115843" w:rsidRPr="008E07F1" w14:paraId="220B24D7" w14:textId="77777777" w:rsidTr="00FB0D02">
        <w:trPr>
          <w:trHeight w:val="258"/>
        </w:trPr>
        <w:tc>
          <w:tcPr>
            <w:tcW w:w="1010" w:type="pct"/>
            <w:tcBorders>
              <w:top w:val="double" w:sz="4" w:space="0" w:color="auto"/>
              <w:bottom w:val="single" w:sz="4" w:space="0" w:color="auto"/>
              <w:right w:val="single" w:sz="4" w:space="0" w:color="auto"/>
            </w:tcBorders>
          </w:tcPr>
          <w:p w14:paraId="3A72C67B" w14:textId="77777777" w:rsidR="00115843" w:rsidRPr="008E07F1" w:rsidRDefault="00115843" w:rsidP="00FB0D02">
            <w:pPr>
              <w:spacing w:before="60" w:after="60" w:line="240" w:lineRule="auto"/>
              <w:rPr>
                <w:rFonts w:ascii="Arial" w:hAnsi="Arial"/>
                <w:b/>
                <w:sz w:val="16"/>
                <w:szCs w:val="16"/>
              </w:rPr>
            </w:pPr>
            <w:r w:rsidRPr="008E07F1">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60353A1E" w14:textId="77777777" w:rsidR="00115843" w:rsidRPr="008E07F1" w:rsidRDefault="00115843" w:rsidP="00FB0D02">
            <w:pPr>
              <w:spacing w:before="60" w:after="60" w:line="240" w:lineRule="auto"/>
              <w:rPr>
                <w:rFonts w:ascii="Arial" w:hAnsi="Arial" w:cs="Arial"/>
                <w:b/>
                <w:sz w:val="16"/>
                <w:szCs w:val="16"/>
              </w:rPr>
            </w:pPr>
            <w:r w:rsidRPr="008E07F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75037E24" w14:textId="77777777" w:rsidR="00115843" w:rsidRPr="008E07F1" w:rsidRDefault="00115843" w:rsidP="00FB0D02">
            <w:pPr>
              <w:spacing w:before="60" w:after="60" w:line="240" w:lineRule="auto"/>
              <w:rPr>
                <w:rFonts w:ascii="Arial" w:hAnsi="Arial" w:cs="Arial"/>
                <w:b/>
                <w:sz w:val="16"/>
                <w:szCs w:val="16"/>
              </w:rPr>
            </w:pPr>
            <w:r>
              <w:rPr>
                <w:rFonts w:ascii="Arial" w:hAnsi="Arial" w:cs="Arial"/>
                <w:b/>
                <w:sz w:val="16"/>
                <w:szCs w:val="16"/>
              </w:rPr>
              <w:t>Expected</w:t>
            </w:r>
            <w:r w:rsidRPr="008E07F1">
              <w:rPr>
                <w:rFonts w:ascii="Arial" w:hAnsi="Arial" w:cs="Arial"/>
                <w:b/>
                <w:sz w:val="16"/>
                <w:szCs w:val="16"/>
              </w:rPr>
              <w:t xml:space="preserve"> Performance Results</w:t>
            </w:r>
          </w:p>
        </w:tc>
      </w:tr>
      <w:tr w:rsidR="00115843" w:rsidRPr="008E07F1" w14:paraId="4C30E1CB" w14:textId="77777777" w:rsidTr="00FB0D02">
        <w:trPr>
          <w:trHeight w:val="642"/>
        </w:trPr>
        <w:tc>
          <w:tcPr>
            <w:tcW w:w="1010" w:type="pct"/>
            <w:vMerge w:val="restart"/>
            <w:tcBorders>
              <w:top w:val="single" w:sz="4" w:space="0" w:color="auto"/>
              <w:right w:val="single" w:sz="4" w:space="0" w:color="auto"/>
            </w:tcBorders>
          </w:tcPr>
          <w:p w14:paraId="20910607" w14:textId="77777777" w:rsidR="00115843" w:rsidRPr="00DB0E5D" w:rsidRDefault="00115843" w:rsidP="00FB0D02">
            <w:pPr>
              <w:spacing w:before="60" w:after="60" w:line="240" w:lineRule="auto"/>
              <w:rPr>
                <w:rFonts w:ascii="Arial" w:hAnsi="Arial"/>
                <w:sz w:val="16"/>
                <w:szCs w:val="16"/>
              </w:rPr>
            </w:pPr>
            <w:r w:rsidRPr="008D55A3">
              <w:rPr>
                <w:rFonts w:ascii="Arial" w:hAnsi="Arial"/>
                <w:sz w:val="16"/>
                <w:szCs w:val="16"/>
              </w:rPr>
              <w:t xml:space="preserve">Prior </w:t>
            </w:r>
            <w:r>
              <w:rPr>
                <w:rFonts w:ascii="Arial" w:hAnsi="Arial"/>
                <w:sz w:val="16"/>
                <w:szCs w:val="16"/>
              </w:rPr>
              <w:t>year</w:t>
            </w:r>
            <w:r w:rsidRPr="008D55A3">
              <w:rPr>
                <w:rFonts w:ascii="Arial" w:hAnsi="Arial"/>
                <w:sz w:val="16"/>
                <w:szCs w:val="16"/>
              </w:rPr>
              <w:t xml:space="preserve"> </w:t>
            </w:r>
            <w:r>
              <w:rPr>
                <w:rFonts w:ascii="Arial" w:hAnsi="Arial"/>
                <w:sz w:val="16"/>
                <w:szCs w:val="16"/>
              </w:rPr>
              <w:br/>
            </w:r>
            <w:r w:rsidRPr="008D55A3">
              <w:rPr>
                <w:rFonts w:ascii="Arial" w:hAnsi="Arial"/>
                <w:sz w:val="16"/>
                <w:szCs w:val="16"/>
              </w:rPr>
              <w:t>2021–22</w:t>
            </w:r>
          </w:p>
        </w:tc>
        <w:tc>
          <w:tcPr>
            <w:tcW w:w="1656" w:type="pct"/>
            <w:tcBorders>
              <w:top w:val="single" w:sz="4" w:space="0" w:color="auto"/>
              <w:left w:val="single" w:sz="4" w:space="0" w:color="auto"/>
              <w:bottom w:val="single" w:sz="4" w:space="0" w:color="auto"/>
              <w:right w:val="single" w:sz="4" w:space="0" w:color="auto"/>
            </w:tcBorders>
          </w:tcPr>
          <w:p w14:paraId="76A0FDAD" w14:textId="77777777" w:rsidR="00115843" w:rsidRPr="008E07F1" w:rsidRDefault="00115843" w:rsidP="00FB0D02">
            <w:pPr>
              <w:spacing w:before="60" w:after="60" w:line="240" w:lineRule="auto"/>
              <w:rPr>
                <w:rFonts w:asciiTheme="minorHAnsi" w:eastAsiaTheme="minorHAnsi" w:hAnsiTheme="minorHAnsi" w:cstheme="minorBidi"/>
                <w:b/>
                <w:sz w:val="22"/>
                <w:szCs w:val="22"/>
                <w:lang w:val="en-US" w:eastAsia="en-US"/>
              </w:rPr>
            </w:pPr>
            <w:r w:rsidRPr="008E07F1">
              <w:rPr>
                <w:rFonts w:ascii="Arial" w:eastAsia="Calibri" w:hAnsi="Arial" w:cs="Arial"/>
                <w:sz w:val="16"/>
                <w:szCs w:val="16"/>
                <w:lang w:eastAsia="en-US"/>
              </w:rPr>
              <w:t>Number of City Deal commitments on track to be completed within agreed timeframes</w:t>
            </w:r>
          </w:p>
        </w:tc>
        <w:tc>
          <w:tcPr>
            <w:tcW w:w="2334" w:type="pct"/>
            <w:tcBorders>
              <w:top w:val="single" w:sz="4" w:space="0" w:color="auto"/>
              <w:left w:val="single" w:sz="4" w:space="0" w:color="auto"/>
              <w:bottom w:val="single" w:sz="4" w:space="0" w:color="auto"/>
            </w:tcBorders>
          </w:tcPr>
          <w:p w14:paraId="1930CC76" w14:textId="77777777" w:rsidR="00115843" w:rsidRPr="008E07F1" w:rsidRDefault="00115843" w:rsidP="00FB0D02">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8E07F1">
              <w:rPr>
                <w:rFonts w:ascii="Arial" w:eastAsia="Calibri" w:hAnsi="Arial" w:cs="Arial"/>
                <w:sz w:val="16"/>
                <w:szCs w:val="16"/>
                <w:lang w:eastAsia="en-US"/>
              </w:rPr>
              <w:t>100% of projects on track to be completed by their scheduled timeframes</w:t>
            </w:r>
          </w:p>
          <w:p w14:paraId="00209307" w14:textId="77777777" w:rsidR="00115843" w:rsidRPr="008E07F1" w:rsidRDefault="00115843" w:rsidP="00FB0D02">
            <w:pPr>
              <w:spacing w:before="60" w:after="60" w:line="240" w:lineRule="auto"/>
              <w:rPr>
                <w:rFonts w:ascii="Arial" w:eastAsia="Calibri" w:hAnsi="Arial" w:cs="Arial"/>
                <w:sz w:val="16"/>
                <w:szCs w:val="16"/>
                <w:lang w:eastAsia="en-US"/>
              </w:rPr>
            </w:pPr>
            <w:r w:rsidRPr="008E07F1">
              <w:rPr>
                <w:rFonts w:ascii="Arial" w:eastAsia="Calibri" w:hAnsi="Arial" w:cs="Arial"/>
                <w:sz w:val="16"/>
                <w:szCs w:val="16"/>
                <w:lang w:eastAsia="en-US"/>
              </w:rPr>
              <w:t xml:space="preserve">Target </w:t>
            </w:r>
            <w:r>
              <w:rPr>
                <w:rFonts w:ascii="Arial" w:eastAsia="Calibri" w:hAnsi="Arial" w:cs="Arial"/>
                <w:sz w:val="16"/>
                <w:szCs w:val="16"/>
                <w:lang w:eastAsia="en-US"/>
              </w:rPr>
              <w:t>not</w:t>
            </w:r>
            <w:r w:rsidRPr="008E07F1">
              <w:rPr>
                <w:rFonts w:ascii="Arial" w:eastAsia="Calibri" w:hAnsi="Arial" w:cs="Arial"/>
                <w:sz w:val="16"/>
                <w:szCs w:val="16"/>
                <w:lang w:eastAsia="en-US"/>
              </w:rPr>
              <w:t xml:space="preserve"> met</w:t>
            </w:r>
          </w:p>
          <w:p w14:paraId="7CB523F1" w14:textId="246BA73A" w:rsidR="00115843" w:rsidRPr="008E07F1" w:rsidRDefault="00115843" w:rsidP="00FB0D02">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Actual: </w:t>
            </w:r>
            <w:r w:rsidRPr="008E07F1">
              <w:rPr>
                <w:rFonts w:ascii="Arial" w:eastAsia="Calibri" w:hAnsi="Arial" w:cs="Arial"/>
                <w:sz w:val="16"/>
                <w:szCs w:val="16"/>
                <w:lang w:eastAsia="en-US"/>
              </w:rPr>
              <w:t>Most projects are on track to be completed by their scheduled completion date. Strategies are in place to address projects behind schedule</w:t>
            </w:r>
            <w:r w:rsidR="002232E5">
              <w:rPr>
                <w:rFonts w:ascii="Arial" w:eastAsia="Calibri" w:hAnsi="Arial" w:cs="Arial"/>
                <w:sz w:val="16"/>
                <w:szCs w:val="16"/>
                <w:lang w:eastAsia="en-US"/>
              </w:rPr>
              <w:t>.</w:t>
            </w:r>
          </w:p>
        </w:tc>
      </w:tr>
      <w:tr w:rsidR="00115843" w:rsidRPr="008E07F1" w14:paraId="4BC2089E" w14:textId="77777777" w:rsidTr="00FB0D02">
        <w:trPr>
          <w:cantSplit/>
          <w:trHeight w:val="642"/>
        </w:trPr>
        <w:tc>
          <w:tcPr>
            <w:tcW w:w="1010" w:type="pct"/>
            <w:vMerge/>
            <w:tcBorders>
              <w:bottom w:val="single" w:sz="4" w:space="0" w:color="auto"/>
              <w:right w:val="single" w:sz="4" w:space="0" w:color="auto"/>
            </w:tcBorders>
          </w:tcPr>
          <w:p w14:paraId="0A52F9BF" w14:textId="77777777" w:rsidR="00115843" w:rsidRPr="008E07F1" w:rsidRDefault="00115843" w:rsidP="00FB0D02">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C43D56D" w14:textId="77777777" w:rsidR="00115843" w:rsidRPr="008E07F1" w:rsidRDefault="00115843" w:rsidP="00FB0D02">
            <w:pPr>
              <w:spacing w:before="60" w:after="60" w:line="240" w:lineRule="auto"/>
              <w:rPr>
                <w:rFonts w:ascii="Arial" w:eastAsia="Calibri" w:hAnsi="Arial" w:cs="Arial"/>
                <w:sz w:val="16"/>
                <w:szCs w:val="16"/>
                <w:lang w:eastAsia="en-US"/>
              </w:rPr>
            </w:pPr>
            <w:r w:rsidRPr="008E07F1">
              <w:rPr>
                <w:rFonts w:ascii="Arial" w:eastAsia="Calibri" w:hAnsi="Arial" w:cs="Arial"/>
                <w:sz w:val="16"/>
                <w:szCs w:val="16"/>
                <w:lang w:eastAsia="en-US"/>
              </w:rPr>
              <w:t>City Deals contributing to city:</w:t>
            </w:r>
          </w:p>
          <w:p w14:paraId="415F838D" w14:textId="77777777" w:rsidR="00115843" w:rsidRPr="008E07F1" w:rsidRDefault="00115843" w:rsidP="00115843">
            <w:pPr>
              <w:numPr>
                <w:ilvl w:val="0"/>
                <w:numId w:val="212"/>
              </w:numPr>
              <w:spacing w:before="60" w:after="60" w:line="240" w:lineRule="auto"/>
              <w:contextualSpacing/>
              <w:rPr>
                <w:rFonts w:ascii="Arial" w:eastAsia="Calibri" w:hAnsi="Arial" w:cs="Arial"/>
                <w:sz w:val="16"/>
                <w:szCs w:val="16"/>
                <w:lang w:eastAsia="en-US"/>
              </w:rPr>
            </w:pPr>
            <w:r w:rsidRPr="008E07F1">
              <w:rPr>
                <w:rFonts w:ascii="Arial" w:eastAsia="Calibri" w:hAnsi="Arial" w:cs="Arial"/>
                <w:sz w:val="16"/>
                <w:szCs w:val="16"/>
                <w:lang w:eastAsia="en-US"/>
              </w:rPr>
              <w:t>productivity</w:t>
            </w:r>
          </w:p>
          <w:p w14:paraId="0846809B" w14:textId="77777777" w:rsidR="00115843" w:rsidRPr="008E07F1" w:rsidRDefault="00115843" w:rsidP="00115843">
            <w:pPr>
              <w:numPr>
                <w:ilvl w:val="0"/>
                <w:numId w:val="212"/>
              </w:numPr>
              <w:spacing w:before="60" w:after="60" w:line="240" w:lineRule="auto"/>
              <w:contextualSpacing/>
              <w:rPr>
                <w:rFonts w:asciiTheme="minorHAnsi" w:eastAsiaTheme="minorHAnsi" w:hAnsiTheme="minorHAnsi" w:cstheme="minorBidi"/>
                <w:b/>
                <w:sz w:val="22"/>
                <w:szCs w:val="22"/>
                <w:lang w:val="en-US" w:eastAsia="en-US"/>
              </w:rPr>
            </w:pPr>
            <w:r w:rsidRPr="008E07F1">
              <w:rPr>
                <w:rFonts w:ascii="Arial" w:eastAsia="Calibri" w:hAnsi="Arial" w:cs="Arial"/>
                <w:sz w:val="16"/>
                <w:szCs w:val="16"/>
                <w:lang w:eastAsia="en-US"/>
              </w:rPr>
              <w:t>liveability</w:t>
            </w:r>
            <w:r>
              <w:rPr>
                <w:rFonts w:ascii="Arial" w:eastAsia="Calibri" w:hAnsi="Arial" w:cs="Arial"/>
                <w:sz w:val="16"/>
                <w:szCs w:val="16"/>
                <w:lang w:eastAsia="en-US"/>
              </w:rPr>
              <w:t xml:space="preserve"> </w:t>
            </w:r>
            <w:r w:rsidRPr="008E07F1">
              <w:rPr>
                <w:rFonts w:ascii="Arial" w:eastAsia="Calibri" w:hAnsi="Arial" w:cs="Arial"/>
                <w:sz w:val="16"/>
                <w:szCs w:val="16"/>
                <w:vertAlign w:val="superscript"/>
                <w:lang w:eastAsia="en-US"/>
              </w:rPr>
              <w:t>(b)</w:t>
            </w:r>
          </w:p>
        </w:tc>
        <w:tc>
          <w:tcPr>
            <w:tcW w:w="2334" w:type="pct"/>
            <w:tcBorders>
              <w:top w:val="single" w:sz="4" w:space="0" w:color="auto"/>
              <w:left w:val="single" w:sz="4" w:space="0" w:color="auto"/>
              <w:bottom w:val="single" w:sz="4" w:space="0" w:color="auto"/>
            </w:tcBorders>
          </w:tcPr>
          <w:p w14:paraId="13C07F9F" w14:textId="77777777" w:rsidR="00115843" w:rsidRPr="008E07F1" w:rsidRDefault="00115843" w:rsidP="00FB0D02">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 xml:space="preserve">Target: </w:t>
            </w:r>
            <w:r w:rsidRPr="008E07F1">
              <w:rPr>
                <w:rFonts w:ascii="Arial" w:eastAsia="Calibri" w:hAnsi="Arial" w:cs="Arial"/>
                <w:sz w:val="16"/>
                <w:szCs w:val="16"/>
                <w:lang w:eastAsia="en-US"/>
              </w:rPr>
              <w:t>In 2021–22, reporting shows improvements in &gt;50% of indicators analysed</w:t>
            </w:r>
          </w:p>
          <w:p w14:paraId="5AECAAE9" w14:textId="77777777" w:rsidR="00115843" w:rsidRPr="008E07F1" w:rsidRDefault="00115843" w:rsidP="00FB0D02">
            <w:pPr>
              <w:spacing w:before="60" w:after="60" w:line="240" w:lineRule="auto"/>
              <w:rPr>
                <w:rFonts w:ascii="Arial" w:eastAsia="Calibri" w:hAnsi="Arial" w:cs="Arial"/>
                <w:sz w:val="16"/>
                <w:szCs w:val="16"/>
                <w:lang w:eastAsia="en-US"/>
              </w:rPr>
            </w:pPr>
            <w:r w:rsidRPr="008E07F1">
              <w:rPr>
                <w:rFonts w:ascii="Arial" w:eastAsia="Calibri" w:hAnsi="Arial" w:cs="Arial"/>
                <w:sz w:val="16"/>
                <w:szCs w:val="16"/>
                <w:lang w:eastAsia="en-US"/>
              </w:rPr>
              <w:t>Target not met</w:t>
            </w:r>
          </w:p>
          <w:p w14:paraId="446596AB" w14:textId="44D49FBC" w:rsidR="00115843" w:rsidRPr="008E07F1" w:rsidRDefault="00115843" w:rsidP="00FB0D02">
            <w:pPr>
              <w:spacing w:before="60" w:after="60" w:line="240" w:lineRule="auto"/>
              <w:rPr>
                <w:rFonts w:ascii="Arial" w:hAnsi="Arial"/>
                <w:sz w:val="16"/>
                <w:szCs w:val="16"/>
              </w:rPr>
            </w:pPr>
            <w:r>
              <w:rPr>
                <w:rFonts w:ascii="Arial" w:hAnsi="Arial"/>
                <w:sz w:val="16"/>
                <w:szCs w:val="16"/>
              </w:rPr>
              <w:t xml:space="preserve">Actual: </w:t>
            </w:r>
            <w:r w:rsidRPr="008E07F1">
              <w:rPr>
                <w:rFonts w:ascii="Arial" w:hAnsi="Arial"/>
                <w:sz w:val="16"/>
                <w:szCs w:val="16"/>
              </w:rPr>
              <w:t>Liveability: Median house prices in the year to March 2022 increased in all capital cities and regions</w:t>
            </w:r>
            <w:r w:rsidR="002232E5">
              <w:rPr>
                <w:rFonts w:ascii="Arial" w:hAnsi="Arial"/>
                <w:sz w:val="16"/>
                <w:szCs w:val="16"/>
              </w:rPr>
              <w:t>.</w:t>
            </w:r>
          </w:p>
          <w:p w14:paraId="0851F8CA" w14:textId="3765C9A6" w:rsidR="00115843" w:rsidRPr="008E07F1" w:rsidRDefault="00115843" w:rsidP="00FB0D02">
            <w:pPr>
              <w:spacing w:before="60" w:after="60" w:line="240" w:lineRule="auto"/>
              <w:rPr>
                <w:rFonts w:ascii="Arial" w:hAnsi="Arial"/>
                <w:sz w:val="16"/>
                <w:szCs w:val="16"/>
              </w:rPr>
            </w:pPr>
            <w:r w:rsidRPr="008E07F1">
              <w:rPr>
                <w:rFonts w:ascii="Arial" w:hAnsi="Arial"/>
                <w:sz w:val="16"/>
                <w:szCs w:val="16"/>
              </w:rPr>
              <w:t>Productivity Growth: Results vary by city</w:t>
            </w:r>
            <w:r w:rsidR="002232E5">
              <w:rPr>
                <w:rFonts w:ascii="Arial" w:hAnsi="Arial"/>
                <w:sz w:val="16"/>
                <w:szCs w:val="16"/>
              </w:rPr>
              <w:t>.</w:t>
            </w:r>
          </w:p>
        </w:tc>
      </w:tr>
      <w:tr w:rsidR="00115843" w:rsidRPr="008E07F1" w14:paraId="5EF2EB96" w14:textId="77777777" w:rsidTr="00FB0D02">
        <w:trPr>
          <w:trHeight w:val="258"/>
        </w:trPr>
        <w:tc>
          <w:tcPr>
            <w:tcW w:w="1010" w:type="pct"/>
            <w:tcBorders>
              <w:top w:val="double" w:sz="4" w:space="0" w:color="auto"/>
              <w:bottom w:val="single" w:sz="4" w:space="0" w:color="auto"/>
              <w:right w:val="single" w:sz="4" w:space="0" w:color="auto"/>
            </w:tcBorders>
          </w:tcPr>
          <w:p w14:paraId="6DD167D1" w14:textId="77777777" w:rsidR="00115843" w:rsidRPr="008E07F1" w:rsidRDefault="00115843" w:rsidP="00FB0D02">
            <w:pPr>
              <w:spacing w:before="60" w:after="60" w:line="240" w:lineRule="auto"/>
              <w:rPr>
                <w:rFonts w:ascii="Arial" w:hAnsi="Arial"/>
                <w:b/>
                <w:sz w:val="16"/>
                <w:szCs w:val="16"/>
              </w:rPr>
            </w:pPr>
            <w:r w:rsidRPr="008E07F1">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1588B5A3" w14:textId="77777777" w:rsidR="00115843" w:rsidRPr="008E07F1" w:rsidRDefault="00115843" w:rsidP="00FB0D02">
            <w:pPr>
              <w:spacing w:before="60" w:after="60" w:line="240" w:lineRule="auto"/>
              <w:rPr>
                <w:rFonts w:ascii="Arial" w:hAnsi="Arial" w:cs="Arial"/>
                <w:b/>
                <w:sz w:val="16"/>
                <w:szCs w:val="16"/>
              </w:rPr>
            </w:pPr>
            <w:r w:rsidRPr="008E07F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38ACF9AB" w14:textId="77777777" w:rsidR="00115843" w:rsidRPr="008E07F1" w:rsidRDefault="00115843" w:rsidP="00FB0D02">
            <w:pPr>
              <w:spacing w:before="60" w:after="60" w:line="240" w:lineRule="auto"/>
              <w:rPr>
                <w:rFonts w:ascii="Arial" w:hAnsi="Arial" w:cs="Arial"/>
                <w:b/>
                <w:sz w:val="16"/>
                <w:szCs w:val="16"/>
              </w:rPr>
            </w:pPr>
            <w:r>
              <w:rPr>
                <w:rFonts w:ascii="Arial" w:hAnsi="Arial" w:cs="Arial"/>
                <w:b/>
                <w:sz w:val="16"/>
                <w:szCs w:val="16"/>
              </w:rPr>
              <w:t>Expected</w:t>
            </w:r>
            <w:r w:rsidRPr="008E07F1">
              <w:rPr>
                <w:rFonts w:ascii="Arial" w:hAnsi="Arial" w:cs="Arial"/>
                <w:b/>
                <w:sz w:val="16"/>
                <w:szCs w:val="16"/>
              </w:rPr>
              <w:t xml:space="preserve"> Performance Results</w:t>
            </w:r>
          </w:p>
        </w:tc>
      </w:tr>
      <w:tr w:rsidR="00115843" w:rsidRPr="008E07F1" w14:paraId="22488402" w14:textId="77777777" w:rsidTr="00FB0D02">
        <w:trPr>
          <w:trHeight w:val="642"/>
        </w:trPr>
        <w:tc>
          <w:tcPr>
            <w:tcW w:w="1010" w:type="pct"/>
            <w:tcBorders>
              <w:top w:val="single" w:sz="4" w:space="0" w:color="auto"/>
              <w:bottom w:val="single" w:sz="4" w:space="0" w:color="auto"/>
              <w:right w:val="single" w:sz="4" w:space="0" w:color="auto"/>
            </w:tcBorders>
          </w:tcPr>
          <w:p w14:paraId="2844CADC" w14:textId="77777777" w:rsidR="00115843" w:rsidRPr="00DB0E5D" w:rsidRDefault="00115843" w:rsidP="00FB0D02">
            <w:pPr>
              <w:spacing w:before="60" w:after="60" w:line="240" w:lineRule="auto"/>
              <w:rPr>
                <w:rFonts w:ascii="Arial" w:hAnsi="Arial"/>
                <w:sz w:val="16"/>
                <w:szCs w:val="16"/>
              </w:rPr>
            </w:pPr>
            <w:r w:rsidRPr="008D55A3">
              <w:rPr>
                <w:rFonts w:ascii="Arial" w:eastAsia="Calibri" w:hAnsi="Arial" w:cs="Arial"/>
                <w:sz w:val="16"/>
                <w:szCs w:val="16"/>
                <w:lang w:eastAsia="en-US"/>
              </w:rPr>
              <w:t xml:space="preserve">Budget </w:t>
            </w:r>
            <w:r>
              <w:rPr>
                <w:rFonts w:ascii="Arial" w:eastAsia="Calibri" w:hAnsi="Arial" w:cs="Arial"/>
                <w:sz w:val="16"/>
                <w:szCs w:val="16"/>
                <w:lang w:eastAsia="en-US"/>
              </w:rPr>
              <w:t>year</w:t>
            </w:r>
            <w:r>
              <w:rPr>
                <w:rFonts w:ascii="Arial" w:eastAsia="Calibri" w:hAnsi="Arial" w:cs="Arial"/>
                <w:sz w:val="16"/>
                <w:szCs w:val="16"/>
                <w:lang w:eastAsia="en-US"/>
              </w:rPr>
              <w:br/>
            </w:r>
            <w:r w:rsidRPr="008D55A3">
              <w:rPr>
                <w:rFonts w:ascii="Arial" w:eastAsia="Calibri" w:hAnsi="Arial" w:cs="Arial"/>
                <w:sz w:val="16"/>
                <w:szCs w:val="16"/>
                <w:lang w:eastAsia="en-US"/>
              </w:rPr>
              <w:t>2022–23</w:t>
            </w:r>
          </w:p>
        </w:tc>
        <w:tc>
          <w:tcPr>
            <w:tcW w:w="1656" w:type="pct"/>
            <w:tcBorders>
              <w:top w:val="single" w:sz="4" w:space="0" w:color="auto"/>
              <w:left w:val="single" w:sz="4" w:space="0" w:color="auto"/>
              <w:bottom w:val="single" w:sz="4" w:space="0" w:color="auto"/>
              <w:right w:val="single" w:sz="4" w:space="0" w:color="auto"/>
            </w:tcBorders>
          </w:tcPr>
          <w:p w14:paraId="72272CF1" w14:textId="77777777" w:rsidR="00115843" w:rsidRPr="008E07F1" w:rsidRDefault="00115843" w:rsidP="00FB0D02">
            <w:pPr>
              <w:spacing w:before="60" w:after="60" w:line="240" w:lineRule="auto"/>
              <w:rPr>
                <w:rFonts w:asciiTheme="minorHAnsi" w:eastAsiaTheme="minorHAnsi" w:hAnsiTheme="minorHAnsi" w:cstheme="minorBidi"/>
                <w:b/>
                <w:sz w:val="22"/>
                <w:szCs w:val="22"/>
                <w:lang w:val="en-US" w:eastAsia="en-US"/>
              </w:rPr>
            </w:pPr>
            <w:r w:rsidRPr="008E07F1">
              <w:rPr>
                <w:rFonts w:ascii="Arial" w:eastAsia="Calibri" w:hAnsi="Arial" w:cs="Arial"/>
                <w:i/>
                <w:sz w:val="16"/>
                <w:szCs w:val="16"/>
                <w:lang w:eastAsia="en-US"/>
              </w:rPr>
              <w:t xml:space="preserve">Number of City and Regional Deal commitments on track to be completed within agreed timeframes </w:t>
            </w:r>
            <w:r w:rsidRPr="00A03A87">
              <w:rPr>
                <w:rFonts w:ascii="Arial" w:eastAsia="Calibri" w:hAnsi="Arial" w:cs="Arial"/>
                <w:sz w:val="16"/>
                <w:szCs w:val="16"/>
                <w:vertAlign w:val="superscript"/>
                <w:lang w:eastAsia="en-US"/>
              </w:rPr>
              <w:t>(c)</w:t>
            </w:r>
          </w:p>
        </w:tc>
        <w:tc>
          <w:tcPr>
            <w:tcW w:w="2334" w:type="pct"/>
            <w:tcBorders>
              <w:top w:val="single" w:sz="4" w:space="0" w:color="auto"/>
              <w:left w:val="single" w:sz="4" w:space="0" w:color="auto"/>
              <w:bottom w:val="single" w:sz="4" w:space="0" w:color="auto"/>
            </w:tcBorders>
          </w:tcPr>
          <w:p w14:paraId="63F3FD47" w14:textId="0A5101FC" w:rsidR="00115843" w:rsidRPr="008E07F1" w:rsidRDefault="00115843" w:rsidP="00FB0D02">
            <w:pPr>
              <w:spacing w:before="60" w:after="60" w:line="240" w:lineRule="auto"/>
              <w:rPr>
                <w:rFonts w:ascii="Arial" w:eastAsia="Calibri" w:hAnsi="Arial" w:cs="Arial"/>
                <w:sz w:val="16"/>
                <w:szCs w:val="16"/>
                <w:lang w:eastAsia="en-US"/>
              </w:rPr>
            </w:pPr>
            <w:r w:rsidRPr="008E07F1">
              <w:rPr>
                <w:rFonts w:ascii="Arial" w:eastAsia="Calibri" w:hAnsi="Arial" w:cs="Arial"/>
                <w:sz w:val="16"/>
                <w:szCs w:val="16"/>
                <w:lang w:eastAsia="en-US"/>
              </w:rPr>
              <w:t>Projects are delivered according to agreed milestones</w:t>
            </w:r>
            <w:r w:rsidR="002232E5">
              <w:rPr>
                <w:rFonts w:ascii="Arial" w:eastAsia="Calibri" w:hAnsi="Arial" w:cs="Arial"/>
                <w:sz w:val="16"/>
                <w:szCs w:val="16"/>
                <w:lang w:eastAsia="en-US"/>
              </w:rPr>
              <w:t>.</w:t>
            </w:r>
          </w:p>
        </w:tc>
      </w:tr>
      <w:tr w:rsidR="00115843" w:rsidRPr="008E07F1" w14:paraId="3A450F9A" w14:textId="77777777" w:rsidTr="00FB0D02">
        <w:trPr>
          <w:trHeight w:val="642"/>
        </w:trPr>
        <w:tc>
          <w:tcPr>
            <w:tcW w:w="1010" w:type="pct"/>
            <w:tcBorders>
              <w:top w:val="single" w:sz="4" w:space="0" w:color="auto"/>
              <w:bottom w:val="single" w:sz="4" w:space="0" w:color="auto"/>
              <w:right w:val="single" w:sz="4" w:space="0" w:color="auto"/>
            </w:tcBorders>
          </w:tcPr>
          <w:p w14:paraId="52FCF3D4" w14:textId="77777777" w:rsidR="00115843" w:rsidRPr="008D55A3" w:rsidRDefault="00115843" w:rsidP="00FB0D02">
            <w:pPr>
              <w:spacing w:before="60" w:after="60" w:line="240" w:lineRule="auto"/>
              <w:rPr>
                <w:rFonts w:ascii="Arial" w:eastAsia="Calibri" w:hAnsi="Arial" w:cs="Arial"/>
                <w:sz w:val="16"/>
                <w:szCs w:val="16"/>
                <w:lang w:eastAsia="en-US"/>
              </w:rPr>
            </w:pPr>
            <w:r w:rsidRPr="008D55A3">
              <w:rPr>
                <w:rFonts w:ascii="Arial" w:eastAsia="Calibri" w:hAnsi="Arial" w:cs="Arial"/>
                <w:sz w:val="16"/>
                <w:szCs w:val="16"/>
                <w:lang w:eastAsia="en-US"/>
              </w:rPr>
              <w:t>Forward Estimates</w:t>
            </w:r>
            <w:r w:rsidRPr="008D55A3">
              <w:rPr>
                <w:rFonts w:ascii="Arial" w:eastAsia="Calibri" w:hAnsi="Arial" w:cs="Arial"/>
                <w:sz w:val="16"/>
                <w:szCs w:val="16"/>
                <w:lang w:eastAsia="en-US"/>
              </w:rPr>
              <w:br/>
              <w:t>2023–26</w:t>
            </w:r>
          </w:p>
        </w:tc>
        <w:tc>
          <w:tcPr>
            <w:tcW w:w="1656" w:type="pct"/>
            <w:tcBorders>
              <w:top w:val="single" w:sz="4" w:space="0" w:color="auto"/>
              <w:left w:val="single" w:sz="4" w:space="0" w:color="auto"/>
              <w:bottom w:val="single" w:sz="4" w:space="0" w:color="auto"/>
              <w:right w:val="single" w:sz="4" w:space="0" w:color="auto"/>
            </w:tcBorders>
          </w:tcPr>
          <w:p w14:paraId="4D22E135" w14:textId="77777777" w:rsidR="00115843" w:rsidRPr="008E07F1" w:rsidRDefault="00115843" w:rsidP="00FB0D02">
            <w:pPr>
              <w:spacing w:before="60" w:after="60" w:line="240" w:lineRule="auto"/>
              <w:rPr>
                <w:rFonts w:asciiTheme="minorHAnsi" w:eastAsiaTheme="minorHAnsi" w:hAnsiTheme="minorHAnsi" w:cstheme="minorBidi"/>
                <w:b/>
                <w:sz w:val="22"/>
                <w:szCs w:val="22"/>
                <w:lang w:val="en-US" w:eastAsia="en-US"/>
              </w:rPr>
            </w:pPr>
            <w:r w:rsidRPr="008E07F1">
              <w:rPr>
                <w:rFonts w:ascii="Arial" w:eastAsia="Calibri" w:hAnsi="Arial" w:cs="Arial"/>
                <w:i/>
                <w:sz w:val="16"/>
                <w:szCs w:val="16"/>
                <w:lang w:eastAsia="en-US"/>
              </w:rPr>
              <w:t xml:space="preserve">Number of City and Regional Deal commitments on track to be completed within agreed timeframes </w:t>
            </w:r>
            <w:r w:rsidRPr="00A03A87">
              <w:rPr>
                <w:rFonts w:ascii="Arial" w:eastAsia="Calibri" w:hAnsi="Arial" w:cs="Arial"/>
                <w:sz w:val="16"/>
                <w:szCs w:val="16"/>
                <w:vertAlign w:val="superscript"/>
                <w:lang w:eastAsia="en-US"/>
              </w:rPr>
              <w:t>(c)</w:t>
            </w:r>
          </w:p>
        </w:tc>
        <w:tc>
          <w:tcPr>
            <w:tcW w:w="2334" w:type="pct"/>
            <w:tcBorders>
              <w:top w:val="single" w:sz="4" w:space="0" w:color="auto"/>
              <w:left w:val="single" w:sz="4" w:space="0" w:color="auto"/>
              <w:bottom w:val="single" w:sz="4" w:space="0" w:color="auto"/>
            </w:tcBorders>
          </w:tcPr>
          <w:p w14:paraId="4E269C40" w14:textId="0CE3D86A" w:rsidR="00115843" w:rsidRPr="008E07F1" w:rsidDel="008E1A6E" w:rsidRDefault="00115843" w:rsidP="00FB0D02">
            <w:pPr>
              <w:spacing w:before="60" w:after="60" w:line="240" w:lineRule="auto"/>
              <w:rPr>
                <w:rFonts w:ascii="Arial" w:eastAsia="Calibri" w:hAnsi="Arial" w:cs="Arial"/>
                <w:b/>
                <w:sz w:val="16"/>
                <w:szCs w:val="16"/>
                <w:lang w:eastAsia="en-US"/>
              </w:rPr>
            </w:pPr>
            <w:r w:rsidRPr="008E07F1">
              <w:rPr>
                <w:rFonts w:ascii="Arial" w:eastAsia="Calibri" w:hAnsi="Arial" w:cs="Arial"/>
                <w:sz w:val="16"/>
                <w:szCs w:val="16"/>
                <w:lang w:eastAsia="en-US"/>
              </w:rPr>
              <w:t>Projects are delivered according to agreed milestones</w:t>
            </w:r>
            <w:r w:rsidR="002232E5">
              <w:rPr>
                <w:rFonts w:ascii="Arial" w:eastAsia="Calibri" w:hAnsi="Arial" w:cs="Arial"/>
                <w:sz w:val="16"/>
                <w:szCs w:val="16"/>
                <w:lang w:eastAsia="en-US"/>
              </w:rPr>
              <w:t>.</w:t>
            </w:r>
          </w:p>
        </w:tc>
      </w:tr>
    </w:tbl>
    <w:p w14:paraId="0674644F" w14:textId="77777777" w:rsidR="00115843" w:rsidRPr="0016575D" w:rsidRDefault="00115843" w:rsidP="00115843">
      <w:pPr>
        <w:spacing w:before="60" w:after="0" w:line="240" w:lineRule="auto"/>
        <w:rPr>
          <w:rFonts w:ascii="Arial" w:hAnsi="Arial" w:cs="Arial"/>
          <w:sz w:val="16"/>
        </w:rPr>
      </w:pPr>
      <w:r w:rsidRPr="0016575D">
        <w:rPr>
          <w:rFonts w:ascii="Arial" w:hAnsi="Arial" w:cs="Arial"/>
          <w:sz w:val="16"/>
        </w:rPr>
        <w:t xml:space="preserve">New or modified performance </w:t>
      </w:r>
      <w:r>
        <w:rPr>
          <w:rFonts w:ascii="Arial" w:hAnsi="Arial" w:cs="Arial"/>
          <w:sz w:val="16"/>
        </w:rPr>
        <w:t>m</w:t>
      </w:r>
      <w:r w:rsidRPr="0016575D">
        <w:rPr>
          <w:rFonts w:ascii="Arial" w:hAnsi="Arial" w:cs="Arial"/>
          <w:sz w:val="16"/>
        </w:rPr>
        <w:t>easure</w:t>
      </w:r>
      <w:r>
        <w:rPr>
          <w:rFonts w:ascii="Arial" w:hAnsi="Arial" w:cs="Arial"/>
          <w:sz w:val="16"/>
        </w:rPr>
        <w:t>s</w:t>
      </w:r>
      <w:r w:rsidRPr="0016575D">
        <w:rPr>
          <w:rFonts w:ascii="Arial" w:hAnsi="Arial" w:cs="Arial"/>
          <w:sz w:val="16"/>
        </w:rPr>
        <w:t xml:space="preserve"> that reflect new or materially changed programs are shown in </w:t>
      </w:r>
      <w:r w:rsidRPr="0016575D">
        <w:rPr>
          <w:rFonts w:ascii="Arial" w:hAnsi="Arial" w:cs="Arial"/>
          <w:i/>
          <w:sz w:val="16"/>
        </w:rPr>
        <w:t>italics.</w:t>
      </w:r>
      <w:r w:rsidRPr="0016575D">
        <w:rPr>
          <w:rFonts w:ascii="Arial" w:hAnsi="Arial" w:cs="Arial"/>
          <w:sz w:val="16"/>
        </w:rPr>
        <w:t xml:space="preserve"> </w:t>
      </w:r>
    </w:p>
    <w:p w14:paraId="3A38EA9D" w14:textId="77777777" w:rsidR="00115843" w:rsidRPr="003D46F4" w:rsidRDefault="00115843" w:rsidP="00115843">
      <w:pPr>
        <w:pStyle w:val="ListParagraph"/>
        <w:numPr>
          <w:ilvl w:val="0"/>
          <w:numId w:val="213"/>
        </w:numPr>
        <w:spacing w:after="0" w:line="240" w:lineRule="auto"/>
        <w:ind w:left="426" w:hanging="426"/>
        <w:rPr>
          <w:rFonts w:ascii="Arial" w:hAnsi="Arial" w:cs="Arial"/>
          <w:sz w:val="16"/>
        </w:rPr>
      </w:pPr>
      <w:r w:rsidRPr="003D46F4">
        <w:rPr>
          <w:rFonts w:ascii="Arial" w:hAnsi="Arial" w:cs="Arial"/>
          <w:sz w:val="16"/>
        </w:rPr>
        <w:t>Refers to updated key activity that is reflected in the 2022–23 Corporate Plan</w:t>
      </w:r>
      <w:r>
        <w:rPr>
          <w:rFonts w:ascii="Arial" w:hAnsi="Arial" w:cs="Arial"/>
          <w:sz w:val="16"/>
        </w:rPr>
        <w:t>.</w:t>
      </w:r>
    </w:p>
    <w:p w14:paraId="348D608D" w14:textId="77777777" w:rsidR="00115843" w:rsidRDefault="00115843" w:rsidP="00115843">
      <w:pPr>
        <w:pStyle w:val="ListParagraph"/>
        <w:numPr>
          <w:ilvl w:val="0"/>
          <w:numId w:val="213"/>
        </w:numPr>
        <w:spacing w:after="0" w:line="240" w:lineRule="auto"/>
        <w:ind w:left="426" w:hanging="426"/>
        <w:rPr>
          <w:rFonts w:ascii="Arial" w:hAnsi="Arial" w:cs="Arial"/>
          <w:sz w:val="16"/>
        </w:rPr>
      </w:pPr>
      <w:r w:rsidRPr="00AC06EB">
        <w:rPr>
          <w:rFonts w:ascii="Arial" w:hAnsi="Arial" w:cs="Arial"/>
          <w:sz w:val="16"/>
        </w:rPr>
        <w:t>Final reporting period for this measure. Further details are included in the 2022–23 Corporate Plan.</w:t>
      </w:r>
    </w:p>
    <w:p w14:paraId="2EBDE10F" w14:textId="1BC0DF20" w:rsidR="00115843" w:rsidRPr="00AC06EB" w:rsidRDefault="00115843" w:rsidP="00115843">
      <w:pPr>
        <w:pStyle w:val="ListParagraph"/>
        <w:numPr>
          <w:ilvl w:val="0"/>
          <w:numId w:val="213"/>
        </w:numPr>
        <w:spacing w:after="0" w:line="240" w:lineRule="auto"/>
        <w:ind w:left="426" w:hanging="426"/>
        <w:rPr>
          <w:rFonts w:ascii="Arial" w:hAnsi="Arial" w:cs="Arial"/>
          <w:sz w:val="16"/>
        </w:rPr>
      </w:pPr>
      <w:r w:rsidRPr="00AC06EB">
        <w:rPr>
          <w:rFonts w:ascii="Arial" w:hAnsi="Arial" w:cs="Arial"/>
          <w:sz w:val="16"/>
        </w:rPr>
        <w:t>This measure is linked to Program 3.1 Regional Development.</w:t>
      </w:r>
    </w:p>
    <w:p w14:paraId="456FBC23" w14:textId="77777777" w:rsidR="00115843" w:rsidRDefault="00115843" w:rsidP="00115843">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115843" w:rsidRPr="00EC4F85" w14:paraId="28BAE448" w14:textId="77777777" w:rsidTr="002F3AAF">
        <w:trPr>
          <w:trHeight w:val="522"/>
          <w:tblHeader/>
        </w:trPr>
        <w:tc>
          <w:tcPr>
            <w:tcW w:w="5000" w:type="pct"/>
            <w:gridSpan w:val="3"/>
            <w:shd w:val="clear" w:color="auto" w:fill="E6E6E6"/>
          </w:tcPr>
          <w:p w14:paraId="6A9173B0" w14:textId="072F68C0" w:rsidR="00115843" w:rsidRPr="00EC4F85" w:rsidRDefault="00115843" w:rsidP="00FB0D02">
            <w:pPr>
              <w:spacing w:before="60" w:after="120" w:line="240" w:lineRule="auto"/>
              <w:rPr>
                <w:rFonts w:ascii="Arial" w:eastAsia="Calibri" w:hAnsi="Arial" w:cs="Arial"/>
                <w:sz w:val="18"/>
                <w:szCs w:val="18"/>
              </w:rPr>
            </w:pPr>
            <w:bookmarkStart w:id="29" w:name="NorthernAustralia3_4"/>
            <w:r w:rsidRPr="00EC4F85">
              <w:rPr>
                <w:rFonts w:ascii="Arial" w:eastAsia="Calibri" w:hAnsi="Arial" w:cs="Arial"/>
                <w:b/>
                <w:sz w:val="18"/>
                <w:szCs w:val="18"/>
              </w:rPr>
              <w:lastRenderedPageBreak/>
              <w:t>Program 3.4 – Growing a Stronger Northern Australia</w:t>
            </w:r>
            <w:r w:rsidR="00CA175C">
              <w:rPr>
                <w:rFonts w:ascii="Arial" w:eastAsia="Calibri" w:hAnsi="Arial" w:cs="Arial"/>
                <w:b/>
                <w:sz w:val="18"/>
                <w:szCs w:val="18"/>
              </w:rPr>
              <w:t>n</w:t>
            </w:r>
            <w:r w:rsidRPr="00EC4F85">
              <w:rPr>
                <w:rFonts w:ascii="Arial" w:eastAsia="Calibri" w:hAnsi="Arial" w:cs="Arial"/>
                <w:b/>
                <w:sz w:val="18"/>
                <w:szCs w:val="18"/>
              </w:rPr>
              <w:t xml:space="preserve"> Economy</w:t>
            </w:r>
            <w:bookmarkEnd w:id="29"/>
          </w:p>
          <w:p w14:paraId="69101322" w14:textId="77777777" w:rsidR="00115843" w:rsidRPr="00EC4F85" w:rsidRDefault="00115843" w:rsidP="00FB0D02">
            <w:pPr>
              <w:pStyle w:val="TableTextLeft"/>
              <w:rPr>
                <w:highlight w:val="yellow"/>
              </w:rPr>
            </w:pPr>
            <w:r w:rsidRPr="00EC4F85">
              <w:rPr>
                <w:rFonts w:eastAsia="Calibri" w:cs="Arial"/>
                <w:i/>
                <w:szCs w:val="18"/>
                <w:lang w:eastAsia="en-US"/>
              </w:rPr>
              <w:t>Our North, Our Future: 2021-2026 – Targeted Growth</w:t>
            </w:r>
            <w:r w:rsidRPr="00EC4F85">
              <w:rPr>
                <w:rFonts w:eastAsia="Calibri" w:cs="Arial"/>
                <w:szCs w:val="18"/>
                <w:lang w:eastAsia="en-US"/>
              </w:rPr>
              <w:t xml:space="preserve"> is the Government's next five-year strategic plan for developing Northern Australia. From 2021-2026 the Government will invest in transformational and enabling projects through a whole-of-government approach, in partnership with state and territory governments.</w:t>
            </w:r>
          </w:p>
        </w:tc>
      </w:tr>
      <w:tr w:rsidR="00115843" w:rsidRPr="00160C23" w14:paraId="53031F91" w14:textId="77777777" w:rsidTr="00FB0D02">
        <w:trPr>
          <w:trHeight w:val="174"/>
        </w:trPr>
        <w:tc>
          <w:tcPr>
            <w:tcW w:w="1010" w:type="pct"/>
            <w:tcBorders>
              <w:bottom w:val="double" w:sz="4" w:space="0" w:color="auto"/>
            </w:tcBorders>
          </w:tcPr>
          <w:p w14:paraId="24D46B56"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p>
        </w:tc>
        <w:tc>
          <w:tcPr>
            <w:tcW w:w="3990" w:type="pct"/>
            <w:gridSpan w:val="2"/>
            <w:tcBorders>
              <w:bottom w:val="double" w:sz="4" w:space="0" w:color="auto"/>
            </w:tcBorders>
          </w:tcPr>
          <w:p w14:paraId="0426792B" w14:textId="77777777" w:rsidR="00115843" w:rsidRPr="001F7463" w:rsidRDefault="00115843" w:rsidP="00115843">
            <w:pPr>
              <w:numPr>
                <w:ilvl w:val="0"/>
                <w:numId w:val="13"/>
              </w:numPr>
              <w:spacing w:before="60" w:after="60" w:line="240" w:lineRule="auto"/>
              <w:ind w:left="321"/>
              <w:rPr>
                <w:rFonts w:ascii="Arial" w:eastAsia="Calibri" w:hAnsi="Arial" w:cs="Arial"/>
                <w:sz w:val="16"/>
                <w:szCs w:val="16"/>
              </w:rPr>
            </w:pPr>
            <w:r w:rsidRPr="00A46594">
              <w:rPr>
                <w:rFonts w:ascii="Arial" w:eastAsia="Calibri" w:hAnsi="Arial" w:cs="Arial"/>
                <w:sz w:val="16"/>
                <w:szCs w:val="16"/>
              </w:rPr>
              <w:t>Progress key initiatives and monitor whole</w:t>
            </w:r>
            <w:r>
              <w:rPr>
                <w:rFonts w:ascii="Arial" w:eastAsia="Calibri" w:hAnsi="Arial" w:cs="Arial"/>
                <w:sz w:val="16"/>
                <w:szCs w:val="16"/>
              </w:rPr>
              <w:t>-</w:t>
            </w:r>
            <w:r w:rsidRPr="00A46594">
              <w:rPr>
                <w:rFonts w:ascii="Arial" w:eastAsia="Calibri" w:hAnsi="Arial" w:cs="Arial"/>
                <w:sz w:val="16"/>
                <w:szCs w:val="16"/>
              </w:rPr>
              <w:t>of</w:t>
            </w:r>
            <w:r>
              <w:rPr>
                <w:rFonts w:ascii="Arial" w:eastAsia="Calibri" w:hAnsi="Arial" w:cs="Arial"/>
                <w:sz w:val="16"/>
                <w:szCs w:val="16"/>
              </w:rPr>
              <w:t>-</w:t>
            </w:r>
            <w:r w:rsidRPr="00A46594">
              <w:rPr>
                <w:rFonts w:ascii="Arial" w:eastAsia="Calibri" w:hAnsi="Arial" w:cs="Arial"/>
                <w:sz w:val="16"/>
                <w:szCs w:val="16"/>
              </w:rPr>
              <w:t xml:space="preserve">government implementation </w:t>
            </w:r>
            <w:r w:rsidRPr="00F85863">
              <w:rPr>
                <w:rFonts w:ascii="Arial" w:eastAsia="Calibri" w:hAnsi="Arial" w:cs="Arial"/>
                <w:sz w:val="16"/>
                <w:szCs w:val="16"/>
              </w:rPr>
              <w:t>of</w:t>
            </w:r>
            <w:r w:rsidRPr="00A46594">
              <w:rPr>
                <w:rFonts w:ascii="Arial" w:eastAsia="Calibri" w:hAnsi="Arial" w:cs="Arial"/>
                <w:sz w:val="16"/>
                <w:szCs w:val="16"/>
              </w:rPr>
              <w:t xml:space="preserve"> </w:t>
            </w:r>
            <w:r>
              <w:rPr>
                <w:rFonts w:ascii="Arial" w:eastAsia="Calibri" w:hAnsi="Arial" w:cs="Arial"/>
                <w:sz w:val="16"/>
                <w:szCs w:val="16"/>
              </w:rPr>
              <w:t>the northern Australia agenda</w:t>
            </w:r>
            <w:r>
              <w:rPr>
                <w:rFonts w:ascii="Arial" w:eastAsia="Calibri" w:hAnsi="Arial" w:cs="Arial"/>
                <w:i/>
                <w:sz w:val="16"/>
                <w:szCs w:val="16"/>
              </w:rPr>
              <w:t xml:space="preserve"> </w:t>
            </w:r>
            <w:r w:rsidRPr="002656D3">
              <w:rPr>
                <w:rFonts w:ascii="Arial" w:eastAsia="Calibri" w:hAnsi="Arial" w:cs="Arial"/>
                <w:sz w:val="16"/>
                <w:szCs w:val="16"/>
                <w:vertAlign w:val="superscript"/>
              </w:rPr>
              <w:t>(a)</w:t>
            </w:r>
          </w:p>
        </w:tc>
      </w:tr>
      <w:tr w:rsidR="00115843" w:rsidRPr="00160C23" w14:paraId="30DA160C" w14:textId="77777777" w:rsidTr="00FB0D02">
        <w:trPr>
          <w:trHeight w:val="258"/>
        </w:trPr>
        <w:tc>
          <w:tcPr>
            <w:tcW w:w="1010" w:type="pct"/>
            <w:tcBorders>
              <w:top w:val="double" w:sz="4" w:space="0" w:color="auto"/>
              <w:bottom w:val="single" w:sz="4" w:space="0" w:color="auto"/>
              <w:right w:val="single" w:sz="4" w:space="0" w:color="auto"/>
            </w:tcBorders>
          </w:tcPr>
          <w:p w14:paraId="39DED950" w14:textId="77777777" w:rsidR="00115843" w:rsidRPr="00CD1CF1" w:rsidRDefault="00115843" w:rsidP="00FB0D02">
            <w:pPr>
              <w:pStyle w:val="TableTextBase"/>
              <w:rPr>
                <w:b/>
                <w:sz w:val="16"/>
                <w:szCs w:val="16"/>
              </w:rPr>
            </w:pPr>
            <w:r w:rsidRPr="00CD1CF1">
              <w:rPr>
                <w:b/>
                <w:sz w:val="16"/>
                <w:szCs w:val="16"/>
              </w:rPr>
              <w:t>Year</w:t>
            </w:r>
          </w:p>
        </w:tc>
        <w:tc>
          <w:tcPr>
            <w:tcW w:w="1609" w:type="pct"/>
            <w:tcBorders>
              <w:top w:val="double" w:sz="4" w:space="0" w:color="auto"/>
              <w:left w:val="single" w:sz="4" w:space="0" w:color="auto"/>
              <w:bottom w:val="single" w:sz="4" w:space="0" w:color="auto"/>
              <w:right w:val="single" w:sz="4" w:space="0" w:color="auto"/>
            </w:tcBorders>
          </w:tcPr>
          <w:p w14:paraId="3543B186"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00FE24E5"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5307EA" w14:paraId="04D2C653" w14:textId="77777777" w:rsidTr="00FB0D02">
        <w:trPr>
          <w:cantSplit/>
          <w:trHeight w:val="642"/>
        </w:trPr>
        <w:tc>
          <w:tcPr>
            <w:tcW w:w="1010" w:type="pct"/>
            <w:tcBorders>
              <w:top w:val="single" w:sz="4" w:space="0" w:color="auto"/>
              <w:bottom w:val="nil"/>
              <w:right w:val="single" w:sz="4" w:space="0" w:color="auto"/>
            </w:tcBorders>
          </w:tcPr>
          <w:p w14:paraId="398C8E52"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w:t>
            </w:r>
          </w:p>
        </w:tc>
        <w:tc>
          <w:tcPr>
            <w:tcW w:w="1609" w:type="pct"/>
            <w:tcBorders>
              <w:top w:val="single" w:sz="4" w:space="0" w:color="auto"/>
              <w:left w:val="single" w:sz="4" w:space="0" w:color="auto"/>
              <w:bottom w:val="single" w:sz="4" w:space="0" w:color="auto"/>
              <w:right w:val="single" w:sz="4" w:space="0" w:color="auto"/>
            </w:tcBorders>
          </w:tcPr>
          <w:p w14:paraId="603CBB76" w14:textId="77777777" w:rsidR="00115843" w:rsidRPr="00FD292C" w:rsidRDefault="00115843" w:rsidP="00FB0D02">
            <w:pPr>
              <w:spacing w:before="60" w:after="60" w:line="240" w:lineRule="auto"/>
              <w:contextualSpacing/>
              <w:rPr>
                <w:b/>
                <w:sz w:val="16"/>
                <w:szCs w:val="16"/>
                <w:lang w:val="en-US"/>
              </w:rPr>
            </w:pPr>
            <w:r w:rsidRPr="00FD292C">
              <w:rPr>
                <w:rFonts w:ascii="Arial" w:eastAsia="Calibri" w:hAnsi="Arial" w:cs="Arial"/>
                <w:sz w:val="16"/>
                <w:szCs w:val="16"/>
              </w:rPr>
              <w:t xml:space="preserve">Implementing </w:t>
            </w:r>
            <w:r w:rsidRPr="00FD292C">
              <w:rPr>
                <w:rFonts w:ascii="Arial" w:eastAsia="Calibri" w:hAnsi="Arial" w:cs="Arial"/>
                <w:i/>
                <w:sz w:val="16"/>
                <w:szCs w:val="16"/>
              </w:rPr>
              <w:t>Our North, Our Future: 2021</w:t>
            </w:r>
            <w:r w:rsidRPr="00FD292C">
              <w:rPr>
                <w:rFonts w:ascii="Arial" w:eastAsia="Calibri" w:hAnsi="Arial" w:cs="Arial"/>
                <w:i/>
                <w:sz w:val="16"/>
                <w:szCs w:val="16"/>
              </w:rPr>
              <w:noBreakHyphen/>
              <w:t>2026</w:t>
            </w:r>
          </w:p>
        </w:tc>
        <w:tc>
          <w:tcPr>
            <w:tcW w:w="2381" w:type="pct"/>
            <w:tcBorders>
              <w:top w:val="single" w:sz="4" w:space="0" w:color="auto"/>
              <w:left w:val="single" w:sz="4" w:space="0" w:color="auto"/>
              <w:bottom w:val="single" w:sz="4" w:space="0" w:color="auto"/>
            </w:tcBorders>
          </w:tcPr>
          <w:p w14:paraId="14F093F5"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 xml:space="preserve">Target: Implementation of </w:t>
            </w:r>
            <w:r w:rsidRPr="00FD292C">
              <w:rPr>
                <w:rFonts w:ascii="Arial" w:eastAsia="Calibri" w:hAnsi="Arial" w:cs="Arial"/>
                <w:i/>
                <w:sz w:val="16"/>
                <w:szCs w:val="16"/>
              </w:rPr>
              <w:t xml:space="preserve">Our North, Our Future: 2021–2026 </w:t>
            </w:r>
            <w:r w:rsidRPr="00FD292C">
              <w:rPr>
                <w:rFonts w:ascii="Arial" w:eastAsia="Calibri" w:hAnsi="Arial" w:cs="Arial"/>
                <w:sz w:val="16"/>
                <w:szCs w:val="16"/>
              </w:rPr>
              <w:t>initiatives</w:t>
            </w:r>
          </w:p>
          <w:p w14:paraId="6C68DBAB"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Implement an evaluation framework which includes identifying indicators and a methodology for performance monitoring, and establishing a baseline</w:t>
            </w:r>
          </w:p>
          <w:p w14:paraId="0DC01BC5"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partially met</w:t>
            </w:r>
          </w:p>
          <w:p w14:paraId="1DF616BB"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Actual: Initiatives are on track to be completed by their scheduled completion date. Strategies are in place to address risks or delays to delivery schedules</w:t>
            </w:r>
          </w:p>
        </w:tc>
      </w:tr>
      <w:tr w:rsidR="00115843" w:rsidRPr="005307EA" w14:paraId="500C377E" w14:textId="77777777" w:rsidTr="00FB0D02">
        <w:trPr>
          <w:cantSplit/>
          <w:trHeight w:val="1823"/>
        </w:trPr>
        <w:tc>
          <w:tcPr>
            <w:tcW w:w="1010" w:type="pct"/>
            <w:tcBorders>
              <w:top w:val="nil"/>
              <w:bottom w:val="double" w:sz="4" w:space="0" w:color="auto"/>
              <w:right w:val="single" w:sz="4" w:space="0" w:color="auto"/>
            </w:tcBorders>
          </w:tcPr>
          <w:p w14:paraId="250F0F15" w14:textId="77777777" w:rsidR="00115843" w:rsidRPr="00FD292C" w:rsidRDefault="00115843" w:rsidP="00FB0D02">
            <w:pPr>
              <w:pStyle w:val="TableTextBase"/>
              <w:rPr>
                <w:sz w:val="16"/>
                <w:szCs w:val="16"/>
              </w:rPr>
            </w:pPr>
          </w:p>
        </w:tc>
        <w:tc>
          <w:tcPr>
            <w:tcW w:w="1609" w:type="pct"/>
            <w:tcBorders>
              <w:top w:val="single" w:sz="4" w:space="0" w:color="auto"/>
              <w:left w:val="single" w:sz="4" w:space="0" w:color="auto"/>
              <w:bottom w:val="double" w:sz="4" w:space="0" w:color="auto"/>
              <w:right w:val="single" w:sz="4" w:space="0" w:color="auto"/>
            </w:tcBorders>
          </w:tcPr>
          <w:p w14:paraId="4DC2638F"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Impacts of projects supported by the Northern Australia Infrastructure Facility (NAIF) during the financial year, indicated through:</w:t>
            </w:r>
          </w:p>
          <w:p w14:paraId="35723101" w14:textId="77777777" w:rsidR="00115843" w:rsidRPr="00FD292C" w:rsidRDefault="00115843" w:rsidP="00115843">
            <w:pPr>
              <w:numPr>
                <w:ilvl w:val="0"/>
                <w:numId w:val="214"/>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Total number of new jobs created</w:t>
            </w:r>
          </w:p>
          <w:p w14:paraId="78CEB4D9" w14:textId="77777777" w:rsidR="00115843" w:rsidRPr="00FD292C" w:rsidRDefault="00115843" w:rsidP="00115843">
            <w:pPr>
              <w:numPr>
                <w:ilvl w:val="0"/>
                <w:numId w:val="214"/>
              </w:numPr>
              <w:spacing w:before="60" w:after="60" w:line="240" w:lineRule="auto"/>
              <w:contextualSpacing/>
              <w:rPr>
                <w:b/>
                <w:sz w:val="16"/>
                <w:szCs w:val="16"/>
                <w:lang w:val="en-US"/>
              </w:rPr>
            </w:pPr>
            <w:r w:rsidRPr="00FD292C">
              <w:rPr>
                <w:rFonts w:ascii="Arial" w:eastAsia="Calibri" w:hAnsi="Arial" w:cs="Arial"/>
                <w:sz w:val="16"/>
                <w:szCs w:val="16"/>
              </w:rPr>
              <w:t>Total number of new Indigenous jobs created</w:t>
            </w:r>
          </w:p>
        </w:tc>
        <w:tc>
          <w:tcPr>
            <w:tcW w:w="2381" w:type="pct"/>
            <w:tcBorders>
              <w:top w:val="single" w:sz="4" w:space="0" w:color="auto"/>
              <w:left w:val="single" w:sz="4" w:space="0" w:color="auto"/>
              <w:bottom w:val="double" w:sz="4" w:space="0" w:color="auto"/>
            </w:tcBorders>
          </w:tcPr>
          <w:p w14:paraId="2CFCDF98"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Year-on-year increase</w:t>
            </w:r>
          </w:p>
          <w:p w14:paraId="7C1AA04F"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met</w:t>
            </w:r>
          </w:p>
          <w:p w14:paraId="2484EB97"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 xml:space="preserve">Actual: </w:t>
            </w:r>
          </w:p>
          <w:p w14:paraId="1A4EC11F" w14:textId="77777777" w:rsidR="00115843" w:rsidRPr="00FD292C" w:rsidRDefault="00115843" w:rsidP="00115843">
            <w:pPr>
              <w:pStyle w:val="TableTextBase"/>
              <w:numPr>
                <w:ilvl w:val="0"/>
                <w:numId w:val="215"/>
              </w:numPr>
              <w:ind w:left="360"/>
              <w:rPr>
                <w:sz w:val="16"/>
                <w:szCs w:val="16"/>
              </w:rPr>
            </w:pPr>
            <w:r w:rsidRPr="00FD292C">
              <w:rPr>
                <w:sz w:val="16"/>
                <w:szCs w:val="16"/>
              </w:rPr>
              <w:t>3,713 jobs created or supported</w:t>
            </w:r>
          </w:p>
          <w:p w14:paraId="5A537DC1" w14:textId="77777777" w:rsidR="00115843" w:rsidRPr="00FD292C" w:rsidRDefault="00115843" w:rsidP="00115843">
            <w:pPr>
              <w:pStyle w:val="TableTextBase"/>
              <w:numPr>
                <w:ilvl w:val="0"/>
                <w:numId w:val="215"/>
              </w:numPr>
              <w:ind w:left="360"/>
              <w:rPr>
                <w:sz w:val="16"/>
                <w:szCs w:val="16"/>
              </w:rPr>
            </w:pPr>
            <w:r w:rsidRPr="00FD292C">
              <w:rPr>
                <w:sz w:val="16"/>
                <w:szCs w:val="16"/>
              </w:rPr>
              <w:t>Not available</w:t>
            </w:r>
          </w:p>
        </w:tc>
      </w:tr>
      <w:tr w:rsidR="00115843" w:rsidRPr="00160C23" w14:paraId="0D4D97D7" w14:textId="77777777" w:rsidTr="00FB0D02">
        <w:trPr>
          <w:trHeight w:val="258"/>
        </w:trPr>
        <w:tc>
          <w:tcPr>
            <w:tcW w:w="1010" w:type="pct"/>
            <w:tcBorders>
              <w:top w:val="double" w:sz="4" w:space="0" w:color="auto"/>
              <w:bottom w:val="single" w:sz="4" w:space="0" w:color="auto"/>
              <w:right w:val="single" w:sz="4" w:space="0" w:color="auto"/>
            </w:tcBorders>
          </w:tcPr>
          <w:p w14:paraId="7FB9C991" w14:textId="77777777" w:rsidR="00115843" w:rsidRPr="00CD1CF1" w:rsidRDefault="00115843" w:rsidP="00FB0D02">
            <w:pPr>
              <w:pStyle w:val="TableTextBase"/>
              <w:rPr>
                <w:b/>
                <w:sz w:val="16"/>
                <w:szCs w:val="16"/>
              </w:rPr>
            </w:pPr>
            <w:r w:rsidRPr="00CD1CF1">
              <w:rPr>
                <w:b/>
                <w:sz w:val="16"/>
                <w:szCs w:val="16"/>
              </w:rPr>
              <w:t>Year</w:t>
            </w:r>
          </w:p>
        </w:tc>
        <w:tc>
          <w:tcPr>
            <w:tcW w:w="1609" w:type="pct"/>
            <w:tcBorders>
              <w:top w:val="double" w:sz="4" w:space="0" w:color="auto"/>
              <w:left w:val="single" w:sz="4" w:space="0" w:color="auto"/>
              <w:bottom w:val="single" w:sz="4" w:space="0" w:color="auto"/>
              <w:right w:val="single" w:sz="4" w:space="0" w:color="auto"/>
            </w:tcBorders>
          </w:tcPr>
          <w:p w14:paraId="1576B5FE"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06307D8F" w14:textId="77777777" w:rsidR="00115843" w:rsidRPr="00CD1CF1" w:rsidRDefault="00115843" w:rsidP="00FB0D02">
            <w:pPr>
              <w:pStyle w:val="TableTextBase"/>
              <w:rPr>
                <w:rFonts w:cs="Arial"/>
                <w:b/>
                <w:sz w:val="16"/>
                <w:szCs w:val="16"/>
              </w:rPr>
            </w:pPr>
            <w:r w:rsidRPr="00CD1CF1">
              <w:rPr>
                <w:rFonts w:cs="Arial"/>
                <w:b/>
                <w:sz w:val="16"/>
                <w:szCs w:val="16"/>
              </w:rPr>
              <w:t>Planned Performance Results</w:t>
            </w:r>
          </w:p>
        </w:tc>
      </w:tr>
      <w:tr w:rsidR="00115843" w14:paraId="0DEAC3BD" w14:textId="77777777" w:rsidTr="00CA175C">
        <w:trPr>
          <w:cantSplit/>
          <w:trHeight w:val="419"/>
        </w:trPr>
        <w:tc>
          <w:tcPr>
            <w:tcW w:w="1010" w:type="pct"/>
            <w:vMerge w:val="restart"/>
            <w:tcBorders>
              <w:top w:val="single" w:sz="4" w:space="0" w:color="auto"/>
              <w:right w:val="single" w:sz="4" w:space="0" w:color="auto"/>
            </w:tcBorders>
          </w:tcPr>
          <w:p w14:paraId="74C6D21E" w14:textId="77777777" w:rsidR="00115843" w:rsidRPr="00DB0E5D" w:rsidRDefault="00115843" w:rsidP="00FB0D02">
            <w:pPr>
              <w:spacing w:before="60" w:after="60" w:line="240" w:lineRule="auto"/>
              <w:rPr>
                <w:sz w:val="16"/>
                <w:szCs w:val="16"/>
              </w:rPr>
            </w:pPr>
            <w:r w:rsidRPr="008D55A3">
              <w:rPr>
                <w:rFonts w:ascii="Arial" w:eastAsia="Calibri" w:hAnsi="Arial" w:cs="Arial"/>
                <w:sz w:val="16"/>
                <w:szCs w:val="16"/>
              </w:rPr>
              <w:t xml:space="preserve">Budget </w:t>
            </w:r>
            <w:r>
              <w:rPr>
                <w:rFonts w:ascii="Arial" w:eastAsia="Calibri" w:hAnsi="Arial" w:cs="Arial"/>
                <w:sz w:val="16"/>
                <w:szCs w:val="16"/>
              </w:rPr>
              <w:t>year</w:t>
            </w:r>
            <w:r>
              <w:rPr>
                <w:rFonts w:ascii="Arial" w:eastAsia="Calibri" w:hAnsi="Arial" w:cs="Arial"/>
                <w:sz w:val="16"/>
                <w:szCs w:val="16"/>
              </w:rPr>
              <w:br/>
            </w:r>
            <w:r w:rsidRPr="008D55A3">
              <w:rPr>
                <w:rFonts w:ascii="Arial" w:eastAsia="Calibri" w:hAnsi="Arial" w:cs="Arial"/>
                <w:sz w:val="16"/>
                <w:szCs w:val="16"/>
              </w:rPr>
              <w:t>2022–23</w:t>
            </w:r>
            <w:r w:rsidRPr="00DB0E5D">
              <w:rPr>
                <w:rFonts w:eastAsia="Calibri" w:cs="Arial"/>
                <w:sz w:val="16"/>
                <w:szCs w:val="16"/>
                <w:lang w:eastAsia="en-US"/>
              </w:rPr>
              <w:t xml:space="preserve"> </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0A77BFE3" w14:textId="77777777" w:rsidR="00115843" w:rsidRPr="00295564" w:rsidRDefault="00115843" w:rsidP="00FB0D02">
            <w:pPr>
              <w:spacing w:before="60" w:after="60" w:line="240" w:lineRule="auto"/>
              <w:rPr>
                <w:b/>
                <w:lang w:val="en-US"/>
              </w:rPr>
            </w:pPr>
            <w:r w:rsidRPr="003D46F4">
              <w:rPr>
                <w:rFonts w:ascii="Arial" w:eastAsia="Calibri" w:hAnsi="Arial" w:cs="Arial"/>
                <w:i/>
                <w:sz w:val="16"/>
                <w:szCs w:val="16"/>
              </w:rPr>
              <w:t>Implementing key initiatives of the northern Australia agenda</w:t>
            </w:r>
          </w:p>
        </w:tc>
        <w:tc>
          <w:tcPr>
            <w:tcW w:w="2381" w:type="pct"/>
            <w:tcBorders>
              <w:top w:val="single" w:sz="4" w:space="0" w:color="auto"/>
              <w:left w:val="single" w:sz="4" w:space="0" w:color="auto"/>
              <w:bottom w:val="single" w:sz="4" w:space="0" w:color="auto"/>
            </w:tcBorders>
            <w:shd w:val="clear" w:color="auto" w:fill="auto"/>
          </w:tcPr>
          <w:p w14:paraId="2F092C07" w14:textId="77777777" w:rsidR="00115843" w:rsidRPr="00D36C35" w:rsidRDefault="00115843" w:rsidP="00FB0D02">
            <w:pPr>
              <w:spacing w:before="60" w:after="60" w:line="240" w:lineRule="auto"/>
              <w:rPr>
                <w:rFonts w:eastAsia="Calibri" w:cs="Arial"/>
                <w:szCs w:val="16"/>
                <w:lang w:eastAsia="en-US"/>
              </w:rPr>
            </w:pPr>
            <w:r w:rsidRPr="008D55A3">
              <w:rPr>
                <w:rFonts w:ascii="Arial" w:eastAsia="Calibri" w:hAnsi="Arial" w:cs="Arial"/>
                <w:sz w:val="16"/>
                <w:szCs w:val="16"/>
              </w:rPr>
              <w:t>Progress implementation of key initiatives according to agreed milestones</w:t>
            </w:r>
          </w:p>
        </w:tc>
      </w:tr>
      <w:tr w:rsidR="00115843" w14:paraId="2EE6C114" w14:textId="77777777" w:rsidTr="00FB0D02">
        <w:trPr>
          <w:cantSplit/>
          <w:trHeight w:val="1865"/>
        </w:trPr>
        <w:tc>
          <w:tcPr>
            <w:tcW w:w="1010" w:type="pct"/>
            <w:vMerge/>
            <w:tcBorders>
              <w:bottom w:val="single" w:sz="4" w:space="0" w:color="auto"/>
              <w:right w:val="single" w:sz="4" w:space="0" w:color="auto"/>
            </w:tcBorders>
          </w:tcPr>
          <w:p w14:paraId="0263F02C" w14:textId="77777777" w:rsidR="00115843" w:rsidRPr="00BE08C4" w:rsidRDefault="00115843" w:rsidP="00FB0D02">
            <w:pPr>
              <w:spacing w:before="60" w:after="60" w:line="240" w:lineRule="auto"/>
              <w:rPr>
                <w:rFonts w:ascii="Arial" w:eastAsia="Calibri" w:hAnsi="Arial" w:cs="Arial"/>
                <w:sz w:val="16"/>
                <w:szCs w:val="16"/>
              </w:rPr>
            </w:pP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4F01788A" w14:textId="77777777" w:rsidR="00115843" w:rsidRPr="00A46594" w:rsidRDefault="00115843" w:rsidP="00FB0D02">
            <w:pPr>
              <w:spacing w:before="60" w:after="60" w:line="240" w:lineRule="auto"/>
              <w:rPr>
                <w:rFonts w:ascii="Arial" w:eastAsia="Calibri" w:hAnsi="Arial" w:cs="Arial"/>
                <w:sz w:val="16"/>
                <w:szCs w:val="16"/>
              </w:rPr>
            </w:pPr>
            <w:r w:rsidRPr="00A46594">
              <w:rPr>
                <w:rFonts w:ascii="Arial" w:eastAsia="Calibri" w:hAnsi="Arial" w:cs="Arial"/>
                <w:sz w:val="16"/>
                <w:szCs w:val="16"/>
              </w:rPr>
              <w:t>Impacts of projects supported by the Northern Australia Infrastructure Facility (NAIF) during the financial year, indicated through:</w:t>
            </w:r>
          </w:p>
          <w:p w14:paraId="067A1497" w14:textId="77777777" w:rsidR="00115843" w:rsidRDefault="00115843" w:rsidP="00115843">
            <w:pPr>
              <w:numPr>
                <w:ilvl w:val="0"/>
                <w:numId w:val="216"/>
              </w:numPr>
              <w:spacing w:before="60" w:after="60" w:line="240" w:lineRule="auto"/>
              <w:contextualSpacing/>
              <w:rPr>
                <w:rFonts w:ascii="Arial" w:eastAsia="Calibri" w:hAnsi="Arial" w:cs="Arial"/>
                <w:sz w:val="16"/>
                <w:szCs w:val="16"/>
              </w:rPr>
            </w:pPr>
            <w:r w:rsidRPr="00A46594">
              <w:rPr>
                <w:rFonts w:ascii="Arial" w:eastAsia="Calibri" w:hAnsi="Arial" w:cs="Arial"/>
                <w:sz w:val="16"/>
                <w:szCs w:val="16"/>
              </w:rPr>
              <w:t>Total number of new jobs created</w:t>
            </w:r>
          </w:p>
          <w:p w14:paraId="14748FCB" w14:textId="77777777" w:rsidR="00115843" w:rsidRPr="00295564" w:rsidRDefault="00115843" w:rsidP="00115843">
            <w:pPr>
              <w:numPr>
                <w:ilvl w:val="0"/>
                <w:numId w:val="216"/>
              </w:numPr>
              <w:spacing w:before="60" w:after="60" w:line="240" w:lineRule="auto"/>
              <w:contextualSpacing/>
              <w:rPr>
                <w:b/>
                <w:lang w:val="en-US"/>
              </w:rPr>
            </w:pPr>
            <w:r w:rsidRPr="00972499">
              <w:rPr>
                <w:rFonts w:ascii="Arial" w:eastAsia="Calibri" w:hAnsi="Arial" w:cs="Arial"/>
                <w:sz w:val="16"/>
                <w:szCs w:val="16"/>
              </w:rPr>
              <w:t>Total number of new Indigenous jobs created</w:t>
            </w:r>
          </w:p>
        </w:tc>
        <w:tc>
          <w:tcPr>
            <w:tcW w:w="2381" w:type="pct"/>
            <w:tcBorders>
              <w:top w:val="single" w:sz="4" w:space="0" w:color="auto"/>
              <w:left w:val="single" w:sz="4" w:space="0" w:color="auto"/>
              <w:bottom w:val="single" w:sz="4" w:space="0" w:color="auto"/>
            </w:tcBorders>
            <w:shd w:val="clear" w:color="auto" w:fill="auto"/>
          </w:tcPr>
          <w:p w14:paraId="56BD154B" w14:textId="77777777" w:rsidR="00115843" w:rsidRPr="00A5765A" w:rsidRDefault="00115843" w:rsidP="00FB0D02">
            <w:pPr>
              <w:spacing w:before="60" w:after="60" w:line="240" w:lineRule="auto"/>
              <w:ind w:right="-12"/>
              <w:rPr>
                <w:szCs w:val="16"/>
              </w:rPr>
            </w:pPr>
            <w:r w:rsidRPr="00A46594">
              <w:rPr>
                <w:rFonts w:ascii="Arial" w:eastAsia="Calibri" w:hAnsi="Arial" w:cs="Arial"/>
                <w:sz w:val="16"/>
                <w:szCs w:val="16"/>
              </w:rPr>
              <w:t>Year-on-year increase</w:t>
            </w:r>
          </w:p>
        </w:tc>
      </w:tr>
    </w:tbl>
    <w:p w14:paraId="6589E625"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115843" w:rsidRPr="00160C23" w14:paraId="5D07E625" w14:textId="77777777" w:rsidTr="00FD292C">
        <w:trPr>
          <w:trHeight w:val="258"/>
        </w:trPr>
        <w:tc>
          <w:tcPr>
            <w:tcW w:w="1010" w:type="pct"/>
            <w:tcBorders>
              <w:top w:val="double" w:sz="4" w:space="0" w:color="auto"/>
              <w:bottom w:val="single" w:sz="4" w:space="0" w:color="auto"/>
              <w:right w:val="single" w:sz="4" w:space="0" w:color="auto"/>
            </w:tcBorders>
          </w:tcPr>
          <w:p w14:paraId="764EF706" w14:textId="77777777" w:rsidR="00115843" w:rsidRPr="00CD1CF1" w:rsidRDefault="00115843" w:rsidP="00FB0D02">
            <w:pPr>
              <w:pStyle w:val="TableTextBase"/>
              <w:rPr>
                <w:b/>
                <w:sz w:val="16"/>
                <w:szCs w:val="16"/>
              </w:rPr>
            </w:pPr>
            <w:r w:rsidRPr="00CD1CF1">
              <w:rPr>
                <w:b/>
                <w:sz w:val="16"/>
                <w:szCs w:val="16"/>
              </w:rPr>
              <w:lastRenderedPageBreak/>
              <w:t>Year</w:t>
            </w:r>
          </w:p>
        </w:tc>
        <w:tc>
          <w:tcPr>
            <w:tcW w:w="1609" w:type="pct"/>
            <w:tcBorders>
              <w:top w:val="double" w:sz="4" w:space="0" w:color="auto"/>
              <w:left w:val="single" w:sz="4" w:space="0" w:color="auto"/>
              <w:bottom w:val="single" w:sz="4" w:space="0" w:color="auto"/>
              <w:right w:val="single" w:sz="4" w:space="0" w:color="auto"/>
            </w:tcBorders>
          </w:tcPr>
          <w:p w14:paraId="4E679C5C"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77E666EF" w14:textId="77777777" w:rsidR="00115843" w:rsidRPr="00CD1CF1" w:rsidRDefault="00115843" w:rsidP="00FB0D02">
            <w:pPr>
              <w:pStyle w:val="TableTextBase"/>
              <w:rPr>
                <w:rFonts w:cs="Arial"/>
                <w:b/>
                <w:sz w:val="16"/>
                <w:szCs w:val="16"/>
              </w:rPr>
            </w:pPr>
            <w:r w:rsidRPr="00CD1CF1">
              <w:rPr>
                <w:rFonts w:cs="Arial"/>
                <w:b/>
                <w:sz w:val="16"/>
                <w:szCs w:val="16"/>
              </w:rPr>
              <w:t>Planned Performance Results</w:t>
            </w:r>
          </w:p>
        </w:tc>
      </w:tr>
      <w:tr w:rsidR="00115843" w14:paraId="4725C0DF" w14:textId="77777777" w:rsidTr="00FD292C">
        <w:trPr>
          <w:cantSplit/>
          <w:trHeight w:val="642"/>
        </w:trPr>
        <w:tc>
          <w:tcPr>
            <w:tcW w:w="1010" w:type="pct"/>
            <w:vMerge w:val="restart"/>
            <w:tcBorders>
              <w:top w:val="single" w:sz="4" w:space="0" w:color="auto"/>
              <w:right w:val="single" w:sz="4" w:space="0" w:color="auto"/>
            </w:tcBorders>
          </w:tcPr>
          <w:p w14:paraId="1314F515" w14:textId="77777777" w:rsidR="00115843" w:rsidRPr="008D55A3" w:rsidRDefault="00115843" w:rsidP="00FB0D02">
            <w:pPr>
              <w:spacing w:before="60" w:after="60" w:line="240" w:lineRule="auto"/>
              <w:rPr>
                <w:rFonts w:ascii="Arial" w:eastAsia="Calibri" w:hAnsi="Arial" w:cs="Arial"/>
                <w:sz w:val="16"/>
                <w:szCs w:val="16"/>
              </w:rPr>
            </w:pPr>
            <w:r w:rsidRPr="008D55A3">
              <w:rPr>
                <w:rFonts w:ascii="Arial" w:eastAsia="Calibri" w:hAnsi="Arial" w:cs="Arial"/>
                <w:sz w:val="16"/>
                <w:szCs w:val="16"/>
              </w:rPr>
              <w:t>Forward Estimates</w:t>
            </w:r>
            <w:r w:rsidRPr="008D55A3">
              <w:rPr>
                <w:rFonts w:ascii="Arial" w:eastAsia="Calibri" w:hAnsi="Arial" w:cs="Arial"/>
                <w:sz w:val="16"/>
                <w:szCs w:val="16"/>
              </w:rPr>
              <w:br/>
              <w:t>2023–26</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260ADFBA" w14:textId="77777777" w:rsidR="00115843" w:rsidRPr="00295564" w:rsidRDefault="00115843" w:rsidP="00FB0D02">
            <w:pPr>
              <w:spacing w:before="60" w:after="60" w:line="240" w:lineRule="auto"/>
              <w:rPr>
                <w:b/>
                <w:lang w:val="en-US"/>
              </w:rPr>
            </w:pPr>
            <w:r w:rsidRPr="0016575D">
              <w:rPr>
                <w:rFonts w:ascii="Arial" w:eastAsia="Calibri" w:hAnsi="Arial" w:cs="Arial"/>
                <w:i/>
                <w:sz w:val="16"/>
                <w:szCs w:val="16"/>
              </w:rPr>
              <w:t xml:space="preserve">Implementing key initiatives of the northern Australia agenda </w:t>
            </w:r>
          </w:p>
        </w:tc>
        <w:tc>
          <w:tcPr>
            <w:tcW w:w="2381" w:type="pct"/>
            <w:tcBorders>
              <w:top w:val="single" w:sz="4" w:space="0" w:color="auto"/>
              <w:left w:val="single" w:sz="4" w:space="0" w:color="auto"/>
              <w:bottom w:val="single" w:sz="4" w:space="0" w:color="auto"/>
            </w:tcBorders>
            <w:shd w:val="clear" w:color="auto" w:fill="auto"/>
          </w:tcPr>
          <w:p w14:paraId="0A35A5C9" w14:textId="182DA066" w:rsidR="00115843" w:rsidRPr="008D55A3" w:rsidDel="008E1A6E" w:rsidRDefault="00115843" w:rsidP="00FB0D02">
            <w:pPr>
              <w:spacing w:before="60" w:after="60" w:line="240" w:lineRule="auto"/>
              <w:rPr>
                <w:rFonts w:eastAsia="Calibri" w:cs="Arial"/>
                <w:szCs w:val="16"/>
              </w:rPr>
            </w:pPr>
            <w:r w:rsidRPr="008D55A3">
              <w:rPr>
                <w:rFonts w:ascii="Arial" w:eastAsia="Calibri" w:hAnsi="Arial" w:cs="Arial"/>
                <w:sz w:val="16"/>
                <w:szCs w:val="16"/>
              </w:rPr>
              <w:t>Forward targets to be set following implementation of monitoring, evaluation and reporting framework in late 2022</w:t>
            </w:r>
            <w:r w:rsidR="00C00405">
              <w:rPr>
                <w:rFonts w:ascii="Arial" w:eastAsia="Calibri" w:hAnsi="Arial" w:cs="Arial"/>
                <w:sz w:val="16"/>
                <w:szCs w:val="16"/>
              </w:rPr>
              <w:t>.</w:t>
            </w:r>
          </w:p>
        </w:tc>
      </w:tr>
      <w:tr w:rsidR="00115843" w14:paraId="3E7F0A3E" w14:textId="77777777" w:rsidTr="00FD292C">
        <w:trPr>
          <w:cantSplit/>
          <w:trHeight w:val="1513"/>
        </w:trPr>
        <w:tc>
          <w:tcPr>
            <w:tcW w:w="1010" w:type="pct"/>
            <w:vMerge/>
            <w:tcBorders>
              <w:bottom w:val="single" w:sz="4" w:space="0" w:color="auto"/>
              <w:right w:val="single" w:sz="4" w:space="0" w:color="auto"/>
            </w:tcBorders>
          </w:tcPr>
          <w:p w14:paraId="0E651557" w14:textId="77777777" w:rsidR="00115843" w:rsidRDefault="00115843" w:rsidP="00FB0D02">
            <w:pPr>
              <w:spacing w:before="60" w:after="60" w:line="240" w:lineRule="auto"/>
              <w:rPr>
                <w:rFonts w:ascii="Arial" w:eastAsia="Calibri" w:hAnsi="Arial" w:cs="Arial"/>
                <w:sz w:val="16"/>
                <w:szCs w:val="16"/>
              </w:rPr>
            </w:pP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56F0546A" w14:textId="77777777" w:rsidR="00115843" w:rsidRPr="00A46594" w:rsidRDefault="00115843" w:rsidP="00FB0D02">
            <w:pPr>
              <w:spacing w:before="60" w:after="60" w:line="240" w:lineRule="auto"/>
              <w:rPr>
                <w:rFonts w:ascii="Arial" w:eastAsia="Calibri" w:hAnsi="Arial" w:cs="Arial"/>
                <w:sz w:val="16"/>
                <w:szCs w:val="16"/>
              </w:rPr>
            </w:pPr>
            <w:r w:rsidRPr="00A46594">
              <w:rPr>
                <w:rFonts w:ascii="Arial" w:eastAsia="Calibri" w:hAnsi="Arial" w:cs="Arial"/>
                <w:sz w:val="16"/>
                <w:szCs w:val="16"/>
              </w:rPr>
              <w:t>Impacts of projects supported by the Northern Australia Infrastructure Facility (NAIF) during the financial year, indicated through:</w:t>
            </w:r>
          </w:p>
          <w:p w14:paraId="5CE34DFB" w14:textId="77777777" w:rsidR="00115843" w:rsidRDefault="00115843" w:rsidP="00115843">
            <w:pPr>
              <w:numPr>
                <w:ilvl w:val="0"/>
                <w:numId w:val="217"/>
              </w:numPr>
              <w:spacing w:before="60" w:after="60" w:line="240" w:lineRule="auto"/>
              <w:contextualSpacing/>
              <w:rPr>
                <w:rFonts w:ascii="Arial" w:eastAsia="Calibri" w:hAnsi="Arial" w:cs="Arial"/>
                <w:sz w:val="16"/>
                <w:szCs w:val="16"/>
              </w:rPr>
            </w:pPr>
            <w:r w:rsidRPr="00A46594">
              <w:rPr>
                <w:rFonts w:ascii="Arial" w:eastAsia="Calibri" w:hAnsi="Arial" w:cs="Arial"/>
                <w:sz w:val="16"/>
                <w:szCs w:val="16"/>
              </w:rPr>
              <w:t>Total number of new jobs created</w:t>
            </w:r>
          </w:p>
          <w:p w14:paraId="17339078" w14:textId="77777777" w:rsidR="00115843" w:rsidRPr="00295564" w:rsidRDefault="00115843" w:rsidP="00115843">
            <w:pPr>
              <w:numPr>
                <w:ilvl w:val="0"/>
                <w:numId w:val="217"/>
              </w:numPr>
              <w:spacing w:before="60" w:after="60" w:line="240" w:lineRule="auto"/>
              <w:ind w:left="357" w:hanging="357"/>
              <w:rPr>
                <w:b/>
                <w:lang w:val="en-US"/>
              </w:rPr>
            </w:pPr>
            <w:r w:rsidRPr="00972499">
              <w:rPr>
                <w:rFonts w:ascii="Arial" w:eastAsia="Calibri" w:hAnsi="Arial" w:cs="Arial"/>
                <w:sz w:val="16"/>
                <w:szCs w:val="16"/>
              </w:rPr>
              <w:t>Total number of new Indigenous jobs created</w:t>
            </w:r>
            <w:r>
              <w:rPr>
                <w:rFonts w:ascii="Arial" w:eastAsia="Calibri" w:hAnsi="Arial" w:cs="Arial"/>
                <w:sz w:val="16"/>
                <w:szCs w:val="16"/>
              </w:rPr>
              <w:t xml:space="preserve"> </w:t>
            </w:r>
          </w:p>
        </w:tc>
        <w:tc>
          <w:tcPr>
            <w:tcW w:w="2381" w:type="pct"/>
            <w:tcBorders>
              <w:top w:val="single" w:sz="4" w:space="0" w:color="auto"/>
              <w:left w:val="single" w:sz="4" w:space="0" w:color="auto"/>
              <w:bottom w:val="single" w:sz="4" w:space="0" w:color="auto"/>
            </w:tcBorders>
            <w:shd w:val="clear" w:color="auto" w:fill="auto"/>
          </w:tcPr>
          <w:p w14:paraId="303A0FDB" w14:textId="133D1B54" w:rsidR="00115843" w:rsidRPr="0016575D" w:rsidRDefault="00115843" w:rsidP="00FB0D02">
            <w:pPr>
              <w:spacing w:before="60" w:after="60" w:line="240" w:lineRule="auto"/>
              <w:ind w:right="-12"/>
              <w:rPr>
                <w:rFonts w:eastAsia="Calibri" w:cs="Arial"/>
                <w:szCs w:val="16"/>
                <w:lang w:eastAsia="en-US"/>
              </w:rPr>
            </w:pPr>
            <w:r w:rsidRPr="00A46594">
              <w:rPr>
                <w:rFonts w:ascii="Arial" w:eastAsia="Calibri" w:hAnsi="Arial" w:cs="Arial"/>
                <w:sz w:val="16"/>
                <w:szCs w:val="16"/>
              </w:rPr>
              <w:t>Year-on-year increase</w:t>
            </w:r>
            <w:r w:rsidR="00C00405">
              <w:rPr>
                <w:rFonts w:ascii="Arial" w:eastAsia="Calibri" w:hAnsi="Arial" w:cs="Arial"/>
                <w:sz w:val="16"/>
                <w:szCs w:val="16"/>
              </w:rPr>
              <w:t>.</w:t>
            </w:r>
          </w:p>
        </w:tc>
      </w:tr>
    </w:tbl>
    <w:p w14:paraId="2AB8C384" w14:textId="77777777" w:rsidR="00115843" w:rsidRPr="00D36C35" w:rsidRDefault="00115843" w:rsidP="00115843">
      <w:pPr>
        <w:pStyle w:val="ChartandTableFootnoteAlpha"/>
        <w:numPr>
          <w:ilvl w:val="0"/>
          <w:numId w:val="0"/>
        </w:numPr>
        <w:spacing w:before="60"/>
      </w:pPr>
      <w:r w:rsidRPr="006C6EDF">
        <w:t xml:space="preserve">New or modified performance measures that reflect new or materially changed programs are shown in </w:t>
      </w:r>
      <w:r w:rsidRPr="003D46F4">
        <w:rPr>
          <w:i/>
        </w:rPr>
        <w:t>italics.</w:t>
      </w:r>
      <w:r w:rsidRPr="006C6EDF">
        <w:t xml:space="preserve"> </w:t>
      </w:r>
    </w:p>
    <w:p w14:paraId="0D317460" w14:textId="77777777" w:rsidR="00115843" w:rsidRDefault="00115843" w:rsidP="00115843">
      <w:pPr>
        <w:pStyle w:val="ChartandTableFootnoteAlpha"/>
        <w:numPr>
          <w:ilvl w:val="0"/>
          <w:numId w:val="8"/>
        </w:numPr>
        <w:rPr>
          <w:rFonts w:cs="Arial"/>
          <w:szCs w:val="14"/>
        </w:rPr>
      </w:pPr>
      <w:r w:rsidRPr="0069390B">
        <w:rPr>
          <w:rFonts w:cs="Arial"/>
          <w:szCs w:val="14"/>
        </w:rPr>
        <w:t xml:space="preserve">Refers to updated key activity that </w:t>
      </w:r>
      <w:r>
        <w:rPr>
          <w:rFonts w:cs="Arial"/>
          <w:szCs w:val="14"/>
        </w:rPr>
        <w:t>is reflected</w:t>
      </w:r>
      <w:r w:rsidRPr="0069390B">
        <w:rPr>
          <w:rFonts w:cs="Arial"/>
          <w:szCs w:val="14"/>
        </w:rPr>
        <w:t xml:space="preserve"> in the 2022–23 Corporate Plan.</w:t>
      </w:r>
    </w:p>
    <w:p w14:paraId="3D4A3D0C"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6414DBB6" w14:textId="77777777" w:rsidR="00115843" w:rsidRPr="00C000B8" w:rsidRDefault="00115843" w:rsidP="00115843">
      <w:pPr>
        <w:pStyle w:val="Heading3-ITRDCA"/>
      </w:pPr>
      <w:bookmarkStart w:id="30" w:name="_Toc99295951"/>
      <w:bookmarkStart w:id="31" w:name="_Toc117242350"/>
      <w:r w:rsidRPr="00C000B8">
        <w:lastRenderedPageBreak/>
        <w:t xml:space="preserve">2.4 </w:t>
      </w:r>
      <w:r w:rsidRPr="00C000B8">
        <w:tab/>
        <w:t>Budgeted expenses and performance for Outcome 4</w:t>
      </w:r>
      <w:bookmarkEnd w:id="30"/>
      <w:bookmarkEnd w:id="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115843" w:rsidRPr="00C00405" w14:paraId="4D1FF6A8" w14:textId="77777777" w:rsidTr="00FB0D02">
        <w:tc>
          <w:tcPr>
            <w:tcW w:w="7677" w:type="dxa"/>
            <w:shd w:val="clear" w:color="auto" w:fill="E6E6E6"/>
          </w:tcPr>
          <w:p w14:paraId="0F3DB39B" w14:textId="77777777" w:rsidR="00115843" w:rsidRPr="00CD1CF1" w:rsidRDefault="00115843" w:rsidP="00FB0D02">
            <w:pPr>
              <w:pStyle w:val="TableColumnHeadingLeft"/>
              <w:rPr>
                <w:szCs w:val="19"/>
              </w:rPr>
            </w:pPr>
            <w:r w:rsidRPr="00CD1CF1">
              <w:rPr>
                <w:szCs w:val="19"/>
              </w:rPr>
              <w:t>Outcome 4: 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5E467175" w14:textId="77777777" w:rsidR="00115843" w:rsidRPr="005E6F2B" w:rsidRDefault="00115843" w:rsidP="00115843">
      <w:pPr>
        <w:pStyle w:val="NoSpacing"/>
      </w:pPr>
    </w:p>
    <w:p w14:paraId="4F7B7AF5" w14:textId="77777777" w:rsidR="00115843" w:rsidRPr="00C00405" w:rsidRDefault="00115843" w:rsidP="00115843">
      <w:pPr>
        <w:pStyle w:val="Heading5"/>
        <w:rPr>
          <w:b/>
        </w:rPr>
      </w:pPr>
      <w:r w:rsidRPr="00C00405">
        <w:rPr>
          <w:b/>
        </w:rPr>
        <w:t>Budgeted expenses for Outcome 4</w:t>
      </w:r>
    </w:p>
    <w:p w14:paraId="4F28E098" w14:textId="77777777" w:rsidR="00115843" w:rsidRPr="00C141F6" w:rsidRDefault="00115843" w:rsidP="00115843">
      <w:r w:rsidRPr="00C141F6">
        <w:t>This table shows how much the Department intends to spend (on an accrual basis) on achieving the outcome, broken down by program, as well as by administered and departmental funding sources.</w:t>
      </w:r>
    </w:p>
    <w:p w14:paraId="6E3D0E05" w14:textId="77777777" w:rsidR="00115843" w:rsidRDefault="00115843" w:rsidP="00115843">
      <w:pPr>
        <w:pStyle w:val="TableHeading"/>
      </w:pPr>
      <w:r w:rsidRPr="00C141F6">
        <w:t>Table 2.</w:t>
      </w:r>
      <w:r>
        <w:t>4</w:t>
      </w:r>
      <w:r w:rsidRPr="00C141F6">
        <w:t>.1: Budgeted expenses for Outcome 4</w:t>
      </w:r>
    </w:p>
    <w:tbl>
      <w:tblPr>
        <w:tblW w:w="5033" w:type="pct"/>
        <w:tblLook w:val="04A0" w:firstRow="1" w:lastRow="0" w:firstColumn="1" w:lastColumn="0" w:noHBand="0" w:noVBand="1"/>
      </w:tblPr>
      <w:tblGrid>
        <w:gridCol w:w="3322"/>
        <w:gridCol w:w="22"/>
        <w:gridCol w:w="35"/>
        <w:gridCol w:w="821"/>
        <w:gridCol w:w="50"/>
        <w:gridCol w:w="25"/>
        <w:gridCol w:w="804"/>
        <w:gridCol w:w="51"/>
        <w:gridCol w:w="23"/>
        <w:gridCol w:w="804"/>
        <w:gridCol w:w="31"/>
        <w:gridCol w:w="20"/>
        <w:gridCol w:w="827"/>
        <w:gridCol w:w="11"/>
        <w:gridCol w:w="16"/>
        <w:gridCol w:w="25"/>
        <w:gridCol w:w="829"/>
        <w:gridCol w:w="45"/>
      </w:tblGrid>
      <w:tr w:rsidR="00115843" w:rsidRPr="00C141F6" w14:paraId="17096D22" w14:textId="77777777" w:rsidTr="00CD1CF1">
        <w:trPr>
          <w:gridAfter w:val="1"/>
          <w:wAfter w:w="32" w:type="pct"/>
          <w:trHeight w:val="204"/>
        </w:trPr>
        <w:tc>
          <w:tcPr>
            <w:tcW w:w="2155" w:type="pct"/>
            <w:gridSpan w:val="2"/>
            <w:tcBorders>
              <w:top w:val="single" w:sz="4" w:space="0" w:color="auto"/>
              <w:left w:val="nil"/>
              <w:bottom w:val="single" w:sz="4" w:space="0" w:color="auto"/>
              <w:right w:val="nil"/>
            </w:tcBorders>
            <w:shd w:val="clear" w:color="auto" w:fill="auto"/>
            <w:noWrap/>
            <w:vAlign w:val="bottom"/>
            <w:hideMark/>
          </w:tcPr>
          <w:p w14:paraId="374FB7C0" w14:textId="77777777" w:rsidR="00115843" w:rsidRPr="00C141F6" w:rsidRDefault="00115843" w:rsidP="00FB0D02">
            <w:pPr>
              <w:spacing w:after="0" w:line="240" w:lineRule="auto"/>
              <w:rPr>
                <w:rFonts w:ascii="Arial" w:hAnsi="Arial" w:cs="Arial"/>
                <w:sz w:val="16"/>
                <w:szCs w:val="16"/>
              </w:rPr>
            </w:pPr>
            <w:r w:rsidRPr="00C141F6">
              <w:rPr>
                <w:rFonts w:ascii="Arial" w:hAnsi="Arial" w:cs="Arial"/>
                <w:sz w:val="16"/>
                <w:szCs w:val="16"/>
              </w:rPr>
              <w:t> </w:t>
            </w:r>
          </w:p>
        </w:tc>
        <w:tc>
          <w:tcPr>
            <w:tcW w:w="599" w:type="pct"/>
            <w:gridSpan w:val="4"/>
            <w:tcBorders>
              <w:top w:val="single" w:sz="4" w:space="0" w:color="auto"/>
              <w:left w:val="nil"/>
              <w:bottom w:val="single" w:sz="4" w:space="0" w:color="auto"/>
              <w:right w:val="nil"/>
            </w:tcBorders>
            <w:shd w:val="clear" w:color="auto" w:fill="auto"/>
            <w:vAlign w:val="bottom"/>
            <w:hideMark/>
          </w:tcPr>
          <w:p w14:paraId="084903D1"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2021-22</w:t>
            </w:r>
            <w:r w:rsidRPr="00C141F6">
              <w:rPr>
                <w:rFonts w:ascii="Arial" w:hAnsi="Arial" w:cs="Arial"/>
                <w:sz w:val="16"/>
                <w:szCs w:val="16"/>
              </w:rPr>
              <w:br/>
              <w:t>Estimated  actual</w:t>
            </w:r>
            <w:r w:rsidRPr="00C141F6">
              <w:rPr>
                <w:rFonts w:ascii="Arial" w:hAnsi="Arial" w:cs="Arial"/>
                <w:sz w:val="16"/>
                <w:szCs w:val="16"/>
              </w:rPr>
              <w:br/>
              <w:t>$'000</w:t>
            </w:r>
          </w:p>
        </w:tc>
        <w:tc>
          <w:tcPr>
            <w:tcW w:w="551" w:type="pct"/>
            <w:gridSpan w:val="2"/>
            <w:tcBorders>
              <w:top w:val="single" w:sz="4" w:space="0" w:color="auto"/>
              <w:left w:val="nil"/>
              <w:bottom w:val="single" w:sz="4" w:space="0" w:color="auto"/>
              <w:right w:val="nil"/>
            </w:tcBorders>
            <w:shd w:val="clear" w:color="auto" w:fill="E6E6E6"/>
            <w:vAlign w:val="bottom"/>
            <w:hideMark/>
          </w:tcPr>
          <w:p w14:paraId="74240BD7"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2022-23</w:t>
            </w:r>
            <w:r w:rsidRPr="00C141F6">
              <w:rPr>
                <w:rFonts w:ascii="Arial" w:hAnsi="Arial" w:cs="Arial"/>
                <w:sz w:val="16"/>
                <w:szCs w:val="16"/>
              </w:rPr>
              <w:br/>
              <w:t xml:space="preserve"> Budget</w:t>
            </w:r>
            <w:r w:rsidRPr="00C141F6">
              <w:rPr>
                <w:rFonts w:ascii="Arial" w:hAnsi="Arial" w:cs="Arial"/>
                <w:sz w:val="16"/>
                <w:szCs w:val="16"/>
              </w:rPr>
              <w:br/>
              <w:t xml:space="preserve">                                      $'000</w:t>
            </w:r>
          </w:p>
        </w:tc>
        <w:tc>
          <w:tcPr>
            <w:tcW w:w="553" w:type="pct"/>
            <w:gridSpan w:val="3"/>
            <w:tcBorders>
              <w:top w:val="single" w:sz="4" w:space="0" w:color="auto"/>
              <w:left w:val="nil"/>
              <w:bottom w:val="single" w:sz="4" w:space="0" w:color="auto"/>
              <w:right w:val="nil"/>
            </w:tcBorders>
            <w:shd w:val="clear" w:color="auto" w:fill="auto"/>
            <w:vAlign w:val="bottom"/>
            <w:hideMark/>
          </w:tcPr>
          <w:p w14:paraId="25E729AC"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2023-24</w:t>
            </w:r>
            <w:r w:rsidRPr="00C141F6">
              <w:rPr>
                <w:rFonts w:ascii="Arial" w:hAnsi="Arial" w:cs="Arial"/>
                <w:sz w:val="16"/>
                <w:szCs w:val="16"/>
              </w:rPr>
              <w:br/>
              <w:t>Forward estimate</w:t>
            </w:r>
            <w:r w:rsidRPr="00C141F6">
              <w:rPr>
                <w:rFonts w:ascii="Arial" w:hAnsi="Arial" w:cs="Arial"/>
                <w:sz w:val="16"/>
                <w:szCs w:val="16"/>
              </w:rPr>
              <w:br/>
              <w:t>$'000</w:t>
            </w:r>
          </w:p>
        </w:tc>
        <w:tc>
          <w:tcPr>
            <w:tcW w:w="553" w:type="pct"/>
            <w:gridSpan w:val="3"/>
            <w:tcBorders>
              <w:top w:val="single" w:sz="4" w:space="0" w:color="auto"/>
              <w:left w:val="nil"/>
              <w:bottom w:val="single" w:sz="4" w:space="0" w:color="auto"/>
              <w:right w:val="nil"/>
            </w:tcBorders>
            <w:shd w:val="clear" w:color="auto" w:fill="auto"/>
            <w:vAlign w:val="bottom"/>
            <w:hideMark/>
          </w:tcPr>
          <w:p w14:paraId="30367AFC"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2024-25</w:t>
            </w:r>
            <w:r w:rsidRPr="00C141F6">
              <w:rPr>
                <w:rFonts w:ascii="Arial" w:hAnsi="Arial" w:cs="Arial"/>
                <w:sz w:val="16"/>
                <w:szCs w:val="16"/>
              </w:rPr>
              <w:br/>
              <w:t>Forward estimate</w:t>
            </w:r>
            <w:r w:rsidRPr="00C141F6">
              <w:rPr>
                <w:rFonts w:ascii="Arial" w:hAnsi="Arial" w:cs="Arial"/>
                <w:sz w:val="16"/>
                <w:szCs w:val="16"/>
              </w:rPr>
              <w:br/>
              <w:t>$'000</w:t>
            </w:r>
          </w:p>
        </w:tc>
        <w:tc>
          <w:tcPr>
            <w:tcW w:w="559" w:type="pct"/>
            <w:gridSpan w:val="3"/>
            <w:tcBorders>
              <w:top w:val="single" w:sz="4" w:space="0" w:color="auto"/>
              <w:left w:val="nil"/>
              <w:bottom w:val="single" w:sz="4" w:space="0" w:color="auto"/>
              <w:right w:val="nil"/>
            </w:tcBorders>
            <w:shd w:val="clear" w:color="auto" w:fill="auto"/>
            <w:vAlign w:val="bottom"/>
            <w:hideMark/>
          </w:tcPr>
          <w:p w14:paraId="3518E4AC"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2025-26</w:t>
            </w:r>
            <w:r w:rsidRPr="00C141F6">
              <w:rPr>
                <w:rFonts w:ascii="Arial" w:hAnsi="Arial" w:cs="Arial"/>
                <w:sz w:val="16"/>
                <w:szCs w:val="16"/>
              </w:rPr>
              <w:br/>
              <w:t>Forward estimate</w:t>
            </w:r>
            <w:r w:rsidRPr="00C141F6">
              <w:rPr>
                <w:rFonts w:ascii="Arial" w:hAnsi="Arial" w:cs="Arial"/>
                <w:sz w:val="16"/>
                <w:szCs w:val="16"/>
              </w:rPr>
              <w:br/>
              <w:t>$'000</w:t>
            </w:r>
          </w:p>
        </w:tc>
      </w:tr>
      <w:tr w:rsidR="00115843" w:rsidRPr="00C141F6" w14:paraId="773B7C98" w14:textId="77777777" w:rsidTr="00CD1CF1">
        <w:trPr>
          <w:gridAfter w:val="1"/>
          <w:wAfter w:w="32" w:type="pct"/>
          <w:trHeight w:val="204"/>
        </w:trPr>
        <w:tc>
          <w:tcPr>
            <w:tcW w:w="2155" w:type="pct"/>
            <w:gridSpan w:val="2"/>
            <w:tcBorders>
              <w:top w:val="nil"/>
              <w:left w:val="nil"/>
              <w:bottom w:val="single" w:sz="4" w:space="0" w:color="auto"/>
              <w:right w:val="nil"/>
            </w:tcBorders>
            <w:shd w:val="clear" w:color="auto" w:fill="E6E6E6"/>
            <w:noWrap/>
            <w:vAlign w:val="bottom"/>
            <w:hideMark/>
          </w:tcPr>
          <w:p w14:paraId="5FAC723D"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Program 4.1: Services to territories</w:t>
            </w:r>
          </w:p>
        </w:tc>
        <w:tc>
          <w:tcPr>
            <w:tcW w:w="599" w:type="pct"/>
            <w:gridSpan w:val="4"/>
            <w:tcBorders>
              <w:top w:val="nil"/>
              <w:left w:val="nil"/>
              <w:bottom w:val="single" w:sz="4" w:space="0" w:color="auto"/>
              <w:right w:val="nil"/>
            </w:tcBorders>
            <w:shd w:val="clear" w:color="auto" w:fill="E6E6E6"/>
            <w:noWrap/>
            <w:vAlign w:val="bottom"/>
            <w:hideMark/>
          </w:tcPr>
          <w:p w14:paraId="75A77389" w14:textId="77777777" w:rsidR="00115843" w:rsidRPr="00C141F6" w:rsidRDefault="00115843" w:rsidP="00FB0D02">
            <w:pPr>
              <w:spacing w:after="0" w:line="240" w:lineRule="auto"/>
              <w:jc w:val="right"/>
              <w:rPr>
                <w:rFonts w:ascii="Arial" w:hAnsi="Arial" w:cs="Arial"/>
                <w:sz w:val="16"/>
                <w:szCs w:val="16"/>
              </w:rPr>
            </w:pPr>
          </w:p>
        </w:tc>
        <w:tc>
          <w:tcPr>
            <w:tcW w:w="551" w:type="pct"/>
            <w:gridSpan w:val="2"/>
            <w:tcBorders>
              <w:top w:val="nil"/>
              <w:left w:val="nil"/>
              <w:bottom w:val="single" w:sz="4" w:space="0" w:color="auto"/>
              <w:right w:val="nil"/>
            </w:tcBorders>
            <w:shd w:val="clear" w:color="auto" w:fill="E6E6E6"/>
            <w:noWrap/>
            <w:vAlign w:val="bottom"/>
            <w:hideMark/>
          </w:tcPr>
          <w:p w14:paraId="340845C2" w14:textId="77777777" w:rsidR="00115843" w:rsidRPr="00C141F6"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single" w:sz="4" w:space="0" w:color="auto"/>
              <w:right w:val="nil"/>
            </w:tcBorders>
            <w:shd w:val="clear" w:color="auto" w:fill="E6E6E6"/>
            <w:noWrap/>
            <w:vAlign w:val="bottom"/>
            <w:hideMark/>
          </w:tcPr>
          <w:p w14:paraId="3C68E809" w14:textId="77777777" w:rsidR="00115843" w:rsidRPr="00C141F6"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single" w:sz="4" w:space="0" w:color="auto"/>
              <w:right w:val="nil"/>
            </w:tcBorders>
            <w:shd w:val="clear" w:color="auto" w:fill="E6E6E6"/>
            <w:noWrap/>
            <w:vAlign w:val="bottom"/>
            <w:hideMark/>
          </w:tcPr>
          <w:p w14:paraId="1F9A82D4" w14:textId="77777777" w:rsidR="00115843" w:rsidRPr="00C141F6" w:rsidRDefault="00115843" w:rsidP="00FB0D02">
            <w:pPr>
              <w:spacing w:after="0" w:line="240" w:lineRule="auto"/>
              <w:jc w:val="right"/>
              <w:rPr>
                <w:rFonts w:ascii="Arial" w:hAnsi="Arial" w:cs="Arial"/>
                <w:sz w:val="16"/>
                <w:szCs w:val="16"/>
              </w:rPr>
            </w:pPr>
          </w:p>
        </w:tc>
        <w:tc>
          <w:tcPr>
            <w:tcW w:w="559" w:type="pct"/>
            <w:gridSpan w:val="3"/>
            <w:tcBorders>
              <w:top w:val="nil"/>
              <w:left w:val="nil"/>
              <w:bottom w:val="single" w:sz="4" w:space="0" w:color="auto"/>
              <w:right w:val="nil"/>
            </w:tcBorders>
            <w:shd w:val="clear" w:color="auto" w:fill="E6E6E6"/>
            <w:noWrap/>
            <w:vAlign w:val="bottom"/>
            <w:hideMark/>
          </w:tcPr>
          <w:p w14:paraId="0599C587" w14:textId="77777777" w:rsidR="00115843" w:rsidRPr="00C141F6" w:rsidRDefault="00115843" w:rsidP="00FB0D02">
            <w:pPr>
              <w:spacing w:after="0" w:line="240" w:lineRule="auto"/>
              <w:jc w:val="right"/>
              <w:rPr>
                <w:rFonts w:ascii="Arial" w:hAnsi="Arial" w:cs="Arial"/>
                <w:sz w:val="16"/>
                <w:szCs w:val="16"/>
              </w:rPr>
            </w:pPr>
          </w:p>
        </w:tc>
      </w:tr>
      <w:tr w:rsidR="00115843" w:rsidRPr="00C141F6" w14:paraId="54F7E2FB" w14:textId="77777777" w:rsidTr="00CD1CF1">
        <w:trPr>
          <w:gridAfter w:val="1"/>
          <w:wAfter w:w="32" w:type="pct"/>
          <w:trHeight w:val="204"/>
        </w:trPr>
        <w:tc>
          <w:tcPr>
            <w:tcW w:w="2155" w:type="pct"/>
            <w:gridSpan w:val="2"/>
            <w:tcBorders>
              <w:top w:val="nil"/>
              <w:left w:val="nil"/>
              <w:bottom w:val="nil"/>
              <w:right w:val="nil"/>
            </w:tcBorders>
            <w:shd w:val="clear" w:color="auto" w:fill="auto"/>
            <w:noWrap/>
            <w:vAlign w:val="bottom"/>
            <w:hideMark/>
          </w:tcPr>
          <w:p w14:paraId="4027C808" w14:textId="77777777" w:rsidR="00115843" w:rsidRPr="00C141F6" w:rsidRDefault="00115843" w:rsidP="00FB0D02">
            <w:pPr>
              <w:spacing w:after="0" w:line="240" w:lineRule="auto"/>
              <w:rPr>
                <w:rFonts w:ascii="Arial" w:hAnsi="Arial" w:cs="Arial"/>
                <w:sz w:val="16"/>
                <w:szCs w:val="16"/>
              </w:rPr>
            </w:pPr>
            <w:r w:rsidRPr="00C141F6">
              <w:rPr>
                <w:rFonts w:ascii="Arial" w:hAnsi="Arial" w:cs="Arial"/>
                <w:sz w:val="16"/>
                <w:szCs w:val="16"/>
              </w:rPr>
              <w:t>Administered expenses</w:t>
            </w:r>
          </w:p>
        </w:tc>
        <w:tc>
          <w:tcPr>
            <w:tcW w:w="599" w:type="pct"/>
            <w:gridSpan w:val="4"/>
            <w:tcBorders>
              <w:top w:val="nil"/>
              <w:left w:val="nil"/>
              <w:bottom w:val="nil"/>
              <w:right w:val="nil"/>
            </w:tcBorders>
            <w:shd w:val="clear" w:color="auto" w:fill="auto"/>
            <w:noWrap/>
            <w:vAlign w:val="bottom"/>
            <w:hideMark/>
          </w:tcPr>
          <w:p w14:paraId="5131BBA3" w14:textId="77777777" w:rsidR="00115843" w:rsidRPr="00C141F6" w:rsidRDefault="00115843" w:rsidP="00FB0D02">
            <w:pPr>
              <w:spacing w:after="0" w:line="240" w:lineRule="auto"/>
              <w:jc w:val="right"/>
              <w:rPr>
                <w:rFonts w:ascii="Arial" w:hAnsi="Arial" w:cs="Arial"/>
                <w:sz w:val="16"/>
                <w:szCs w:val="16"/>
              </w:rPr>
            </w:pPr>
          </w:p>
        </w:tc>
        <w:tc>
          <w:tcPr>
            <w:tcW w:w="551" w:type="pct"/>
            <w:gridSpan w:val="2"/>
            <w:tcBorders>
              <w:top w:val="nil"/>
              <w:left w:val="nil"/>
              <w:bottom w:val="nil"/>
              <w:right w:val="nil"/>
            </w:tcBorders>
            <w:shd w:val="clear" w:color="auto" w:fill="E6E6E6"/>
            <w:noWrap/>
            <w:vAlign w:val="bottom"/>
            <w:hideMark/>
          </w:tcPr>
          <w:p w14:paraId="7BF84928" w14:textId="77777777" w:rsidR="00115843" w:rsidRPr="00C141F6"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nil"/>
              <w:right w:val="nil"/>
            </w:tcBorders>
            <w:shd w:val="clear" w:color="auto" w:fill="auto"/>
            <w:noWrap/>
            <w:vAlign w:val="bottom"/>
            <w:hideMark/>
          </w:tcPr>
          <w:p w14:paraId="7F1B87C7" w14:textId="77777777" w:rsidR="00115843" w:rsidRPr="00C141F6"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nil"/>
              <w:right w:val="nil"/>
            </w:tcBorders>
            <w:shd w:val="clear" w:color="auto" w:fill="auto"/>
            <w:noWrap/>
            <w:vAlign w:val="bottom"/>
            <w:hideMark/>
          </w:tcPr>
          <w:p w14:paraId="5E34CE0F" w14:textId="77777777" w:rsidR="00115843" w:rsidRPr="00C141F6" w:rsidRDefault="00115843" w:rsidP="00FB0D02">
            <w:pPr>
              <w:spacing w:after="0" w:line="240" w:lineRule="auto"/>
              <w:jc w:val="right"/>
              <w:rPr>
                <w:rFonts w:ascii="Times New Roman" w:hAnsi="Times New Roman"/>
              </w:rPr>
            </w:pPr>
          </w:p>
        </w:tc>
        <w:tc>
          <w:tcPr>
            <w:tcW w:w="559" w:type="pct"/>
            <w:gridSpan w:val="3"/>
            <w:tcBorders>
              <w:top w:val="nil"/>
              <w:left w:val="nil"/>
              <w:bottom w:val="nil"/>
              <w:right w:val="nil"/>
            </w:tcBorders>
            <w:shd w:val="clear" w:color="auto" w:fill="auto"/>
            <w:noWrap/>
            <w:vAlign w:val="bottom"/>
            <w:hideMark/>
          </w:tcPr>
          <w:p w14:paraId="2AD1FD87" w14:textId="77777777" w:rsidR="00115843" w:rsidRPr="00C141F6" w:rsidRDefault="00115843" w:rsidP="00FB0D02">
            <w:pPr>
              <w:spacing w:after="0" w:line="240" w:lineRule="auto"/>
              <w:jc w:val="right"/>
              <w:rPr>
                <w:rFonts w:ascii="Times New Roman" w:hAnsi="Times New Roman"/>
              </w:rPr>
            </w:pPr>
          </w:p>
        </w:tc>
      </w:tr>
      <w:tr w:rsidR="00115843" w:rsidRPr="00C141F6" w14:paraId="39A53F8D" w14:textId="77777777" w:rsidTr="00CD1CF1">
        <w:trPr>
          <w:gridAfter w:val="1"/>
          <w:wAfter w:w="32" w:type="pct"/>
          <w:trHeight w:val="204"/>
        </w:trPr>
        <w:tc>
          <w:tcPr>
            <w:tcW w:w="2155" w:type="pct"/>
            <w:gridSpan w:val="2"/>
            <w:tcBorders>
              <w:top w:val="nil"/>
              <w:left w:val="nil"/>
              <w:bottom w:val="nil"/>
              <w:right w:val="nil"/>
            </w:tcBorders>
            <w:shd w:val="clear" w:color="auto" w:fill="auto"/>
            <w:vAlign w:val="bottom"/>
            <w:hideMark/>
          </w:tcPr>
          <w:p w14:paraId="44CBA734"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Ordinary Annual Services (Appropriation Act No. 1 and Bill No. 3)</w:t>
            </w:r>
          </w:p>
        </w:tc>
        <w:tc>
          <w:tcPr>
            <w:tcW w:w="599" w:type="pct"/>
            <w:gridSpan w:val="4"/>
            <w:tcBorders>
              <w:top w:val="nil"/>
              <w:left w:val="nil"/>
              <w:bottom w:val="nil"/>
              <w:right w:val="nil"/>
            </w:tcBorders>
            <w:shd w:val="clear" w:color="auto" w:fill="auto"/>
            <w:noWrap/>
            <w:vAlign w:val="bottom"/>
            <w:hideMark/>
          </w:tcPr>
          <w:p w14:paraId="53DA3E92"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190,095</w:t>
            </w:r>
          </w:p>
        </w:tc>
        <w:tc>
          <w:tcPr>
            <w:tcW w:w="551" w:type="pct"/>
            <w:gridSpan w:val="2"/>
            <w:tcBorders>
              <w:top w:val="nil"/>
              <w:left w:val="nil"/>
              <w:bottom w:val="nil"/>
              <w:right w:val="nil"/>
            </w:tcBorders>
            <w:shd w:val="clear" w:color="auto" w:fill="E6E6E6"/>
            <w:noWrap/>
            <w:vAlign w:val="bottom"/>
            <w:hideMark/>
          </w:tcPr>
          <w:p w14:paraId="769F4838"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245,704</w:t>
            </w:r>
          </w:p>
        </w:tc>
        <w:tc>
          <w:tcPr>
            <w:tcW w:w="553" w:type="pct"/>
            <w:gridSpan w:val="3"/>
            <w:tcBorders>
              <w:top w:val="nil"/>
              <w:left w:val="nil"/>
              <w:bottom w:val="nil"/>
              <w:right w:val="nil"/>
            </w:tcBorders>
            <w:shd w:val="clear" w:color="auto" w:fill="auto"/>
            <w:noWrap/>
            <w:vAlign w:val="bottom"/>
            <w:hideMark/>
          </w:tcPr>
          <w:p w14:paraId="57A27CBC"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190,030</w:t>
            </w:r>
          </w:p>
        </w:tc>
        <w:tc>
          <w:tcPr>
            <w:tcW w:w="553" w:type="pct"/>
            <w:gridSpan w:val="3"/>
            <w:tcBorders>
              <w:top w:val="nil"/>
              <w:left w:val="nil"/>
              <w:bottom w:val="nil"/>
              <w:right w:val="nil"/>
            </w:tcBorders>
            <w:shd w:val="clear" w:color="auto" w:fill="auto"/>
            <w:noWrap/>
            <w:vAlign w:val="bottom"/>
            <w:hideMark/>
          </w:tcPr>
          <w:p w14:paraId="0F9823D2"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189,236</w:t>
            </w:r>
          </w:p>
        </w:tc>
        <w:tc>
          <w:tcPr>
            <w:tcW w:w="559" w:type="pct"/>
            <w:gridSpan w:val="3"/>
            <w:tcBorders>
              <w:top w:val="nil"/>
              <w:left w:val="nil"/>
              <w:bottom w:val="nil"/>
              <w:right w:val="nil"/>
            </w:tcBorders>
            <w:shd w:val="clear" w:color="auto" w:fill="auto"/>
            <w:noWrap/>
            <w:vAlign w:val="bottom"/>
            <w:hideMark/>
          </w:tcPr>
          <w:p w14:paraId="5AA2FBDD"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181,069</w:t>
            </w:r>
          </w:p>
        </w:tc>
      </w:tr>
      <w:tr w:rsidR="00115843" w:rsidRPr="00A03A87" w14:paraId="3FCBE1DB" w14:textId="77777777" w:rsidTr="00CD1CF1">
        <w:trPr>
          <w:gridAfter w:val="1"/>
          <w:wAfter w:w="32" w:type="pct"/>
          <w:trHeight w:val="204"/>
        </w:trPr>
        <w:tc>
          <w:tcPr>
            <w:tcW w:w="2155" w:type="pct"/>
            <w:gridSpan w:val="2"/>
            <w:tcBorders>
              <w:top w:val="nil"/>
              <w:left w:val="nil"/>
              <w:bottom w:val="nil"/>
              <w:right w:val="nil"/>
            </w:tcBorders>
            <w:shd w:val="clear" w:color="auto" w:fill="auto"/>
            <w:noWrap/>
            <w:vAlign w:val="bottom"/>
            <w:hideMark/>
          </w:tcPr>
          <w:p w14:paraId="1383DE24" w14:textId="77777777" w:rsidR="00115843" w:rsidRPr="00A03A87" w:rsidRDefault="00115843" w:rsidP="00FB0D02">
            <w:pPr>
              <w:spacing w:after="0" w:line="240" w:lineRule="auto"/>
              <w:ind w:left="113"/>
              <w:rPr>
                <w:rFonts w:ascii="Arial" w:hAnsi="Arial" w:cs="Arial"/>
                <w:sz w:val="16"/>
                <w:szCs w:val="16"/>
              </w:rPr>
            </w:pPr>
            <w:r w:rsidRPr="00A03A87">
              <w:rPr>
                <w:rFonts w:ascii="Arial" w:hAnsi="Arial" w:cs="Arial"/>
                <w:sz w:val="16"/>
                <w:szCs w:val="16"/>
              </w:rPr>
              <w:t>Special Accounts</w:t>
            </w:r>
          </w:p>
        </w:tc>
        <w:tc>
          <w:tcPr>
            <w:tcW w:w="599" w:type="pct"/>
            <w:gridSpan w:val="4"/>
            <w:tcBorders>
              <w:top w:val="nil"/>
              <w:left w:val="nil"/>
              <w:bottom w:val="nil"/>
              <w:right w:val="nil"/>
            </w:tcBorders>
            <w:shd w:val="clear" w:color="auto" w:fill="auto"/>
            <w:noWrap/>
            <w:vAlign w:val="bottom"/>
            <w:hideMark/>
          </w:tcPr>
          <w:p w14:paraId="44EDBD5B" w14:textId="77777777" w:rsidR="00115843" w:rsidRPr="00A03A87" w:rsidRDefault="00115843" w:rsidP="00FB0D02">
            <w:pPr>
              <w:spacing w:after="0" w:line="240" w:lineRule="auto"/>
              <w:ind w:firstLineChars="100" w:firstLine="160"/>
              <w:jc w:val="right"/>
              <w:rPr>
                <w:rFonts w:ascii="Arial" w:hAnsi="Arial" w:cs="Arial"/>
                <w:sz w:val="16"/>
                <w:szCs w:val="16"/>
              </w:rPr>
            </w:pPr>
          </w:p>
        </w:tc>
        <w:tc>
          <w:tcPr>
            <w:tcW w:w="551" w:type="pct"/>
            <w:gridSpan w:val="2"/>
            <w:tcBorders>
              <w:top w:val="nil"/>
              <w:left w:val="nil"/>
              <w:bottom w:val="nil"/>
              <w:right w:val="nil"/>
            </w:tcBorders>
            <w:shd w:val="clear" w:color="auto" w:fill="E6E6E6"/>
            <w:noWrap/>
            <w:vAlign w:val="bottom"/>
            <w:hideMark/>
          </w:tcPr>
          <w:p w14:paraId="6F862153" w14:textId="77777777" w:rsidR="00115843" w:rsidRPr="00A03A87"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nil"/>
              <w:right w:val="nil"/>
            </w:tcBorders>
            <w:shd w:val="clear" w:color="auto" w:fill="auto"/>
            <w:noWrap/>
            <w:vAlign w:val="bottom"/>
            <w:hideMark/>
          </w:tcPr>
          <w:p w14:paraId="07B9621F" w14:textId="77777777" w:rsidR="00115843" w:rsidRPr="00A03A87" w:rsidRDefault="00115843" w:rsidP="00FB0D02">
            <w:pPr>
              <w:spacing w:after="0" w:line="240" w:lineRule="auto"/>
              <w:jc w:val="right"/>
              <w:rPr>
                <w:rFonts w:ascii="Arial" w:hAnsi="Arial" w:cs="Arial"/>
                <w:sz w:val="16"/>
                <w:szCs w:val="16"/>
              </w:rPr>
            </w:pPr>
          </w:p>
        </w:tc>
        <w:tc>
          <w:tcPr>
            <w:tcW w:w="553" w:type="pct"/>
            <w:gridSpan w:val="3"/>
            <w:tcBorders>
              <w:top w:val="nil"/>
              <w:left w:val="nil"/>
              <w:bottom w:val="nil"/>
              <w:right w:val="nil"/>
            </w:tcBorders>
            <w:shd w:val="clear" w:color="auto" w:fill="auto"/>
            <w:noWrap/>
            <w:vAlign w:val="bottom"/>
            <w:hideMark/>
          </w:tcPr>
          <w:p w14:paraId="6DF5E134" w14:textId="77777777" w:rsidR="00115843" w:rsidRPr="00A03A87" w:rsidRDefault="00115843" w:rsidP="00FB0D02">
            <w:pPr>
              <w:spacing w:after="0" w:line="240" w:lineRule="auto"/>
              <w:jc w:val="right"/>
              <w:rPr>
                <w:rFonts w:ascii="Times New Roman" w:hAnsi="Times New Roman"/>
                <w:sz w:val="16"/>
                <w:szCs w:val="16"/>
              </w:rPr>
            </w:pPr>
          </w:p>
        </w:tc>
        <w:tc>
          <w:tcPr>
            <w:tcW w:w="559" w:type="pct"/>
            <w:gridSpan w:val="3"/>
            <w:tcBorders>
              <w:top w:val="nil"/>
              <w:left w:val="nil"/>
              <w:bottom w:val="nil"/>
              <w:right w:val="nil"/>
            </w:tcBorders>
            <w:shd w:val="clear" w:color="auto" w:fill="auto"/>
            <w:noWrap/>
            <w:vAlign w:val="bottom"/>
            <w:hideMark/>
          </w:tcPr>
          <w:p w14:paraId="0CCD6C99" w14:textId="77777777" w:rsidR="00115843" w:rsidRPr="00A03A87" w:rsidRDefault="00115843" w:rsidP="00FB0D02">
            <w:pPr>
              <w:spacing w:after="0" w:line="240" w:lineRule="auto"/>
              <w:jc w:val="right"/>
              <w:rPr>
                <w:rFonts w:ascii="Times New Roman" w:hAnsi="Times New Roman"/>
                <w:sz w:val="16"/>
                <w:szCs w:val="16"/>
              </w:rPr>
            </w:pPr>
          </w:p>
        </w:tc>
      </w:tr>
      <w:tr w:rsidR="00115843" w:rsidRPr="00C141F6" w14:paraId="3151EB75" w14:textId="77777777" w:rsidTr="00CD1CF1">
        <w:trPr>
          <w:gridAfter w:val="1"/>
          <w:wAfter w:w="32" w:type="pct"/>
          <w:trHeight w:val="204"/>
        </w:trPr>
        <w:tc>
          <w:tcPr>
            <w:tcW w:w="2155" w:type="pct"/>
            <w:gridSpan w:val="2"/>
            <w:tcBorders>
              <w:top w:val="nil"/>
              <w:left w:val="nil"/>
              <w:bottom w:val="nil"/>
              <w:right w:val="nil"/>
            </w:tcBorders>
            <w:shd w:val="clear" w:color="auto" w:fill="auto"/>
            <w:vAlign w:val="bottom"/>
            <w:hideMark/>
          </w:tcPr>
          <w:p w14:paraId="0BA451D9" w14:textId="77777777" w:rsidR="00115843" w:rsidRPr="00C141F6" w:rsidRDefault="00115843" w:rsidP="00FB0D02">
            <w:pPr>
              <w:spacing w:after="0" w:line="240" w:lineRule="auto"/>
              <w:ind w:left="227"/>
              <w:rPr>
                <w:rFonts w:ascii="Arial" w:hAnsi="Arial" w:cs="Arial"/>
                <w:sz w:val="16"/>
                <w:szCs w:val="16"/>
              </w:rPr>
            </w:pPr>
            <w:r w:rsidRPr="00C141F6">
              <w:rPr>
                <w:rFonts w:ascii="Arial" w:hAnsi="Arial" w:cs="Arial"/>
                <w:sz w:val="16"/>
                <w:szCs w:val="16"/>
              </w:rPr>
              <w:t>Christmas Island Phosphate Mining Rehabilitation Special Account 2016</w:t>
            </w:r>
          </w:p>
        </w:tc>
        <w:tc>
          <w:tcPr>
            <w:tcW w:w="599" w:type="pct"/>
            <w:gridSpan w:val="4"/>
            <w:tcBorders>
              <w:top w:val="nil"/>
              <w:left w:val="nil"/>
              <w:bottom w:val="nil"/>
              <w:right w:val="nil"/>
            </w:tcBorders>
            <w:shd w:val="clear" w:color="auto" w:fill="auto"/>
            <w:noWrap/>
            <w:vAlign w:val="bottom"/>
            <w:hideMark/>
          </w:tcPr>
          <w:p w14:paraId="39E4A9A8"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966</w:t>
            </w:r>
          </w:p>
        </w:tc>
        <w:tc>
          <w:tcPr>
            <w:tcW w:w="551" w:type="pct"/>
            <w:gridSpan w:val="2"/>
            <w:tcBorders>
              <w:top w:val="nil"/>
              <w:left w:val="nil"/>
              <w:bottom w:val="nil"/>
              <w:right w:val="nil"/>
            </w:tcBorders>
            <w:shd w:val="clear" w:color="auto" w:fill="E6E6E6"/>
            <w:noWrap/>
            <w:vAlign w:val="bottom"/>
            <w:hideMark/>
          </w:tcPr>
          <w:p w14:paraId="144D51E0"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1,200</w:t>
            </w:r>
          </w:p>
        </w:tc>
        <w:tc>
          <w:tcPr>
            <w:tcW w:w="553" w:type="pct"/>
            <w:gridSpan w:val="3"/>
            <w:tcBorders>
              <w:top w:val="nil"/>
              <w:left w:val="nil"/>
              <w:bottom w:val="nil"/>
              <w:right w:val="nil"/>
            </w:tcBorders>
            <w:shd w:val="clear" w:color="auto" w:fill="auto"/>
            <w:noWrap/>
            <w:vAlign w:val="bottom"/>
            <w:hideMark/>
          </w:tcPr>
          <w:p w14:paraId="754AA88F"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1,200</w:t>
            </w:r>
          </w:p>
        </w:tc>
        <w:tc>
          <w:tcPr>
            <w:tcW w:w="553" w:type="pct"/>
            <w:gridSpan w:val="3"/>
            <w:tcBorders>
              <w:top w:val="nil"/>
              <w:left w:val="nil"/>
              <w:bottom w:val="nil"/>
              <w:right w:val="nil"/>
            </w:tcBorders>
            <w:shd w:val="clear" w:color="auto" w:fill="auto"/>
            <w:noWrap/>
            <w:vAlign w:val="bottom"/>
            <w:hideMark/>
          </w:tcPr>
          <w:p w14:paraId="4C3159E7"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1,200</w:t>
            </w:r>
          </w:p>
        </w:tc>
        <w:tc>
          <w:tcPr>
            <w:tcW w:w="559" w:type="pct"/>
            <w:gridSpan w:val="3"/>
            <w:tcBorders>
              <w:top w:val="nil"/>
              <w:left w:val="nil"/>
              <w:bottom w:val="nil"/>
              <w:right w:val="nil"/>
            </w:tcBorders>
            <w:shd w:val="clear" w:color="auto" w:fill="auto"/>
            <w:noWrap/>
            <w:vAlign w:val="bottom"/>
            <w:hideMark/>
          </w:tcPr>
          <w:p w14:paraId="1C52D8BF"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1,200</w:t>
            </w:r>
          </w:p>
        </w:tc>
      </w:tr>
      <w:tr w:rsidR="00115843" w:rsidRPr="00C141F6" w14:paraId="05AF2A4B" w14:textId="77777777" w:rsidTr="00CD1CF1">
        <w:trPr>
          <w:gridAfter w:val="1"/>
          <w:wAfter w:w="32" w:type="pct"/>
          <w:trHeight w:val="204"/>
        </w:trPr>
        <w:tc>
          <w:tcPr>
            <w:tcW w:w="2155" w:type="pct"/>
            <w:gridSpan w:val="2"/>
            <w:tcBorders>
              <w:top w:val="nil"/>
              <w:left w:val="nil"/>
              <w:bottom w:val="nil"/>
              <w:right w:val="nil"/>
            </w:tcBorders>
            <w:shd w:val="clear" w:color="auto" w:fill="auto"/>
            <w:vAlign w:val="bottom"/>
            <w:hideMark/>
          </w:tcPr>
          <w:p w14:paraId="2EC2B9B4" w14:textId="77777777" w:rsidR="00115843" w:rsidRPr="00C141F6" w:rsidRDefault="00115843" w:rsidP="00FB0D02">
            <w:pPr>
              <w:spacing w:after="0" w:line="240" w:lineRule="auto"/>
              <w:ind w:left="227"/>
              <w:rPr>
                <w:rFonts w:ascii="Arial" w:hAnsi="Arial" w:cs="Arial"/>
                <w:sz w:val="16"/>
                <w:szCs w:val="16"/>
              </w:rPr>
            </w:pPr>
            <w:r w:rsidRPr="00C141F6">
              <w:rPr>
                <w:rFonts w:ascii="Arial" w:hAnsi="Arial" w:cs="Arial"/>
                <w:sz w:val="16"/>
                <w:szCs w:val="16"/>
              </w:rPr>
              <w:t>Indian Ocean Territories Special Account 2014</w:t>
            </w:r>
          </w:p>
        </w:tc>
        <w:tc>
          <w:tcPr>
            <w:tcW w:w="599" w:type="pct"/>
            <w:gridSpan w:val="4"/>
            <w:tcBorders>
              <w:top w:val="nil"/>
              <w:left w:val="nil"/>
              <w:bottom w:val="nil"/>
              <w:right w:val="nil"/>
            </w:tcBorders>
            <w:shd w:val="clear" w:color="auto" w:fill="auto"/>
            <w:noWrap/>
            <w:vAlign w:val="bottom"/>
            <w:hideMark/>
          </w:tcPr>
          <w:p w14:paraId="7F5AEBD4"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17,006</w:t>
            </w:r>
          </w:p>
        </w:tc>
        <w:tc>
          <w:tcPr>
            <w:tcW w:w="551" w:type="pct"/>
            <w:gridSpan w:val="2"/>
            <w:tcBorders>
              <w:top w:val="nil"/>
              <w:left w:val="nil"/>
              <w:bottom w:val="nil"/>
              <w:right w:val="nil"/>
            </w:tcBorders>
            <w:shd w:val="clear" w:color="auto" w:fill="E6E6E6"/>
            <w:noWrap/>
            <w:vAlign w:val="bottom"/>
            <w:hideMark/>
          </w:tcPr>
          <w:p w14:paraId="5E16221E"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17,515</w:t>
            </w:r>
          </w:p>
        </w:tc>
        <w:tc>
          <w:tcPr>
            <w:tcW w:w="553" w:type="pct"/>
            <w:gridSpan w:val="3"/>
            <w:tcBorders>
              <w:top w:val="nil"/>
              <w:left w:val="nil"/>
              <w:bottom w:val="nil"/>
              <w:right w:val="nil"/>
            </w:tcBorders>
            <w:shd w:val="clear" w:color="auto" w:fill="auto"/>
            <w:noWrap/>
            <w:vAlign w:val="bottom"/>
            <w:hideMark/>
          </w:tcPr>
          <w:p w14:paraId="1227CDB7"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17,769</w:t>
            </w:r>
          </w:p>
        </w:tc>
        <w:tc>
          <w:tcPr>
            <w:tcW w:w="553" w:type="pct"/>
            <w:gridSpan w:val="3"/>
            <w:tcBorders>
              <w:top w:val="nil"/>
              <w:left w:val="nil"/>
              <w:bottom w:val="nil"/>
              <w:right w:val="nil"/>
            </w:tcBorders>
            <w:shd w:val="clear" w:color="auto" w:fill="auto"/>
            <w:noWrap/>
            <w:vAlign w:val="bottom"/>
            <w:hideMark/>
          </w:tcPr>
          <w:p w14:paraId="1C0B9FC7"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17,915</w:t>
            </w:r>
          </w:p>
        </w:tc>
        <w:tc>
          <w:tcPr>
            <w:tcW w:w="559" w:type="pct"/>
            <w:gridSpan w:val="3"/>
            <w:tcBorders>
              <w:top w:val="nil"/>
              <w:left w:val="nil"/>
              <w:bottom w:val="nil"/>
              <w:right w:val="nil"/>
            </w:tcBorders>
            <w:shd w:val="clear" w:color="auto" w:fill="auto"/>
            <w:noWrap/>
            <w:vAlign w:val="bottom"/>
            <w:hideMark/>
          </w:tcPr>
          <w:p w14:paraId="04FD54E9"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18,454</w:t>
            </w:r>
          </w:p>
        </w:tc>
      </w:tr>
      <w:tr w:rsidR="00115843" w:rsidRPr="00C141F6" w14:paraId="59022B91" w14:textId="77777777" w:rsidTr="00CD1CF1">
        <w:trPr>
          <w:gridAfter w:val="1"/>
          <w:wAfter w:w="32" w:type="pct"/>
          <w:trHeight w:val="204"/>
        </w:trPr>
        <w:tc>
          <w:tcPr>
            <w:tcW w:w="2155" w:type="pct"/>
            <w:gridSpan w:val="2"/>
            <w:tcBorders>
              <w:top w:val="nil"/>
              <w:left w:val="nil"/>
              <w:bottom w:val="nil"/>
              <w:right w:val="nil"/>
            </w:tcBorders>
            <w:shd w:val="clear" w:color="auto" w:fill="auto"/>
            <w:vAlign w:val="bottom"/>
            <w:hideMark/>
          </w:tcPr>
          <w:p w14:paraId="2BF622D7" w14:textId="77777777" w:rsidR="00115843" w:rsidRPr="00C141F6" w:rsidRDefault="00115843" w:rsidP="00FB0D02">
            <w:pPr>
              <w:spacing w:after="0" w:line="240" w:lineRule="auto"/>
              <w:ind w:left="227"/>
              <w:rPr>
                <w:rFonts w:ascii="Arial" w:hAnsi="Arial" w:cs="Arial"/>
                <w:sz w:val="16"/>
                <w:szCs w:val="16"/>
              </w:rPr>
            </w:pPr>
            <w:r w:rsidRPr="00C141F6">
              <w:rPr>
                <w:rFonts w:ascii="Arial" w:hAnsi="Arial" w:cs="Arial"/>
                <w:sz w:val="16"/>
                <w:szCs w:val="16"/>
              </w:rPr>
              <w:t>Jervis Bay Territory Special Account 2014</w:t>
            </w:r>
          </w:p>
        </w:tc>
        <w:tc>
          <w:tcPr>
            <w:tcW w:w="599" w:type="pct"/>
            <w:gridSpan w:val="4"/>
            <w:tcBorders>
              <w:top w:val="nil"/>
              <w:left w:val="nil"/>
              <w:bottom w:val="nil"/>
              <w:right w:val="nil"/>
            </w:tcBorders>
            <w:shd w:val="clear" w:color="auto" w:fill="auto"/>
            <w:noWrap/>
            <w:vAlign w:val="bottom"/>
            <w:hideMark/>
          </w:tcPr>
          <w:p w14:paraId="1CA3504C"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1,219</w:t>
            </w:r>
          </w:p>
        </w:tc>
        <w:tc>
          <w:tcPr>
            <w:tcW w:w="551" w:type="pct"/>
            <w:gridSpan w:val="2"/>
            <w:tcBorders>
              <w:top w:val="nil"/>
              <w:left w:val="nil"/>
              <w:bottom w:val="nil"/>
              <w:right w:val="nil"/>
            </w:tcBorders>
            <w:shd w:val="clear" w:color="auto" w:fill="E6E6E6"/>
            <w:noWrap/>
            <w:vAlign w:val="bottom"/>
            <w:hideMark/>
          </w:tcPr>
          <w:p w14:paraId="404C444F"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1,219</w:t>
            </w:r>
          </w:p>
        </w:tc>
        <w:tc>
          <w:tcPr>
            <w:tcW w:w="553" w:type="pct"/>
            <w:gridSpan w:val="3"/>
            <w:tcBorders>
              <w:top w:val="nil"/>
              <w:left w:val="nil"/>
              <w:bottom w:val="nil"/>
              <w:right w:val="nil"/>
            </w:tcBorders>
            <w:shd w:val="clear" w:color="auto" w:fill="auto"/>
            <w:noWrap/>
            <w:vAlign w:val="bottom"/>
            <w:hideMark/>
          </w:tcPr>
          <w:p w14:paraId="48E5563A"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1,219</w:t>
            </w:r>
          </w:p>
        </w:tc>
        <w:tc>
          <w:tcPr>
            <w:tcW w:w="553" w:type="pct"/>
            <w:gridSpan w:val="3"/>
            <w:tcBorders>
              <w:top w:val="nil"/>
              <w:left w:val="nil"/>
              <w:bottom w:val="nil"/>
              <w:right w:val="nil"/>
            </w:tcBorders>
            <w:shd w:val="clear" w:color="auto" w:fill="auto"/>
            <w:noWrap/>
            <w:vAlign w:val="bottom"/>
            <w:hideMark/>
          </w:tcPr>
          <w:p w14:paraId="2129CC82"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1,219</w:t>
            </w:r>
          </w:p>
        </w:tc>
        <w:tc>
          <w:tcPr>
            <w:tcW w:w="559" w:type="pct"/>
            <w:gridSpan w:val="3"/>
            <w:tcBorders>
              <w:top w:val="nil"/>
              <w:left w:val="nil"/>
              <w:bottom w:val="nil"/>
              <w:right w:val="nil"/>
            </w:tcBorders>
            <w:shd w:val="clear" w:color="auto" w:fill="auto"/>
            <w:noWrap/>
            <w:vAlign w:val="bottom"/>
            <w:hideMark/>
          </w:tcPr>
          <w:p w14:paraId="5B975E1B"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1,219</w:t>
            </w:r>
          </w:p>
        </w:tc>
      </w:tr>
      <w:tr w:rsidR="00115843" w:rsidRPr="00C141F6" w14:paraId="19C91D45" w14:textId="77777777" w:rsidTr="00CD1CF1">
        <w:trPr>
          <w:gridAfter w:val="1"/>
          <w:wAfter w:w="32" w:type="pct"/>
          <w:trHeight w:val="204"/>
        </w:trPr>
        <w:tc>
          <w:tcPr>
            <w:tcW w:w="2155" w:type="pct"/>
            <w:gridSpan w:val="2"/>
            <w:tcBorders>
              <w:top w:val="nil"/>
              <w:left w:val="nil"/>
              <w:bottom w:val="nil"/>
              <w:right w:val="nil"/>
            </w:tcBorders>
            <w:shd w:val="clear" w:color="auto" w:fill="auto"/>
            <w:vAlign w:val="bottom"/>
            <w:hideMark/>
          </w:tcPr>
          <w:p w14:paraId="434E39E2"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 xml:space="preserve">Expenses not requiring appropriation in the Budget year </w:t>
            </w:r>
            <w:r w:rsidRPr="00C141F6">
              <w:rPr>
                <w:rFonts w:ascii="Arial" w:hAnsi="Arial" w:cs="Arial"/>
                <w:sz w:val="16"/>
                <w:szCs w:val="16"/>
                <w:vertAlign w:val="superscript"/>
              </w:rPr>
              <w:t>(a)</w:t>
            </w:r>
          </w:p>
        </w:tc>
        <w:tc>
          <w:tcPr>
            <w:tcW w:w="599" w:type="pct"/>
            <w:gridSpan w:val="4"/>
            <w:tcBorders>
              <w:top w:val="nil"/>
              <w:left w:val="nil"/>
              <w:bottom w:val="nil"/>
              <w:right w:val="nil"/>
            </w:tcBorders>
            <w:shd w:val="clear" w:color="auto" w:fill="auto"/>
            <w:noWrap/>
            <w:vAlign w:val="bottom"/>
            <w:hideMark/>
          </w:tcPr>
          <w:p w14:paraId="2B0F75A2"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62,942</w:t>
            </w:r>
          </w:p>
        </w:tc>
        <w:tc>
          <w:tcPr>
            <w:tcW w:w="551" w:type="pct"/>
            <w:gridSpan w:val="2"/>
            <w:tcBorders>
              <w:top w:val="nil"/>
              <w:left w:val="nil"/>
              <w:bottom w:val="nil"/>
              <w:right w:val="nil"/>
            </w:tcBorders>
            <w:shd w:val="clear" w:color="auto" w:fill="E6E6E6"/>
            <w:noWrap/>
            <w:vAlign w:val="bottom"/>
            <w:hideMark/>
          </w:tcPr>
          <w:p w14:paraId="0B209C39"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41,922</w:t>
            </w:r>
          </w:p>
        </w:tc>
        <w:tc>
          <w:tcPr>
            <w:tcW w:w="553" w:type="pct"/>
            <w:gridSpan w:val="3"/>
            <w:tcBorders>
              <w:top w:val="nil"/>
              <w:left w:val="nil"/>
              <w:bottom w:val="nil"/>
              <w:right w:val="nil"/>
            </w:tcBorders>
            <w:shd w:val="clear" w:color="auto" w:fill="auto"/>
            <w:noWrap/>
            <w:vAlign w:val="bottom"/>
            <w:hideMark/>
          </w:tcPr>
          <w:p w14:paraId="7D15FE69"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39,628</w:t>
            </w:r>
          </w:p>
        </w:tc>
        <w:tc>
          <w:tcPr>
            <w:tcW w:w="553" w:type="pct"/>
            <w:gridSpan w:val="3"/>
            <w:tcBorders>
              <w:top w:val="nil"/>
              <w:left w:val="nil"/>
              <w:bottom w:val="nil"/>
              <w:right w:val="nil"/>
            </w:tcBorders>
            <w:shd w:val="clear" w:color="auto" w:fill="auto"/>
            <w:noWrap/>
            <w:vAlign w:val="bottom"/>
            <w:hideMark/>
          </w:tcPr>
          <w:p w14:paraId="4FCDFBD4"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37,334</w:t>
            </w:r>
          </w:p>
        </w:tc>
        <w:tc>
          <w:tcPr>
            <w:tcW w:w="559" w:type="pct"/>
            <w:gridSpan w:val="3"/>
            <w:tcBorders>
              <w:top w:val="nil"/>
              <w:left w:val="nil"/>
              <w:bottom w:val="nil"/>
              <w:right w:val="nil"/>
            </w:tcBorders>
            <w:shd w:val="clear" w:color="auto" w:fill="auto"/>
            <w:noWrap/>
            <w:vAlign w:val="bottom"/>
            <w:hideMark/>
          </w:tcPr>
          <w:p w14:paraId="2C42CD42"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36,859</w:t>
            </w:r>
          </w:p>
        </w:tc>
      </w:tr>
      <w:tr w:rsidR="00115843" w:rsidRPr="00C141F6" w14:paraId="74FAD4C5" w14:textId="77777777" w:rsidTr="00CD1CF1">
        <w:trPr>
          <w:gridAfter w:val="1"/>
          <w:wAfter w:w="32" w:type="pct"/>
          <w:trHeight w:val="204"/>
        </w:trPr>
        <w:tc>
          <w:tcPr>
            <w:tcW w:w="2155" w:type="pct"/>
            <w:gridSpan w:val="2"/>
            <w:tcBorders>
              <w:top w:val="nil"/>
              <w:left w:val="nil"/>
              <w:bottom w:val="nil"/>
              <w:right w:val="nil"/>
            </w:tcBorders>
            <w:shd w:val="clear" w:color="auto" w:fill="auto"/>
            <w:noWrap/>
            <w:vAlign w:val="bottom"/>
            <w:hideMark/>
          </w:tcPr>
          <w:p w14:paraId="53748DB2"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Total expenses for Program 4.1</w:t>
            </w:r>
          </w:p>
        </w:tc>
        <w:tc>
          <w:tcPr>
            <w:tcW w:w="599" w:type="pct"/>
            <w:gridSpan w:val="4"/>
            <w:tcBorders>
              <w:top w:val="single" w:sz="4" w:space="0" w:color="auto"/>
              <w:left w:val="nil"/>
              <w:bottom w:val="single" w:sz="4" w:space="0" w:color="auto"/>
              <w:right w:val="nil"/>
            </w:tcBorders>
            <w:shd w:val="clear" w:color="auto" w:fill="FFFFFF" w:themeFill="background1"/>
            <w:noWrap/>
            <w:vAlign w:val="bottom"/>
            <w:hideMark/>
          </w:tcPr>
          <w:p w14:paraId="396CD742"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272,228</w:t>
            </w:r>
          </w:p>
        </w:tc>
        <w:tc>
          <w:tcPr>
            <w:tcW w:w="551" w:type="pct"/>
            <w:gridSpan w:val="2"/>
            <w:tcBorders>
              <w:top w:val="single" w:sz="4" w:space="0" w:color="auto"/>
              <w:left w:val="nil"/>
              <w:bottom w:val="single" w:sz="4" w:space="0" w:color="auto"/>
              <w:right w:val="nil"/>
            </w:tcBorders>
            <w:shd w:val="clear" w:color="auto" w:fill="E6E6E6"/>
            <w:noWrap/>
            <w:vAlign w:val="bottom"/>
            <w:hideMark/>
          </w:tcPr>
          <w:p w14:paraId="1F8AC08B"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307,560</w:t>
            </w:r>
          </w:p>
        </w:tc>
        <w:tc>
          <w:tcPr>
            <w:tcW w:w="553" w:type="pct"/>
            <w:gridSpan w:val="3"/>
            <w:tcBorders>
              <w:top w:val="single" w:sz="4" w:space="0" w:color="auto"/>
              <w:left w:val="nil"/>
              <w:bottom w:val="single" w:sz="4" w:space="0" w:color="auto"/>
              <w:right w:val="nil"/>
            </w:tcBorders>
            <w:shd w:val="clear" w:color="auto" w:fill="auto"/>
            <w:noWrap/>
            <w:vAlign w:val="bottom"/>
            <w:hideMark/>
          </w:tcPr>
          <w:p w14:paraId="29094580"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249,846</w:t>
            </w:r>
          </w:p>
        </w:tc>
        <w:tc>
          <w:tcPr>
            <w:tcW w:w="553" w:type="pct"/>
            <w:gridSpan w:val="3"/>
            <w:tcBorders>
              <w:top w:val="single" w:sz="4" w:space="0" w:color="auto"/>
              <w:left w:val="nil"/>
              <w:bottom w:val="single" w:sz="4" w:space="0" w:color="auto"/>
              <w:right w:val="nil"/>
            </w:tcBorders>
            <w:shd w:val="clear" w:color="auto" w:fill="auto"/>
            <w:noWrap/>
            <w:vAlign w:val="bottom"/>
            <w:hideMark/>
          </w:tcPr>
          <w:p w14:paraId="63BC1165"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246,904</w:t>
            </w:r>
          </w:p>
        </w:tc>
        <w:tc>
          <w:tcPr>
            <w:tcW w:w="559" w:type="pct"/>
            <w:gridSpan w:val="3"/>
            <w:tcBorders>
              <w:top w:val="single" w:sz="4" w:space="0" w:color="auto"/>
              <w:left w:val="nil"/>
              <w:bottom w:val="single" w:sz="4" w:space="0" w:color="auto"/>
              <w:right w:val="nil"/>
            </w:tcBorders>
            <w:shd w:val="clear" w:color="auto" w:fill="auto"/>
            <w:noWrap/>
            <w:vAlign w:val="bottom"/>
            <w:hideMark/>
          </w:tcPr>
          <w:p w14:paraId="40F43DFC"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238,801</w:t>
            </w:r>
          </w:p>
        </w:tc>
      </w:tr>
      <w:tr w:rsidR="00115843" w:rsidRPr="00C141F6" w14:paraId="7ADDD2C2" w14:textId="77777777" w:rsidTr="00CD1CF1">
        <w:trPr>
          <w:gridAfter w:val="1"/>
          <w:wAfter w:w="32" w:type="pct"/>
          <w:trHeight w:val="204"/>
        </w:trPr>
        <w:tc>
          <w:tcPr>
            <w:tcW w:w="4968" w:type="pct"/>
            <w:gridSpan w:val="17"/>
            <w:tcBorders>
              <w:top w:val="single" w:sz="4" w:space="0" w:color="auto"/>
              <w:left w:val="nil"/>
              <w:bottom w:val="single" w:sz="4" w:space="0" w:color="auto"/>
              <w:right w:val="nil"/>
            </w:tcBorders>
            <w:shd w:val="clear" w:color="auto" w:fill="E6E6E6"/>
            <w:noWrap/>
            <w:vAlign w:val="bottom"/>
            <w:hideMark/>
          </w:tcPr>
          <w:p w14:paraId="55C17CCE" w14:textId="764400E6" w:rsidR="00115843" w:rsidRPr="00C141F6" w:rsidRDefault="00115843" w:rsidP="00FB0D02">
            <w:pPr>
              <w:spacing w:after="0" w:line="240" w:lineRule="auto"/>
              <w:rPr>
                <w:rFonts w:ascii="Arial" w:hAnsi="Arial" w:cs="Arial"/>
                <w:sz w:val="16"/>
                <w:szCs w:val="16"/>
              </w:rPr>
            </w:pPr>
            <w:r w:rsidRPr="00C141F6">
              <w:rPr>
                <w:rFonts w:ascii="Arial" w:hAnsi="Arial" w:cs="Arial"/>
                <w:b/>
                <w:bCs/>
                <w:sz w:val="16"/>
                <w:szCs w:val="16"/>
              </w:rPr>
              <w:t>Program 4.2</w:t>
            </w:r>
            <w:r w:rsidR="00204144">
              <w:rPr>
                <w:rFonts w:ascii="Arial" w:hAnsi="Arial" w:cs="Arial"/>
                <w:b/>
                <w:bCs/>
                <w:sz w:val="16"/>
                <w:szCs w:val="16"/>
              </w:rPr>
              <w:t>:</w:t>
            </w:r>
            <w:r w:rsidRPr="00C141F6">
              <w:rPr>
                <w:rFonts w:ascii="Arial" w:hAnsi="Arial" w:cs="Arial"/>
                <w:b/>
                <w:bCs/>
                <w:sz w:val="16"/>
                <w:szCs w:val="16"/>
              </w:rPr>
              <w:t xml:space="preserve"> Program Support for Outcome 4</w:t>
            </w:r>
            <w:r w:rsidRPr="00C141F6">
              <w:rPr>
                <w:rFonts w:ascii="Arial" w:hAnsi="Arial" w:cs="Arial"/>
                <w:sz w:val="16"/>
                <w:szCs w:val="16"/>
              </w:rPr>
              <w:t> </w:t>
            </w:r>
          </w:p>
        </w:tc>
      </w:tr>
      <w:tr w:rsidR="00115843" w:rsidRPr="00C141F6" w14:paraId="19A235F5" w14:textId="77777777" w:rsidTr="00CD1CF1">
        <w:trPr>
          <w:gridAfter w:val="1"/>
          <w:wAfter w:w="32" w:type="pct"/>
          <w:trHeight w:val="204"/>
        </w:trPr>
        <w:tc>
          <w:tcPr>
            <w:tcW w:w="2177" w:type="pct"/>
            <w:gridSpan w:val="3"/>
            <w:tcBorders>
              <w:top w:val="nil"/>
              <w:left w:val="nil"/>
              <w:bottom w:val="nil"/>
              <w:right w:val="nil"/>
            </w:tcBorders>
            <w:shd w:val="clear" w:color="auto" w:fill="auto"/>
            <w:noWrap/>
            <w:vAlign w:val="bottom"/>
            <w:hideMark/>
          </w:tcPr>
          <w:p w14:paraId="2AEB5A35" w14:textId="77777777" w:rsidR="00115843" w:rsidRPr="00C141F6" w:rsidRDefault="00115843" w:rsidP="00FB0D02">
            <w:pPr>
              <w:spacing w:after="0" w:line="240" w:lineRule="auto"/>
              <w:rPr>
                <w:rFonts w:ascii="Arial" w:hAnsi="Arial" w:cs="Arial"/>
                <w:sz w:val="16"/>
                <w:szCs w:val="16"/>
              </w:rPr>
            </w:pPr>
            <w:r w:rsidRPr="00C141F6">
              <w:rPr>
                <w:rFonts w:ascii="Arial" w:hAnsi="Arial" w:cs="Arial"/>
                <w:sz w:val="16"/>
                <w:szCs w:val="16"/>
              </w:rPr>
              <w:t>Departmental expenses</w:t>
            </w:r>
          </w:p>
        </w:tc>
        <w:tc>
          <w:tcPr>
            <w:tcW w:w="560" w:type="pct"/>
            <w:gridSpan w:val="2"/>
            <w:tcBorders>
              <w:top w:val="nil"/>
              <w:left w:val="nil"/>
              <w:bottom w:val="nil"/>
              <w:right w:val="nil"/>
            </w:tcBorders>
            <w:shd w:val="clear" w:color="auto" w:fill="auto"/>
            <w:noWrap/>
            <w:vAlign w:val="bottom"/>
            <w:hideMark/>
          </w:tcPr>
          <w:p w14:paraId="21F0754D" w14:textId="77777777" w:rsidR="00115843" w:rsidRPr="00C141F6" w:rsidRDefault="00115843" w:rsidP="00FB0D02">
            <w:pPr>
              <w:spacing w:after="0" w:line="240" w:lineRule="auto"/>
              <w:jc w:val="right"/>
              <w:rPr>
                <w:rFonts w:ascii="Arial" w:hAnsi="Arial" w:cs="Arial"/>
                <w:sz w:val="16"/>
                <w:szCs w:val="16"/>
              </w:rPr>
            </w:pPr>
          </w:p>
        </w:tc>
        <w:tc>
          <w:tcPr>
            <w:tcW w:w="582" w:type="pct"/>
            <w:gridSpan w:val="4"/>
            <w:tcBorders>
              <w:top w:val="nil"/>
              <w:left w:val="nil"/>
              <w:bottom w:val="nil"/>
              <w:right w:val="nil"/>
            </w:tcBorders>
            <w:shd w:val="clear" w:color="auto" w:fill="E6E6E6"/>
            <w:noWrap/>
            <w:vAlign w:val="bottom"/>
            <w:hideMark/>
          </w:tcPr>
          <w:p w14:paraId="20D0E0D8" w14:textId="77777777" w:rsidR="00115843" w:rsidRPr="00C141F6" w:rsidRDefault="00115843" w:rsidP="00FB0D02">
            <w:pPr>
              <w:spacing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084E7818" w14:textId="77777777" w:rsidR="00115843" w:rsidRPr="00C141F6" w:rsidRDefault="00115843" w:rsidP="00FB0D02">
            <w:pPr>
              <w:spacing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4561D7FB" w14:textId="77777777" w:rsidR="00115843" w:rsidRPr="00C141F6" w:rsidRDefault="00115843" w:rsidP="00FB0D02">
            <w:pPr>
              <w:spacing w:after="0" w:line="240" w:lineRule="auto"/>
              <w:jc w:val="right"/>
              <w:rPr>
                <w:rFonts w:ascii="Times New Roman" w:hAnsi="Times New Roman"/>
              </w:rPr>
            </w:pPr>
          </w:p>
        </w:tc>
        <w:tc>
          <w:tcPr>
            <w:tcW w:w="550" w:type="pct"/>
            <w:gridSpan w:val="2"/>
            <w:tcBorders>
              <w:top w:val="nil"/>
              <w:left w:val="nil"/>
              <w:bottom w:val="nil"/>
              <w:right w:val="nil"/>
            </w:tcBorders>
            <w:shd w:val="clear" w:color="auto" w:fill="auto"/>
            <w:noWrap/>
            <w:vAlign w:val="bottom"/>
            <w:hideMark/>
          </w:tcPr>
          <w:p w14:paraId="55A798EA" w14:textId="77777777" w:rsidR="00115843" w:rsidRPr="00C141F6" w:rsidRDefault="00115843" w:rsidP="00FB0D02">
            <w:pPr>
              <w:spacing w:after="0" w:line="240" w:lineRule="auto"/>
              <w:jc w:val="right"/>
              <w:rPr>
                <w:rFonts w:ascii="Times New Roman" w:hAnsi="Times New Roman"/>
              </w:rPr>
            </w:pPr>
          </w:p>
        </w:tc>
      </w:tr>
      <w:tr w:rsidR="00115843" w:rsidRPr="00C141F6" w14:paraId="6F1B3F98" w14:textId="77777777" w:rsidTr="00CD1CF1">
        <w:trPr>
          <w:gridAfter w:val="1"/>
          <w:wAfter w:w="32" w:type="pct"/>
          <w:trHeight w:val="204"/>
        </w:trPr>
        <w:tc>
          <w:tcPr>
            <w:tcW w:w="2177" w:type="pct"/>
            <w:gridSpan w:val="3"/>
            <w:tcBorders>
              <w:top w:val="nil"/>
              <w:left w:val="nil"/>
              <w:bottom w:val="nil"/>
              <w:right w:val="nil"/>
            </w:tcBorders>
            <w:shd w:val="clear" w:color="auto" w:fill="auto"/>
            <w:vAlign w:val="bottom"/>
            <w:hideMark/>
          </w:tcPr>
          <w:p w14:paraId="7EFCAF86" w14:textId="77777777" w:rsidR="00115843" w:rsidRPr="002656D3" w:rsidRDefault="00115843" w:rsidP="00FB0D02">
            <w:pPr>
              <w:spacing w:after="0" w:line="240" w:lineRule="auto"/>
              <w:ind w:left="113"/>
              <w:rPr>
                <w:rFonts w:ascii="Arial" w:hAnsi="Arial" w:cs="Arial"/>
                <w:sz w:val="16"/>
                <w:szCs w:val="16"/>
              </w:rPr>
            </w:pPr>
            <w:r w:rsidRPr="002656D3">
              <w:rPr>
                <w:rFonts w:ascii="Arial" w:hAnsi="Arial" w:cs="Arial"/>
                <w:sz w:val="16"/>
                <w:szCs w:val="16"/>
              </w:rPr>
              <w:t>Departmental appropriation</w:t>
            </w:r>
          </w:p>
        </w:tc>
        <w:tc>
          <w:tcPr>
            <w:tcW w:w="560" w:type="pct"/>
            <w:gridSpan w:val="2"/>
            <w:tcBorders>
              <w:top w:val="nil"/>
              <w:left w:val="nil"/>
              <w:bottom w:val="nil"/>
              <w:right w:val="nil"/>
            </w:tcBorders>
            <w:shd w:val="clear" w:color="auto" w:fill="auto"/>
            <w:noWrap/>
            <w:vAlign w:val="bottom"/>
            <w:hideMark/>
          </w:tcPr>
          <w:p w14:paraId="3EE6985F"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26,821</w:t>
            </w:r>
          </w:p>
        </w:tc>
        <w:tc>
          <w:tcPr>
            <w:tcW w:w="582" w:type="pct"/>
            <w:gridSpan w:val="4"/>
            <w:tcBorders>
              <w:top w:val="nil"/>
              <w:left w:val="nil"/>
              <w:bottom w:val="nil"/>
              <w:right w:val="nil"/>
            </w:tcBorders>
            <w:shd w:val="clear" w:color="auto" w:fill="E6E6E6"/>
            <w:noWrap/>
            <w:vAlign w:val="bottom"/>
            <w:hideMark/>
          </w:tcPr>
          <w:p w14:paraId="2F70558C"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32,410</w:t>
            </w:r>
          </w:p>
        </w:tc>
        <w:tc>
          <w:tcPr>
            <w:tcW w:w="550" w:type="pct"/>
            <w:gridSpan w:val="3"/>
            <w:tcBorders>
              <w:top w:val="nil"/>
              <w:left w:val="nil"/>
              <w:bottom w:val="nil"/>
              <w:right w:val="nil"/>
            </w:tcBorders>
            <w:shd w:val="clear" w:color="auto" w:fill="auto"/>
            <w:noWrap/>
            <w:vAlign w:val="bottom"/>
            <w:hideMark/>
          </w:tcPr>
          <w:p w14:paraId="038E97F5"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32,312</w:t>
            </w:r>
          </w:p>
        </w:tc>
        <w:tc>
          <w:tcPr>
            <w:tcW w:w="550" w:type="pct"/>
            <w:gridSpan w:val="3"/>
            <w:tcBorders>
              <w:top w:val="nil"/>
              <w:left w:val="nil"/>
              <w:bottom w:val="nil"/>
              <w:right w:val="nil"/>
            </w:tcBorders>
            <w:shd w:val="clear" w:color="auto" w:fill="auto"/>
            <w:noWrap/>
            <w:vAlign w:val="bottom"/>
            <w:hideMark/>
          </w:tcPr>
          <w:p w14:paraId="1068390B"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28,783</w:t>
            </w:r>
          </w:p>
        </w:tc>
        <w:tc>
          <w:tcPr>
            <w:tcW w:w="550" w:type="pct"/>
            <w:gridSpan w:val="2"/>
            <w:tcBorders>
              <w:top w:val="nil"/>
              <w:left w:val="nil"/>
              <w:bottom w:val="nil"/>
              <w:right w:val="nil"/>
            </w:tcBorders>
            <w:shd w:val="clear" w:color="auto" w:fill="auto"/>
            <w:noWrap/>
            <w:vAlign w:val="bottom"/>
            <w:hideMark/>
          </w:tcPr>
          <w:p w14:paraId="096126D4"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28,915</w:t>
            </w:r>
          </w:p>
        </w:tc>
      </w:tr>
      <w:tr w:rsidR="00115843" w:rsidRPr="00C141F6" w14:paraId="661838A1" w14:textId="77777777" w:rsidTr="00CD1CF1">
        <w:trPr>
          <w:gridAfter w:val="1"/>
          <w:wAfter w:w="32" w:type="pct"/>
          <w:trHeight w:val="204"/>
        </w:trPr>
        <w:tc>
          <w:tcPr>
            <w:tcW w:w="2177" w:type="pct"/>
            <w:gridSpan w:val="3"/>
            <w:tcBorders>
              <w:top w:val="nil"/>
              <w:left w:val="nil"/>
              <w:bottom w:val="nil"/>
              <w:right w:val="nil"/>
            </w:tcBorders>
            <w:shd w:val="clear" w:color="auto" w:fill="auto"/>
            <w:vAlign w:val="bottom"/>
            <w:hideMark/>
          </w:tcPr>
          <w:p w14:paraId="0363AD59" w14:textId="77777777" w:rsidR="00115843" w:rsidRPr="002656D3" w:rsidRDefault="00115843" w:rsidP="00FB0D02">
            <w:pPr>
              <w:spacing w:after="0" w:line="240" w:lineRule="auto"/>
              <w:ind w:left="113"/>
              <w:rPr>
                <w:rFonts w:ascii="Arial" w:hAnsi="Arial" w:cs="Arial"/>
                <w:sz w:val="16"/>
                <w:szCs w:val="16"/>
              </w:rPr>
            </w:pPr>
            <w:r w:rsidRPr="002656D3">
              <w:rPr>
                <w:rFonts w:ascii="Arial" w:hAnsi="Arial" w:cs="Arial"/>
                <w:sz w:val="16"/>
                <w:szCs w:val="16"/>
              </w:rPr>
              <w:t xml:space="preserve">s74 external revenues </w:t>
            </w:r>
            <w:r w:rsidRPr="002656D3">
              <w:rPr>
                <w:rFonts w:ascii="Arial" w:hAnsi="Arial" w:cs="Arial"/>
                <w:sz w:val="16"/>
                <w:szCs w:val="16"/>
                <w:vertAlign w:val="superscript"/>
              </w:rPr>
              <w:t>(b)</w:t>
            </w:r>
          </w:p>
        </w:tc>
        <w:tc>
          <w:tcPr>
            <w:tcW w:w="560" w:type="pct"/>
            <w:gridSpan w:val="2"/>
            <w:tcBorders>
              <w:top w:val="nil"/>
              <w:left w:val="nil"/>
              <w:bottom w:val="nil"/>
              <w:right w:val="nil"/>
            </w:tcBorders>
            <w:shd w:val="clear" w:color="auto" w:fill="auto"/>
            <w:noWrap/>
            <w:vAlign w:val="bottom"/>
            <w:hideMark/>
          </w:tcPr>
          <w:p w14:paraId="21FDDE04"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579</w:t>
            </w:r>
          </w:p>
        </w:tc>
        <w:tc>
          <w:tcPr>
            <w:tcW w:w="582" w:type="pct"/>
            <w:gridSpan w:val="4"/>
            <w:tcBorders>
              <w:top w:val="nil"/>
              <w:left w:val="nil"/>
              <w:bottom w:val="nil"/>
              <w:right w:val="nil"/>
            </w:tcBorders>
            <w:shd w:val="clear" w:color="auto" w:fill="E6E6E6"/>
            <w:noWrap/>
            <w:vAlign w:val="bottom"/>
            <w:hideMark/>
          </w:tcPr>
          <w:p w14:paraId="233AF926"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hideMark/>
          </w:tcPr>
          <w:p w14:paraId="2874FB67"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hideMark/>
          </w:tcPr>
          <w:p w14:paraId="2ADD54AB"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0" w:type="pct"/>
            <w:gridSpan w:val="2"/>
            <w:tcBorders>
              <w:top w:val="nil"/>
              <w:left w:val="nil"/>
              <w:bottom w:val="nil"/>
              <w:right w:val="nil"/>
            </w:tcBorders>
            <w:shd w:val="clear" w:color="auto" w:fill="auto"/>
            <w:noWrap/>
            <w:vAlign w:val="bottom"/>
            <w:hideMark/>
          </w:tcPr>
          <w:p w14:paraId="0805EB15"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C141F6" w14:paraId="212DB6F5" w14:textId="77777777" w:rsidTr="00CD1CF1">
        <w:trPr>
          <w:gridAfter w:val="1"/>
          <w:wAfter w:w="32" w:type="pct"/>
          <w:trHeight w:val="204"/>
        </w:trPr>
        <w:tc>
          <w:tcPr>
            <w:tcW w:w="2177" w:type="pct"/>
            <w:gridSpan w:val="3"/>
            <w:tcBorders>
              <w:top w:val="nil"/>
              <w:left w:val="nil"/>
              <w:bottom w:val="nil"/>
              <w:right w:val="nil"/>
            </w:tcBorders>
            <w:shd w:val="clear" w:color="auto" w:fill="auto"/>
            <w:vAlign w:val="bottom"/>
            <w:hideMark/>
          </w:tcPr>
          <w:p w14:paraId="4A415493" w14:textId="77777777" w:rsidR="00115843" w:rsidRPr="002656D3" w:rsidRDefault="00115843" w:rsidP="00FB0D02">
            <w:pPr>
              <w:spacing w:after="0" w:line="240" w:lineRule="auto"/>
              <w:ind w:left="113"/>
              <w:rPr>
                <w:rFonts w:ascii="Arial" w:hAnsi="Arial" w:cs="Arial"/>
                <w:sz w:val="16"/>
                <w:szCs w:val="16"/>
              </w:rPr>
            </w:pPr>
            <w:r w:rsidRPr="002656D3">
              <w:rPr>
                <w:rFonts w:ascii="Arial" w:hAnsi="Arial" w:cs="Arial"/>
                <w:sz w:val="16"/>
                <w:szCs w:val="16"/>
              </w:rPr>
              <w:t xml:space="preserve">Expenses not requiring appropriation in the Budget year </w:t>
            </w:r>
            <w:r w:rsidRPr="002656D3">
              <w:rPr>
                <w:rFonts w:ascii="Arial" w:hAnsi="Arial" w:cs="Arial"/>
                <w:sz w:val="16"/>
                <w:szCs w:val="16"/>
                <w:vertAlign w:val="superscript"/>
              </w:rPr>
              <w:t>(c)</w:t>
            </w:r>
          </w:p>
        </w:tc>
        <w:tc>
          <w:tcPr>
            <w:tcW w:w="560" w:type="pct"/>
            <w:gridSpan w:val="2"/>
            <w:tcBorders>
              <w:top w:val="nil"/>
              <w:left w:val="nil"/>
              <w:bottom w:val="nil"/>
              <w:right w:val="nil"/>
            </w:tcBorders>
            <w:shd w:val="clear" w:color="auto" w:fill="auto"/>
            <w:noWrap/>
            <w:vAlign w:val="bottom"/>
            <w:hideMark/>
          </w:tcPr>
          <w:p w14:paraId="47566E4F"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1,214</w:t>
            </w:r>
          </w:p>
        </w:tc>
        <w:tc>
          <w:tcPr>
            <w:tcW w:w="582" w:type="pct"/>
            <w:gridSpan w:val="4"/>
            <w:tcBorders>
              <w:top w:val="nil"/>
              <w:left w:val="nil"/>
              <w:bottom w:val="nil"/>
              <w:right w:val="nil"/>
            </w:tcBorders>
            <w:shd w:val="clear" w:color="auto" w:fill="E6E6E6"/>
            <w:noWrap/>
            <w:vAlign w:val="bottom"/>
            <w:hideMark/>
          </w:tcPr>
          <w:p w14:paraId="59D29D8C"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hideMark/>
          </w:tcPr>
          <w:p w14:paraId="7FF2DD52"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hideMark/>
          </w:tcPr>
          <w:p w14:paraId="23218E59"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50" w:type="pct"/>
            <w:gridSpan w:val="2"/>
            <w:tcBorders>
              <w:top w:val="nil"/>
              <w:left w:val="nil"/>
              <w:bottom w:val="nil"/>
              <w:right w:val="nil"/>
            </w:tcBorders>
            <w:shd w:val="clear" w:color="auto" w:fill="auto"/>
            <w:noWrap/>
            <w:vAlign w:val="bottom"/>
            <w:hideMark/>
          </w:tcPr>
          <w:p w14:paraId="595EB40A" w14:textId="77777777" w:rsidR="00115843" w:rsidRPr="002656D3"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C141F6" w14:paraId="3523CDB1" w14:textId="77777777" w:rsidTr="00CD1CF1">
        <w:trPr>
          <w:gridAfter w:val="1"/>
          <w:wAfter w:w="32" w:type="pct"/>
          <w:trHeight w:val="204"/>
        </w:trPr>
        <w:tc>
          <w:tcPr>
            <w:tcW w:w="2177" w:type="pct"/>
            <w:gridSpan w:val="3"/>
            <w:tcBorders>
              <w:top w:val="nil"/>
              <w:left w:val="nil"/>
              <w:bottom w:val="nil"/>
              <w:right w:val="nil"/>
            </w:tcBorders>
            <w:shd w:val="clear" w:color="auto" w:fill="auto"/>
            <w:noWrap/>
            <w:vAlign w:val="bottom"/>
            <w:hideMark/>
          </w:tcPr>
          <w:p w14:paraId="71D087E1"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Total expenses for Program 4.2</w:t>
            </w:r>
          </w:p>
        </w:tc>
        <w:tc>
          <w:tcPr>
            <w:tcW w:w="560" w:type="pct"/>
            <w:gridSpan w:val="2"/>
            <w:tcBorders>
              <w:top w:val="single" w:sz="4" w:space="0" w:color="auto"/>
              <w:left w:val="nil"/>
              <w:bottom w:val="single" w:sz="4" w:space="0" w:color="auto"/>
              <w:right w:val="nil"/>
            </w:tcBorders>
            <w:shd w:val="clear" w:color="auto" w:fill="auto"/>
            <w:noWrap/>
            <w:vAlign w:val="bottom"/>
            <w:hideMark/>
          </w:tcPr>
          <w:p w14:paraId="67F9A963"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28,614</w:t>
            </w:r>
          </w:p>
        </w:tc>
        <w:tc>
          <w:tcPr>
            <w:tcW w:w="582" w:type="pct"/>
            <w:gridSpan w:val="4"/>
            <w:tcBorders>
              <w:top w:val="single" w:sz="4" w:space="0" w:color="auto"/>
              <w:left w:val="nil"/>
              <w:bottom w:val="single" w:sz="4" w:space="0" w:color="auto"/>
              <w:right w:val="nil"/>
            </w:tcBorders>
            <w:shd w:val="clear" w:color="auto" w:fill="E6E6E6"/>
            <w:noWrap/>
            <w:vAlign w:val="bottom"/>
            <w:hideMark/>
          </w:tcPr>
          <w:p w14:paraId="6FE43578"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32,410</w:t>
            </w:r>
          </w:p>
        </w:tc>
        <w:tc>
          <w:tcPr>
            <w:tcW w:w="550" w:type="pct"/>
            <w:gridSpan w:val="3"/>
            <w:tcBorders>
              <w:top w:val="single" w:sz="4" w:space="0" w:color="auto"/>
              <w:left w:val="nil"/>
              <w:bottom w:val="single" w:sz="4" w:space="0" w:color="auto"/>
              <w:right w:val="nil"/>
            </w:tcBorders>
            <w:shd w:val="clear" w:color="auto" w:fill="auto"/>
            <w:noWrap/>
            <w:vAlign w:val="bottom"/>
            <w:hideMark/>
          </w:tcPr>
          <w:p w14:paraId="20E43C20"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32,312</w:t>
            </w:r>
          </w:p>
        </w:tc>
        <w:tc>
          <w:tcPr>
            <w:tcW w:w="550" w:type="pct"/>
            <w:gridSpan w:val="3"/>
            <w:tcBorders>
              <w:top w:val="single" w:sz="4" w:space="0" w:color="auto"/>
              <w:left w:val="nil"/>
              <w:bottom w:val="single" w:sz="4" w:space="0" w:color="auto"/>
              <w:right w:val="nil"/>
            </w:tcBorders>
            <w:shd w:val="clear" w:color="auto" w:fill="auto"/>
            <w:noWrap/>
            <w:vAlign w:val="bottom"/>
            <w:hideMark/>
          </w:tcPr>
          <w:p w14:paraId="6EE35118"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28,783</w:t>
            </w:r>
          </w:p>
        </w:tc>
        <w:tc>
          <w:tcPr>
            <w:tcW w:w="550" w:type="pct"/>
            <w:gridSpan w:val="2"/>
            <w:tcBorders>
              <w:top w:val="single" w:sz="4" w:space="0" w:color="auto"/>
              <w:left w:val="nil"/>
              <w:bottom w:val="single" w:sz="4" w:space="0" w:color="auto"/>
              <w:right w:val="nil"/>
            </w:tcBorders>
            <w:shd w:val="clear" w:color="auto" w:fill="auto"/>
            <w:noWrap/>
            <w:vAlign w:val="bottom"/>
            <w:hideMark/>
          </w:tcPr>
          <w:p w14:paraId="21AAEBC6"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28,915</w:t>
            </w:r>
          </w:p>
        </w:tc>
      </w:tr>
      <w:tr w:rsidR="00115843" w:rsidRPr="00C141F6" w14:paraId="6A246FFD" w14:textId="77777777" w:rsidTr="00CD1CF1">
        <w:trPr>
          <w:gridAfter w:val="1"/>
          <w:wAfter w:w="32" w:type="pct"/>
          <w:trHeight w:val="204"/>
        </w:trPr>
        <w:tc>
          <w:tcPr>
            <w:tcW w:w="2141" w:type="pct"/>
            <w:tcBorders>
              <w:top w:val="single" w:sz="4" w:space="0" w:color="auto"/>
              <w:left w:val="nil"/>
              <w:bottom w:val="single" w:sz="4" w:space="0" w:color="auto"/>
              <w:right w:val="nil"/>
            </w:tcBorders>
            <w:shd w:val="clear" w:color="auto" w:fill="E6E6E6"/>
            <w:noWrap/>
            <w:vAlign w:val="bottom"/>
            <w:hideMark/>
          </w:tcPr>
          <w:p w14:paraId="3996D312"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Outcome 4 Totals by appropriation type</w:t>
            </w:r>
          </w:p>
        </w:tc>
        <w:tc>
          <w:tcPr>
            <w:tcW w:w="565" w:type="pct"/>
            <w:gridSpan w:val="3"/>
            <w:tcBorders>
              <w:top w:val="single" w:sz="4" w:space="0" w:color="auto"/>
              <w:left w:val="nil"/>
              <w:bottom w:val="single" w:sz="4" w:space="0" w:color="auto"/>
              <w:right w:val="nil"/>
            </w:tcBorders>
            <w:shd w:val="clear" w:color="auto" w:fill="E6E6E6"/>
            <w:noWrap/>
            <w:vAlign w:val="bottom"/>
            <w:hideMark/>
          </w:tcPr>
          <w:p w14:paraId="6A2C3639" w14:textId="77777777" w:rsidR="00115843" w:rsidRPr="00C141F6" w:rsidRDefault="00115843" w:rsidP="00FB0D02">
            <w:pPr>
              <w:spacing w:after="0" w:line="240" w:lineRule="auto"/>
              <w:jc w:val="right"/>
              <w:rPr>
                <w:rFonts w:ascii="Arial" w:hAnsi="Arial" w:cs="Arial"/>
                <w:sz w:val="16"/>
                <w:szCs w:val="16"/>
              </w:rPr>
            </w:pPr>
          </w:p>
        </w:tc>
        <w:tc>
          <w:tcPr>
            <w:tcW w:w="566" w:type="pct"/>
            <w:gridSpan w:val="3"/>
            <w:tcBorders>
              <w:top w:val="single" w:sz="4" w:space="0" w:color="auto"/>
              <w:left w:val="nil"/>
              <w:bottom w:val="single" w:sz="4" w:space="0" w:color="auto"/>
              <w:right w:val="nil"/>
            </w:tcBorders>
            <w:shd w:val="clear" w:color="auto" w:fill="E6E6E6"/>
            <w:noWrap/>
            <w:vAlign w:val="bottom"/>
            <w:hideMark/>
          </w:tcPr>
          <w:p w14:paraId="3D291CFF" w14:textId="77777777" w:rsidR="00115843" w:rsidRPr="00C141F6" w:rsidRDefault="00115843" w:rsidP="00FB0D02">
            <w:pPr>
              <w:spacing w:after="0" w:line="240" w:lineRule="auto"/>
              <w:jc w:val="right"/>
              <w:rPr>
                <w:rFonts w:ascii="Arial" w:hAnsi="Arial" w:cs="Arial"/>
                <w:sz w:val="16"/>
                <w:szCs w:val="16"/>
              </w:rPr>
            </w:pPr>
          </w:p>
        </w:tc>
        <w:tc>
          <w:tcPr>
            <w:tcW w:w="566" w:type="pct"/>
            <w:gridSpan w:val="3"/>
            <w:tcBorders>
              <w:top w:val="single" w:sz="4" w:space="0" w:color="auto"/>
              <w:left w:val="nil"/>
              <w:bottom w:val="single" w:sz="4" w:space="0" w:color="auto"/>
              <w:right w:val="nil"/>
            </w:tcBorders>
            <w:shd w:val="clear" w:color="auto" w:fill="E6E6E6"/>
            <w:noWrap/>
            <w:vAlign w:val="bottom"/>
            <w:hideMark/>
          </w:tcPr>
          <w:p w14:paraId="6D4A38E0" w14:textId="77777777" w:rsidR="00115843" w:rsidRPr="00C141F6" w:rsidRDefault="00115843" w:rsidP="00FB0D02">
            <w:pPr>
              <w:spacing w:after="0" w:line="240" w:lineRule="auto"/>
              <w:jc w:val="right"/>
              <w:rPr>
                <w:rFonts w:ascii="Arial" w:hAnsi="Arial" w:cs="Arial"/>
                <w:sz w:val="16"/>
                <w:szCs w:val="16"/>
              </w:rPr>
            </w:pPr>
          </w:p>
        </w:tc>
        <w:tc>
          <w:tcPr>
            <w:tcW w:w="566" w:type="pct"/>
            <w:gridSpan w:val="3"/>
            <w:tcBorders>
              <w:top w:val="single" w:sz="4" w:space="0" w:color="auto"/>
              <w:left w:val="nil"/>
              <w:bottom w:val="single" w:sz="4" w:space="0" w:color="auto"/>
              <w:right w:val="nil"/>
            </w:tcBorders>
            <w:shd w:val="clear" w:color="auto" w:fill="E6E6E6"/>
            <w:noWrap/>
            <w:vAlign w:val="bottom"/>
            <w:hideMark/>
          </w:tcPr>
          <w:p w14:paraId="5374EC33" w14:textId="77777777" w:rsidR="00115843" w:rsidRPr="00C141F6" w:rsidRDefault="00115843" w:rsidP="00FB0D02">
            <w:pPr>
              <w:spacing w:after="0" w:line="240" w:lineRule="auto"/>
              <w:jc w:val="right"/>
              <w:rPr>
                <w:rFonts w:ascii="Arial" w:hAnsi="Arial" w:cs="Arial"/>
                <w:sz w:val="16"/>
                <w:szCs w:val="16"/>
              </w:rPr>
            </w:pPr>
          </w:p>
        </w:tc>
        <w:tc>
          <w:tcPr>
            <w:tcW w:w="566" w:type="pct"/>
            <w:gridSpan w:val="4"/>
            <w:tcBorders>
              <w:top w:val="single" w:sz="4" w:space="0" w:color="auto"/>
              <w:left w:val="nil"/>
              <w:bottom w:val="single" w:sz="4" w:space="0" w:color="auto"/>
              <w:right w:val="nil"/>
            </w:tcBorders>
            <w:shd w:val="clear" w:color="auto" w:fill="E6E6E6"/>
            <w:noWrap/>
            <w:vAlign w:val="bottom"/>
            <w:hideMark/>
          </w:tcPr>
          <w:p w14:paraId="47964010" w14:textId="77777777" w:rsidR="00115843" w:rsidRPr="00C141F6" w:rsidRDefault="00115843" w:rsidP="00FB0D02">
            <w:pPr>
              <w:spacing w:after="0" w:line="240" w:lineRule="auto"/>
              <w:jc w:val="right"/>
              <w:rPr>
                <w:rFonts w:ascii="Arial" w:hAnsi="Arial" w:cs="Arial"/>
                <w:sz w:val="16"/>
                <w:szCs w:val="16"/>
              </w:rPr>
            </w:pPr>
          </w:p>
        </w:tc>
      </w:tr>
      <w:tr w:rsidR="00115843" w:rsidRPr="00C141F6" w14:paraId="1D09E220" w14:textId="77777777" w:rsidTr="00CD1CF1">
        <w:trPr>
          <w:trHeight w:val="204"/>
        </w:trPr>
        <w:tc>
          <w:tcPr>
            <w:tcW w:w="2141" w:type="pct"/>
            <w:tcBorders>
              <w:top w:val="nil"/>
              <w:left w:val="nil"/>
              <w:bottom w:val="nil"/>
              <w:right w:val="nil"/>
            </w:tcBorders>
            <w:shd w:val="clear" w:color="auto" w:fill="auto"/>
            <w:noWrap/>
            <w:vAlign w:val="bottom"/>
            <w:hideMark/>
          </w:tcPr>
          <w:p w14:paraId="12E9365F" w14:textId="77777777" w:rsidR="00115843" w:rsidRPr="00C141F6" w:rsidRDefault="00115843" w:rsidP="00FB0D02">
            <w:pPr>
              <w:spacing w:after="0" w:line="240" w:lineRule="auto"/>
              <w:rPr>
                <w:rFonts w:ascii="Arial" w:hAnsi="Arial" w:cs="Arial"/>
                <w:sz w:val="16"/>
                <w:szCs w:val="16"/>
              </w:rPr>
            </w:pPr>
            <w:r w:rsidRPr="00C141F6">
              <w:rPr>
                <w:rFonts w:ascii="Arial" w:hAnsi="Arial" w:cs="Arial"/>
                <w:sz w:val="16"/>
                <w:szCs w:val="16"/>
              </w:rPr>
              <w:t>Administered expenses</w:t>
            </w:r>
          </w:p>
        </w:tc>
        <w:tc>
          <w:tcPr>
            <w:tcW w:w="597" w:type="pct"/>
            <w:gridSpan w:val="4"/>
            <w:tcBorders>
              <w:top w:val="nil"/>
              <w:left w:val="nil"/>
              <w:bottom w:val="nil"/>
              <w:right w:val="nil"/>
            </w:tcBorders>
            <w:shd w:val="clear" w:color="auto" w:fill="auto"/>
            <w:noWrap/>
            <w:vAlign w:val="bottom"/>
            <w:hideMark/>
          </w:tcPr>
          <w:p w14:paraId="17D79ED9" w14:textId="77777777" w:rsidR="00115843" w:rsidRPr="00C141F6" w:rsidRDefault="00115843" w:rsidP="00FB0D02">
            <w:pPr>
              <w:spacing w:after="0" w:line="240" w:lineRule="auto"/>
              <w:jc w:val="right"/>
              <w:rPr>
                <w:rFonts w:ascii="Arial" w:hAnsi="Arial" w:cs="Arial"/>
                <w:sz w:val="16"/>
                <w:szCs w:val="16"/>
              </w:rPr>
            </w:pPr>
          </w:p>
        </w:tc>
        <w:tc>
          <w:tcPr>
            <w:tcW w:w="566" w:type="pct"/>
            <w:gridSpan w:val="3"/>
            <w:tcBorders>
              <w:top w:val="nil"/>
              <w:left w:val="nil"/>
              <w:bottom w:val="nil"/>
              <w:right w:val="nil"/>
            </w:tcBorders>
            <w:shd w:val="clear" w:color="auto" w:fill="E6E6E6"/>
            <w:noWrap/>
            <w:vAlign w:val="bottom"/>
            <w:hideMark/>
          </w:tcPr>
          <w:p w14:paraId="45F5B77C" w14:textId="77777777" w:rsidR="00115843" w:rsidRPr="00C141F6" w:rsidRDefault="00115843" w:rsidP="00FB0D02">
            <w:pPr>
              <w:spacing w:after="0" w:line="240" w:lineRule="auto"/>
              <w:jc w:val="right"/>
              <w:rPr>
                <w:rFonts w:ascii="Arial" w:hAnsi="Arial" w:cs="Arial"/>
                <w:sz w:val="16"/>
                <w:szCs w:val="16"/>
              </w:rPr>
            </w:pPr>
          </w:p>
        </w:tc>
        <w:tc>
          <w:tcPr>
            <w:tcW w:w="566" w:type="pct"/>
            <w:gridSpan w:val="4"/>
            <w:tcBorders>
              <w:top w:val="nil"/>
              <w:left w:val="nil"/>
              <w:bottom w:val="nil"/>
              <w:right w:val="nil"/>
            </w:tcBorders>
            <w:shd w:val="clear" w:color="auto" w:fill="auto"/>
            <w:noWrap/>
            <w:vAlign w:val="bottom"/>
            <w:hideMark/>
          </w:tcPr>
          <w:p w14:paraId="7E8CE2EA" w14:textId="77777777" w:rsidR="00115843" w:rsidRPr="00C141F6" w:rsidRDefault="00115843" w:rsidP="00FB0D02">
            <w:pPr>
              <w:spacing w:after="0" w:line="240" w:lineRule="auto"/>
              <w:jc w:val="right"/>
              <w:rPr>
                <w:rFonts w:ascii="Arial" w:hAnsi="Arial" w:cs="Arial"/>
                <w:sz w:val="16"/>
                <w:szCs w:val="16"/>
              </w:rPr>
            </w:pPr>
          </w:p>
        </w:tc>
        <w:tc>
          <w:tcPr>
            <w:tcW w:w="566" w:type="pct"/>
            <w:gridSpan w:val="4"/>
            <w:tcBorders>
              <w:top w:val="nil"/>
              <w:left w:val="nil"/>
              <w:bottom w:val="nil"/>
              <w:right w:val="nil"/>
            </w:tcBorders>
            <w:shd w:val="clear" w:color="auto" w:fill="auto"/>
            <w:noWrap/>
            <w:vAlign w:val="bottom"/>
            <w:hideMark/>
          </w:tcPr>
          <w:p w14:paraId="7DEA2729" w14:textId="77777777" w:rsidR="00115843" w:rsidRPr="00C141F6" w:rsidRDefault="00115843" w:rsidP="00FB0D02">
            <w:pPr>
              <w:spacing w:after="0" w:line="240" w:lineRule="auto"/>
              <w:jc w:val="right"/>
              <w:rPr>
                <w:rFonts w:ascii="Times New Roman" w:hAnsi="Times New Roman"/>
              </w:rPr>
            </w:pPr>
          </w:p>
        </w:tc>
        <w:tc>
          <w:tcPr>
            <w:tcW w:w="566" w:type="pct"/>
            <w:gridSpan w:val="2"/>
            <w:tcBorders>
              <w:top w:val="nil"/>
              <w:left w:val="nil"/>
              <w:bottom w:val="nil"/>
              <w:right w:val="nil"/>
            </w:tcBorders>
            <w:shd w:val="clear" w:color="auto" w:fill="auto"/>
            <w:noWrap/>
            <w:vAlign w:val="bottom"/>
            <w:hideMark/>
          </w:tcPr>
          <w:p w14:paraId="1AED4F5A" w14:textId="77777777" w:rsidR="00115843" w:rsidRPr="00C141F6" w:rsidRDefault="00115843" w:rsidP="00FB0D02">
            <w:pPr>
              <w:spacing w:after="0" w:line="240" w:lineRule="auto"/>
              <w:jc w:val="right"/>
              <w:rPr>
                <w:rFonts w:ascii="Times New Roman" w:hAnsi="Times New Roman"/>
              </w:rPr>
            </w:pPr>
          </w:p>
        </w:tc>
      </w:tr>
      <w:tr w:rsidR="00115843" w:rsidRPr="00C141F6" w14:paraId="4FFEEF17" w14:textId="77777777" w:rsidTr="00CD1CF1">
        <w:trPr>
          <w:trHeight w:val="204"/>
        </w:trPr>
        <w:tc>
          <w:tcPr>
            <w:tcW w:w="2141" w:type="pct"/>
            <w:tcBorders>
              <w:top w:val="nil"/>
              <w:left w:val="nil"/>
              <w:bottom w:val="nil"/>
              <w:right w:val="nil"/>
            </w:tcBorders>
            <w:shd w:val="clear" w:color="auto" w:fill="auto"/>
            <w:vAlign w:val="bottom"/>
            <w:hideMark/>
          </w:tcPr>
          <w:p w14:paraId="1F34A278"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Ordinary Annual Services (Appropriation Act No. 1 and Bill No. 3)</w:t>
            </w:r>
          </w:p>
        </w:tc>
        <w:tc>
          <w:tcPr>
            <w:tcW w:w="597" w:type="pct"/>
            <w:gridSpan w:val="4"/>
            <w:tcBorders>
              <w:top w:val="nil"/>
              <w:left w:val="nil"/>
              <w:bottom w:val="nil"/>
              <w:right w:val="nil"/>
            </w:tcBorders>
            <w:shd w:val="clear" w:color="auto" w:fill="auto"/>
            <w:noWrap/>
            <w:vAlign w:val="bottom"/>
            <w:hideMark/>
          </w:tcPr>
          <w:p w14:paraId="41499BF4"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190,095</w:t>
            </w:r>
          </w:p>
        </w:tc>
        <w:tc>
          <w:tcPr>
            <w:tcW w:w="566" w:type="pct"/>
            <w:gridSpan w:val="3"/>
            <w:tcBorders>
              <w:top w:val="nil"/>
              <w:left w:val="nil"/>
              <w:bottom w:val="nil"/>
              <w:right w:val="nil"/>
            </w:tcBorders>
            <w:shd w:val="clear" w:color="auto" w:fill="E6E6E6"/>
            <w:noWrap/>
            <w:vAlign w:val="bottom"/>
            <w:hideMark/>
          </w:tcPr>
          <w:p w14:paraId="3FF0A89F"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245,704</w:t>
            </w:r>
          </w:p>
        </w:tc>
        <w:tc>
          <w:tcPr>
            <w:tcW w:w="566" w:type="pct"/>
            <w:gridSpan w:val="4"/>
            <w:tcBorders>
              <w:top w:val="nil"/>
              <w:left w:val="nil"/>
              <w:bottom w:val="nil"/>
              <w:right w:val="nil"/>
            </w:tcBorders>
            <w:shd w:val="clear" w:color="auto" w:fill="auto"/>
            <w:noWrap/>
            <w:vAlign w:val="bottom"/>
            <w:hideMark/>
          </w:tcPr>
          <w:p w14:paraId="0E81B275"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190,030</w:t>
            </w:r>
          </w:p>
        </w:tc>
        <w:tc>
          <w:tcPr>
            <w:tcW w:w="566" w:type="pct"/>
            <w:gridSpan w:val="4"/>
            <w:tcBorders>
              <w:top w:val="nil"/>
              <w:left w:val="nil"/>
              <w:bottom w:val="nil"/>
              <w:right w:val="nil"/>
            </w:tcBorders>
            <w:shd w:val="clear" w:color="auto" w:fill="auto"/>
            <w:noWrap/>
            <w:vAlign w:val="bottom"/>
            <w:hideMark/>
          </w:tcPr>
          <w:p w14:paraId="20A7EC0D"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189,236</w:t>
            </w:r>
          </w:p>
        </w:tc>
        <w:tc>
          <w:tcPr>
            <w:tcW w:w="566" w:type="pct"/>
            <w:gridSpan w:val="2"/>
            <w:tcBorders>
              <w:top w:val="nil"/>
              <w:left w:val="nil"/>
              <w:bottom w:val="nil"/>
              <w:right w:val="nil"/>
            </w:tcBorders>
            <w:shd w:val="clear" w:color="auto" w:fill="auto"/>
            <w:noWrap/>
            <w:vAlign w:val="bottom"/>
            <w:hideMark/>
          </w:tcPr>
          <w:p w14:paraId="65177561"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181,069</w:t>
            </w:r>
          </w:p>
        </w:tc>
      </w:tr>
      <w:tr w:rsidR="00115843" w:rsidRPr="00C141F6" w14:paraId="5EBF88FE" w14:textId="77777777" w:rsidTr="00CD1CF1">
        <w:trPr>
          <w:trHeight w:val="204"/>
        </w:trPr>
        <w:tc>
          <w:tcPr>
            <w:tcW w:w="2141" w:type="pct"/>
            <w:tcBorders>
              <w:top w:val="nil"/>
              <w:left w:val="nil"/>
              <w:bottom w:val="nil"/>
              <w:right w:val="nil"/>
            </w:tcBorders>
            <w:shd w:val="clear" w:color="auto" w:fill="auto"/>
            <w:noWrap/>
            <w:vAlign w:val="bottom"/>
            <w:hideMark/>
          </w:tcPr>
          <w:p w14:paraId="022731EE"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Special Accounts</w:t>
            </w:r>
          </w:p>
        </w:tc>
        <w:tc>
          <w:tcPr>
            <w:tcW w:w="597" w:type="pct"/>
            <w:gridSpan w:val="4"/>
            <w:tcBorders>
              <w:top w:val="nil"/>
              <w:left w:val="nil"/>
              <w:bottom w:val="nil"/>
              <w:right w:val="nil"/>
            </w:tcBorders>
            <w:shd w:val="clear" w:color="auto" w:fill="auto"/>
            <w:noWrap/>
            <w:vAlign w:val="bottom"/>
            <w:hideMark/>
          </w:tcPr>
          <w:p w14:paraId="34B33281"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19,191</w:t>
            </w:r>
          </w:p>
        </w:tc>
        <w:tc>
          <w:tcPr>
            <w:tcW w:w="566" w:type="pct"/>
            <w:gridSpan w:val="3"/>
            <w:tcBorders>
              <w:top w:val="nil"/>
              <w:left w:val="nil"/>
              <w:bottom w:val="nil"/>
              <w:right w:val="nil"/>
            </w:tcBorders>
            <w:shd w:val="clear" w:color="auto" w:fill="E6E6E6"/>
            <w:noWrap/>
            <w:vAlign w:val="bottom"/>
            <w:hideMark/>
          </w:tcPr>
          <w:p w14:paraId="59A55DCC"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19,934</w:t>
            </w:r>
          </w:p>
        </w:tc>
        <w:tc>
          <w:tcPr>
            <w:tcW w:w="566" w:type="pct"/>
            <w:gridSpan w:val="4"/>
            <w:tcBorders>
              <w:top w:val="nil"/>
              <w:left w:val="nil"/>
              <w:bottom w:val="nil"/>
              <w:right w:val="nil"/>
            </w:tcBorders>
            <w:shd w:val="clear" w:color="auto" w:fill="auto"/>
            <w:noWrap/>
            <w:vAlign w:val="bottom"/>
            <w:hideMark/>
          </w:tcPr>
          <w:p w14:paraId="380C5146"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20,188</w:t>
            </w:r>
          </w:p>
        </w:tc>
        <w:tc>
          <w:tcPr>
            <w:tcW w:w="566" w:type="pct"/>
            <w:gridSpan w:val="4"/>
            <w:tcBorders>
              <w:top w:val="nil"/>
              <w:left w:val="nil"/>
              <w:bottom w:val="nil"/>
              <w:right w:val="nil"/>
            </w:tcBorders>
            <w:shd w:val="clear" w:color="auto" w:fill="auto"/>
            <w:noWrap/>
            <w:vAlign w:val="bottom"/>
            <w:hideMark/>
          </w:tcPr>
          <w:p w14:paraId="4B96AF10"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20,334</w:t>
            </w:r>
          </w:p>
        </w:tc>
        <w:tc>
          <w:tcPr>
            <w:tcW w:w="566" w:type="pct"/>
            <w:gridSpan w:val="2"/>
            <w:tcBorders>
              <w:top w:val="nil"/>
              <w:left w:val="nil"/>
              <w:bottom w:val="nil"/>
              <w:right w:val="nil"/>
            </w:tcBorders>
            <w:shd w:val="clear" w:color="auto" w:fill="auto"/>
            <w:noWrap/>
            <w:vAlign w:val="bottom"/>
            <w:hideMark/>
          </w:tcPr>
          <w:p w14:paraId="6EC6E156"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20,873</w:t>
            </w:r>
          </w:p>
        </w:tc>
      </w:tr>
      <w:tr w:rsidR="00115843" w:rsidRPr="00C141F6" w14:paraId="7A6F26BE" w14:textId="77777777" w:rsidTr="00CD1CF1">
        <w:trPr>
          <w:trHeight w:val="204"/>
        </w:trPr>
        <w:tc>
          <w:tcPr>
            <w:tcW w:w="2141" w:type="pct"/>
            <w:tcBorders>
              <w:top w:val="nil"/>
              <w:left w:val="nil"/>
              <w:bottom w:val="nil"/>
              <w:right w:val="nil"/>
            </w:tcBorders>
            <w:shd w:val="clear" w:color="auto" w:fill="auto"/>
            <w:vAlign w:val="bottom"/>
            <w:hideMark/>
          </w:tcPr>
          <w:p w14:paraId="74F74FB6"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 xml:space="preserve">Expenses not requiring appropriation in the Budget year </w:t>
            </w:r>
            <w:r w:rsidRPr="00C141F6">
              <w:rPr>
                <w:rFonts w:ascii="Arial" w:hAnsi="Arial" w:cs="Arial"/>
                <w:sz w:val="16"/>
                <w:szCs w:val="16"/>
                <w:vertAlign w:val="superscript"/>
              </w:rPr>
              <w:t>(a)</w:t>
            </w:r>
          </w:p>
        </w:tc>
        <w:tc>
          <w:tcPr>
            <w:tcW w:w="597" w:type="pct"/>
            <w:gridSpan w:val="4"/>
            <w:tcBorders>
              <w:top w:val="nil"/>
              <w:left w:val="nil"/>
              <w:bottom w:val="nil"/>
              <w:right w:val="nil"/>
            </w:tcBorders>
            <w:shd w:val="clear" w:color="auto" w:fill="auto"/>
            <w:noWrap/>
            <w:vAlign w:val="bottom"/>
            <w:hideMark/>
          </w:tcPr>
          <w:p w14:paraId="4EB9F858"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62,942</w:t>
            </w:r>
          </w:p>
        </w:tc>
        <w:tc>
          <w:tcPr>
            <w:tcW w:w="566" w:type="pct"/>
            <w:gridSpan w:val="3"/>
            <w:tcBorders>
              <w:top w:val="nil"/>
              <w:left w:val="nil"/>
              <w:bottom w:val="nil"/>
              <w:right w:val="nil"/>
            </w:tcBorders>
            <w:shd w:val="clear" w:color="auto" w:fill="E6E6E6"/>
            <w:noWrap/>
            <w:vAlign w:val="bottom"/>
            <w:hideMark/>
          </w:tcPr>
          <w:p w14:paraId="4F79324B"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41,922</w:t>
            </w:r>
          </w:p>
        </w:tc>
        <w:tc>
          <w:tcPr>
            <w:tcW w:w="566" w:type="pct"/>
            <w:gridSpan w:val="4"/>
            <w:tcBorders>
              <w:top w:val="nil"/>
              <w:left w:val="nil"/>
              <w:bottom w:val="nil"/>
              <w:right w:val="nil"/>
            </w:tcBorders>
            <w:shd w:val="clear" w:color="auto" w:fill="auto"/>
            <w:noWrap/>
            <w:vAlign w:val="bottom"/>
            <w:hideMark/>
          </w:tcPr>
          <w:p w14:paraId="778B376B"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39,628</w:t>
            </w:r>
          </w:p>
        </w:tc>
        <w:tc>
          <w:tcPr>
            <w:tcW w:w="566" w:type="pct"/>
            <w:gridSpan w:val="4"/>
            <w:tcBorders>
              <w:top w:val="nil"/>
              <w:left w:val="nil"/>
              <w:bottom w:val="nil"/>
              <w:right w:val="nil"/>
            </w:tcBorders>
            <w:shd w:val="clear" w:color="auto" w:fill="auto"/>
            <w:noWrap/>
            <w:vAlign w:val="bottom"/>
            <w:hideMark/>
          </w:tcPr>
          <w:p w14:paraId="32D9EB59"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37,334</w:t>
            </w:r>
          </w:p>
        </w:tc>
        <w:tc>
          <w:tcPr>
            <w:tcW w:w="566" w:type="pct"/>
            <w:gridSpan w:val="2"/>
            <w:tcBorders>
              <w:top w:val="nil"/>
              <w:left w:val="nil"/>
              <w:bottom w:val="nil"/>
              <w:right w:val="nil"/>
            </w:tcBorders>
            <w:shd w:val="clear" w:color="auto" w:fill="auto"/>
            <w:noWrap/>
            <w:vAlign w:val="bottom"/>
            <w:hideMark/>
          </w:tcPr>
          <w:p w14:paraId="6D268953"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36,859</w:t>
            </w:r>
          </w:p>
        </w:tc>
      </w:tr>
      <w:tr w:rsidR="00115843" w:rsidRPr="00C141F6" w14:paraId="127C2DC6" w14:textId="77777777" w:rsidTr="00CD1CF1">
        <w:trPr>
          <w:trHeight w:val="204"/>
        </w:trPr>
        <w:tc>
          <w:tcPr>
            <w:tcW w:w="2141" w:type="pct"/>
            <w:tcBorders>
              <w:top w:val="nil"/>
              <w:left w:val="nil"/>
              <w:bottom w:val="nil"/>
              <w:right w:val="nil"/>
            </w:tcBorders>
            <w:shd w:val="clear" w:color="auto" w:fill="auto"/>
            <w:vAlign w:val="bottom"/>
            <w:hideMark/>
          </w:tcPr>
          <w:p w14:paraId="152E2EF4" w14:textId="77777777" w:rsidR="00115843" w:rsidRPr="00C141F6" w:rsidRDefault="00115843" w:rsidP="00850BB7">
            <w:pPr>
              <w:spacing w:after="0" w:line="240" w:lineRule="auto"/>
              <w:jc w:val="right"/>
              <w:rPr>
                <w:rFonts w:ascii="Arial" w:hAnsi="Arial" w:cs="Arial"/>
                <w:b/>
                <w:bCs/>
                <w:sz w:val="16"/>
                <w:szCs w:val="16"/>
              </w:rPr>
            </w:pPr>
            <w:r w:rsidRPr="00C141F6">
              <w:rPr>
                <w:rFonts w:ascii="Arial" w:hAnsi="Arial" w:cs="Arial"/>
                <w:b/>
                <w:bCs/>
                <w:sz w:val="16"/>
                <w:szCs w:val="16"/>
              </w:rPr>
              <w:t>Total administered expenses</w:t>
            </w:r>
          </w:p>
        </w:tc>
        <w:tc>
          <w:tcPr>
            <w:tcW w:w="597" w:type="pct"/>
            <w:gridSpan w:val="4"/>
            <w:tcBorders>
              <w:top w:val="single" w:sz="4" w:space="0" w:color="auto"/>
              <w:left w:val="nil"/>
              <w:bottom w:val="single" w:sz="4" w:space="0" w:color="auto"/>
              <w:right w:val="nil"/>
            </w:tcBorders>
            <w:shd w:val="clear" w:color="auto" w:fill="auto"/>
            <w:noWrap/>
            <w:vAlign w:val="bottom"/>
            <w:hideMark/>
          </w:tcPr>
          <w:p w14:paraId="27CBF7B8"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272,228</w:t>
            </w:r>
          </w:p>
        </w:tc>
        <w:tc>
          <w:tcPr>
            <w:tcW w:w="566" w:type="pct"/>
            <w:gridSpan w:val="3"/>
            <w:tcBorders>
              <w:top w:val="single" w:sz="4" w:space="0" w:color="auto"/>
              <w:left w:val="nil"/>
              <w:bottom w:val="single" w:sz="4" w:space="0" w:color="auto"/>
              <w:right w:val="nil"/>
            </w:tcBorders>
            <w:shd w:val="clear" w:color="auto" w:fill="E6E6E6"/>
            <w:noWrap/>
            <w:vAlign w:val="bottom"/>
            <w:hideMark/>
          </w:tcPr>
          <w:p w14:paraId="56EB26B5"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307,560</w:t>
            </w:r>
          </w:p>
        </w:tc>
        <w:tc>
          <w:tcPr>
            <w:tcW w:w="566" w:type="pct"/>
            <w:gridSpan w:val="4"/>
            <w:tcBorders>
              <w:top w:val="single" w:sz="4" w:space="0" w:color="auto"/>
              <w:left w:val="nil"/>
              <w:bottom w:val="single" w:sz="4" w:space="0" w:color="auto"/>
              <w:right w:val="nil"/>
            </w:tcBorders>
            <w:shd w:val="clear" w:color="auto" w:fill="auto"/>
            <w:noWrap/>
            <w:vAlign w:val="bottom"/>
            <w:hideMark/>
          </w:tcPr>
          <w:p w14:paraId="1638D7EE"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249,846</w:t>
            </w:r>
          </w:p>
        </w:tc>
        <w:tc>
          <w:tcPr>
            <w:tcW w:w="566" w:type="pct"/>
            <w:gridSpan w:val="4"/>
            <w:tcBorders>
              <w:top w:val="single" w:sz="4" w:space="0" w:color="auto"/>
              <w:left w:val="nil"/>
              <w:bottom w:val="single" w:sz="4" w:space="0" w:color="auto"/>
              <w:right w:val="nil"/>
            </w:tcBorders>
            <w:shd w:val="clear" w:color="auto" w:fill="auto"/>
            <w:noWrap/>
            <w:vAlign w:val="bottom"/>
            <w:hideMark/>
          </w:tcPr>
          <w:p w14:paraId="1DC087B3"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246,904</w:t>
            </w:r>
          </w:p>
        </w:tc>
        <w:tc>
          <w:tcPr>
            <w:tcW w:w="566" w:type="pct"/>
            <w:gridSpan w:val="2"/>
            <w:tcBorders>
              <w:top w:val="single" w:sz="4" w:space="0" w:color="auto"/>
              <w:left w:val="nil"/>
              <w:bottom w:val="single" w:sz="4" w:space="0" w:color="auto"/>
              <w:right w:val="nil"/>
            </w:tcBorders>
            <w:shd w:val="clear" w:color="auto" w:fill="auto"/>
            <w:noWrap/>
            <w:vAlign w:val="bottom"/>
            <w:hideMark/>
          </w:tcPr>
          <w:p w14:paraId="7E22A761"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238,801</w:t>
            </w:r>
          </w:p>
        </w:tc>
      </w:tr>
      <w:tr w:rsidR="00115843" w:rsidRPr="00C141F6" w14:paraId="6185BBD4" w14:textId="77777777" w:rsidTr="00CD1CF1">
        <w:trPr>
          <w:trHeight w:val="204"/>
        </w:trPr>
        <w:tc>
          <w:tcPr>
            <w:tcW w:w="2141" w:type="pct"/>
            <w:tcBorders>
              <w:top w:val="nil"/>
              <w:left w:val="nil"/>
              <w:bottom w:val="nil"/>
              <w:right w:val="nil"/>
            </w:tcBorders>
            <w:shd w:val="clear" w:color="auto" w:fill="auto"/>
            <w:noWrap/>
            <w:vAlign w:val="bottom"/>
            <w:hideMark/>
          </w:tcPr>
          <w:p w14:paraId="40F4D062" w14:textId="77777777" w:rsidR="00115843" w:rsidRPr="00C141F6" w:rsidRDefault="00115843" w:rsidP="00FB0D02">
            <w:pPr>
              <w:spacing w:after="0" w:line="240" w:lineRule="auto"/>
              <w:rPr>
                <w:rFonts w:ascii="Arial" w:hAnsi="Arial" w:cs="Arial"/>
                <w:sz w:val="16"/>
                <w:szCs w:val="16"/>
              </w:rPr>
            </w:pPr>
            <w:r w:rsidRPr="00C141F6">
              <w:rPr>
                <w:rFonts w:ascii="Arial" w:hAnsi="Arial" w:cs="Arial"/>
                <w:sz w:val="16"/>
                <w:szCs w:val="16"/>
              </w:rPr>
              <w:t>Departmental expenses</w:t>
            </w:r>
          </w:p>
        </w:tc>
        <w:tc>
          <w:tcPr>
            <w:tcW w:w="597" w:type="pct"/>
            <w:gridSpan w:val="4"/>
            <w:tcBorders>
              <w:top w:val="nil"/>
              <w:left w:val="nil"/>
              <w:bottom w:val="nil"/>
              <w:right w:val="nil"/>
            </w:tcBorders>
            <w:shd w:val="clear" w:color="auto" w:fill="auto"/>
            <w:noWrap/>
            <w:vAlign w:val="bottom"/>
            <w:hideMark/>
          </w:tcPr>
          <w:p w14:paraId="0AEB1613" w14:textId="77777777" w:rsidR="00115843" w:rsidRPr="00C141F6" w:rsidRDefault="00115843" w:rsidP="00FB0D02">
            <w:pPr>
              <w:spacing w:after="0" w:line="240" w:lineRule="auto"/>
              <w:jc w:val="right"/>
              <w:rPr>
                <w:rFonts w:ascii="Arial" w:hAnsi="Arial" w:cs="Arial"/>
                <w:sz w:val="16"/>
                <w:szCs w:val="16"/>
              </w:rPr>
            </w:pPr>
          </w:p>
        </w:tc>
        <w:tc>
          <w:tcPr>
            <w:tcW w:w="566" w:type="pct"/>
            <w:gridSpan w:val="3"/>
            <w:tcBorders>
              <w:top w:val="nil"/>
              <w:left w:val="nil"/>
              <w:bottom w:val="nil"/>
              <w:right w:val="nil"/>
            </w:tcBorders>
            <w:shd w:val="clear" w:color="auto" w:fill="E6E6E6"/>
            <w:noWrap/>
            <w:vAlign w:val="bottom"/>
            <w:hideMark/>
          </w:tcPr>
          <w:p w14:paraId="77BA7B8A" w14:textId="77777777" w:rsidR="00115843" w:rsidRPr="00C141F6" w:rsidRDefault="00115843" w:rsidP="00FB0D02">
            <w:pPr>
              <w:spacing w:after="0" w:line="240" w:lineRule="auto"/>
              <w:jc w:val="right"/>
              <w:rPr>
                <w:rFonts w:ascii="Arial" w:hAnsi="Arial" w:cs="Arial"/>
                <w:sz w:val="16"/>
                <w:szCs w:val="16"/>
              </w:rPr>
            </w:pPr>
          </w:p>
        </w:tc>
        <w:tc>
          <w:tcPr>
            <w:tcW w:w="566" w:type="pct"/>
            <w:gridSpan w:val="4"/>
            <w:tcBorders>
              <w:top w:val="nil"/>
              <w:left w:val="nil"/>
              <w:bottom w:val="nil"/>
              <w:right w:val="nil"/>
            </w:tcBorders>
            <w:shd w:val="clear" w:color="auto" w:fill="auto"/>
            <w:noWrap/>
            <w:vAlign w:val="bottom"/>
            <w:hideMark/>
          </w:tcPr>
          <w:p w14:paraId="48225684" w14:textId="77777777" w:rsidR="00115843" w:rsidRPr="00C141F6" w:rsidRDefault="00115843" w:rsidP="00FB0D02">
            <w:pPr>
              <w:spacing w:after="0" w:line="240" w:lineRule="auto"/>
              <w:jc w:val="right"/>
              <w:rPr>
                <w:rFonts w:ascii="Arial" w:hAnsi="Arial" w:cs="Arial"/>
                <w:sz w:val="16"/>
                <w:szCs w:val="16"/>
              </w:rPr>
            </w:pPr>
          </w:p>
        </w:tc>
        <w:tc>
          <w:tcPr>
            <w:tcW w:w="566" w:type="pct"/>
            <w:gridSpan w:val="4"/>
            <w:tcBorders>
              <w:top w:val="nil"/>
              <w:left w:val="nil"/>
              <w:bottom w:val="nil"/>
              <w:right w:val="nil"/>
            </w:tcBorders>
            <w:shd w:val="clear" w:color="auto" w:fill="auto"/>
            <w:noWrap/>
            <w:vAlign w:val="bottom"/>
            <w:hideMark/>
          </w:tcPr>
          <w:p w14:paraId="685DE9AE" w14:textId="77777777" w:rsidR="00115843" w:rsidRPr="00C141F6" w:rsidRDefault="00115843" w:rsidP="00FB0D02">
            <w:pPr>
              <w:spacing w:after="0" w:line="240" w:lineRule="auto"/>
              <w:jc w:val="right"/>
              <w:rPr>
                <w:rFonts w:ascii="Times New Roman" w:hAnsi="Times New Roman"/>
              </w:rPr>
            </w:pPr>
          </w:p>
        </w:tc>
        <w:tc>
          <w:tcPr>
            <w:tcW w:w="566" w:type="pct"/>
            <w:gridSpan w:val="2"/>
            <w:tcBorders>
              <w:top w:val="nil"/>
              <w:left w:val="nil"/>
              <w:bottom w:val="nil"/>
              <w:right w:val="nil"/>
            </w:tcBorders>
            <w:shd w:val="clear" w:color="auto" w:fill="auto"/>
            <w:noWrap/>
            <w:vAlign w:val="bottom"/>
            <w:hideMark/>
          </w:tcPr>
          <w:p w14:paraId="75DAAF58" w14:textId="77777777" w:rsidR="00115843" w:rsidRPr="00C141F6" w:rsidRDefault="00115843" w:rsidP="00FB0D02">
            <w:pPr>
              <w:spacing w:after="0" w:line="240" w:lineRule="auto"/>
              <w:jc w:val="right"/>
              <w:rPr>
                <w:rFonts w:ascii="Times New Roman" w:hAnsi="Times New Roman"/>
              </w:rPr>
            </w:pPr>
          </w:p>
        </w:tc>
      </w:tr>
      <w:tr w:rsidR="00115843" w:rsidRPr="00C141F6" w14:paraId="0584A1EA" w14:textId="77777777" w:rsidTr="00CD1CF1">
        <w:trPr>
          <w:trHeight w:val="204"/>
        </w:trPr>
        <w:tc>
          <w:tcPr>
            <w:tcW w:w="2141" w:type="pct"/>
            <w:tcBorders>
              <w:top w:val="nil"/>
              <w:left w:val="nil"/>
              <w:bottom w:val="nil"/>
              <w:right w:val="nil"/>
            </w:tcBorders>
            <w:shd w:val="clear" w:color="auto" w:fill="auto"/>
            <w:vAlign w:val="bottom"/>
            <w:hideMark/>
          </w:tcPr>
          <w:p w14:paraId="62838D67"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Departmental appropriation</w:t>
            </w:r>
          </w:p>
        </w:tc>
        <w:tc>
          <w:tcPr>
            <w:tcW w:w="597" w:type="pct"/>
            <w:gridSpan w:val="4"/>
            <w:tcBorders>
              <w:top w:val="nil"/>
              <w:left w:val="nil"/>
              <w:bottom w:val="nil"/>
              <w:right w:val="nil"/>
            </w:tcBorders>
            <w:shd w:val="clear" w:color="auto" w:fill="auto"/>
            <w:noWrap/>
            <w:vAlign w:val="bottom"/>
            <w:hideMark/>
          </w:tcPr>
          <w:p w14:paraId="6BD49D01"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26,821</w:t>
            </w:r>
          </w:p>
        </w:tc>
        <w:tc>
          <w:tcPr>
            <w:tcW w:w="566" w:type="pct"/>
            <w:gridSpan w:val="3"/>
            <w:tcBorders>
              <w:top w:val="nil"/>
              <w:left w:val="nil"/>
              <w:bottom w:val="nil"/>
              <w:right w:val="nil"/>
            </w:tcBorders>
            <w:shd w:val="clear" w:color="auto" w:fill="E6E6E6"/>
            <w:noWrap/>
            <w:vAlign w:val="bottom"/>
            <w:hideMark/>
          </w:tcPr>
          <w:p w14:paraId="5698217A"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32,410</w:t>
            </w:r>
          </w:p>
        </w:tc>
        <w:tc>
          <w:tcPr>
            <w:tcW w:w="566" w:type="pct"/>
            <w:gridSpan w:val="4"/>
            <w:tcBorders>
              <w:top w:val="nil"/>
              <w:left w:val="nil"/>
              <w:bottom w:val="nil"/>
              <w:right w:val="nil"/>
            </w:tcBorders>
            <w:shd w:val="clear" w:color="auto" w:fill="auto"/>
            <w:noWrap/>
            <w:vAlign w:val="bottom"/>
            <w:hideMark/>
          </w:tcPr>
          <w:p w14:paraId="254937BD"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32,312</w:t>
            </w:r>
          </w:p>
        </w:tc>
        <w:tc>
          <w:tcPr>
            <w:tcW w:w="566" w:type="pct"/>
            <w:gridSpan w:val="4"/>
            <w:tcBorders>
              <w:top w:val="nil"/>
              <w:left w:val="nil"/>
              <w:bottom w:val="nil"/>
              <w:right w:val="nil"/>
            </w:tcBorders>
            <w:shd w:val="clear" w:color="auto" w:fill="auto"/>
            <w:noWrap/>
            <w:vAlign w:val="bottom"/>
            <w:hideMark/>
          </w:tcPr>
          <w:p w14:paraId="04EC0F27"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28,783</w:t>
            </w:r>
          </w:p>
        </w:tc>
        <w:tc>
          <w:tcPr>
            <w:tcW w:w="566" w:type="pct"/>
            <w:gridSpan w:val="2"/>
            <w:tcBorders>
              <w:top w:val="nil"/>
              <w:left w:val="nil"/>
              <w:bottom w:val="nil"/>
              <w:right w:val="nil"/>
            </w:tcBorders>
            <w:shd w:val="clear" w:color="auto" w:fill="auto"/>
            <w:noWrap/>
            <w:vAlign w:val="bottom"/>
            <w:hideMark/>
          </w:tcPr>
          <w:p w14:paraId="6F0DF533"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28,915</w:t>
            </w:r>
          </w:p>
        </w:tc>
      </w:tr>
      <w:tr w:rsidR="00115843" w:rsidRPr="00C141F6" w14:paraId="1CA357DF" w14:textId="77777777" w:rsidTr="00CD1CF1">
        <w:trPr>
          <w:trHeight w:val="204"/>
        </w:trPr>
        <w:tc>
          <w:tcPr>
            <w:tcW w:w="2141" w:type="pct"/>
            <w:tcBorders>
              <w:top w:val="nil"/>
              <w:left w:val="nil"/>
              <w:bottom w:val="nil"/>
              <w:right w:val="nil"/>
            </w:tcBorders>
            <w:shd w:val="clear" w:color="auto" w:fill="auto"/>
            <w:vAlign w:val="bottom"/>
            <w:hideMark/>
          </w:tcPr>
          <w:p w14:paraId="4C442F33"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 xml:space="preserve">s74 external revenues </w:t>
            </w:r>
            <w:r w:rsidRPr="00C141F6">
              <w:rPr>
                <w:rFonts w:ascii="Arial" w:hAnsi="Arial" w:cs="Arial"/>
                <w:sz w:val="16"/>
                <w:szCs w:val="16"/>
                <w:vertAlign w:val="superscript"/>
              </w:rPr>
              <w:t>(b)</w:t>
            </w:r>
          </w:p>
        </w:tc>
        <w:tc>
          <w:tcPr>
            <w:tcW w:w="597" w:type="pct"/>
            <w:gridSpan w:val="4"/>
            <w:tcBorders>
              <w:top w:val="nil"/>
              <w:left w:val="nil"/>
              <w:bottom w:val="nil"/>
              <w:right w:val="nil"/>
            </w:tcBorders>
            <w:shd w:val="clear" w:color="auto" w:fill="auto"/>
            <w:noWrap/>
            <w:vAlign w:val="bottom"/>
            <w:hideMark/>
          </w:tcPr>
          <w:p w14:paraId="6ED3A346"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579</w:t>
            </w:r>
          </w:p>
        </w:tc>
        <w:tc>
          <w:tcPr>
            <w:tcW w:w="566" w:type="pct"/>
            <w:gridSpan w:val="3"/>
            <w:tcBorders>
              <w:top w:val="nil"/>
              <w:left w:val="nil"/>
              <w:bottom w:val="nil"/>
              <w:right w:val="nil"/>
            </w:tcBorders>
            <w:shd w:val="clear" w:color="auto" w:fill="E6E6E6"/>
            <w:noWrap/>
            <w:vAlign w:val="bottom"/>
            <w:hideMark/>
          </w:tcPr>
          <w:p w14:paraId="482B95E9"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6" w:type="pct"/>
            <w:gridSpan w:val="4"/>
            <w:tcBorders>
              <w:top w:val="nil"/>
              <w:left w:val="nil"/>
              <w:bottom w:val="nil"/>
              <w:right w:val="nil"/>
            </w:tcBorders>
            <w:shd w:val="clear" w:color="auto" w:fill="auto"/>
            <w:noWrap/>
            <w:vAlign w:val="bottom"/>
            <w:hideMark/>
          </w:tcPr>
          <w:p w14:paraId="4B22F19F"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6" w:type="pct"/>
            <w:gridSpan w:val="4"/>
            <w:tcBorders>
              <w:top w:val="nil"/>
              <w:left w:val="nil"/>
              <w:bottom w:val="nil"/>
              <w:right w:val="nil"/>
            </w:tcBorders>
            <w:shd w:val="clear" w:color="auto" w:fill="auto"/>
            <w:noWrap/>
            <w:vAlign w:val="bottom"/>
            <w:hideMark/>
          </w:tcPr>
          <w:p w14:paraId="169C42C5"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03BA4986"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C141F6" w14:paraId="01E671B2" w14:textId="77777777" w:rsidTr="00CD1CF1">
        <w:trPr>
          <w:trHeight w:val="204"/>
        </w:trPr>
        <w:tc>
          <w:tcPr>
            <w:tcW w:w="2141" w:type="pct"/>
            <w:tcBorders>
              <w:top w:val="nil"/>
              <w:left w:val="nil"/>
              <w:bottom w:val="nil"/>
              <w:right w:val="nil"/>
            </w:tcBorders>
            <w:shd w:val="clear" w:color="auto" w:fill="auto"/>
            <w:vAlign w:val="bottom"/>
            <w:hideMark/>
          </w:tcPr>
          <w:p w14:paraId="416ED6B6" w14:textId="77777777" w:rsidR="00115843" w:rsidRPr="00C141F6" w:rsidRDefault="00115843" w:rsidP="00FB0D02">
            <w:pPr>
              <w:spacing w:after="0" w:line="240" w:lineRule="auto"/>
              <w:ind w:left="113"/>
              <w:rPr>
                <w:rFonts w:ascii="Arial" w:hAnsi="Arial" w:cs="Arial"/>
                <w:sz w:val="16"/>
                <w:szCs w:val="16"/>
              </w:rPr>
            </w:pPr>
            <w:r w:rsidRPr="00C141F6">
              <w:rPr>
                <w:rFonts w:ascii="Arial" w:hAnsi="Arial" w:cs="Arial"/>
                <w:sz w:val="16"/>
                <w:szCs w:val="16"/>
              </w:rPr>
              <w:t xml:space="preserve">Expenses not requiring appropriation in the Budget year </w:t>
            </w:r>
            <w:r w:rsidRPr="00C141F6">
              <w:rPr>
                <w:rFonts w:ascii="Arial" w:hAnsi="Arial" w:cs="Arial"/>
                <w:sz w:val="16"/>
                <w:szCs w:val="16"/>
                <w:vertAlign w:val="superscript"/>
              </w:rPr>
              <w:t>(c)</w:t>
            </w:r>
          </w:p>
        </w:tc>
        <w:tc>
          <w:tcPr>
            <w:tcW w:w="597" w:type="pct"/>
            <w:gridSpan w:val="4"/>
            <w:tcBorders>
              <w:top w:val="nil"/>
              <w:left w:val="nil"/>
              <w:bottom w:val="nil"/>
              <w:right w:val="nil"/>
            </w:tcBorders>
            <w:shd w:val="clear" w:color="auto" w:fill="auto"/>
            <w:noWrap/>
            <w:vAlign w:val="bottom"/>
            <w:hideMark/>
          </w:tcPr>
          <w:p w14:paraId="542FCFA5"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1,214</w:t>
            </w:r>
          </w:p>
        </w:tc>
        <w:tc>
          <w:tcPr>
            <w:tcW w:w="566" w:type="pct"/>
            <w:gridSpan w:val="3"/>
            <w:tcBorders>
              <w:top w:val="nil"/>
              <w:left w:val="nil"/>
              <w:bottom w:val="nil"/>
              <w:right w:val="nil"/>
            </w:tcBorders>
            <w:shd w:val="clear" w:color="auto" w:fill="E6E6E6"/>
            <w:noWrap/>
            <w:vAlign w:val="bottom"/>
            <w:hideMark/>
          </w:tcPr>
          <w:p w14:paraId="493DCA60"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6" w:type="pct"/>
            <w:gridSpan w:val="4"/>
            <w:tcBorders>
              <w:top w:val="nil"/>
              <w:left w:val="nil"/>
              <w:bottom w:val="nil"/>
              <w:right w:val="nil"/>
            </w:tcBorders>
            <w:shd w:val="clear" w:color="auto" w:fill="auto"/>
            <w:noWrap/>
            <w:vAlign w:val="bottom"/>
            <w:hideMark/>
          </w:tcPr>
          <w:p w14:paraId="6289B21E"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6" w:type="pct"/>
            <w:gridSpan w:val="4"/>
            <w:tcBorders>
              <w:top w:val="nil"/>
              <w:left w:val="nil"/>
              <w:bottom w:val="nil"/>
              <w:right w:val="nil"/>
            </w:tcBorders>
            <w:shd w:val="clear" w:color="auto" w:fill="auto"/>
            <w:noWrap/>
            <w:vAlign w:val="bottom"/>
            <w:hideMark/>
          </w:tcPr>
          <w:p w14:paraId="578322A8"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c>
          <w:tcPr>
            <w:tcW w:w="566" w:type="pct"/>
            <w:gridSpan w:val="2"/>
            <w:tcBorders>
              <w:top w:val="nil"/>
              <w:left w:val="nil"/>
              <w:bottom w:val="nil"/>
              <w:right w:val="nil"/>
            </w:tcBorders>
            <w:shd w:val="clear" w:color="auto" w:fill="auto"/>
            <w:noWrap/>
            <w:vAlign w:val="bottom"/>
            <w:hideMark/>
          </w:tcPr>
          <w:p w14:paraId="5CD5673D" w14:textId="77777777" w:rsidR="00115843" w:rsidRPr="00C141F6" w:rsidRDefault="00115843" w:rsidP="00FB0D02">
            <w:pPr>
              <w:spacing w:after="0" w:line="240" w:lineRule="auto"/>
              <w:jc w:val="right"/>
              <w:rPr>
                <w:rFonts w:ascii="Arial" w:hAnsi="Arial" w:cs="Arial"/>
                <w:sz w:val="16"/>
                <w:szCs w:val="16"/>
              </w:rPr>
            </w:pPr>
            <w:r>
              <w:rPr>
                <w:rFonts w:ascii="Arial" w:hAnsi="Arial" w:cs="Arial"/>
                <w:sz w:val="16"/>
                <w:szCs w:val="16"/>
              </w:rPr>
              <w:t>-</w:t>
            </w:r>
          </w:p>
        </w:tc>
      </w:tr>
      <w:tr w:rsidR="00115843" w:rsidRPr="00C141F6" w14:paraId="1EDC8A23" w14:textId="77777777" w:rsidTr="00CD1CF1">
        <w:trPr>
          <w:trHeight w:val="204"/>
        </w:trPr>
        <w:tc>
          <w:tcPr>
            <w:tcW w:w="2141" w:type="pct"/>
            <w:tcBorders>
              <w:top w:val="nil"/>
              <w:left w:val="nil"/>
              <w:bottom w:val="nil"/>
              <w:right w:val="nil"/>
            </w:tcBorders>
            <w:shd w:val="clear" w:color="auto" w:fill="auto"/>
            <w:vAlign w:val="bottom"/>
            <w:hideMark/>
          </w:tcPr>
          <w:p w14:paraId="00A467AD" w14:textId="77777777" w:rsidR="00115843" w:rsidRPr="00C141F6" w:rsidRDefault="00115843" w:rsidP="00850BB7">
            <w:pPr>
              <w:spacing w:after="0" w:line="240" w:lineRule="auto"/>
              <w:jc w:val="right"/>
              <w:rPr>
                <w:rFonts w:ascii="Arial" w:hAnsi="Arial" w:cs="Arial"/>
                <w:b/>
                <w:bCs/>
                <w:sz w:val="16"/>
                <w:szCs w:val="16"/>
              </w:rPr>
            </w:pPr>
            <w:r w:rsidRPr="00C141F6">
              <w:rPr>
                <w:rFonts w:ascii="Arial" w:hAnsi="Arial" w:cs="Arial"/>
                <w:b/>
                <w:bCs/>
                <w:sz w:val="16"/>
                <w:szCs w:val="16"/>
              </w:rPr>
              <w:t>Total departmental expenses</w:t>
            </w:r>
          </w:p>
        </w:tc>
        <w:tc>
          <w:tcPr>
            <w:tcW w:w="597" w:type="pct"/>
            <w:gridSpan w:val="4"/>
            <w:tcBorders>
              <w:top w:val="single" w:sz="4" w:space="0" w:color="auto"/>
              <w:left w:val="nil"/>
              <w:bottom w:val="single" w:sz="4" w:space="0" w:color="auto"/>
              <w:right w:val="nil"/>
            </w:tcBorders>
            <w:shd w:val="clear" w:color="auto" w:fill="auto"/>
            <w:noWrap/>
            <w:vAlign w:val="bottom"/>
            <w:hideMark/>
          </w:tcPr>
          <w:p w14:paraId="3E29F932"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28,614</w:t>
            </w:r>
          </w:p>
        </w:tc>
        <w:tc>
          <w:tcPr>
            <w:tcW w:w="566" w:type="pct"/>
            <w:gridSpan w:val="3"/>
            <w:tcBorders>
              <w:top w:val="single" w:sz="4" w:space="0" w:color="auto"/>
              <w:left w:val="nil"/>
              <w:bottom w:val="single" w:sz="4" w:space="0" w:color="auto"/>
              <w:right w:val="nil"/>
            </w:tcBorders>
            <w:shd w:val="clear" w:color="auto" w:fill="E6E6E6"/>
            <w:noWrap/>
            <w:vAlign w:val="bottom"/>
            <w:hideMark/>
          </w:tcPr>
          <w:p w14:paraId="6B49B71E"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32,410</w:t>
            </w:r>
          </w:p>
        </w:tc>
        <w:tc>
          <w:tcPr>
            <w:tcW w:w="566" w:type="pct"/>
            <w:gridSpan w:val="4"/>
            <w:tcBorders>
              <w:top w:val="single" w:sz="4" w:space="0" w:color="auto"/>
              <w:left w:val="nil"/>
              <w:bottom w:val="single" w:sz="4" w:space="0" w:color="auto"/>
              <w:right w:val="nil"/>
            </w:tcBorders>
            <w:shd w:val="clear" w:color="auto" w:fill="auto"/>
            <w:noWrap/>
            <w:vAlign w:val="bottom"/>
            <w:hideMark/>
          </w:tcPr>
          <w:p w14:paraId="0602DD55"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32,312</w:t>
            </w:r>
          </w:p>
        </w:tc>
        <w:tc>
          <w:tcPr>
            <w:tcW w:w="566" w:type="pct"/>
            <w:gridSpan w:val="4"/>
            <w:tcBorders>
              <w:top w:val="single" w:sz="4" w:space="0" w:color="auto"/>
              <w:left w:val="nil"/>
              <w:bottom w:val="single" w:sz="4" w:space="0" w:color="auto"/>
              <w:right w:val="nil"/>
            </w:tcBorders>
            <w:shd w:val="clear" w:color="auto" w:fill="auto"/>
            <w:noWrap/>
            <w:vAlign w:val="bottom"/>
            <w:hideMark/>
          </w:tcPr>
          <w:p w14:paraId="36F1BADB"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28,783</w:t>
            </w:r>
          </w:p>
        </w:tc>
        <w:tc>
          <w:tcPr>
            <w:tcW w:w="566" w:type="pct"/>
            <w:gridSpan w:val="2"/>
            <w:tcBorders>
              <w:top w:val="single" w:sz="4" w:space="0" w:color="auto"/>
              <w:left w:val="nil"/>
              <w:bottom w:val="single" w:sz="4" w:space="0" w:color="auto"/>
              <w:right w:val="nil"/>
            </w:tcBorders>
            <w:shd w:val="clear" w:color="auto" w:fill="auto"/>
            <w:noWrap/>
            <w:vAlign w:val="bottom"/>
            <w:hideMark/>
          </w:tcPr>
          <w:p w14:paraId="729A2724"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28,915</w:t>
            </w:r>
          </w:p>
        </w:tc>
      </w:tr>
      <w:tr w:rsidR="00115843" w:rsidRPr="00C141F6" w14:paraId="6B2A6B8D" w14:textId="77777777" w:rsidTr="00CD1CF1">
        <w:trPr>
          <w:trHeight w:val="204"/>
        </w:trPr>
        <w:tc>
          <w:tcPr>
            <w:tcW w:w="2141" w:type="pct"/>
            <w:tcBorders>
              <w:top w:val="nil"/>
              <w:left w:val="nil"/>
              <w:bottom w:val="single" w:sz="4" w:space="0" w:color="auto"/>
              <w:right w:val="nil"/>
            </w:tcBorders>
            <w:shd w:val="clear" w:color="auto" w:fill="auto"/>
            <w:noWrap/>
            <w:vAlign w:val="bottom"/>
            <w:hideMark/>
          </w:tcPr>
          <w:p w14:paraId="0DAC3683"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Total expenses for Outcome 4</w:t>
            </w:r>
          </w:p>
        </w:tc>
        <w:tc>
          <w:tcPr>
            <w:tcW w:w="597" w:type="pct"/>
            <w:gridSpan w:val="4"/>
            <w:tcBorders>
              <w:top w:val="nil"/>
              <w:left w:val="nil"/>
              <w:bottom w:val="single" w:sz="4" w:space="0" w:color="auto"/>
              <w:right w:val="nil"/>
            </w:tcBorders>
            <w:shd w:val="clear" w:color="auto" w:fill="auto"/>
            <w:noWrap/>
            <w:vAlign w:val="bottom"/>
            <w:hideMark/>
          </w:tcPr>
          <w:p w14:paraId="22B3F23E"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300,842</w:t>
            </w:r>
          </w:p>
        </w:tc>
        <w:tc>
          <w:tcPr>
            <w:tcW w:w="566" w:type="pct"/>
            <w:gridSpan w:val="3"/>
            <w:tcBorders>
              <w:top w:val="nil"/>
              <w:left w:val="nil"/>
              <w:bottom w:val="single" w:sz="4" w:space="0" w:color="auto"/>
              <w:right w:val="nil"/>
            </w:tcBorders>
            <w:shd w:val="clear" w:color="auto" w:fill="E6E6E6"/>
            <w:noWrap/>
            <w:vAlign w:val="bottom"/>
            <w:hideMark/>
          </w:tcPr>
          <w:p w14:paraId="6C610645"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339,970</w:t>
            </w:r>
          </w:p>
        </w:tc>
        <w:tc>
          <w:tcPr>
            <w:tcW w:w="566" w:type="pct"/>
            <w:gridSpan w:val="4"/>
            <w:tcBorders>
              <w:top w:val="nil"/>
              <w:left w:val="nil"/>
              <w:bottom w:val="single" w:sz="4" w:space="0" w:color="auto"/>
              <w:right w:val="nil"/>
            </w:tcBorders>
            <w:shd w:val="clear" w:color="auto" w:fill="auto"/>
            <w:noWrap/>
            <w:vAlign w:val="bottom"/>
            <w:hideMark/>
          </w:tcPr>
          <w:p w14:paraId="613A656C"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282,158</w:t>
            </w:r>
          </w:p>
        </w:tc>
        <w:tc>
          <w:tcPr>
            <w:tcW w:w="566" w:type="pct"/>
            <w:gridSpan w:val="4"/>
            <w:tcBorders>
              <w:top w:val="nil"/>
              <w:left w:val="nil"/>
              <w:bottom w:val="single" w:sz="4" w:space="0" w:color="auto"/>
              <w:right w:val="nil"/>
            </w:tcBorders>
            <w:shd w:val="clear" w:color="auto" w:fill="auto"/>
            <w:noWrap/>
            <w:vAlign w:val="bottom"/>
            <w:hideMark/>
          </w:tcPr>
          <w:p w14:paraId="1851D0DB"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275,687</w:t>
            </w:r>
          </w:p>
        </w:tc>
        <w:tc>
          <w:tcPr>
            <w:tcW w:w="566" w:type="pct"/>
            <w:gridSpan w:val="2"/>
            <w:tcBorders>
              <w:top w:val="nil"/>
              <w:left w:val="nil"/>
              <w:bottom w:val="single" w:sz="4" w:space="0" w:color="auto"/>
              <w:right w:val="nil"/>
            </w:tcBorders>
            <w:shd w:val="clear" w:color="auto" w:fill="auto"/>
            <w:noWrap/>
            <w:vAlign w:val="bottom"/>
            <w:hideMark/>
          </w:tcPr>
          <w:p w14:paraId="15C61543" w14:textId="77777777" w:rsidR="00115843" w:rsidRPr="00C141F6" w:rsidRDefault="00115843" w:rsidP="00FB0D02">
            <w:pPr>
              <w:spacing w:after="0" w:line="240" w:lineRule="auto"/>
              <w:jc w:val="right"/>
              <w:rPr>
                <w:rFonts w:ascii="Arial" w:hAnsi="Arial" w:cs="Arial"/>
                <w:b/>
                <w:bCs/>
                <w:sz w:val="16"/>
                <w:szCs w:val="16"/>
              </w:rPr>
            </w:pPr>
            <w:r>
              <w:rPr>
                <w:rFonts w:ascii="Arial" w:hAnsi="Arial" w:cs="Arial"/>
                <w:b/>
                <w:bCs/>
                <w:sz w:val="16"/>
                <w:szCs w:val="16"/>
              </w:rPr>
              <w:t>267,716</w:t>
            </w:r>
          </w:p>
        </w:tc>
      </w:tr>
    </w:tbl>
    <w:p w14:paraId="556CF39C"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4FCA9D62" w14:textId="77777777" w:rsidR="00115843" w:rsidRDefault="00115843" w:rsidP="00115843">
      <w:pPr>
        <w:pStyle w:val="TableHeading"/>
      </w:pPr>
      <w:r w:rsidRPr="00C141F6">
        <w:lastRenderedPageBreak/>
        <w:t>Table 2.</w:t>
      </w:r>
      <w:r>
        <w:t>4</w:t>
      </w:r>
      <w:r w:rsidRPr="00C141F6">
        <w:t>.1: Budgeted expenses for Outcome 4</w:t>
      </w:r>
      <w:r>
        <w:t xml:space="preserve"> (continued)</w:t>
      </w:r>
    </w:p>
    <w:tbl>
      <w:tblPr>
        <w:tblW w:w="5000" w:type="pct"/>
        <w:tblLook w:val="04A0" w:firstRow="1" w:lastRow="0" w:firstColumn="1" w:lastColumn="0" w:noHBand="0" w:noVBand="1"/>
      </w:tblPr>
      <w:tblGrid>
        <w:gridCol w:w="3352"/>
        <w:gridCol w:w="929"/>
        <w:gridCol w:w="858"/>
        <w:gridCol w:w="857"/>
        <w:gridCol w:w="857"/>
        <w:gridCol w:w="857"/>
      </w:tblGrid>
      <w:tr w:rsidR="00115843" w:rsidRPr="00C141F6" w14:paraId="32CB819F" w14:textId="77777777" w:rsidTr="002F3AAF">
        <w:trPr>
          <w:trHeight w:val="204"/>
        </w:trPr>
        <w:tc>
          <w:tcPr>
            <w:tcW w:w="2173" w:type="pct"/>
            <w:tcBorders>
              <w:top w:val="single" w:sz="4" w:space="0" w:color="auto"/>
              <w:left w:val="nil"/>
              <w:bottom w:val="nil"/>
              <w:right w:val="nil"/>
            </w:tcBorders>
            <w:shd w:val="clear" w:color="auto" w:fill="auto"/>
            <w:noWrap/>
            <w:vAlign w:val="bottom"/>
            <w:hideMark/>
          </w:tcPr>
          <w:p w14:paraId="2B04A027"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B80D30E"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2021-22</w:t>
            </w:r>
            <w:r w:rsidRPr="00C141F6">
              <w:rPr>
                <w:rFonts w:ascii="Arial" w:hAnsi="Arial" w:cs="Arial"/>
                <w:sz w:val="16"/>
                <w:szCs w:val="16"/>
              </w:rPr>
              <w:br/>
              <w:t>Estimated</w:t>
            </w:r>
            <w:r>
              <w:rPr>
                <w:rFonts w:ascii="Arial" w:hAnsi="Arial" w:cs="Arial"/>
                <w:sz w:val="16"/>
                <w:szCs w:val="16"/>
              </w:rPr>
              <w:br/>
            </w:r>
            <w:r w:rsidRPr="00C141F6">
              <w:rPr>
                <w:rFonts w:ascii="Arial" w:hAnsi="Arial" w:cs="Arial"/>
                <w:sz w:val="16"/>
                <w:szCs w:val="16"/>
              </w:rPr>
              <w:t>actual</w:t>
            </w:r>
            <w:r w:rsidRPr="00C141F6">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E6E6E6"/>
            <w:vAlign w:val="bottom"/>
            <w:hideMark/>
          </w:tcPr>
          <w:p w14:paraId="482DA696"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2022-23</w:t>
            </w:r>
            <w:r w:rsidRPr="00C141F6">
              <w:rPr>
                <w:rFonts w:ascii="Arial" w:hAnsi="Arial" w:cs="Arial"/>
                <w:sz w:val="16"/>
                <w:szCs w:val="16"/>
              </w:rPr>
              <w:br/>
              <w:t xml:space="preserve"> Budget</w:t>
            </w:r>
            <w:r w:rsidRPr="00C141F6">
              <w:rPr>
                <w:rFonts w:ascii="Arial" w:hAnsi="Arial" w:cs="Arial"/>
                <w:sz w:val="16"/>
                <w:szCs w:val="16"/>
              </w:rPr>
              <w:br/>
              <w:t xml:space="preserve">                                      $'000</w:t>
            </w:r>
          </w:p>
        </w:tc>
        <w:tc>
          <w:tcPr>
            <w:tcW w:w="556" w:type="pct"/>
            <w:tcBorders>
              <w:top w:val="single" w:sz="4" w:space="0" w:color="auto"/>
              <w:left w:val="nil"/>
              <w:bottom w:val="single" w:sz="4" w:space="0" w:color="auto"/>
              <w:right w:val="nil"/>
            </w:tcBorders>
            <w:shd w:val="clear" w:color="auto" w:fill="auto"/>
            <w:vAlign w:val="bottom"/>
            <w:hideMark/>
          </w:tcPr>
          <w:p w14:paraId="1A5CB4EB"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2023-24</w:t>
            </w:r>
            <w:r w:rsidRPr="00C141F6">
              <w:rPr>
                <w:rFonts w:ascii="Arial" w:hAnsi="Arial" w:cs="Arial"/>
                <w:sz w:val="16"/>
                <w:szCs w:val="16"/>
              </w:rPr>
              <w:br/>
              <w:t>Forward</w:t>
            </w:r>
            <w:r>
              <w:rPr>
                <w:rFonts w:ascii="Arial" w:hAnsi="Arial" w:cs="Arial"/>
                <w:sz w:val="16"/>
                <w:szCs w:val="16"/>
              </w:rPr>
              <w:br/>
            </w:r>
            <w:r w:rsidRPr="00C141F6">
              <w:rPr>
                <w:rFonts w:ascii="Arial" w:hAnsi="Arial" w:cs="Arial"/>
                <w:sz w:val="16"/>
                <w:szCs w:val="16"/>
              </w:rPr>
              <w:t>estimate</w:t>
            </w:r>
            <w:r w:rsidRPr="00C141F6">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7195487A"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2024-25</w:t>
            </w:r>
            <w:r w:rsidRPr="00C141F6">
              <w:rPr>
                <w:rFonts w:ascii="Arial" w:hAnsi="Arial" w:cs="Arial"/>
                <w:sz w:val="16"/>
                <w:szCs w:val="16"/>
              </w:rPr>
              <w:br/>
              <w:t>Forward</w:t>
            </w:r>
            <w:r>
              <w:rPr>
                <w:rFonts w:ascii="Arial" w:hAnsi="Arial" w:cs="Arial"/>
                <w:sz w:val="16"/>
                <w:szCs w:val="16"/>
              </w:rPr>
              <w:br/>
            </w:r>
            <w:r w:rsidRPr="00C141F6">
              <w:rPr>
                <w:rFonts w:ascii="Arial" w:hAnsi="Arial" w:cs="Arial"/>
                <w:sz w:val="16"/>
                <w:szCs w:val="16"/>
              </w:rPr>
              <w:t>estimate</w:t>
            </w:r>
            <w:r w:rsidRPr="00C141F6">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070A5780" w14:textId="77777777" w:rsidR="00115843" w:rsidRPr="00C141F6" w:rsidRDefault="00115843" w:rsidP="00FB0D02">
            <w:pPr>
              <w:spacing w:after="0" w:line="240" w:lineRule="auto"/>
              <w:jc w:val="right"/>
              <w:rPr>
                <w:rFonts w:ascii="Arial" w:hAnsi="Arial" w:cs="Arial"/>
                <w:sz w:val="16"/>
                <w:szCs w:val="16"/>
              </w:rPr>
            </w:pPr>
            <w:r w:rsidRPr="00C141F6">
              <w:rPr>
                <w:rFonts w:ascii="Arial" w:hAnsi="Arial" w:cs="Arial"/>
                <w:sz w:val="16"/>
                <w:szCs w:val="16"/>
              </w:rPr>
              <w:t>2025-26</w:t>
            </w:r>
            <w:r w:rsidRPr="00C141F6">
              <w:rPr>
                <w:rFonts w:ascii="Arial" w:hAnsi="Arial" w:cs="Arial"/>
                <w:sz w:val="16"/>
                <w:szCs w:val="16"/>
              </w:rPr>
              <w:br/>
              <w:t>Forward</w:t>
            </w:r>
            <w:r>
              <w:rPr>
                <w:rFonts w:ascii="Arial" w:hAnsi="Arial" w:cs="Arial"/>
                <w:sz w:val="16"/>
                <w:szCs w:val="16"/>
              </w:rPr>
              <w:br/>
            </w:r>
            <w:r w:rsidRPr="00C141F6">
              <w:rPr>
                <w:rFonts w:ascii="Arial" w:hAnsi="Arial" w:cs="Arial"/>
                <w:sz w:val="16"/>
                <w:szCs w:val="16"/>
              </w:rPr>
              <w:t>estimate</w:t>
            </w:r>
            <w:r w:rsidRPr="00C141F6">
              <w:rPr>
                <w:rFonts w:ascii="Arial" w:hAnsi="Arial" w:cs="Arial"/>
                <w:sz w:val="16"/>
                <w:szCs w:val="16"/>
              </w:rPr>
              <w:br/>
              <w:t>$'000</w:t>
            </w:r>
          </w:p>
        </w:tc>
      </w:tr>
      <w:tr w:rsidR="00115843" w:rsidRPr="00EE248D" w14:paraId="04FE7526" w14:textId="77777777" w:rsidTr="002F3AAF">
        <w:trPr>
          <w:trHeight w:val="204"/>
        </w:trPr>
        <w:tc>
          <w:tcPr>
            <w:tcW w:w="2173" w:type="pct"/>
            <w:tcBorders>
              <w:top w:val="nil"/>
              <w:left w:val="nil"/>
              <w:bottom w:val="nil"/>
              <w:right w:val="nil"/>
            </w:tcBorders>
            <w:shd w:val="clear" w:color="auto" w:fill="auto"/>
            <w:vAlign w:val="bottom"/>
            <w:hideMark/>
          </w:tcPr>
          <w:p w14:paraId="44388C79" w14:textId="77777777" w:rsidR="00115843" w:rsidRPr="00EE248D" w:rsidRDefault="00115843" w:rsidP="00FB0D02">
            <w:pPr>
              <w:spacing w:after="0" w:line="240" w:lineRule="auto"/>
              <w:rPr>
                <w:rFonts w:ascii="Arial" w:hAnsi="Arial" w:cs="Arial"/>
                <w:b/>
                <w:bCs/>
                <w:sz w:val="16"/>
                <w:szCs w:val="16"/>
              </w:rPr>
            </w:pPr>
            <w:r w:rsidRPr="00EE248D">
              <w:rPr>
                <w:rFonts w:ascii="Arial" w:hAnsi="Arial" w:cs="Arial"/>
                <w:b/>
                <w:bCs/>
                <w:sz w:val="16"/>
                <w:szCs w:val="16"/>
              </w:rPr>
              <w:t>Movement of administered funds between years</w:t>
            </w:r>
            <w:r w:rsidRPr="00EE248D">
              <w:rPr>
                <w:rFonts w:ascii="Arial" w:hAnsi="Arial" w:cs="Arial"/>
                <w:bCs/>
                <w:sz w:val="16"/>
                <w:szCs w:val="16"/>
              </w:rPr>
              <w:t xml:space="preserve"> </w:t>
            </w:r>
            <w:r w:rsidRPr="00EE248D">
              <w:rPr>
                <w:rFonts w:ascii="Arial" w:hAnsi="Arial" w:cs="Arial"/>
                <w:bCs/>
                <w:sz w:val="16"/>
                <w:szCs w:val="16"/>
                <w:vertAlign w:val="superscript"/>
              </w:rPr>
              <w:t>(d)</w:t>
            </w:r>
          </w:p>
        </w:tc>
        <w:tc>
          <w:tcPr>
            <w:tcW w:w="602" w:type="pct"/>
            <w:tcBorders>
              <w:top w:val="nil"/>
              <w:left w:val="nil"/>
              <w:bottom w:val="nil"/>
              <w:right w:val="nil"/>
            </w:tcBorders>
            <w:shd w:val="clear" w:color="auto" w:fill="auto"/>
            <w:vAlign w:val="bottom"/>
            <w:hideMark/>
          </w:tcPr>
          <w:p w14:paraId="4871E462" w14:textId="77777777" w:rsidR="00115843" w:rsidRPr="00EE248D" w:rsidRDefault="00115843" w:rsidP="00FB0D02">
            <w:pPr>
              <w:spacing w:after="0" w:line="240" w:lineRule="auto"/>
              <w:jc w:val="right"/>
              <w:rPr>
                <w:rFonts w:ascii="Arial" w:hAnsi="Arial" w:cs="Arial"/>
                <w:b/>
                <w:bCs/>
                <w:sz w:val="16"/>
                <w:szCs w:val="16"/>
              </w:rPr>
            </w:pPr>
          </w:p>
        </w:tc>
        <w:tc>
          <w:tcPr>
            <w:tcW w:w="556" w:type="pct"/>
            <w:tcBorders>
              <w:top w:val="nil"/>
              <w:left w:val="nil"/>
              <w:bottom w:val="nil"/>
              <w:right w:val="nil"/>
            </w:tcBorders>
            <w:shd w:val="clear" w:color="auto" w:fill="E6E6E6"/>
            <w:noWrap/>
            <w:vAlign w:val="bottom"/>
            <w:hideMark/>
          </w:tcPr>
          <w:p w14:paraId="5453690E"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1EF215AE"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483674A6" w14:textId="77777777" w:rsidR="00115843" w:rsidRPr="00EE248D" w:rsidRDefault="00115843" w:rsidP="00FB0D02">
            <w:pPr>
              <w:spacing w:after="0" w:line="240" w:lineRule="auto"/>
              <w:jc w:val="right"/>
              <w:rPr>
                <w:rFonts w:ascii="Times New Roman" w:hAnsi="Times New Roman"/>
                <w:sz w:val="16"/>
                <w:szCs w:val="16"/>
              </w:rPr>
            </w:pPr>
          </w:p>
        </w:tc>
        <w:tc>
          <w:tcPr>
            <w:tcW w:w="556" w:type="pct"/>
            <w:tcBorders>
              <w:top w:val="nil"/>
              <w:left w:val="nil"/>
              <w:bottom w:val="nil"/>
              <w:right w:val="nil"/>
            </w:tcBorders>
            <w:shd w:val="clear" w:color="auto" w:fill="auto"/>
            <w:vAlign w:val="bottom"/>
            <w:hideMark/>
          </w:tcPr>
          <w:p w14:paraId="6C25E63C" w14:textId="77777777" w:rsidR="00115843" w:rsidRPr="00EE248D" w:rsidRDefault="00115843" w:rsidP="00FB0D02">
            <w:pPr>
              <w:spacing w:after="0" w:line="240" w:lineRule="auto"/>
              <w:jc w:val="right"/>
              <w:rPr>
                <w:rFonts w:ascii="Times New Roman" w:hAnsi="Times New Roman"/>
                <w:sz w:val="16"/>
                <w:szCs w:val="16"/>
              </w:rPr>
            </w:pPr>
          </w:p>
        </w:tc>
      </w:tr>
      <w:tr w:rsidR="00115843" w:rsidRPr="00EE248D" w14:paraId="5882242B" w14:textId="77777777" w:rsidTr="002F3AAF">
        <w:trPr>
          <w:trHeight w:val="204"/>
        </w:trPr>
        <w:tc>
          <w:tcPr>
            <w:tcW w:w="2173" w:type="pct"/>
            <w:tcBorders>
              <w:top w:val="nil"/>
              <w:left w:val="nil"/>
              <w:bottom w:val="nil"/>
              <w:right w:val="nil"/>
            </w:tcBorders>
            <w:shd w:val="clear" w:color="auto" w:fill="auto"/>
            <w:noWrap/>
            <w:vAlign w:val="bottom"/>
            <w:hideMark/>
          </w:tcPr>
          <w:p w14:paraId="30E0F544" w14:textId="77777777" w:rsidR="00115843" w:rsidRPr="00EE248D" w:rsidRDefault="00115843" w:rsidP="00FB0D02">
            <w:pPr>
              <w:spacing w:after="0" w:line="240" w:lineRule="auto"/>
              <w:rPr>
                <w:rFonts w:ascii="Arial" w:hAnsi="Arial" w:cs="Arial"/>
                <w:sz w:val="16"/>
                <w:szCs w:val="16"/>
              </w:rPr>
            </w:pPr>
            <w:r w:rsidRPr="00EE248D">
              <w:rPr>
                <w:rFonts w:ascii="Arial" w:hAnsi="Arial" w:cs="Arial"/>
                <w:sz w:val="16"/>
                <w:szCs w:val="16"/>
              </w:rPr>
              <w:t>Outcome 4:</w:t>
            </w:r>
          </w:p>
        </w:tc>
        <w:tc>
          <w:tcPr>
            <w:tcW w:w="602" w:type="pct"/>
            <w:tcBorders>
              <w:top w:val="nil"/>
              <w:left w:val="nil"/>
              <w:bottom w:val="nil"/>
              <w:right w:val="nil"/>
            </w:tcBorders>
            <w:shd w:val="clear" w:color="auto" w:fill="auto"/>
            <w:noWrap/>
            <w:vAlign w:val="bottom"/>
            <w:hideMark/>
          </w:tcPr>
          <w:p w14:paraId="412E0FF7"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E6E6E6"/>
            <w:noWrap/>
            <w:vAlign w:val="bottom"/>
            <w:hideMark/>
          </w:tcPr>
          <w:p w14:paraId="1F273D8A"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3F70A38F"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5F3F8947" w14:textId="77777777" w:rsidR="00115843" w:rsidRPr="00EE248D" w:rsidRDefault="00115843" w:rsidP="00FB0D02">
            <w:pPr>
              <w:spacing w:after="0" w:line="240" w:lineRule="auto"/>
              <w:jc w:val="right"/>
              <w:rPr>
                <w:rFonts w:ascii="Times New Roman" w:hAnsi="Times New Roman"/>
                <w:sz w:val="16"/>
                <w:szCs w:val="16"/>
              </w:rPr>
            </w:pPr>
          </w:p>
        </w:tc>
        <w:tc>
          <w:tcPr>
            <w:tcW w:w="556" w:type="pct"/>
            <w:tcBorders>
              <w:top w:val="nil"/>
              <w:left w:val="nil"/>
              <w:bottom w:val="nil"/>
              <w:right w:val="nil"/>
            </w:tcBorders>
            <w:shd w:val="clear" w:color="auto" w:fill="auto"/>
            <w:noWrap/>
            <w:vAlign w:val="bottom"/>
            <w:hideMark/>
          </w:tcPr>
          <w:p w14:paraId="23824AF3" w14:textId="77777777" w:rsidR="00115843" w:rsidRPr="00EE248D" w:rsidRDefault="00115843" w:rsidP="00FB0D02">
            <w:pPr>
              <w:spacing w:after="0" w:line="240" w:lineRule="auto"/>
              <w:jc w:val="right"/>
              <w:rPr>
                <w:rFonts w:ascii="Times New Roman" w:hAnsi="Times New Roman"/>
                <w:sz w:val="16"/>
                <w:szCs w:val="16"/>
              </w:rPr>
            </w:pPr>
          </w:p>
        </w:tc>
      </w:tr>
      <w:tr w:rsidR="00115843" w:rsidRPr="00EE248D" w14:paraId="03C8FFDF" w14:textId="77777777" w:rsidTr="002F3AAF">
        <w:trPr>
          <w:trHeight w:val="204"/>
        </w:trPr>
        <w:tc>
          <w:tcPr>
            <w:tcW w:w="2173" w:type="pct"/>
            <w:tcBorders>
              <w:top w:val="nil"/>
              <w:left w:val="nil"/>
              <w:bottom w:val="nil"/>
              <w:right w:val="nil"/>
            </w:tcBorders>
            <w:shd w:val="clear" w:color="auto" w:fill="auto"/>
            <w:noWrap/>
            <w:vAlign w:val="bottom"/>
            <w:hideMark/>
          </w:tcPr>
          <w:p w14:paraId="13B261F0" w14:textId="77777777" w:rsidR="00115843" w:rsidRPr="00EE248D" w:rsidRDefault="00115843" w:rsidP="00FB0D02">
            <w:pPr>
              <w:spacing w:after="0" w:line="240" w:lineRule="auto"/>
              <w:ind w:left="113"/>
              <w:rPr>
                <w:rFonts w:ascii="Arial" w:hAnsi="Arial" w:cs="Arial"/>
                <w:sz w:val="16"/>
                <w:szCs w:val="16"/>
              </w:rPr>
            </w:pPr>
            <w:r w:rsidRPr="00EE248D">
              <w:rPr>
                <w:rFonts w:ascii="Arial" w:hAnsi="Arial" w:cs="Arial"/>
                <w:sz w:val="16"/>
                <w:szCs w:val="16"/>
              </w:rPr>
              <w:t>Program 4.1 Services to Territories</w:t>
            </w:r>
          </w:p>
        </w:tc>
        <w:tc>
          <w:tcPr>
            <w:tcW w:w="602" w:type="pct"/>
            <w:tcBorders>
              <w:top w:val="nil"/>
              <w:left w:val="nil"/>
              <w:bottom w:val="nil"/>
              <w:right w:val="nil"/>
            </w:tcBorders>
            <w:shd w:val="clear" w:color="auto" w:fill="auto"/>
            <w:noWrap/>
            <w:vAlign w:val="bottom"/>
            <w:hideMark/>
          </w:tcPr>
          <w:p w14:paraId="3D63DF46" w14:textId="77777777" w:rsidR="00115843" w:rsidRPr="00EE248D" w:rsidRDefault="00115843" w:rsidP="00FB0D02">
            <w:pPr>
              <w:spacing w:after="0" w:line="240" w:lineRule="auto"/>
              <w:jc w:val="right"/>
              <w:rPr>
                <w:rFonts w:ascii="Arial" w:hAnsi="Arial" w:cs="Arial"/>
                <w:sz w:val="16"/>
                <w:szCs w:val="16"/>
              </w:rPr>
            </w:pPr>
            <w:r>
              <w:rPr>
                <w:rFonts w:ascii="Arial" w:hAnsi="Arial" w:cs="Arial"/>
                <w:sz w:val="16"/>
                <w:szCs w:val="16"/>
              </w:rPr>
              <w:t>(7,998)</w:t>
            </w:r>
          </w:p>
        </w:tc>
        <w:tc>
          <w:tcPr>
            <w:tcW w:w="556" w:type="pct"/>
            <w:tcBorders>
              <w:top w:val="nil"/>
              <w:left w:val="nil"/>
              <w:bottom w:val="nil"/>
              <w:right w:val="nil"/>
            </w:tcBorders>
            <w:shd w:val="clear" w:color="auto" w:fill="E6E6E6"/>
            <w:noWrap/>
            <w:vAlign w:val="bottom"/>
            <w:hideMark/>
          </w:tcPr>
          <w:p w14:paraId="3B7944EA" w14:textId="77777777" w:rsidR="00115843" w:rsidRPr="00EE248D" w:rsidRDefault="00115843" w:rsidP="00FB0D02">
            <w:pPr>
              <w:spacing w:after="0" w:line="240" w:lineRule="auto"/>
              <w:jc w:val="right"/>
              <w:rPr>
                <w:rFonts w:ascii="Arial" w:hAnsi="Arial" w:cs="Arial"/>
                <w:sz w:val="16"/>
                <w:szCs w:val="16"/>
              </w:rPr>
            </w:pPr>
            <w:r>
              <w:rPr>
                <w:rFonts w:ascii="Arial" w:hAnsi="Arial" w:cs="Arial"/>
                <w:sz w:val="16"/>
                <w:szCs w:val="16"/>
              </w:rPr>
              <w:t>4,754</w:t>
            </w:r>
          </w:p>
        </w:tc>
        <w:tc>
          <w:tcPr>
            <w:tcW w:w="556" w:type="pct"/>
            <w:tcBorders>
              <w:top w:val="nil"/>
              <w:left w:val="nil"/>
              <w:bottom w:val="nil"/>
              <w:right w:val="nil"/>
            </w:tcBorders>
            <w:shd w:val="clear" w:color="auto" w:fill="auto"/>
            <w:noWrap/>
            <w:vAlign w:val="bottom"/>
            <w:hideMark/>
          </w:tcPr>
          <w:p w14:paraId="36559F99" w14:textId="77777777" w:rsidR="00115843" w:rsidRPr="00EE248D" w:rsidRDefault="00115843" w:rsidP="00FB0D02">
            <w:pPr>
              <w:spacing w:after="0" w:line="240" w:lineRule="auto"/>
              <w:jc w:val="right"/>
              <w:rPr>
                <w:rFonts w:ascii="Arial" w:hAnsi="Arial" w:cs="Arial"/>
                <w:sz w:val="16"/>
                <w:szCs w:val="16"/>
              </w:rPr>
            </w:pPr>
            <w:r>
              <w:rPr>
                <w:rFonts w:ascii="Arial" w:hAnsi="Arial" w:cs="Arial"/>
                <w:sz w:val="16"/>
                <w:szCs w:val="16"/>
              </w:rPr>
              <w:t>2,769</w:t>
            </w:r>
          </w:p>
        </w:tc>
        <w:tc>
          <w:tcPr>
            <w:tcW w:w="556" w:type="pct"/>
            <w:tcBorders>
              <w:top w:val="nil"/>
              <w:left w:val="nil"/>
              <w:bottom w:val="nil"/>
              <w:right w:val="nil"/>
            </w:tcBorders>
            <w:shd w:val="clear" w:color="auto" w:fill="auto"/>
            <w:noWrap/>
            <w:vAlign w:val="bottom"/>
            <w:hideMark/>
          </w:tcPr>
          <w:p w14:paraId="0DD87B37" w14:textId="77777777" w:rsidR="00115843" w:rsidRPr="00EE248D" w:rsidRDefault="00115843" w:rsidP="00FB0D02">
            <w:pPr>
              <w:spacing w:after="0" w:line="240" w:lineRule="auto"/>
              <w:jc w:val="right"/>
              <w:rPr>
                <w:rFonts w:ascii="Arial" w:hAnsi="Arial" w:cs="Arial"/>
                <w:sz w:val="16"/>
                <w:szCs w:val="16"/>
              </w:rPr>
            </w:pPr>
            <w:r>
              <w:rPr>
                <w:rFonts w:ascii="Arial" w:hAnsi="Arial" w:cs="Arial"/>
                <w:sz w:val="16"/>
                <w:szCs w:val="16"/>
              </w:rPr>
              <w:t>475</w:t>
            </w:r>
          </w:p>
        </w:tc>
        <w:tc>
          <w:tcPr>
            <w:tcW w:w="556" w:type="pct"/>
            <w:tcBorders>
              <w:top w:val="nil"/>
              <w:left w:val="nil"/>
              <w:bottom w:val="nil"/>
              <w:right w:val="nil"/>
            </w:tcBorders>
            <w:shd w:val="clear" w:color="auto" w:fill="auto"/>
            <w:noWrap/>
            <w:vAlign w:val="bottom"/>
            <w:hideMark/>
          </w:tcPr>
          <w:p w14:paraId="44FB9D29" w14:textId="77777777" w:rsidR="00115843" w:rsidRPr="00EE248D" w:rsidRDefault="00115843" w:rsidP="00FB0D02">
            <w:pPr>
              <w:spacing w:after="0" w:line="240" w:lineRule="auto"/>
              <w:jc w:val="right"/>
              <w:rPr>
                <w:rFonts w:ascii="Arial" w:hAnsi="Arial" w:cs="Arial"/>
                <w:sz w:val="16"/>
                <w:szCs w:val="16"/>
              </w:rPr>
            </w:pPr>
            <w:r w:rsidRPr="00EE248D">
              <w:rPr>
                <w:rFonts w:ascii="Arial" w:hAnsi="Arial" w:cs="Arial"/>
                <w:sz w:val="16"/>
                <w:szCs w:val="16"/>
              </w:rPr>
              <w:t>-</w:t>
            </w:r>
          </w:p>
        </w:tc>
      </w:tr>
      <w:tr w:rsidR="00115843" w:rsidRPr="00EE248D" w14:paraId="66AF371A" w14:textId="77777777" w:rsidTr="002F3AAF">
        <w:trPr>
          <w:trHeight w:val="204"/>
        </w:trPr>
        <w:tc>
          <w:tcPr>
            <w:tcW w:w="2173" w:type="pct"/>
            <w:tcBorders>
              <w:top w:val="nil"/>
              <w:left w:val="nil"/>
              <w:bottom w:val="single" w:sz="4" w:space="0" w:color="auto"/>
              <w:right w:val="nil"/>
            </w:tcBorders>
            <w:shd w:val="clear" w:color="auto" w:fill="auto"/>
            <w:vAlign w:val="bottom"/>
            <w:hideMark/>
          </w:tcPr>
          <w:p w14:paraId="510CB68C" w14:textId="77777777" w:rsidR="00115843" w:rsidRPr="00EE248D" w:rsidRDefault="00115843" w:rsidP="00FB0D02">
            <w:pPr>
              <w:spacing w:after="0" w:line="240" w:lineRule="auto"/>
              <w:rPr>
                <w:rFonts w:ascii="Arial" w:hAnsi="Arial" w:cs="Arial"/>
                <w:b/>
                <w:bCs/>
                <w:sz w:val="16"/>
                <w:szCs w:val="16"/>
              </w:rPr>
            </w:pPr>
            <w:r w:rsidRPr="00EE248D">
              <w:rPr>
                <w:rFonts w:ascii="Arial" w:hAnsi="Arial" w:cs="Arial"/>
                <w:b/>
                <w:bCs/>
                <w:sz w:val="16"/>
                <w:szCs w:val="16"/>
              </w:rPr>
              <w:t>Total movement of administered funds between years</w:t>
            </w:r>
          </w:p>
        </w:tc>
        <w:tc>
          <w:tcPr>
            <w:tcW w:w="602" w:type="pct"/>
            <w:tcBorders>
              <w:top w:val="single" w:sz="4" w:space="0" w:color="auto"/>
              <w:left w:val="nil"/>
              <w:bottom w:val="single" w:sz="4" w:space="0" w:color="auto"/>
              <w:right w:val="nil"/>
            </w:tcBorders>
            <w:shd w:val="clear" w:color="auto" w:fill="auto"/>
            <w:noWrap/>
            <w:vAlign w:val="bottom"/>
            <w:hideMark/>
          </w:tcPr>
          <w:p w14:paraId="6FC3FCF6" w14:textId="77777777" w:rsidR="00115843" w:rsidRPr="00EE248D" w:rsidRDefault="00115843" w:rsidP="00FB0D02">
            <w:pPr>
              <w:spacing w:after="0" w:line="240" w:lineRule="auto"/>
              <w:jc w:val="right"/>
              <w:rPr>
                <w:rFonts w:ascii="Arial" w:hAnsi="Arial" w:cs="Arial"/>
                <w:b/>
                <w:bCs/>
                <w:sz w:val="16"/>
                <w:szCs w:val="16"/>
              </w:rPr>
            </w:pPr>
            <w:r>
              <w:rPr>
                <w:rFonts w:ascii="Arial" w:hAnsi="Arial" w:cs="Arial"/>
                <w:b/>
                <w:bCs/>
                <w:sz w:val="16"/>
                <w:szCs w:val="16"/>
              </w:rPr>
              <w:t>(7,998)</w:t>
            </w:r>
          </w:p>
        </w:tc>
        <w:tc>
          <w:tcPr>
            <w:tcW w:w="556" w:type="pct"/>
            <w:tcBorders>
              <w:top w:val="single" w:sz="4" w:space="0" w:color="auto"/>
              <w:left w:val="nil"/>
              <w:bottom w:val="single" w:sz="4" w:space="0" w:color="auto"/>
              <w:right w:val="nil"/>
            </w:tcBorders>
            <w:shd w:val="clear" w:color="auto" w:fill="E6E6E6"/>
            <w:noWrap/>
            <w:vAlign w:val="bottom"/>
            <w:hideMark/>
          </w:tcPr>
          <w:p w14:paraId="4CCC5CFB" w14:textId="77777777" w:rsidR="00115843" w:rsidRPr="00EE248D" w:rsidRDefault="00115843" w:rsidP="00FB0D02">
            <w:pPr>
              <w:spacing w:after="0" w:line="240" w:lineRule="auto"/>
              <w:jc w:val="right"/>
              <w:rPr>
                <w:rFonts w:ascii="Arial" w:hAnsi="Arial" w:cs="Arial"/>
                <w:b/>
                <w:bCs/>
                <w:sz w:val="16"/>
                <w:szCs w:val="16"/>
              </w:rPr>
            </w:pPr>
            <w:r>
              <w:rPr>
                <w:rFonts w:ascii="Arial" w:hAnsi="Arial" w:cs="Arial"/>
                <w:b/>
                <w:bCs/>
                <w:sz w:val="16"/>
                <w:szCs w:val="16"/>
              </w:rPr>
              <w:t>4,754</w:t>
            </w:r>
          </w:p>
        </w:tc>
        <w:tc>
          <w:tcPr>
            <w:tcW w:w="556" w:type="pct"/>
            <w:tcBorders>
              <w:top w:val="single" w:sz="4" w:space="0" w:color="auto"/>
              <w:left w:val="nil"/>
              <w:bottom w:val="single" w:sz="4" w:space="0" w:color="auto"/>
              <w:right w:val="nil"/>
            </w:tcBorders>
            <w:shd w:val="clear" w:color="auto" w:fill="auto"/>
            <w:noWrap/>
            <w:vAlign w:val="bottom"/>
            <w:hideMark/>
          </w:tcPr>
          <w:p w14:paraId="5717ED83" w14:textId="77777777" w:rsidR="00115843" w:rsidRPr="00EE248D" w:rsidRDefault="00115843" w:rsidP="00FB0D02">
            <w:pPr>
              <w:spacing w:after="0" w:line="240" w:lineRule="auto"/>
              <w:jc w:val="right"/>
              <w:rPr>
                <w:rFonts w:ascii="Arial" w:hAnsi="Arial" w:cs="Arial"/>
                <w:b/>
                <w:bCs/>
                <w:sz w:val="16"/>
                <w:szCs w:val="16"/>
              </w:rPr>
            </w:pPr>
            <w:r>
              <w:rPr>
                <w:rFonts w:ascii="Arial" w:hAnsi="Arial" w:cs="Arial"/>
                <w:b/>
                <w:bCs/>
                <w:sz w:val="16"/>
                <w:szCs w:val="16"/>
              </w:rPr>
              <w:t>2,769</w:t>
            </w:r>
          </w:p>
        </w:tc>
        <w:tc>
          <w:tcPr>
            <w:tcW w:w="556" w:type="pct"/>
            <w:tcBorders>
              <w:top w:val="single" w:sz="4" w:space="0" w:color="auto"/>
              <w:left w:val="nil"/>
              <w:bottom w:val="single" w:sz="4" w:space="0" w:color="auto"/>
              <w:right w:val="nil"/>
            </w:tcBorders>
            <w:shd w:val="clear" w:color="auto" w:fill="auto"/>
            <w:noWrap/>
            <w:vAlign w:val="bottom"/>
            <w:hideMark/>
          </w:tcPr>
          <w:p w14:paraId="4BFF9CBF" w14:textId="77777777" w:rsidR="00115843" w:rsidRPr="00EE248D" w:rsidRDefault="00115843" w:rsidP="00FB0D02">
            <w:pPr>
              <w:spacing w:after="0" w:line="240" w:lineRule="auto"/>
              <w:jc w:val="right"/>
              <w:rPr>
                <w:rFonts w:ascii="Arial" w:hAnsi="Arial" w:cs="Arial"/>
                <w:b/>
                <w:bCs/>
                <w:sz w:val="16"/>
                <w:szCs w:val="16"/>
              </w:rPr>
            </w:pPr>
            <w:r>
              <w:rPr>
                <w:rFonts w:ascii="Arial" w:hAnsi="Arial" w:cs="Arial"/>
                <w:b/>
                <w:bCs/>
                <w:sz w:val="16"/>
                <w:szCs w:val="16"/>
              </w:rPr>
              <w:t>475</w:t>
            </w:r>
          </w:p>
        </w:tc>
        <w:tc>
          <w:tcPr>
            <w:tcW w:w="556" w:type="pct"/>
            <w:tcBorders>
              <w:top w:val="single" w:sz="4" w:space="0" w:color="auto"/>
              <w:left w:val="nil"/>
              <w:bottom w:val="single" w:sz="4" w:space="0" w:color="auto"/>
              <w:right w:val="nil"/>
            </w:tcBorders>
            <w:shd w:val="clear" w:color="auto" w:fill="auto"/>
            <w:noWrap/>
            <w:vAlign w:val="bottom"/>
            <w:hideMark/>
          </w:tcPr>
          <w:p w14:paraId="282D2348" w14:textId="77777777" w:rsidR="00115843" w:rsidRPr="00EE248D" w:rsidRDefault="00115843" w:rsidP="00FB0D02">
            <w:pPr>
              <w:spacing w:after="0" w:line="240" w:lineRule="auto"/>
              <w:jc w:val="right"/>
              <w:rPr>
                <w:rFonts w:ascii="Arial" w:hAnsi="Arial" w:cs="Arial"/>
                <w:b/>
                <w:bCs/>
                <w:sz w:val="16"/>
                <w:szCs w:val="16"/>
              </w:rPr>
            </w:pPr>
            <w:r w:rsidRPr="00EE248D">
              <w:rPr>
                <w:rFonts w:ascii="Arial" w:hAnsi="Arial" w:cs="Arial"/>
                <w:b/>
                <w:bCs/>
                <w:sz w:val="16"/>
                <w:szCs w:val="16"/>
              </w:rPr>
              <w:t>-</w:t>
            </w:r>
          </w:p>
        </w:tc>
      </w:tr>
    </w:tbl>
    <w:p w14:paraId="6AE1D841" w14:textId="77777777" w:rsidR="00115843" w:rsidRDefault="00115843" w:rsidP="00115843">
      <w:pPr>
        <w:spacing w:after="0" w:line="240" w:lineRule="auto"/>
        <w:rPr>
          <w:rFonts w:ascii="Arial" w:hAnsi="Arial" w:cs="Arial"/>
          <w:sz w:val="16"/>
        </w:rPr>
      </w:pPr>
    </w:p>
    <w:tbl>
      <w:tblPr>
        <w:tblW w:w="5180" w:type="dxa"/>
        <w:tblLook w:val="04A0" w:firstRow="1" w:lastRow="0" w:firstColumn="1" w:lastColumn="0" w:noHBand="0" w:noVBand="1"/>
      </w:tblPr>
      <w:tblGrid>
        <w:gridCol w:w="3332"/>
        <w:gridCol w:w="996"/>
        <w:gridCol w:w="852"/>
      </w:tblGrid>
      <w:tr w:rsidR="00115843" w:rsidRPr="00C141F6" w14:paraId="3210FA8C" w14:textId="77777777" w:rsidTr="002F3AAF">
        <w:trPr>
          <w:trHeight w:val="204"/>
        </w:trPr>
        <w:tc>
          <w:tcPr>
            <w:tcW w:w="3332" w:type="dxa"/>
            <w:tcBorders>
              <w:top w:val="single" w:sz="4" w:space="0" w:color="auto"/>
              <w:left w:val="nil"/>
              <w:bottom w:val="nil"/>
              <w:right w:val="nil"/>
            </w:tcBorders>
            <w:shd w:val="clear" w:color="auto" w:fill="auto"/>
            <w:noWrap/>
            <w:vAlign w:val="bottom"/>
            <w:hideMark/>
          </w:tcPr>
          <w:p w14:paraId="75322075" w14:textId="77777777" w:rsidR="00115843" w:rsidRPr="00C141F6" w:rsidRDefault="00115843" w:rsidP="00FB0D02">
            <w:pPr>
              <w:spacing w:after="0" w:line="240" w:lineRule="auto"/>
              <w:ind w:left="-140"/>
              <w:rPr>
                <w:rFonts w:ascii="Arial" w:hAnsi="Arial" w:cs="Arial"/>
                <w:sz w:val="16"/>
                <w:szCs w:val="16"/>
              </w:rPr>
            </w:pPr>
            <w:r w:rsidRPr="00C141F6">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noWrap/>
            <w:vAlign w:val="bottom"/>
            <w:hideMark/>
          </w:tcPr>
          <w:p w14:paraId="1F14299C" w14:textId="77777777" w:rsidR="00115843" w:rsidRPr="00C141F6" w:rsidRDefault="00115843" w:rsidP="00FB0D02">
            <w:pPr>
              <w:spacing w:after="0" w:line="240" w:lineRule="auto"/>
              <w:ind w:left="-140"/>
              <w:jc w:val="right"/>
              <w:rPr>
                <w:rFonts w:ascii="Arial" w:hAnsi="Arial" w:cs="Arial"/>
                <w:sz w:val="16"/>
                <w:szCs w:val="16"/>
              </w:rPr>
            </w:pPr>
            <w:r w:rsidRPr="00C141F6">
              <w:rPr>
                <w:rFonts w:ascii="Arial" w:hAnsi="Arial" w:cs="Arial"/>
                <w:sz w:val="16"/>
                <w:szCs w:val="16"/>
              </w:rPr>
              <w:t>2021-22</w:t>
            </w:r>
          </w:p>
        </w:tc>
        <w:tc>
          <w:tcPr>
            <w:tcW w:w="852" w:type="dxa"/>
            <w:tcBorders>
              <w:top w:val="single" w:sz="4" w:space="0" w:color="auto"/>
              <w:left w:val="nil"/>
              <w:bottom w:val="single" w:sz="4" w:space="0" w:color="auto"/>
              <w:right w:val="nil"/>
            </w:tcBorders>
            <w:shd w:val="clear" w:color="auto" w:fill="E6E6E6"/>
            <w:vAlign w:val="bottom"/>
            <w:hideMark/>
          </w:tcPr>
          <w:p w14:paraId="638CF7F2" w14:textId="77777777" w:rsidR="00115843" w:rsidRPr="00C141F6" w:rsidRDefault="00115843" w:rsidP="00FB0D02">
            <w:pPr>
              <w:spacing w:after="0" w:line="240" w:lineRule="auto"/>
              <w:ind w:left="-140"/>
              <w:jc w:val="right"/>
              <w:rPr>
                <w:rFonts w:ascii="Arial" w:hAnsi="Arial" w:cs="Arial"/>
                <w:sz w:val="16"/>
                <w:szCs w:val="16"/>
              </w:rPr>
            </w:pPr>
            <w:r w:rsidRPr="00C141F6">
              <w:rPr>
                <w:rFonts w:ascii="Arial" w:hAnsi="Arial" w:cs="Arial"/>
                <w:sz w:val="16"/>
                <w:szCs w:val="16"/>
              </w:rPr>
              <w:t>2022-23</w:t>
            </w:r>
          </w:p>
        </w:tc>
      </w:tr>
      <w:tr w:rsidR="00115843" w:rsidRPr="00C141F6" w14:paraId="054656AF" w14:textId="77777777" w:rsidTr="002F3AAF">
        <w:trPr>
          <w:trHeight w:val="204"/>
        </w:trPr>
        <w:tc>
          <w:tcPr>
            <w:tcW w:w="3332" w:type="dxa"/>
            <w:tcBorders>
              <w:top w:val="nil"/>
              <w:left w:val="nil"/>
              <w:bottom w:val="single" w:sz="4" w:space="0" w:color="auto"/>
              <w:right w:val="nil"/>
            </w:tcBorders>
            <w:shd w:val="clear" w:color="auto" w:fill="auto"/>
            <w:noWrap/>
            <w:vAlign w:val="bottom"/>
            <w:hideMark/>
          </w:tcPr>
          <w:p w14:paraId="50689B75" w14:textId="77777777" w:rsidR="00115843" w:rsidRPr="00C141F6" w:rsidRDefault="00115843" w:rsidP="00FB0D02">
            <w:pPr>
              <w:spacing w:after="0" w:line="240" w:lineRule="auto"/>
              <w:rPr>
                <w:rFonts w:ascii="Arial" w:hAnsi="Arial" w:cs="Arial"/>
                <w:b/>
                <w:bCs/>
                <w:sz w:val="16"/>
                <w:szCs w:val="16"/>
              </w:rPr>
            </w:pPr>
            <w:r w:rsidRPr="00C141F6">
              <w:rPr>
                <w:rFonts w:ascii="Arial" w:hAnsi="Arial" w:cs="Arial"/>
                <w:b/>
                <w:bCs/>
                <w:sz w:val="16"/>
                <w:szCs w:val="16"/>
              </w:rPr>
              <w:t>Average staffing level (number)</w:t>
            </w:r>
          </w:p>
        </w:tc>
        <w:tc>
          <w:tcPr>
            <w:tcW w:w="996" w:type="dxa"/>
            <w:tcBorders>
              <w:top w:val="nil"/>
              <w:left w:val="nil"/>
              <w:bottom w:val="single" w:sz="4" w:space="0" w:color="auto"/>
              <w:right w:val="nil"/>
            </w:tcBorders>
            <w:shd w:val="clear" w:color="auto" w:fill="auto"/>
            <w:noWrap/>
            <w:vAlign w:val="bottom"/>
            <w:hideMark/>
          </w:tcPr>
          <w:p w14:paraId="5820C619" w14:textId="77777777" w:rsidR="00115843" w:rsidRPr="00C141F6" w:rsidRDefault="00115843" w:rsidP="00FB0D02">
            <w:pPr>
              <w:spacing w:after="0" w:line="240" w:lineRule="auto"/>
              <w:ind w:left="-140"/>
              <w:jc w:val="right"/>
              <w:rPr>
                <w:rFonts w:ascii="Arial" w:hAnsi="Arial" w:cs="Arial"/>
                <w:sz w:val="16"/>
                <w:szCs w:val="16"/>
              </w:rPr>
            </w:pPr>
            <w:r w:rsidRPr="00C141F6">
              <w:rPr>
                <w:rFonts w:ascii="Arial" w:hAnsi="Arial" w:cs="Arial"/>
                <w:sz w:val="16"/>
                <w:szCs w:val="16"/>
              </w:rPr>
              <w:t xml:space="preserve">126 </w:t>
            </w:r>
          </w:p>
        </w:tc>
        <w:tc>
          <w:tcPr>
            <w:tcW w:w="852" w:type="dxa"/>
            <w:tcBorders>
              <w:top w:val="nil"/>
              <w:left w:val="nil"/>
              <w:bottom w:val="single" w:sz="4" w:space="0" w:color="auto"/>
              <w:right w:val="nil"/>
            </w:tcBorders>
            <w:shd w:val="clear" w:color="auto" w:fill="E6E6E6"/>
            <w:noWrap/>
            <w:vAlign w:val="bottom"/>
            <w:hideMark/>
          </w:tcPr>
          <w:p w14:paraId="7C5C8AD0" w14:textId="77777777" w:rsidR="00115843" w:rsidRPr="00C141F6" w:rsidRDefault="00115843" w:rsidP="00FB0D02">
            <w:pPr>
              <w:spacing w:after="0" w:line="240" w:lineRule="auto"/>
              <w:ind w:left="-140"/>
              <w:jc w:val="right"/>
              <w:rPr>
                <w:rFonts w:ascii="Arial" w:hAnsi="Arial" w:cs="Arial"/>
                <w:sz w:val="16"/>
                <w:szCs w:val="16"/>
              </w:rPr>
            </w:pPr>
            <w:r w:rsidRPr="00C141F6">
              <w:rPr>
                <w:rFonts w:ascii="Arial" w:hAnsi="Arial" w:cs="Arial"/>
                <w:sz w:val="16"/>
                <w:szCs w:val="16"/>
              </w:rPr>
              <w:t xml:space="preserve">124 </w:t>
            </w:r>
          </w:p>
        </w:tc>
      </w:tr>
    </w:tbl>
    <w:p w14:paraId="76783AA2" w14:textId="77777777" w:rsidR="00115843" w:rsidRDefault="00115843" w:rsidP="00115843">
      <w:pPr>
        <w:pStyle w:val="ListParagraph"/>
        <w:numPr>
          <w:ilvl w:val="0"/>
          <w:numId w:val="218"/>
        </w:numPr>
        <w:spacing w:before="60" w:after="0" w:line="240" w:lineRule="auto"/>
        <w:ind w:left="426"/>
        <w:rPr>
          <w:rFonts w:ascii="Arial" w:hAnsi="Arial" w:cs="Arial"/>
          <w:sz w:val="16"/>
        </w:rPr>
      </w:pPr>
      <w:r w:rsidRPr="00E85473">
        <w:rPr>
          <w:rFonts w:ascii="Arial" w:hAnsi="Arial" w:cs="Arial"/>
          <w:sz w:val="16"/>
        </w:rPr>
        <w:t>Administered ‘Expenses not requiring appropriation in the Budget year’ comprises expenses relating to accruals, payments made from prior year appropriations and other non–cash expenses.</w:t>
      </w:r>
    </w:p>
    <w:p w14:paraId="7D6E487E" w14:textId="77777777" w:rsidR="00115843" w:rsidRDefault="00115843" w:rsidP="00115843">
      <w:pPr>
        <w:pStyle w:val="ListParagraph"/>
        <w:numPr>
          <w:ilvl w:val="0"/>
          <w:numId w:val="218"/>
        </w:numPr>
        <w:spacing w:after="0" w:line="240" w:lineRule="auto"/>
        <w:ind w:left="426"/>
        <w:rPr>
          <w:rFonts w:ascii="Arial" w:hAnsi="Arial" w:cs="Arial"/>
          <w:sz w:val="16"/>
        </w:rPr>
      </w:pPr>
      <w:r w:rsidRPr="00ED572D">
        <w:rPr>
          <w:rFonts w:ascii="Arial" w:hAnsi="Arial" w:cs="Arial"/>
          <w:sz w:val="16"/>
        </w:rPr>
        <w:t>Estimated expenses incurred in relation to receipts retained under section 74 of the PGPA Act.</w:t>
      </w:r>
    </w:p>
    <w:p w14:paraId="0ADFFC7E" w14:textId="0B1B753B" w:rsidR="00115843" w:rsidRDefault="00706865" w:rsidP="00115843">
      <w:pPr>
        <w:pStyle w:val="ListParagraph"/>
        <w:numPr>
          <w:ilvl w:val="0"/>
          <w:numId w:val="218"/>
        </w:numPr>
        <w:spacing w:after="0" w:line="240" w:lineRule="auto"/>
        <w:ind w:left="426"/>
        <w:rPr>
          <w:rFonts w:ascii="Arial" w:hAnsi="Arial" w:cs="Arial"/>
          <w:sz w:val="16"/>
        </w:rPr>
      </w:pPr>
      <w:r>
        <w:rPr>
          <w:rFonts w:ascii="Arial" w:hAnsi="Arial" w:cs="Arial"/>
          <w:sz w:val="16"/>
        </w:rPr>
        <w:t>Departmental e</w:t>
      </w:r>
      <w:r w:rsidR="00115843" w:rsidRPr="00A2032F">
        <w:rPr>
          <w:rFonts w:ascii="Arial" w:hAnsi="Arial" w:cs="Arial"/>
          <w:sz w:val="16"/>
        </w:rPr>
        <w:t>xpenses not requiring appropriation in the Budget year is made up of depreciation and amortisation expenses and expenses that are reduced by associated receipts.</w:t>
      </w:r>
    </w:p>
    <w:p w14:paraId="4DE624D8" w14:textId="3108AA0F" w:rsidR="00115843" w:rsidRDefault="00115843" w:rsidP="00115843">
      <w:pPr>
        <w:pStyle w:val="ListParagraph"/>
        <w:numPr>
          <w:ilvl w:val="0"/>
          <w:numId w:val="218"/>
        </w:numPr>
        <w:spacing w:after="0" w:line="240" w:lineRule="auto"/>
        <w:ind w:left="426"/>
        <w:rPr>
          <w:rFonts w:ascii="Arial" w:hAnsi="Arial" w:cs="Arial"/>
          <w:sz w:val="16"/>
          <w:szCs w:val="16"/>
        </w:rPr>
      </w:pPr>
      <w:r w:rsidRPr="008B7995">
        <w:rPr>
          <w:rFonts w:ascii="Arial" w:hAnsi="Arial" w:cs="Arial"/>
          <w:sz w:val="16"/>
          <w:szCs w:val="16"/>
        </w:rPr>
        <w:t>Figures displayed as a negative (–) represent a decrease in funds and a positive (+) represent an increase in funds.</w:t>
      </w:r>
    </w:p>
    <w:p w14:paraId="53B5D79C" w14:textId="77777777" w:rsidR="00BF5A1E" w:rsidRPr="00BF5A1E" w:rsidRDefault="00BF5A1E" w:rsidP="00BF5A1E">
      <w:pPr>
        <w:spacing w:before="60" w:after="0" w:line="240" w:lineRule="auto"/>
        <w:rPr>
          <w:rFonts w:ascii="Arial" w:hAnsi="Arial" w:cs="Arial"/>
          <w:sz w:val="16"/>
          <w:szCs w:val="16"/>
        </w:rPr>
      </w:pPr>
      <w:r w:rsidRPr="00BF5A1E">
        <w:rPr>
          <w:rFonts w:ascii="Arial" w:hAnsi="Arial" w:cs="Arial"/>
          <w:sz w:val="16"/>
          <w:szCs w:val="16"/>
        </w:rPr>
        <w:t>Note: Departmental appropriation splits and totals are indicative estimates and may change in the course of the budget year as government priorities change.</w:t>
      </w:r>
    </w:p>
    <w:p w14:paraId="11205FB8" w14:textId="77777777" w:rsidR="00115843" w:rsidRDefault="00115843" w:rsidP="00115843">
      <w:pPr>
        <w:spacing w:after="0" w:line="240" w:lineRule="auto"/>
        <w:rPr>
          <w:rFonts w:ascii="Arial" w:hAnsi="Arial" w:cs="Arial"/>
          <w:sz w:val="16"/>
        </w:rPr>
      </w:pPr>
    </w:p>
    <w:p w14:paraId="2204C2E1" w14:textId="77777777" w:rsidR="00115843" w:rsidRDefault="00115843" w:rsidP="00115843">
      <w:pPr>
        <w:spacing w:after="0"/>
        <w:rPr>
          <w:rStyle w:val="TableHeadingChar"/>
          <w:lang w:val="en-GB"/>
        </w:rPr>
      </w:pPr>
      <w:r w:rsidRPr="00B166C6">
        <w:rPr>
          <w:rStyle w:val="TableHeadingChar"/>
        </w:rPr>
        <w:t>Table 2.</w:t>
      </w:r>
      <w:r>
        <w:rPr>
          <w:rStyle w:val="TableHeadingChar"/>
          <w:lang w:val="en-GB"/>
        </w:rPr>
        <w:t>4</w:t>
      </w:r>
      <w:r w:rsidRPr="00B166C6">
        <w:rPr>
          <w:rStyle w:val="TableHeadingChar"/>
        </w:rPr>
        <w:t xml:space="preserve">.2: Program components of Outcome </w:t>
      </w:r>
      <w:r>
        <w:rPr>
          <w:rStyle w:val="TableHeadingChar"/>
          <w:lang w:val="en-GB"/>
        </w:rPr>
        <w:t>4</w:t>
      </w:r>
    </w:p>
    <w:tbl>
      <w:tblPr>
        <w:tblW w:w="5000" w:type="pct"/>
        <w:tblLook w:val="04A0" w:firstRow="1" w:lastRow="0" w:firstColumn="1" w:lastColumn="0" w:noHBand="0" w:noVBand="1"/>
      </w:tblPr>
      <w:tblGrid>
        <w:gridCol w:w="3353"/>
        <w:gridCol w:w="932"/>
        <w:gridCol w:w="857"/>
        <w:gridCol w:w="857"/>
        <w:gridCol w:w="857"/>
        <w:gridCol w:w="854"/>
      </w:tblGrid>
      <w:tr w:rsidR="00115843" w:rsidRPr="00A2032F" w14:paraId="3230E7BF" w14:textId="77777777" w:rsidTr="002F3AAF">
        <w:trPr>
          <w:trHeight w:val="204"/>
        </w:trPr>
        <w:tc>
          <w:tcPr>
            <w:tcW w:w="2174" w:type="pct"/>
            <w:tcBorders>
              <w:top w:val="single" w:sz="4" w:space="0" w:color="auto"/>
              <w:left w:val="nil"/>
              <w:bottom w:val="single" w:sz="4" w:space="0" w:color="auto"/>
              <w:right w:val="nil"/>
            </w:tcBorders>
            <w:shd w:val="clear" w:color="auto" w:fill="auto"/>
            <w:noWrap/>
            <w:vAlign w:val="bottom"/>
            <w:hideMark/>
          </w:tcPr>
          <w:p w14:paraId="2BB4EB96" w14:textId="77777777" w:rsidR="00115843" w:rsidRPr="00A2032F" w:rsidRDefault="00115843" w:rsidP="00FB0D02">
            <w:pPr>
              <w:spacing w:after="0" w:line="240" w:lineRule="auto"/>
              <w:rPr>
                <w:rFonts w:ascii="Arial" w:hAnsi="Arial" w:cs="Arial"/>
                <w:sz w:val="16"/>
                <w:szCs w:val="16"/>
              </w:rPr>
            </w:pPr>
            <w:r w:rsidRPr="00A2032F">
              <w:rPr>
                <w:rFonts w:ascii="Arial" w:hAnsi="Arial" w:cs="Arial"/>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56BE95A9" w14:textId="77777777" w:rsidR="00115843" w:rsidRPr="00A2032F" w:rsidRDefault="00115843" w:rsidP="00FB0D02">
            <w:pPr>
              <w:spacing w:after="0" w:line="240" w:lineRule="auto"/>
              <w:jc w:val="right"/>
              <w:rPr>
                <w:rFonts w:ascii="Arial" w:hAnsi="Arial" w:cs="Arial"/>
                <w:sz w:val="16"/>
                <w:szCs w:val="16"/>
              </w:rPr>
            </w:pPr>
            <w:r w:rsidRPr="00A2032F">
              <w:rPr>
                <w:rFonts w:ascii="Arial" w:hAnsi="Arial" w:cs="Arial"/>
                <w:sz w:val="16"/>
                <w:szCs w:val="16"/>
              </w:rPr>
              <w:t>2021-22</w:t>
            </w:r>
            <w:r w:rsidRPr="00A2032F">
              <w:rPr>
                <w:rFonts w:ascii="Arial" w:hAnsi="Arial" w:cs="Arial"/>
                <w:sz w:val="16"/>
                <w:szCs w:val="16"/>
              </w:rPr>
              <w:br/>
              <w:t>Estimated  actual</w:t>
            </w:r>
            <w:r w:rsidRPr="00A2032F">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E6E6E6"/>
            <w:vAlign w:val="bottom"/>
            <w:hideMark/>
          </w:tcPr>
          <w:p w14:paraId="688048C3" w14:textId="77777777" w:rsidR="00115843" w:rsidRPr="00A2032F" w:rsidRDefault="00115843" w:rsidP="00FB0D02">
            <w:pPr>
              <w:spacing w:after="0" w:line="240" w:lineRule="auto"/>
              <w:jc w:val="right"/>
              <w:rPr>
                <w:rFonts w:ascii="Arial" w:hAnsi="Arial" w:cs="Arial"/>
                <w:sz w:val="16"/>
                <w:szCs w:val="16"/>
              </w:rPr>
            </w:pPr>
            <w:r w:rsidRPr="00A2032F">
              <w:rPr>
                <w:rFonts w:ascii="Arial" w:hAnsi="Arial" w:cs="Arial"/>
                <w:sz w:val="16"/>
                <w:szCs w:val="16"/>
              </w:rPr>
              <w:t>2022-23</w:t>
            </w:r>
            <w:r w:rsidRPr="00A2032F">
              <w:rPr>
                <w:rFonts w:ascii="Arial" w:hAnsi="Arial" w:cs="Arial"/>
                <w:sz w:val="16"/>
                <w:szCs w:val="16"/>
              </w:rPr>
              <w:br/>
              <w:t xml:space="preserve"> Budget</w:t>
            </w:r>
            <w:r w:rsidRPr="00A2032F">
              <w:rPr>
                <w:rFonts w:ascii="Arial" w:hAnsi="Arial" w:cs="Arial"/>
                <w:sz w:val="16"/>
                <w:szCs w:val="16"/>
              </w:rPr>
              <w:br/>
              <w:t xml:space="preserve">                                      $'000</w:t>
            </w:r>
          </w:p>
        </w:tc>
        <w:tc>
          <w:tcPr>
            <w:tcW w:w="556" w:type="pct"/>
            <w:tcBorders>
              <w:top w:val="single" w:sz="4" w:space="0" w:color="auto"/>
              <w:left w:val="nil"/>
              <w:bottom w:val="single" w:sz="4" w:space="0" w:color="auto"/>
              <w:right w:val="nil"/>
            </w:tcBorders>
            <w:shd w:val="clear" w:color="auto" w:fill="auto"/>
            <w:vAlign w:val="bottom"/>
            <w:hideMark/>
          </w:tcPr>
          <w:p w14:paraId="1C744EE9" w14:textId="77777777" w:rsidR="00115843" w:rsidRPr="00A2032F" w:rsidRDefault="00115843" w:rsidP="00FB0D02">
            <w:pPr>
              <w:spacing w:after="0" w:line="240" w:lineRule="auto"/>
              <w:jc w:val="right"/>
              <w:rPr>
                <w:rFonts w:ascii="Arial" w:hAnsi="Arial" w:cs="Arial"/>
                <w:sz w:val="16"/>
                <w:szCs w:val="16"/>
              </w:rPr>
            </w:pPr>
            <w:r w:rsidRPr="00A2032F">
              <w:rPr>
                <w:rFonts w:ascii="Arial" w:hAnsi="Arial" w:cs="Arial"/>
                <w:sz w:val="16"/>
                <w:szCs w:val="16"/>
              </w:rPr>
              <w:t>2023-24</w:t>
            </w:r>
            <w:r w:rsidRPr="00A2032F">
              <w:rPr>
                <w:rFonts w:ascii="Arial" w:hAnsi="Arial" w:cs="Arial"/>
                <w:sz w:val="16"/>
                <w:szCs w:val="16"/>
              </w:rPr>
              <w:br/>
              <w:t>Forward estimate</w:t>
            </w:r>
            <w:r w:rsidRPr="00A2032F">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350413F7" w14:textId="77777777" w:rsidR="00115843" w:rsidRPr="00A2032F" w:rsidRDefault="00115843" w:rsidP="00FB0D02">
            <w:pPr>
              <w:spacing w:after="0" w:line="240" w:lineRule="auto"/>
              <w:jc w:val="right"/>
              <w:rPr>
                <w:rFonts w:ascii="Arial" w:hAnsi="Arial" w:cs="Arial"/>
                <w:sz w:val="16"/>
                <w:szCs w:val="16"/>
              </w:rPr>
            </w:pPr>
            <w:r w:rsidRPr="00A2032F">
              <w:rPr>
                <w:rFonts w:ascii="Arial" w:hAnsi="Arial" w:cs="Arial"/>
                <w:sz w:val="16"/>
                <w:szCs w:val="16"/>
              </w:rPr>
              <w:t>2024-25</w:t>
            </w:r>
            <w:r w:rsidRPr="00A2032F">
              <w:rPr>
                <w:rFonts w:ascii="Arial" w:hAnsi="Arial" w:cs="Arial"/>
                <w:sz w:val="16"/>
                <w:szCs w:val="16"/>
              </w:rPr>
              <w:br/>
              <w:t>Forward estimate</w:t>
            </w:r>
            <w:r w:rsidRPr="00A2032F">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787EC3F8" w14:textId="77777777" w:rsidR="00115843" w:rsidRPr="00A2032F" w:rsidRDefault="00115843" w:rsidP="00FB0D02">
            <w:pPr>
              <w:spacing w:after="0" w:line="240" w:lineRule="auto"/>
              <w:jc w:val="right"/>
              <w:rPr>
                <w:rFonts w:ascii="Arial" w:hAnsi="Arial" w:cs="Arial"/>
                <w:sz w:val="16"/>
                <w:szCs w:val="16"/>
              </w:rPr>
            </w:pPr>
            <w:r w:rsidRPr="00A2032F">
              <w:rPr>
                <w:rFonts w:ascii="Arial" w:hAnsi="Arial" w:cs="Arial"/>
                <w:sz w:val="16"/>
                <w:szCs w:val="16"/>
              </w:rPr>
              <w:t>2025-26</w:t>
            </w:r>
            <w:r w:rsidRPr="00A2032F">
              <w:rPr>
                <w:rFonts w:ascii="Arial" w:hAnsi="Arial" w:cs="Arial"/>
                <w:sz w:val="16"/>
                <w:szCs w:val="16"/>
              </w:rPr>
              <w:br/>
              <w:t>Forward estimate</w:t>
            </w:r>
            <w:r w:rsidRPr="00A2032F">
              <w:rPr>
                <w:rFonts w:ascii="Arial" w:hAnsi="Arial" w:cs="Arial"/>
                <w:sz w:val="16"/>
                <w:szCs w:val="16"/>
              </w:rPr>
              <w:br/>
              <w:t>$'000</w:t>
            </w:r>
          </w:p>
        </w:tc>
      </w:tr>
      <w:tr w:rsidR="00115843" w:rsidRPr="00A2032F" w14:paraId="2C94E3B4" w14:textId="77777777" w:rsidTr="002F3AAF">
        <w:trPr>
          <w:trHeight w:val="204"/>
        </w:trPr>
        <w:tc>
          <w:tcPr>
            <w:tcW w:w="2778" w:type="pct"/>
            <w:gridSpan w:val="2"/>
            <w:tcBorders>
              <w:top w:val="single" w:sz="4" w:space="0" w:color="auto"/>
              <w:left w:val="nil"/>
              <w:bottom w:val="single" w:sz="4" w:space="0" w:color="auto"/>
              <w:right w:val="nil"/>
            </w:tcBorders>
            <w:shd w:val="clear" w:color="auto" w:fill="E6E6E6"/>
            <w:noWrap/>
            <w:vAlign w:val="bottom"/>
            <w:hideMark/>
          </w:tcPr>
          <w:p w14:paraId="19375E89" w14:textId="77777777" w:rsidR="00115843" w:rsidRPr="00A2032F" w:rsidRDefault="00115843" w:rsidP="00FB0D02">
            <w:pPr>
              <w:spacing w:after="0" w:line="240" w:lineRule="auto"/>
              <w:rPr>
                <w:rFonts w:ascii="Arial" w:hAnsi="Arial" w:cs="Arial"/>
                <w:b/>
                <w:bCs/>
                <w:sz w:val="16"/>
                <w:szCs w:val="16"/>
              </w:rPr>
            </w:pPr>
            <w:r w:rsidRPr="00A2032F">
              <w:rPr>
                <w:rFonts w:ascii="Arial" w:hAnsi="Arial" w:cs="Arial"/>
                <w:b/>
                <w:bCs/>
                <w:sz w:val="16"/>
                <w:szCs w:val="16"/>
              </w:rPr>
              <w:t>Components for Program 4.1: Services to territories</w:t>
            </w:r>
          </w:p>
        </w:tc>
        <w:tc>
          <w:tcPr>
            <w:tcW w:w="556" w:type="pct"/>
            <w:tcBorders>
              <w:top w:val="nil"/>
              <w:left w:val="nil"/>
              <w:bottom w:val="single" w:sz="4" w:space="0" w:color="auto"/>
              <w:right w:val="nil"/>
            </w:tcBorders>
            <w:shd w:val="clear" w:color="auto" w:fill="E6E6E6"/>
            <w:noWrap/>
            <w:vAlign w:val="bottom"/>
            <w:hideMark/>
          </w:tcPr>
          <w:p w14:paraId="7C326091" w14:textId="77777777" w:rsidR="00115843" w:rsidRPr="00A2032F" w:rsidRDefault="00115843" w:rsidP="00FB0D02">
            <w:pPr>
              <w:spacing w:after="0" w:line="240" w:lineRule="auto"/>
              <w:rPr>
                <w:rFonts w:ascii="Arial" w:hAnsi="Arial" w:cs="Arial"/>
                <w:sz w:val="16"/>
                <w:szCs w:val="16"/>
              </w:rPr>
            </w:pPr>
            <w:r w:rsidRPr="00A2032F">
              <w:rPr>
                <w:rFonts w:ascii="Arial" w:hAnsi="Arial" w:cs="Arial"/>
                <w:sz w:val="16"/>
                <w:szCs w:val="16"/>
              </w:rPr>
              <w:t> </w:t>
            </w:r>
          </w:p>
        </w:tc>
        <w:tc>
          <w:tcPr>
            <w:tcW w:w="556" w:type="pct"/>
            <w:tcBorders>
              <w:top w:val="nil"/>
              <w:left w:val="nil"/>
              <w:bottom w:val="single" w:sz="4" w:space="0" w:color="auto"/>
              <w:right w:val="nil"/>
            </w:tcBorders>
            <w:shd w:val="clear" w:color="auto" w:fill="E6E6E6"/>
            <w:noWrap/>
            <w:vAlign w:val="bottom"/>
            <w:hideMark/>
          </w:tcPr>
          <w:p w14:paraId="33AFA0B9" w14:textId="77777777" w:rsidR="00115843" w:rsidRPr="00A2032F" w:rsidRDefault="00115843" w:rsidP="00FB0D02">
            <w:pPr>
              <w:spacing w:after="0" w:line="240" w:lineRule="auto"/>
              <w:rPr>
                <w:rFonts w:ascii="Arial" w:hAnsi="Arial" w:cs="Arial"/>
                <w:sz w:val="16"/>
                <w:szCs w:val="16"/>
              </w:rPr>
            </w:pPr>
            <w:r w:rsidRPr="00A2032F">
              <w:rPr>
                <w:rFonts w:ascii="Arial" w:hAnsi="Arial" w:cs="Arial"/>
                <w:sz w:val="16"/>
                <w:szCs w:val="16"/>
              </w:rPr>
              <w:t> </w:t>
            </w:r>
          </w:p>
        </w:tc>
        <w:tc>
          <w:tcPr>
            <w:tcW w:w="556" w:type="pct"/>
            <w:tcBorders>
              <w:top w:val="nil"/>
              <w:left w:val="nil"/>
              <w:bottom w:val="single" w:sz="4" w:space="0" w:color="auto"/>
              <w:right w:val="nil"/>
            </w:tcBorders>
            <w:shd w:val="clear" w:color="auto" w:fill="E6E6E6"/>
            <w:noWrap/>
            <w:vAlign w:val="bottom"/>
            <w:hideMark/>
          </w:tcPr>
          <w:p w14:paraId="73B5B165" w14:textId="77777777" w:rsidR="00115843" w:rsidRPr="00A2032F" w:rsidRDefault="00115843" w:rsidP="00FB0D02">
            <w:pPr>
              <w:spacing w:after="0" w:line="240" w:lineRule="auto"/>
              <w:rPr>
                <w:rFonts w:ascii="Arial" w:hAnsi="Arial" w:cs="Arial"/>
                <w:sz w:val="16"/>
                <w:szCs w:val="16"/>
              </w:rPr>
            </w:pPr>
            <w:r w:rsidRPr="00A2032F">
              <w:rPr>
                <w:rFonts w:ascii="Arial" w:hAnsi="Arial" w:cs="Arial"/>
                <w:sz w:val="16"/>
                <w:szCs w:val="16"/>
              </w:rPr>
              <w:t> </w:t>
            </w:r>
          </w:p>
        </w:tc>
        <w:tc>
          <w:tcPr>
            <w:tcW w:w="555" w:type="pct"/>
            <w:tcBorders>
              <w:top w:val="nil"/>
              <w:left w:val="nil"/>
              <w:bottom w:val="single" w:sz="4" w:space="0" w:color="auto"/>
              <w:right w:val="nil"/>
            </w:tcBorders>
            <w:shd w:val="clear" w:color="auto" w:fill="E6E6E6"/>
            <w:noWrap/>
            <w:vAlign w:val="bottom"/>
            <w:hideMark/>
          </w:tcPr>
          <w:p w14:paraId="1C6367E1" w14:textId="77777777" w:rsidR="00115843" w:rsidRPr="00A2032F" w:rsidRDefault="00115843" w:rsidP="00FB0D02">
            <w:pPr>
              <w:spacing w:after="0" w:line="240" w:lineRule="auto"/>
              <w:rPr>
                <w:rFonts w:ascii="Arial" w:hAnsi="Arial" w:cs="Arial"/>
                <w:sz w:val="16"/>
                <w:szCs w:val="16"/>
              </w:rPr>
            </w:pPr>
            <w:r w:rsidRPr="00A2032F">
              <w:rPr>
                <w:rFonts w:ascii="Arial" w:hAnsi="Arial" w:cs="Arial"/>
                <w:sz w:val="16"/>
                <w:szCs w:val="16"/>
              </w:rPr>
              <w:t> </w:t>
            </w:r>
          </w:p>
        </w:tc>
      </w:tr>
      <w:tr w:rsidR="00115843" w:rsidRPr="00EE248D" w14:paraId="100CB8F8" w14:textId="77777777" w:rsidTr="002F3AAF">
        <w:trPr>
          <w:trHeight w:val="204"/>
        </w:trPr>
        <w:tc>
          <w:tcPr>
            <w:tcW w:w="2174" w:type="pct"/>
            <w:tcBorders>
              <w:top w:val="nil"/>
              <w:left w:val="nil"/>
              <w:bottom w:val="nil"/>
              <w:right w:val="nil"/>
            </w:tcBorders>
            <w:shd w:val="clear" w:color="auto" w:fill="auto"/>
            <w:noWrap/>
            <w:vAlign w:val="bottom"/>
            <w:hideMark/>
          </w:tcPr>
          <w:p w14:paraId="66F0365F" w14:textId="77777777" w:rsidR="00115843" w:rsidRPr="00EE248D" w:rsidRDefault="00115843" w:rsidP="00FB0D02">
            <w:pPr>
              <w:spacing w:after="0" w:line="240" w:lineRule="auto"/>
              <w:rPr>
                <w:rFonts w:ascii="Arial" w:hAnsi="Arial" w:cs="Arial"/>
                <w:sz w:val="16"/>
                <w:szCs w:val="16"/>
              </w:rPr>
            </w:pPr>
            <w:r w:rsidRPr="00EE248D">
              <w:rPr>
                <w:rFonts w:ascii="Arial" w:hAnsi="Arial" w:cs="Arial"/>
                <w:sz w:val="16"/>
                <w:szCs w:val="16"/>
              </w:rPr>
              <w:t>Administered expenses</w:t>
            </w:r>
          </w:p>
        </w:tc>
        <w:tc>
          <w:tcPr>
            <w:tcW w:w="603" w:type="pct"/>
            <w:tcBorders>
              <w:top w:val="nil"/>
              <w:left w:val="nil"/>
              <w:bottom w:val="nil"/>
              <w:right w:val="nil"/>
            </w:tcBorders>
            <w:shd w:val="clear" w:color="auto" w:fill="auto"/>
            <w:noWrap/>
            <w:vAlign w:val="bottom"/>
            <w:hideMark/>
          </w:tcPr>
          <w:p w14:paraId="2862CD61"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E6E6E6"/>
            <w:noWrap/>
            <w:vAlign w:val="bottom"/>
            <w:hideMark/>
          </w:tcPr>
          <w:p w14:paraId="716DC72B"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1B7EC106" w14:textId="77777777" w:rsidR="00115843" w:rsidRPr="00EE248D"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68BFB528" w14:textId="77777777" w:rsidR="00115843" w:rsidRPr="00EE248D" w:rsidRDefault="00115843" w:rsidP="00FB0D02">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D959F4B" w14:textId="77777777" w:rsidR="00115843" w:rsidRPr="00EE248D" w:rsidRDefault="00115843" w:rsidP="00FB0D02">
            <w:pPr>
              <w:spacing w:after="0" w:line="240" w:lineRule="auto"/>
              <w:jc w:val="right"/>
              <w:rPr>
                <w:rFonts w:ascii="Arial" w:hAnsi="Arial" w:cs="Arial"/>
                <w:sz w:val="16"/>
                <w:szCs w:val="16"/>
              </w:rPr>
            </w:pPr>
          </w:p>
        </w:tc>
      </w:tr>
      <w:tr w:rsidR="008F4D74" w:rsidRPr="00EE248D" w14:paraId="1A3A4B47" w14:textId="77777777" w:rsidTr="002F3AAF">
        <w:trPr>
          <w:trHeight w:val="204"/>
        </w:trPr>
        <w:tc>
          <w:tcPr>
            <w:tcW w:w="2174" w:type="pct"/>
            <w:tcBorders>
              <w:top w:val="nil"/>
              <w:left w:val="nil"/>
              <w:bottom w:val="nil"/>
              <w:right w:val="nil"/>
            </w:tcBorders>
            <w:shd w:val="clear" w:color="auto" w:fill="auto"/>
            <w:vAlign w:val="bottom"/>
            <w:hideMark/>
          </w:tcPr>
          <w:p w14:paraId="5320C8D3"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 xml:space="preserve">ACT Government - national capital </w:t>
            </w:r>
            <w:r w:rsidRPr="00EE248D">
              <w:rPr>
                <w:rFonts w:ascii="Arial" w:hAnsi="Arial" w:cs="Arial"/>
                <w:sz w:val="16"/>
                <w:szCs w:val="16"/>
              </w:rPr>
              <w:br/>
              <w:t>functions</w:t>
            </w:r>
          </w:p>
        </w:tc>
        <w:tc>
          <w:tcPr>
            <w:tcW w:w="603" w:type="pct"/>
            <w:tcBorders>
              <w:top w:val="nil"/>
              <w:left w:val="nil"/>
              <w:bottom w:val="nil"/>
              <w:right w:val="nil"/>
            </w:tcBorders>
            <w:shd w:val="clear" w:color="auto" w:fill="auto"/>
            <w:noWrap/>
            <w:vAlign w:val="bottom"/>
            <w:hideMark/>
          </w:tcPr>
          <w:p w14:paraId="2BC5327A" w14:textId="2D6A0F6E"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2,767</w:t>
            </w:r>
          </w:p>
        </w:tc>
        <w:tc>
          <w:tcPr>
            <w:tcW w:w="556" w:type="pct"/>
            <w:tcBorders>
              <w:top w:val="nil"/>
              <w:left w:val="nil"/>
              <w:bottom w:val="nil"/>
              <w:right w:val="nil"/>
            </w:tcBorders>
            <w:shd w:val="clear" w:color="auto" w:fill="E6E6E6"/>
            <w:noWrap/>
            <w:vAlign w:val="bottom"/>
            <w:hideMark/>
          </w:tcPr>
          <w:p w14:paraId="472E3468" w14:textId="58DEAD00"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2,168</w:t>
            </w:r>
          </w:p>
        </w:tc>
        <w:tc>
          <w:tcPr>
            <w:tcW w:w="556" w:type="pct"/>
            <w:tcBorders>
              <w:top w:val="nil"/>
              <w:left w:val="nil"/>
              <w:bottom w:val="nil"/>
              <w:right w:val="nil"/>
            </w:tcBorders>
            <w:shd w:val="clear" w:color="auto" w:fill="auto"/>
            <w:noWrap/>
            <w:vAlign w:val="bottom"/>
            <w:hideMark/>
          </w:tcPr>
          <w:p w14:paraId="529D5B90" w14:textId="719FC21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2,089</w:t>
            </w:r>
          </w:p>
        </w:tc>
        <w:tc>
          <w:tcPr>
            <w:tcW w:w="556" w:type="pct"/>
            <w:tcBorders>
              <w:top w:val="nil"/>
              <w:left w:val="nil"/>
              <w:bottom w:val="nil"/>
              <w:right w:val="nil"/>
            </w:tcBorders>
            <w:shd w:val="clear" w:color="auto" w:fill="auto"/>
            <w:noWrap/>
            <w:vAlign w:val="bottom"/>
            <w:hideMark/>
          </w:tcPr>
          <w:p w14:paraId="79CE7EB9" w14:textId="18E71966"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2,124</w:t>
            </w:r>
          </w:p>
        </w:tc>
        <w:tc>
          <w:tcPr>
            <w:tcW w:w="555" w:type="pct"/>
            <w:tcBorders>
              <w:top w:val="nil"/>
              <w:left w:val="nil"/>
              <w:bottom w:val="nil"/>
              <w:right w:val="nil"/>
            </w:tcBorders>
            <w:shd w:val="clear" w:color="auto" w:fill="auto"/>
            <w:noWrap/>
            <w:vAlign w:val="bottom"/>
            <w:hideMark/>
          </w:tcPr>
          <w:p w14:paraId="01E07021" w14:textId="74C61486"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2,160</w:t>
            </w:r>
          </w:p>
        </w:tc>
      </w:tr>
      <w:tr w:rsidR="008F4D74" w:rsidRPr="00EE248D" w14:paraId="72B6B2E8" w14:textId="77777777" w:rsidTr="002F3AAF">
        <w:trPr>
          <w:trHeight w:val="204"/>
        </w:trPr>
        <w:tc>
          <w:tcPr>
            <w:tcW w:w="2174" w:type="pct"/>
            <w:tcBorders>
              <w:top w:val="nil"/>
              <w:left w:val="nil"/>
              <w:bottom w:val="nil"/>
              <w:right w:val="nil"/>
            </w:tcBorders>
            <w:shd w:val="clear" w:color="auto" w:fill="auto"/>
            <w:vAlign w:val="bottom"/>
            <w:hideMark/>
          </w:tcPr>
          <w:p w14:paraId="4966997E"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Depreciation and Amortisation</w:t>
            </w:r>
          </w:p>
        </w:tc>
        <w:tc>
          <w:tcPr>
            <w:tcW w:w="603" w:type="pct"/>
            <w:tcBorders>
              <w:top w:val="nil"/>
              <w:left w:val="nil"/>
              <w:bottom w:val="nil"/>
              <w:right w:val="nil"/>
            </w:tcBorders>
            <w:shd w:val="clear" w:color="auto" w:fill="auto"/>
            <w:noWrap/>
            <w:vAlign w:val="bottom"/>
            <w:hideMark/>
          </w:tcPr>
          <w:p w14:paraId="001B582F" w14:textId="6E0E5AE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39,785</w:t>
            </w:r>
          </w:p>
        </w:tc>
        <w:tc>
          <w:tcPr>
            <w:tcW w:w="556" w:type="pct"/>
            <w:tcBorders>
              <w:top w:val="nil"/>
              <w:left w:val="nil"/>
              <w:bottom w:val="nil"/>
              <w:right w:val="nil"/>
            </w:tcBorders>
            <w:shd w:val="clear" w:color="auto" w:fill="E6E6E6"/>
            <w:noWrap/>
            <w:vAlign w:val="bottom"/>
            <w:hideMark/>
          </w:tcPr>
          <w:p w14:paraId="3412BBA5" w14:textId="37C2446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37,168</w:t>
            </w:r>
          </w:p>
        </w:tc>
        <w:tc>
          <w:tcPr>
            <w:tcW w:w="556" w:type="pct"/>
            <w:tcBorders>
              <w:top w:val="nil"/>
              <w:left w:val="nil"/>
              <w:bottom w:val="nil"/>
              <w:right w:val="nil"/>
            </w:tcBorders>
            <w:shd w:val="clear" w:color="auto" w:fill="auto"/>
            <w:noWrap/>
            <w:vAlign w:val="bottom"/>
            <w:hideMark/>
          </w:tcPr>
          <w:p w14:paraId="4DB5881A" w14:textId="32C81B2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36,859</w:t>
            </w:r>
          </w:p>
        </w:tc>
        <w:tc>
          <w:tcPr>
            <w:tcW w:w="556" w:type="pct"/>
            <w:tcBorders>
              <w:top w:val="nil"/>
              <w:left w:val="nil"/>
              <w:bottom w:val="nil"/>
              <w:right w:val="nil"/>
            </w:tcBorders>
            <w:shd w:val="clear" w:color="auto" w:fill="auto"/>
            <w:noWrap/>
            <w:vAlign w:val="bottom"/>
            <w:hideMark/>
          </w:tcPr>
          <w:p w14:paraId="48332988" w14:textId="41C7B124"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36,859</w:t>
            </w:r>
          </w:p>
        </w:tc>
        <w:tc>
          <w:tcPr>
            <w:tcW w:w="555" w:type="pct"/>
            <w:tcBorders>
              <w:top w:val="nil"/>
              <w:left w:val="nil"/>
              <w:bottom w:val="nil"/>
              <w:right w:val="nil"/>
            </w:tcBorders>
            <w:shd w:val="clear" w:color="auto" w:fill="auto"/>
            <w:noWrap/>
            <w:vAlign w:val="bottom"/>
            <w:hideMark/>
          </w:tcPr>
          <w:p w14:paraId="6DCD294F" w14:textId="24E38E7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36,859</w:t>
            </w:r>
          </w:p>
        </w:tc>
      </w:tr>
      <w:tr w:rsidR="008F4D74" w:rsidRPr="00EE248D" w14:paraId="1BD23E89" w14:textId="77777777" w:rsidTr="002F3AAF">
        <w:trPr>
          <w:trHeight w:val="204"/>
        </w:trPr>
        <w:tc>
          <w:tcPr>
            <w:tcW w:w="2174" w:type="pct"/>
            <w:tcBorders>
              <w:top w:val="nil"/>
              <w:left w:val="nil"/>
              <w:bottom w:val="nil"/>
              <w:right w:val="nil"/>
            </w:tcBorders>
            <w:shd w:val="clear" w:color="auto" w:fill="auto"/>
            <w:vAlign w:val="bottom"/>
            <w:hideMark/>
          </w:tcPr>
          <w:p w14:paraId="65FA6E2F"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Norfolk Island - Commonwealth administration</w:t>
            </w:r>
          </w:p>
        </w:tc>
        <w:tc>
          <w:tcPr>
            <w:tcW w:w="603" w:type="pct"/>
            <w:tcBorders>
              <w:top w:val="nil"/>
              <w:left w:val="nil"/>
              <w:bottom w:val="nil"/>
              <w:right w:val="nil"/>
            </w:tcBorders>
            <w:shd w:val="clear" w:color="auto" w:fill="auto"/>
            <w:noWrap/>
            <w:vAlign w:val="bottom"/>
            <w:hideMark/>
          </w:tcPr>
          <w:p w14:paraId="5361DD4F" w14:textId="48DD43A5"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1,069</w:t>
            </w:r>
          </w:p>
        </w:tc>
        <w:tc>
          <w:tcPr>
            <w:tcW w:w="556" w:type="pct"/>
            <w:tcBorders>
              <w:top w:val="nil"/>
              <w:left w:val="nil"/>
              <w:bottom w:val="nil"/>
              <w:right w:val="nil"/>
            </w:tcBorders>
            <w:shd w:val="clear" w:color="auto" w:fill="E6E6E6"/>
            <w:noWrap/>
            <w:vAlign w:val="bottom"/>
            <w:hideMark/>
          </w:tcPr>
          <w:p w14:paraId="6C74108A" w14:textId="6B78F7AA"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1,127</w:t>
            </w:r>
          </w:p>
        </w:tc>
        <w:tc>
          <w:tcPr>
            <w:tcW w:w="556" w:type="pct"/>
            <w:tcBorders>
              <w:top w:val="nil"/>
              <w:left w:val="nil"/>
              <w:bottom w:val="nil"/>
              <w:right w:val="nil"/>
            </w:tcBorders>
            <w:shd w:val="clear" w:color="auto" w:fill="auto"/>
            <w:noWrap/>
            <w:vAlign w:val="bottom"/>
            <w:hideMark/>
          </w:tcPr>
          <w:p w14:paraId="3BAB6D1A" w14:textId="1AC23616"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1,161</w:t>
            </w:r>
          </w:p>
        </w:tc>
        <w:tc>
          <w:tcPr>
            <w:tcW w:w="556" w:type="pct"/>
            <w:tcBorders>
              <w:top w:val="nil"/>
              <w:left w:val="nil"/>
              <w:bottom w:val="nil"/>
              <w:right w:val="nil"/>
            </w:tcBorders>
            <w:shd w:val="clear" w:color="auto" w:fill="auto"/>
            <w:noWrap/>
            <w:vAlign w:val="bottom"/>
            <w:hideMark/>
          </w:tcPr>
          <w:p w14:paraId="3A8558BC" w14:textId="27A1B140"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1,182</w:t>
            </w:r>
          </w:p>
        </w:tc>
        <w:tc>
          <w:tcPr>
            <w:tcW w:w="555" w:type="pct"/>
            <w:tcBorders>
              <w:top w:val="nil"/>
              <w:left w:val="nil"/>
              <w:bottom w:val="nil"/>
              <w:right w:val="nil"/>
            </w:tcBorders>
            <w:shd w:val="clear" w:color="auto" w:fill="auto"/>
            <w:noWrap/>
            <w:vAlign w:val="bottom"/>
            <w:hideMark/>
          </w:tcPr>
          <w:p w14:paraId="28A9F96B" w14:textId="0119B421"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1,201</w:t>
            </w:r>
          </w:p>
        </w:tc>
      </w:tr>
      <w:tr w:rsidR="008F4D74" w:rsidRPr="00EE248D" w14:paraId="0E506A8C" w14:textId="77777777" w:rsidTr="002F3AAF">
        <w:trPr>
          <w:trHeight w:val="204"/>
        </w:trPr>
        <w:tc>
          <w:tcPr>
            <w:tcW w:w="2174" w:type="pct"/>
            <w:tcBorders>
              <w:top w:val="nil"/>
              <w:left w:val="nil"/>
              <w:bottom w:val="nil"/>
              <w:right w:val="nil"/>
            </w:tcBorders>
            <w:shd w:val="clear" w:color="auto" w:fill="auto"/>
            <w:vAlign w:val="bottom"/>
            <w:hideMark/>
          </w:tcPr>
          <w:p w14:paraId="6BB5DE3D"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Norfolk Island - Kingston and Arthur's Vale historic area</w:t>
            </w:r>
          </w:p>
        </w:tc>
        <w:tc>
          <w:tcPr>
            <w:tcW w:w="603" w:type="pct"/>
            <w:tcBorders>
              <w:top w:val="nil"/>
              <w:left w:val="nil"/>
              <w:bottom w:val="nil"/>
              <w:right w:val="nil"/>
            </w:tcBorders>
            <w:shd w:val="clear" w:color="auto" w:fill="auto"/>
            <w:noWrap/>
            <w:vAlign w:val="bottom"/>
            <w:hideMark/>
          </w:tcPr>
          <w:p w14:paraId="3B1BCD83" w14:textId="521FFB3A"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2,650</w:t>
            </w:r>
          </w:p>
        </w:tc>
        <w:tc>
          <w:tcPr>
            <w:tcW w:w="556" w:type="pct"/>
            <w:tcBorders>
              <w:top w:val="nil"/>
              <w:left w:val="nil"/>
              <w:bottom w:val="nil"/>
              <w:right w:val="nil"/>
            </w:tcBorders>
            <w:shd w:val="clear" w:color="auto" w:fill="E6E6E6"/>
            <w:noWrap/>
            <w:vAlign w:val="bottom"/>
            <w:hideMark/>
          </w:tcPr>
          <w:p w14:paraId="34A7DE1A" w14:textId="2FF5C47A"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2,743</w:t>
            </w:r>
          </w:p>
        </w:tc>
        <w:tc>
          <w:tcPr>
            <w:tcW w:w="556" w:type="pct"/>
            <w:tcBorders>
              <w:top w:val="nil"/>
              <w:left w:val="nil"/>
              <w:bottom w:val="nil"/>
              <w:right w:val="nil"/>
            </w:tcBorders>
            <w:shd w:val="clear" w:color="auto" w:fill="auto"/>
            <w:noWrap/>
            <w:vAlign w:val="bottom"/>
            <w:hideMark/>
          </w:tcPr>
          <w:p w14:paraId="2700582C" w14:textId="027F4A8D"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2,844</w:t>
            </w:r>
          </w:p>
        </w:tc>
        <w:tc>
          <w:tcPr>
            <w:tcW w:w="556" w:type="pct"/>
            <w:tcBorders>
              <w:top w:val="nil"/>
              <w:left w:val="nil"/>
              <w:bottom w:val="nil"/>
              <w:right w:val="nil"/>
            </w:tcBorders>
            <w:shd w:val="clear" w:color="auto" w:fill="auto"/>
            <w:noWrap/>
            <w:vAlign w:val="bottom"/>
            <w:hideMark/>
          </w:tcPr>
          <w:p w14:paraId="534369D3" w14:textId="685BA89C"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2,893</w:t>
            </w:r>
          </w:p>
        </w:tc>
        <w:tc>
          <w:tcPr>
            <w:tcW w:w="555" w:type="pct"/>
            <w:tcBorders>
              <w:top w:val="nil"/>
              <w:left w:val="nil"/>
              <w:bottom w:val="nil"/>
              <w:right w:val="nil"/>
            </w:tcBorders>
            <w:shd w:val="clear" w:color="auto" w:fill="auto"/>
            <w:noWrap/>
            <w:vAlign w:val="bottom"/>
            <w:hideMark/>
          </w:tcPr>
          <w:p w14:paraId="5C3F9553" w14:textId="1F605B04"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2,944</w:t>
            </w:r>
          </w:p>
        </w:tc>
      </w:tr>
      <w:tr w:rsidR="008F4D74" w:rsidRPr="00EE248D" w14:paraId="3075B298" w14:textId="77777777" w:rsidTr="002F3AAF">
        <w:trPr>
          <w:trHeight w:val="204"/>
        </w:trPr>
        <w:tc>
          <w:tcPr>
            <w:tcW w:w="2174" w:type="pct"/>
            <w:tcBorders>
              <w:top w:val="nil"/>
              <w:left w:val="nil"/>
              <w:bottom w:val="nil"/>
              <w:right w:val="nil"/>
            </w:tcBorders>
            <w:shd w:val="clear" w:color="auto" w:fill="auto"/>
            <w:vAlign w:val="bottom"/>
            <w:hideMark/>
          </w:tcPr>
          <w:p w14:paraId="3E1424B9"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Office of Administrator, Northern Territory</w:t>
            </w:r>
          </w:p>
        </w:tc>
        <w:tc>
          <w:tcPr>
            <w:tcW w:w="603" w:type="pct"/>
            <w:tcBorders>
              <w:top w:val="nil"/>
              <w:left w:val="nil"/>
              <w:bottom w:val="nil"/>
              <w:right w:val="nil"/>
            </w:tcBorders>
            <w:shd w:val="clear" w:color="auto" w:fill="auto"/>
            <w:noWrap/>
            <w:vAlign w:val="bottom"/>
            <w:hideMark/>
          </w:tcPr>
          <w:p w14:paraId="25D198F6" w14:textId="4E9079F9"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353</w:t>
            </w:r>
          </w:p>
        </w:tc>
        <w:tc>
          <w:tcPr>
            <w:tcW w:w="556" w:type="pct"/>
            <w:tcBorders>
              <w:top w:val="nil"/>
              <w:left w:val="nil"/>
              <w:bottom w:val="nil"/>
              <w:right w:val="nil"/>
            </w:tcBorders>
            <w:shd w:val="clear" w:color="auto" w:fill="E6E6E6"/>
            <w:noWrap/>
            <w:vAlign w:val="bottom"/>
            <w:hideMark/>
          </w:tcPr>
          <w:p w14:paraId="74E5E157" w14:textId="17A4374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437</w:t>
            </w:r>
          </w:p>
        </w:tc>
        <w:tc>
          <w:tcPr>
            <w:tcW w:w="556" w:type="pct"/>
            <w:tcBorders>
              <w:top w:val="nil"/>
              <w:left w:val="nil"/>
              <w:bottom w:val="nil"/>
              <w:right w:val="nil"/>
            </w:tcBorders>
            <w:shd w:val="clear" w:color="auto" w:fill="auto"/>
            <w:noWrap/>
            <w:vAlign w:val="bottom"/>
            <w:hideMark/>
          </w:tcPr>
          <w:p w14:paraId="3202CDDA" w14:textId="11E94EE6"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450</w:t>
            </w:r>
          </w:p>
        </w:tc>
        <w:tc>
          <w:tcPr>
            <w:tcW w:w="556" w:type="pct"/>
            <w:tcBorders>
              <w:top w:val="nil"/>
              <w:left w:val="nil"/>
              <w:bottom w:val="nil"/>
              <w:right w:val="nil"/>
            </w:tcBorders>
            <w:shd w:val="clear" w:color="auto" w:fill="auto"/>
            <w:noWrap/>
            <w:vAlign w:val="bottom"/>
            <w:hideMark/>
          </w:tcPr>
          <w:p w14:paraId="309FF8CA" w14:textId="3E84988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458</w:t>
            </w:r>
          </w:p>
        </w:tc>
        <w:tc>
          <w:tcPr>
            <w:tcW w:w="555" w:type="pct"/>
            <w:tcBorders>
              <w:top w:val="nil"/>
              <w:left w:val="nil"/>
              <w:bottom w:val="nil"/>
              <w:right w:val="nil"/>
            </w:tcBorders>
            <w:shd w:val="clear" w:color="auto" w:fill="auto"/>
            <w:noWrap/>
            <w:vAlign w:val="bottom"/>
            <w:hideMark/>
          </w:tcPr>
          <w:p w14:paraId="04183A00" w14:textId="7FDD78F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465</w:t>
            </w:r>
          </w:p>
        </w:tc>
      </w:tr>
      <w:tr w:rsidR="008F4D74" w:rsidRPr="00EE248D" w14:paraId="0F1BCDCB" w14:textId="77777777" w:rsidTr="002F3AAF">
        <w:trPr>
          <w:trHeight w:val="204"/>
        </w:trPr>
        <w:tc>
          <w:tcPr>
            <w:tcW w:w="2174" w:type="pct"/>
            <w:tcBorders>
              <w:top w:val="nil"/>
              <w:left w:val="nil"/>
              <w:bottom w:val="nil"/>
              <w:right w:val="nil"/>
            </w:tcBorders>
            <w:shd w:val="clear" w:color="auto" w:fill="auto"/>
            <w:vAlign w:val="bottom"/>
            <w:hideMark/>
          </w:tcPr>
          <w:p w14:paraId="2E514B95"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 xml:space="preserve">Services to Indian Ocean Territories </w:t>
            </w:r>
            <w:r w:rsidRPr="00EE248D">
              <w:rPr>
                <w:rFonts w:ascii="Arial" w:hAnsi="Arial" w:cs="Arial"/>
                <w:sz w:val="16"/>
                <w:szCs w:val="16"/>
                <w:vertAlign w:val="superscript"/>
              </w:rPr>
              <w:t>(a)</w:t>
            </w:r>
          </w:p>
        </w:tc>
        <w:tc>
          <w:tcPr>
            <w:tcW w:w="603" w:type="pct"/>
            <w:tcBorders>
              <w:top w:val="nil"/>
              <w:left w:val="nil"/>
              <w:bottom w:val="nil"/>
              <w:right w:val="nil"/>
            </w:tcBorders>
            <w:shd w:val="clear" w:color="auto" w:fill="auto"/>
            <w:noWrap/>
            <w:vAlign w:val="bottom"/>
            <w:hideMark/>
          </w:tcPr>
          <w:p w14:paraId="7FCD6F36" w14:textId="6E76A5D2"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127,651</w:t>
            </w:r>
          </w:p>
        </w:tc>
        <w:tc>
          <w:tcPr>
            <w:tcW w:w="556" w:type="pct"/>
            <w:tcBorders>
              <w:top w:val="nil"/>
              <w:left w:val="nil"/>
              <w:bottom w:val="nil"/>
              <w:right w:val="nil"/>
            </w:tcBorders>
            <w:shd w:val="clear" w:color="auto" w:fill="E6E6E6"/>
            <w:noWrap/>
            <w:vAlign w:val="bottom"/>
            <w:hideMark/>
          </w:tcPr>
          <w:p w14:paraId="073073E4" w14:textId="58C46080"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140,701</w:t>
            </w:r>
          </w:p>
        </w:tc>
        <w:tc>
          <w:tcPr>
            <w:tcW w:w="556" w:type="pct"/>
            <w:tcBorders>
              <w:top w:val="nil"/>
              <w:left w:val="nil"/>
              <w:bottom w:val="nil"/>
              <w:right w:val="nil"/>
            </w:tcBorders>
            <w:shd w:val="clear" w:color="auto" w:fill="auto"/>
            <w:noWrap/>
            <w:vAlign w:val="bottom"/>
            <w:hideMark/>
          </w:tcPr>
          <w:p w14:paraId="68DA9C4F" w14:textId="00B6E80B"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101,756</w:t>
            </w:r>
          </w:p>
        </w:tc>
        <w:tc>
          <w:tcPr>
            <w:tcW w:w="556" w:type="pct"/>
            <w:tcBorders>
              <w:top w:val="nil"/>
              <w:left w:val="nil"/>
              <w:bottom w:val="nil"/>
              <w:right w:val="nil"/>
            </w:tcBorders>
            <w:shd w:val="clear" w:color="auto" w:fill="auto"/>
            <w:noWrap/>
            <w:vAlign w:val="bottom"/>
            <w:hideMark/>
          </w:tcPr>
          <w:p w14:paraId="25AB8287" w14:textId="03F0A3CC"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104,374</w:t>
            </w:r>
          </w:p>
        </w:tc>
        <w:tc>
          <w:tcPr>
            <w:tcW w:w="555" w:type="pct"/>
            <w:tcBorders>
              <w:top w:val="nil"/>
              <w:left w:val="nil"/>
              <w:bottom w:val="nil"/>
              <w:right w:val="nil"/>
            </w:tcBorders>
            <w:shd w:val="clear" w:color="auto" w:fill="auto"/>
            <w:noWrap/>
            <w:vAlign w:val="bottom"/>
            <w:hideMark/>
          </w:tcPr>
          <w:p w14:paraId="3FBB4A3D" w14:textId="41C88C9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104,759</w:t>
            </w:r>
          </w:p>
        </w:tc>
      </w:tr>
      <w:tr w:rsidR="008F4D74" w:rsidRPr="00EE248D" w14:paraId="71786917" w14:textId="77777777" w:rsidTr="002F3AAF">
        <w:trPr>
          <w:trHeight w:val="204"/>
        </w:trPr>
        <w:tc>
          <w:tcPr>
            <w:tcW w:w="2174" w:type="pct"/>
            <w:tcBorders>
              <w:top w:val="nil"/>
              <w:left w:val="nil"/>
              <w:bottom w:val="nil"/>
              <w:right w:val="nil"/>
            </w:tcBorders>
            <w:shd w:val="clear" w:color="auto" w:fill="auto"/>
            <w:vAlign w:val="bottom"/>
            <w:hideMark/>
          </w:tcPr>
          <w:p w14:paraId="38B2B119"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Services to Jervis Bay Territory</w:t>
            </w:r>
            <w:r w:rsidRPr="00EE248D">
              <w:rPr>
                <w:rFonts w:ascii="Arial" w:hAnsi="Arial" w:cs="Arial"/>
                <w:sz w:val="16"/>
                <w:szCs w:val="16"/>
                <w:vertAlign w:val="superscript"/>
              </w:rPr>
              <w:t xml:space="preserve"> (b)</w:t>
            </w:r>
          </w:p>
        </w:tc>
        <w:tc>
          <w:tcPr>
            <w:tcW w:w="603" w:type="pct"/>
            <w:tcBorders>
              <w:top w:val="nil"/>
              <w:left w:val="nil"/>
              <w:bottom w:val="nil"/>
              <w:right w:val="nil"/>
            </w:tcBorders>
            <w:shd w:val="clear" w:color="auto" w:fill="auto"/>
            <w:noWrap/>
            <w:vAlign w:val="bottom"/>
            <w:hideMark/>
          </w:tcPr>
          <w:p w14:paraId="3A40E971" w14:textId="45C787FC"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5,881</w:t>
            </w:r>
          </w:p>
        </w:tc>
        <w:tc>
          <w:tcPr>
            <w:tcW w:w="556" w:type="pct"/>
            <w:tcBorders>
              <w:top w:val="nil"/>
              <w:left w:val="nil"/>
              <w:bottom w:val="nil"/>
              <w:right w:val="nil"/>
            </w:tcBorders>
            <w:shd w:val="clear" w:color="auto" w:fill="E6E6E6"/>
            <w:noWrap/>
            <w:vAlign w:val="bottom"/>
            <w:hideMark/>
          </w:tcPr>
          <w:p w14:paraId="67487A53" w14:textId="12B8AF6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7,840</w:t>
            </w:r>
          </w:p>
        </w:tc>
        <w:tc>
          <w:tcPr>
            <w:tcW w:w="556" w:type="pct"/>
            <w:tcBorders>
              <w:top w:val="nil"/>
              <w:left w:val="nil"/>
              <w:bottom w:val="nil"/>
              <w:right w:val="nil"/>
            </w:tcBorders>
            <w:shd w:val="clear" w:color="auto" w:fill="auto"/>
            <w:noWrap/>
            <w:vAlign w:val="bottom"/>
            <w:hideMark/>
          </w:tcPr>
          <w:p w14:paraId="6289C008" w14:textId="522EE37B"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9,300</w:t>
            </w:r>
          </w:p>
        </w:tc>
        <w:tc>
          <w:tcPr>
            <w:tcW w:w="556" w:type="pct"/>
            <w:tcBorders>
              <w:top w:val="nil"/>
              <w:left w:val="nil"/>
              <w:bottom w:val="nil"/>
              <w:right w:val="nil"/>
            </w:tcBorders>
            <w:shd w:val="clear" w:color="auto" w:fill="auto"/>
            <w:noWrap/>
            <w:vAlign w:val="bottom"/>
            <w:hideMark/>
          </w:tcPr>
          <w:p w14:paraId="5998D2BD" w14:textId="6BD9BB53"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5,927</w:t>
            </w:r>
          </w:p>
        </w:tc>
        <w:tc>
          <w:tcPr>
            <w:tcW w:w="555" w:type="pct"/>
            <w:tcBorders>
              <w:top w:val="nil"/>
              <w:left w:val="nil"/>
              <w:bottom w:val="nil"/>
              <w:right w:val="nil"/>
            </w:tcBorders>
            <w:shd w:val="clear" w:color="auto" w:fill="auto"/>
            <w:noWrap/>
            <w:vAlign w:val="bottom"/>
            <w:hideMark/>
          </w:tcPr>
          <w:p w14:paraId="56D982B6" w14:textId="1AF45099"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5,989</w:t>
            </w:r>
          </w:p>
        </w:tc>
      </w:tr>
      <w:tr w:rsidR="008F4D74" w:rsidRPr="00EE248D" w14:paraId="3E709BF9" w14:textId="77777777" w:rsidTr="002F3AAF">
        <w:trPr>
          <w:trHeight w:val="204"/>
        </w:trPr>
        <w:tc>
          <w:tcPr>
            <w:tcW w:w="2174" w:type="pct"/>
            <w:tcBorders>
              <w:top w:val="nil"/>
              <w:left w:val="nil"/>
              <w:bottom w:val="nil"/>
              <w:right w:val="nil"/>
            </w:tcBorders>
            <w:shd w:val="clear" w:color="auto" w:fill="auto"/>
            <w:vAlign w:val="bottom"/>
            <w:hideMark/>
          </w:tcPr>
          <w:p w14:paraId="3364838E"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Services to Norfolk Island</w:t>
            </w:r>
          </w:p>
        </w:tc>
        <w:tc>
          <w:tcPr>
            <w:tcW w:w="603" w:type="pct"/>
            <w:tcBorders>
              <w:top w:val="nil"/>
              <w:left w:val="nil"/>
              <w:bottom w:val="nil"/>
              <w:right w:val="nil"/>
            </w:tcBorders>
            <w:shd w:val="clear" w:color="auto" w:fill="auto"/>
            <w:noWrap/>
            <w:vAlign w:val="bottom"/>
            <w:hideMark/>
          </w:tcPr>
          <w:p w14:paraId="32179D27" w14:textId="29C4B15C"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72,881</w:t>
            </w:r>
          </w:p>
        </w:tc>
        <w:tc>
          <w:tcPr>
            <w:tcW w:w="556" w:type="pct"/>
            <w:tcBorders>
              <w:top w:val="nil"/>
              <w:left w:val="nil"/>
              <w:bottom w:val="nil"/>
              <w:right w:val="nil"/>
            </w:tcBorders>
            <w:shd w:val="clear" w:color="auto" w:fill="E6E6E6"/>
            <w:noWrap/>
            <w:vAlign w:val="bottom"/>
            <w:hideMark/>
          </w:tcPr>
          <w:p w14:paraId="4EF4AE58" w14:textId="79D4DD9A"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95,442</w:t>
            </w:r>
          </w:p>
        </w:tc>
        <w:tc>
          <w:tcPr>
            <w:tcW w:w="556" w:type="pct"/>
            <w:tcBorders>
              <w:top w:val="nil"/>
              <w:left w:val="nil"/>
              <w:bottom w:val="nil"/>
              <w:right w:val="nil"/>
            </w:tcBorders>
            <w:shd w:val="clear" w:color="auto" w:fill="auto"/>
            <w:noWrap/>
            <w:vAlign w:val="bottom"/>
            <w:hideMark/>
          </w:tcPr>
          <w:p w14:paraId="1BD14342" w14:textId="76464C36"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75,199</w:t>
            </w:r>
          </w:p>
        </w:tc>
        <w:tc>
          <w:tcPr>
            <w:tcW w:w="556" w:type="pct"/>
            <w:tcBorders>
              <w:top w:val="nil"/>
              <w:left w:val="nil"/>
              <w:bottom w:val="nil"/>
              <w:right w:val="nil"/>
            </w:tcBorders>
            <w:shd w:val="clear" w:color="auto" w:fill="auto"/>
            <w:noWrap/>
            <w:vAlign w:val="bottom"/>
            <w:hideMark/>
          </w:tcPr>
          <w:p w14:paraId="460DF3EC" w14:textId="01E6A9C9"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72,753</w:t>
            </w:r>
          </w:p>
        </w:tc>
        <w:tc>
          <w:tcPr>
            <w:tcW w:w="555" w:type="pct"/>
            <w:tcBorders>
              <w:top w:val="nil"/>
              <w:left w:val="nil"/>
              <w:bottom w:val="nil"/>
              <w:right w:val="nil"/>
            </w:tcBorders>
            <w:shd w:val="clear" w:color="auto" w:fill="auto"/>
            <w:noWrap/>
            <w:vAlign w:val="bottom"/>
            <w:hideMark/>
          </w:tcPr>
          <w:p w14:paraId="20538060" w14:textId="090C225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63,551</w:t>
            </w:r>
          </w:p>
        </w:tc>
      </w:tr>
      <w:tr w:rsidR="008F4D74" w:rsidRPr="00EE248D" w14:paraId="44C5E10B" w14:textId="77777777" w:rsidTr="002F3AAF">
        <w:trPr>
          <w:trHeight w:val="204"/>
        </w:trPr>
        <w:tc>
          <w:tcPr>
            <w:tcW w:w="2174" w:type="pct"/>
            <w:tcBorders>
              <w:top w:val="nil"/>
              <w:left w:val="nil"/>
              <w:bottom w:val="nil"/>
              <w:right w:val="nil"/>
            </w:tcBorders>
            <w:shd w:val="clear" w:color="auto" w:fill="auto"/>
            <w:noWrap/>
            <w:vAlign w:val="bottom"/>
            <w:hideMark/>
          </w:tcPr>
          <w:p w14:paraId="011C62AC" w14:textId="77777777" w:rsidR="008F4D74" w:rsidRPr="00EE248D" w:rsidRDefault="008F4D74" w:rsidP="008F4D74">
            <w:pPr>
              <w:spacing w:after="0" w:line="240" w:lineRule="auto"/>
              <w:rPr>
                <w:rFonts w:ascii="Arial" w:hAnsi="Arial" w:cs="Arial"/>
                <w:sz w:val="16"/>
                <w:szCs w:val="16"/>
              </w:rPr>
            </w:pPr>
            <w:r w:rsidRPr="00EE248D">
              <w:rPr>
                <w:rFonts w:ascii="Arial" w:hAnsi="Arial" w:cs="Arial"/>
                <w:sz w:val="16"/>
                <w:szCs w:val="16"/>
              </w:rPr>
              <w:t>Special Accounts</w:t>
            </w:r>
          </w:p>
        </w:tc>
        <w:tc>
          <w:tcPr>
            <w:tcW w:w="603" w:type="pct"/>
            <w:tcBorders>
              <w:top w:val="nil"/>
              <w:left w:val="nil"/>
              <w:bottom w:val="nil"/>
              <w:right w:val="nil"/>
            </w:tcBorders>
            <w:shd w:val="clear" w:color="auto" w:fill="auto"/>
            <w:noWrap/>
            <w:vAlign w:val="bottom"/>
            <w:hideMark/>
          </w:tcPr>
          <w:p w14:paraId="39021157" w14:textId="77777777" w:rsidR="008F4D74" w:rsidRPr="00EE248D" w:rsidRDefault="008F4D74" w:rsidP="008F4D74">
            <w:pPr>
              <w:spacing w:after="0" w:line="240" w:lineRule="auto"/>
              <w:ind w:firstLineChars="100" w:firstLine="160"/>
              <w:jc w:val="right"/>
              <w:rPr>
                <w:rFonts w:ascii="Arial" w:hAnsi="Arial" w:cs="Arial"/>
                <w:sz w:val="16"/>
                <w:szCs w:val="16"/>
              </w:rPr>
            </w:pPr>
          </w:p>
        </w:tc>
        <w:tc>
          <w:tcPr>
            <w:tcW w:w="556" w:type="pct"/>
            <w:tcBorders>
              <w:top w:val="nil"/>
              <w:left w:val="nil"/>
              <w:bottom w:val="nil"/>
              <w:right w:val="nil"/>
            </w:tcBorders>
            <w:shd w:val="clear" w:color="auto" w:fill="E6E6E6"/>
            <w:noWrap/>
            <w:vAlign w:val="bottom"/>
            <w:hideMark/>
          </w:tcPr>
          <w:p w14:paraId="1F5FFA92" w14:textId="318F3948" w:rsidR="008F4D74" w:rsidRPr="00EE248D" w:rsidRDefault="008F4D74" w:rsidP="008F4D74">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01C6850" w14:textId="77777777" w:rsidR="008F4D74" w:rsidRPr="00EE248D" w:rsidRDefault="008F4D74" w:rsidP="008F4D74">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1CDAA486" w14:textId="77777777" w:rsidR="008F4D74" w:rsidRPr="00EE248D" w:rsidRDefault="008F4D74" w:rsidP="008F4D74">
            <w:pPr>
              <w:spacing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0AE66BE5" w14:textId="77777777" w:rsidR="008F4D74" w:rsidRPr="00EE248D" w:rsidRDefault="008F4D74" w:rsidP="008F4D74">
            <w:pPr>
              <w:spacing w:after="0" w:line="240" w:lineRule="auto"/>
              <w:jc w:val="right"/>
              <w:rPr>
                <w:rFonts w:ascii="Arial" w:hAnsi="Arial" w:cs="Arial"/>
                <w:sz w:val="16"/>
                <w:szCs w:val="16"/>
              </w:rPr>
            </w:pPr>
          </w:p>
        </w:tc>
      </w:tr>
      <w:tr w:rsidR="008F4D74" w:rsidRPr="00EE248D" w14:paraId="6E977DCB" w14:textId="77777777" w:rsidTr="002F3AAF">
        <w:trPr>
          <w:trHeight w:val="204"/>
        </w:trPr>
        <w:tc>
          <w:tcPr>
            <w:tcW w:w="2174" w:type="pct"/>
            <w:tcBorders>
              <w:top w:val="nil"/>
              <w:left w:val="nil"/>
              <w:bottom w:val="nil"/>
              <w:right w:val="nil"/>
            </w:tcBorders>
            <w:shd w:val="clear" w:color="auto" w:fill="auto"/>
            <w:vAlign w:val="bottom"/>
            <w:hideMark/>
          </w:tcPr>
          <w:p w14:paraId="76574D51"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Christmas Island Phosphate Mining Rehabilitation Special Account 2016</w:t>
            </w:r>
          </w:p>
        </w:tc>
        <w:tc>
          <w:tcPr>
            <w:tcW w:w="603" w:type="pct"/>
            <w:tcBorders>
              <w:top w:val="nil"/>
              <w:left w:val="nil"/>
              <w:bottom w:val="nil"/>
              <w:right w:val="nil"/>
            </w:tcBorders>
            <w:shd w:val="clear" w:color="auto" w:fill="auto"/>
            <w:noWrap/>
            <w:vAlign w:val="bottom"/>
            <w:hideMark/>
          </w:tcPr>
          <w:p w14:paraId="0E3E12F7" w14:textId="5E95546A"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966</w:t>
            </w:r>
          </w:p>
        </w:tc>
        <w:tc>
          <w:tcPr>
            <w:tcW w:w="556" w:type="pct"/>
            <w:tcBorders>
              <w:top w:val="nil"/>
              <w:left w:val="nil"/>
              <w:bottom w:val="nil"/>
              <w:right w:val="nil"/>
            </w:tcBorders>
            <w:shd w:val="clear" w:color="auto" w:fill="E6E6E6"/>
            <w:noWrap/>
            <w:vAlign w:val="bottom"/>
            <w:hideMark/>
          </w:tcPr>
          <w:p w14:paraId="7E6A4EFD" w14:textId="21D44C3A"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1,200</w:t>
            </w:r>
          </w:p>
        </w:tc>
        <w:tc>
          <w:tcPr>
            <w:tcW w:w="556" w:type="pct"/>
            <w:tcBorders>
              <w:top w:val="nil"/>
              <w:left w:val="nil"/>
              <w:bottom w:val="nil"/>
              <w:right w:val="nil"/>
            </w:tcBorders>
            <w:shd w:val="clear" w:color="auto" w:fill="auto"/>
            <w:noWrap/>
            <w:vAlign w:val="bottom"/>
            <w:hideMark/>
          </w:tcPr>
          <w:p w14:paraId="4F654821" w14:textId="687D037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1,200</w:t>
            </w:r>
          </w:p>
        </w:tc>
        <w:tc>
          <w:tcPr>
            <w:tcW w:w="556" w:type="pct"/>
            <w:tcBorders>
              <w:top w:val="nil"/>
              <w:left w:val="nil"/>
              <w:bottom w:val="nil"/>
              <w:right w:val="nil"/>
            </w:tcBorders>
            <w:shd w:val="clear" w:color="auto" w:fill="auto"/>
            <w:noWrap/>
            <w:vAlign w:val="bottom"/>
            <w:hideMark/>
          </w:tcPr>
          <w:p w14:paraId="7B8CFC84" w14:textId="1EFAE77D"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1,200</w:t>
            </w:r>
          </w:p>
        </w:tc>
        <w:tc>
          <w:tcPr>
            <w:tcW w:w="555" w:type="pct"/>
            <w:tcBorders>
              <w:top w:val="nil"/>
              <w:left w:val="nil"/>
              <w:bottom w:val="nil"/>
              <w:right w:val="nil"/>
            </w:tcBorders>
            <w:shd w:val="clear" w:color="auto" w:fill="auto"/>
            <w:noWrap/>
            <w:vAlign w:val="bottom"/>
            <w:hideMark/>
          </w:tcPr>
          <w:p w14:paraId="6AC04EAF" w14:textId="1A8F7889"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1,200</w:t>
            </w:r>
          </w:p>
        </w:tc>
      </w:tr>
      <w:tr w:rsidR="008F4D74" w:rsidRPr="00EE248D" w14:paraId="2657CA13" w14:textId="77777777" w:rsidTr="002F3AAF">
        <w:trPr>
          <w:trHeight w:val="204"/>
        </w:trPr>
        <w:tc>
          <w:tcPr>
            <w:tcW w:w="2174" w:type="pct"/>
            <w:tcBorders>
              <w:top w:val="nil"/>
              <w:left w:val="nil"/>
              <w:bottom w:val="nil"/>
              <w:right w:val="nil"/>
            </w:tcBorders>
            <w:shd w:val="clear" w:color="auto" w:fill="auto"/>
            <w:vAlign w:val="bottom"/>
            <w:hideMark/>
          </w:tcPr>
          <w:p w14:paraId="44C1B601"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Indian Ocean Territories Special Account 2014</w:t>
            </w:r>
          </w:p>
        </w:tc>
        <w:tc>
          <w:tcPr>
            <w:tcW w:w="603" w:type="pct"/>
            <w:tcBorders>
              <w:top w:val="nil"/>
              <w:left w:val="nil"/>
              <w:bottom w:val="nil"/>
              <w:right w:val="nil"/>
            </w:tcBorders>
            <w:shd w:val="clear" w:color="auto" w:fill="auto"/>
            <w:noWrap/>
            <w:vAlign w:val="bottom"/>
            <w:hideMark/>
          </w:tcPr>
          <w:p w14:paraId="56701582" w14:textId="0D0FD63F"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17,006</w:t>
            </w:r>
          </w:p>
        </w:tc>
        <w:tc>
          <w:tcPr>
            <w:tcW w:w="556" w:type="pct"/>
            <w:tcBorders>
              <w:top w:val="nil"/>
              <w:left w:val="nil"/>
              <w:bottom w:val="nil"/>
              <w:right w:val="nil"/>
            </w:tcBorders>
            <w:shd w:val="clear" w:color="auto" w:fill="E6E6E6"/>
            <w:noWrap/>
            <w:vAlign w:val="bottom"/>
            <w:hideMark/>
          </w:tcPr>
          <w:p w14:paraId="24F61191" w14:textId="339AE463"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17,515</w:t>
            </w:r>
          </w:p>
        </w:tc>
        <w:tc>
          <w:tcPr>
            <w:tcW w:w="556" w:type="pct"/>
            <w:tcBorders>
              <w:top w:val="nil"/>
              <w:left w:val="nil"/>
              <w:bottom w:val="nil"/>
              <w:right w:val="nil"/>
            </w:tcBorders>
            <w:shd w:val="clear" w:color="auto" w:fill="auto"/>
            <w:noWrap/>
            <w:vAlign w:val="bottom"/>
            <w:hideMark/>
          </w:tcPr>
          <w:p w14:paraId="0F0CAC63" w14:textId="583877F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17,769</w:t>
            </w:r>
          </w:p>
        </w:tc>
        <w:tc>
          <w:tcPr>
            <w:tcW w:w="556" w:type="pct"/>
            <w:tcBorders>
              <w:top w:val="nil"/>
              <w:left w:val="nil"/>
              <w:bottom w:val="nil"/>
              <w:right w:val="nil"/>
            </w:tcBorders>
            <w:shd w:val="clear" w:color="auto" w:fill="auto"/>
            <w:noWrap/>
            <w:vAlign w:val="bottom"/>
            <w:hideMark/>
          </w:tcPr>
          <w:p w14:paraId="743E1B18" w14:textId="095F1BF2"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17,915</w:t>
            </w:r>
          </w:p>
        </w:tc>
        <w:tc>
          <w:tcPr>
            <w:tcW w:w="555" w:type="pct"/>
            <w:tcBorders>
              <w:top w:val="nil"/>
              <w:left w:val="nil"/>
              <w:bottom w:val="nil"/>
              <w:right w:val="nil"/>
            </w:tcBorders>
            <w:shd w:val="clear" w:color="auto" w:fill="auto"/>
            <w:noWrap/>
            <w:vAlign w:val="bottom"/>
            <w:hideMark/>
          </w:tcPr>
          <w:p w14:paraId="0DA24C5A" w14:textId="20BFC4E5"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18,454</w:t>
            </w:r>
          </w:p>
        </w:tc>
      </w:tr>
      <w:tr w:rsidR="008F4D74" w:rsidRPr="00EE248D" w14:paraId="036E972C" w14:textId="77777777" w:rsidTr="002F3AAF">
        <w:trPr>
          <w:trHeight w:val="204"/>
        </w:trPr>
        <w:tc>
          <w:tcPr>
            <w:tcW w:w="2174" w:type="pct"/>
            <w:tcBorders>
              <w:top w:val="nil"/>
              <w:left w:val="nil"/>
              <w:bottom w:val="nil"/>
              <w:right w:val="nil"/>
            </w:tcBorders>
            <w:shd w:val="clear" w:color="auto" w:fill="auto"/>
            <w:vAlign w:val="bottom"/>
            <w:hideMark/>
          </w:tcPr>
          <w:p w14:paraId="10F00948" w14:textId="77777777" w:rsidR="008F4D74" w:rsidRPr="00EE248D" w:rsidRDefault="008F4D74" w:rsidP="008F4D74">
            <w:pPr>
              <w:spacing w:after="0" w:line="240" w:lineRule="auto"/>
              <w:ind w:left="113"/>
              <w:rPr>
                <w:rFonts w:ascii="Arial" w:hAnsi="Arial" w:cs="Arial"/>
                <w:sz w:val="16"/>
                <w:szCs w:val="16"/>
              </w:rPr>
            </w:pPr>
            <w:r w:rsidRPr="00EE248D">
              <w:rPr>
                <w:rFonts w:ascii="Arial" w:hAnsi="Arial" w:cs="Arial"/>
                <w:sz w:val="16"/>
                <w:szCs w:val="16"/>
              </w:rPr>
              <w:t>Jervis Bay Territory Special Account 2014</w:t>
            </w:r>
          </w:p>
        </w:tc>
        <w:tc>
          <w:tcPr>
            <w:tcW w:w="603" w:type="pct"/>
            <w:tcBorders>
              <w:top w:val="nil"/>
              <w:left w:val="nil"/>
              <w:bottom w:val="nil"/>
              <w:right w:val="nil"/>
            </w:tcBorders>
            <w:shd w:val="clear" w:color="auto" w:fill="auto"/>
            <w:noWrap/>
            <w:vAlign w:val="bottom"/>
            <w:hideMark/>
          </w:tcPr>
          <w:p w14:paraId="63A0C27B" w14:textId="77F13E95"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1,219</w:t>
            </w:r>
          </w:p>
        </w:tc>
        <w:tc>
          <w:tcPr>
            <w:tcW w:w="556" w:type="pct"/>
            <w:tcBorders>
              <w:top w:val="nil"/>
              <w:left w:val="nil"/>
              <w:bottom w:val="nil"/>
              <w:right w:val="nil"/>
            </w:tcBorders>
            <w:shd w:val="clear" w:color="auto" w:fill="E6E6E6"/>
            <w:noWrap/>
            <w:vAlign w:val="bottom"/>
            <w:hideMark/>
          </w:tcPr>
          <w:p w14:paraId="2951D2C9" w14:textId="7CFADF93"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1,219</w:t>
            </w:r>
          </w:p>
        </w:tc>
        <w:tc>
          <w:tcPr>
            <w:tcW w:w="556" w:type="pct"/>
            <w:tcBorders>
              <w:top w:val="nil"/>
              <w:left w:val="nil"/>
              <w:bottom w:val="nil"/>
              <w:right w:val="nil"/>
            </w:tcBorders>
            <w:shd w:val="clear" w:color="auto" w:fill="auto"/>
            <w:noWrap/>
            <w:vAlign w:val="bottom"/>
            <w:hideMark/>
          </w:tcPr>
          <w:p w14:paraId="4310244A" w14:textId="3F5FF793"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1,219</w:t>
            </w:r>
          </w:p>
        </w:tc>
        <w:tc>
          <w:tcPr>
            <w:tcW w:w="556" w:type="pct"/>
            <w:tcBorders>
              <w:top w:val="nil"/>
              <w:left w:val="nil"/>
              <w:bottom w:val="nil"/>
              <w:right w:val="nil"/>
            </w:tcBorders>
            <w:shd w:val="clear" w:color="auto" w:fill="auto"/>
            <w:noWrap/>
            <w:vAlign w:val="bottom"/>
            <w:hideMark/>
          </w:tcPr>
          <w:p w14:paraId="5D4CF85B" w14:textId="5FA98EE7"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1,219</w:t>
            </w:r>
          </w:p>
        </w:tc>
        <w:tc>
          <w:tcPr>
            <w:tcW w:w="555" w:type="pct"/>
            <w:tcBorders>
              <w:top w:val="nil"/>
              <w:left w:val="nil"/>
              <w:bottom w:val="nil"/>
              <w:right w:val="nil"/>
            </w:tcBorders>
            <w:shd w:val="clear" w:color="auto" w:fill="auto"/>
            <w:noWrap/>
            <w:vAlign w:val="bottom"/>
            <w:hideMark/>
          </w:tcPr>
          <w:p w14:paraId="6CE0B437" w14:textId="06DC1F38" w:rsidR="008F4D74" w:rsidRPr="00EE248D" w:rsidRDefault="008F4D74" w:rsidP="008F4D74">
            <w:pPr>
              <w:spacing w:after="0" w:line="240" w:lineRule="auto"/>
              <w:jc w:val="right"/>
              <w:rPr>
                <w:rFonts w:ascii="Arial" w:hAnsi="Arial" w:cs="Arial"/>
                <w:sz w:val="16"/>
                <w:szCs w:val="16"/>
              </w:rPr>
            </w:pPr>
            <w:r>
              <w:rPr>
                <w:rFonts w:ascii="Arial" w:hAnsi="Arial" w:cs="Arial"/>
                <w:sz w:val="16"/>
                <w:szCs w:val="16"/>
              </w:rPr>
              <w:t>1,219</w:t>
            </w:r>
          </w:p>
        </w:tc>
      </w:tr>
      <w:tr w:rsidR="008F4D74" w:rsidRPr="00EE248D" w14:paraId="4A8FB091" w14:textId="77777777" w:rsidTr="002F3AAF">
        <w:trPr>
          <w:trHeight w:val="204"/>
        </w:trPr>
        <w:tc>
          <w:tcPr>
            <w:tcW w:w="2174" w:type="pct"/>
            <w:tcBorders>
              <w:top w:val="nil"/>
              <w:left w:val="nil"/>
              <w:bottom w:val="single" w:sz="4" w:space="0" w:color="auto"/>
              <w:right w:val="nil"/>
            </w:tcBorders>
            <w:shd w:val="clear" w:color="auto" w:fill="auto"/>
            <w:noWrap/>
            <w:vAlign w:val="bottom"/>
            <w:hideMark/>
          </w:tcPr>
          <w:p w14:paraId="44AA29C2" w14:textId="77777777" w:rsidR="008F4D74" w:rsidRPr="00EE248D" w:rsidRDefault="008F4D74" w:rsidP="008F4D74">
            <w:pPr>
              <w:spacing w:after="0" w:line="240" w:lineRule="auto"/>
              <w:rPr>
                <w:rFonts w:ascii="Arial" w:hAnsi="Arial" w:cs="Arial"/>
                <w:b/>
                <w:bCs/>
                <w:sz w:val="16"/>
                <w:szCs w:val="16"/>
              </w:rPr>
            </w:pPr>
            <w:r w:rsidRPr="00EE248D">
              <w:rPr>
                <w:rFonts w:ascii="Arial" w:hAnsi="Arial" w:cs="Arial"/>
                <w:b/>
                <w:bCs/>
                <w:sz w:val="16"/>
                <w:szCs w:val="16"/>
              </w:rPr>
              <w:t>Total expenses for Program 4.1</w:t>
            </w:r>
          </w:p>
        </w:tc>
        <w:tc>
          <w:tcPr>
            <w:tcW w:w="603" w:type="pct"/>
            <w:tcBorders>
              <w:top w:val="single" w:sz="4" w:space="0" w:color="auto"/>
              <w:left w:val="nil"/>
              <w:bottom w:val="single" w:sz="4" w:space="0" w:color="auto"/>
              <w:right w:val="nil"/>
            </w:tcBorders>
            <w:shd w:val="clear" w:color="auto" w:fill="auto"/>
            <w:noWrap/>
            <w:vAlign w:val="bottom"/>
            <w:hideMark/>
          </w:tcPr>
          <w:p w14:paraId="4F10C8D9" w14:textId="45A65F04" w:rsidR="008F4D74" w:rsidRPr="00EE248D" w:rsidRDefault="008F4D74" w:rsidP="008F4D74">
            <w:pPr>
              <w:spacing w:after="0" w:line="240" w:lineRule="auto"/>
              <w:jc w:val="right"/>
              <w:rPr>
                <w:rFonts w:ascii="Arial" w:hAnsi="Arial" w:cs="Arial"/>
                <w:b/>
                <w:bCs/>
                <w:sz w:val="16"/>
                <w:szCs w:val="16"/>
              </w:rPr>
            </w:pPr>
            <w:r>
              <w:rPr>
                <w:rFonts w:ascii="Arial" w:hAnsi="Arial" w:cs="Arial"/>
                <w:b/>
                <w:bCs/>
                <w:sz w:val="16"/>
                <w:szCs w:val="16"/>
              </w:rPr>
              <w:t>272,228</w:t>
            </w:r>
          </w:p>
        </w:tc>
        <w:tc>
          <w:tcPr>
            <w:tcW w:w="556" w:type="pct"/>
            <w:tcBorders>
              <w:top w:val="single" w:sz="4" w:space="0" w:color="auto"/>
              <w:left w:val="nil"/>
              <w:bottom w:val="single" w:sz="4" w:space="0" w:color="auto"/>
              <w:right w:val="nil"/>
            </w:tcBorders>
            <w:shd w:val="clear" w:color="auto" w:fill="E6E6E6"/>
            <w:noWrap/>
            <w:vAlign w:val="bottom"/>
            <w:hideMark/>
          </w:tcPr>
          <w:p w14:paraId="51F610B6" w14:textId="1A97F4B9" w:rsidR="008F4D74" w:rsidRPr="00EE248D" w:rsidRDefault="008F4D74" w:rsidP="008F4D74">
            <w:pPr>
              <w:spacing w:after="0" w:line="240" w:lineRule="auto"/>
              <w:jc w:val="right"/>
              <w:rPr>
                <w:rFonts w:ascii="Arial" w:hAnsi="Arial" w:cs="Arial"/>
                <w:b/>
                <w:bCs/>
                <w:sz w:val="16"/>
                <w:szCs w:val="16"/>
              </w:rPr>
            </w:pPr>
            <w:r>
              <w:rPr>
                <w:rFonts w:ascii="Arial" w:hAnsi="Arial" w:cs="Arial"/>
                <w:b/>
                <w:bCs/>
                <w:sz w:val="16"/>
                <w:szCs w:val="16"/>
              </w:rPr>
              <w:t>307,560</w:t>
            </w:r>
          </w:p>
        </w:tc>
        <w:tc>
          <w:tcPr>
            <w:tcW w:w="556" w:type="pct"/>
            <w:tcBorders>
              <w:top w:val="single" w:sz="4" w:space="0" w:color="auto"/>
              <w:left w:val="nil"/>
              <w:bottom w:val="single" w:sz="4" w:space="0" w:color="auto"/>
              <w:right w:val="nil"/>
            </w:tcBorders>
            <w:shd w:val="clear" w:color="auto" w:fill="auto"/>
            <w:noWrap/>
            <w:vAlign w:val="bottom"/>
            <w:hideMark/>
          </w:tcPr>
          <w:p w14:paraId="67EBF4D3" w14:textId="52940FA2" w:rsidR="008F4D74" w:rsidRPr="00EE248D" w:rsidRDefault="008F4D74" w:rsidP="008F4D74">
            <w:pPr>
              <w:spacing w:after="0" w:line="240" w:lineRule="auto"/>
              <w:jc w:val="right"/>
              <w:rPr>
                <w:rFonts w:ascii="Arial" w:hAnsi="Arial" w:cs="Arial"/>
                <w:b/>
                <w:bCs/>
                <w:sz w:val="16"/>
                <w:szCs w:val="16"/>
              </w:rPr>
            </w:pPr>
            <w:r>
              <w:rPr>
                <w:rFonts w:ascii="Arial" w:hAnsi="Arial" w:cs="Arial"/>
                <w:b/>
                <w:bCs/>
                <w:sz w:val="16"/>
                <w:szCs w:val="16"/>
              </w:rPr>
              <w:t>249,846</w:t>
            </w:r>
          </w:p>
        </w:tc>
        <w:tc>
          <w:tcPr>
            <w:tcW w:w="556" w:type="pct"/>
            <w:tcBorders>
              <w:top w:val="single" w:sz="4" w:space="0" w:color="auto"/>
              <w:left w:val="nil"/>
              <w:bottom w:val="single" w:sz="4" w:space="0" w:color="auto"/>
              <w:right w:val="nil"/>
            </w:tcBorders>
            <w:shd w:val="clear" w:color="auto" w:fill="auto"/>
            <w:noWrap/>
            <w:vAlign w:val="bottom"/>
            <w:hideMark/>
          </w:tcPr>
          <w:p w14:paraId="621C3345" w14:textId="15289D0F" w:rsidR="008F4D74" w:rsidRPr="00EE248D" w:rsidRDefault="008F4D74" w:rsidP="008F4D74">
            <w:pPr>
              <w:spacing w:after="0" w:line="240" w:lineRule="auto"/>
              <w:jc w:val="right"/>
              <w:rPr>
                <w:rFonts w:ascii="Arial" w:hAnsi="Arial" w:cs="Arial"/>
                <w:b/>
                <w:bCs/>
                <w:sz w:val="16"/>
                <w:szCs w:val="16"/>
              </w:rPr>
            </w:pPr>
            <w:r>
              <w:rPr>
                <w:rFonts w:ascii="Arial" w:hAnsi="Arial" w:cs="Arial"/>
                <w:b/>
                <w:bCs/>
                <w:sz w:val="16"/>
                <w:szCs w:val="16"/>
              </w:rPr>
              <w:t>246,904</w:t>
            </w:r>
          </w:p>
        </w:tc>
        <w:tc>
          <w:tcPr>
            <w:tcW w:w="555" w:type="pct"/>
            <w:tcBorders>
              <w:top w:val="single" w:sz="4" w:space="0" w:color="auto"/>
              <w:left w:val="nil"/>
              <w:bottom w:val="single" w:sz="4" w:space="0" w:color="auto"/>
              <w:right w:val="nil"/>
            </w:tcBorders>
            <w:shd w:val="clear" w:color="auto" w:fill="auto"/>
            <w:noWrap/>
            <w:vAlign w:val="bottom"/>
            <w:hideMark/>
          </w:tcPr>
          <w:p w14:paraId="6EE7B821" w14:textId="521E0ECE" w:rsidR="008F4D74" w:rsidRPr="00EE248D" w:rsidRDefault="008F4D74" w:rsidP="008F4D74">
            <w:pPr>
              <w:spacing w:after="0" w:line="240" w:lineRule="auto"/>
              <w:jc w:val="right"/>
              <w:rPr>
                <w:rFonts w:ascii="Arial" w:hAnsi="Arial" w:cs="Arial"/>
                <w:b/>
                <w:bCs/>
                <w:sz w:val="16"/>
                <w:szCs w:val="16"/>
              </w:rPr>
            </w:pPr>
            <w:r>
              <w:rPr>
                <w:rFonts w:ascii="Arial" w:hAnsi="Arial" w:cs="Arial"/>
                <w:b/>
                <w:bCs/>
                <w:sz w:val="16"/>
                <w:szCs w:val="16"/>
              </w:rPr>
              <w:t>238,801</w:t>
            </w:r>
          </w:p>
        </w:tc>
      </w:tr>
    </w:tbl>
    <w:p w14:paraId="057577C8" w14:textId="77777777" w:rsidR="00115843" w:rsidRPr="001D5782" w:rsidRDefault="00115843" w:rsidP="00115843">
      <w:pPr>
        <w:pStyle w:val="ListParagraph"/>
        <w:numPr>
          <w:ilvl w:val="0"/>
          <w:numId w:val="219"/>
        </w:numPr>
        <w:spacing w:before="60" w:after="0" w:line="240" w:lineRule="auto"/>
        <w:ind w:left="426" w:hanging="426"/>
        <w:rPr>
          <w:rFonts w:ascii="Arial" w:hAnsi="Arial" w:cs="Arial"/>
          <w:color w:val="000000" w:themeColor="text1"/>
          <w:sz w:val="16"/>
          <w:szCs w:val="16"/>
        </w:rPr>
      </w:pPr>
      <w:r w:rsidRPr="001D5782">
        <w:rPr>
          <w:rFonts w:ascii="Arial" w:hAnsi="Arial" w:cs="Arial"/>
          <w:color w:val="000000" w:themeColor="text1"/>
          <w:sz w:val="16"/>
          <w:szCs w:val="16"/>
        </w:rPr>
        <w:t>See also expenses associated with the Indian Ocean Territories Special Account 2014.</w:t>
      </w:r>
    </w:p>
    <w:p w14:paraId="5F2A7C9A" w14:textId="1E6FEC54" w:rsidR="00BF5A1E" w:rsidRPr="00BF5A1E" w:rsidRDefault="00115843" w:rsidP="00BF5A1E">
      <w:pPr>
        <w:pStyle w:val="ListParagraph"/>
        <w:numPr>
          <w:ilvl w:val="0"/>
          <w:numId w:val="219"/>
        </w:numPr>
        <w:spacing w:after="0" w:line="240" w:lineRule="auto"/>
        <w:ind w:left="425" w:hanging="425"/>
        <w:rPr>
          <w:rFonts w:ascii="Arial" w:hAnsi="Arial" w:cs="Arial"/>
          <w:sz w:val="16"/>
          <w:szCs w:val="16"/>
        </w:rPr>
      </w:pPr>
      <w:r w:rsidRPr="001D5782">
        <w:rPr>
          <w:rFonts w:ascii="Arial" w:hAnsi="Arial" w:cs="Arial"/>
          <w:sz w:val="16"/>
          <w:szCs w:val="16"/>
        </w:rPr>
        <w:t>See also expenses associated with the Jervis Bay Territory Special Account 2014.</w:t>
      </w:r>
    </w:p>
    <w:p w14:paraId="19A8BB1B"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791EAFB4" w14:textId="77777777" w:rsidR="00115843" w:rsidRPr="00F71634" w:rsidRDefault="00115843" w:rsidP="00115843">
      <w:pPr>
        <w:pStyle w:val="TableHeading"/>
      </w:pPr>
      <w:r w:rsidRPr="00F71634">
        <w:lastRenderedPageBreak/>
        <w:t>Table 2.</w:t>
      </w:r>
      <w:r>
        <w:rPr>
          <w:lang w:val="en-GB"/>
        </w:rPr>
        <w:t>4</w:t>
      </w:r>
      <w:r w:rsidRPr="00F71634">
        <w:t xml:space="preserve">.3: Performance </w:t>
      </w:r>
      <w:r>
        <w:t>measure for Outcome 4</w:t>
      </w:r>
    </w:p>
    <w:p w14:paraId="294795BC" w14:textId="77777777" w:rsidR="00115843" w:rsidRPr="001D5782" w:rsidRDefault="00115843" w:rsidP="00115843">
      <w:r w:rsidRPr="001D5782">
        <w:t>Table 2.4.3 details the performance measures for each program associated with Outcome 4.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3544"/>
      </w:tblGrid>
      <w:tr w:rsidR="00115843" w:rsidRPr="005C11A1" w14:paraId="7CC77EBF" w14:textId="77777777" w:rsidTr="002F3AAF">
        <w:trPr>
          <w:trHeight w:val="949"/>
        </w:trPr>
        <w:tc>
          <w:tcPr>
            <w:tcW w:w="7655" w:type="dxa"/>
            <w:gridSpan w:val="3"/>
            <w:shd w:val="clear" w:color="auto" w:fill="E6E6E6"/>
          </w:tcPr>
          <w:p w14:paraId="3A482530" w14:textId="77777777" w:rsidR="00115843" w:rsidRPr="005C11A1" w:rsidRDefault="00115843" w:rsidP="00FB0D02">
            <w:pPr>
              <w:spacing w:before="60" w:after="60" w:line="240" w:lineRule="auto"/>
              <w:rPr>
                <w:rFonts w:ascii="Arial" w:hAnsi="Arial" w:cs="Arial"/>
                <w:b/>
                <w:highlight w:val="yellow"/>
              </w:rPr>
            </w:pPr>
            <w:r w:rsidRPr="005C11A1">
              <w:rPr>
                <w:rFonts w:ascii="Arial" w:eastAsia="Calibri" w:hAnsi="Arial" w:cs="Arial"/>
                <w:b/>
              </w:rPr>
              <w:t>Outcome 4</w:t>
            </w:r>
            <w:r w:rsidRPr="005C11A1">
              <w:rPr>
                <w:rFonts w:ascii="Arial" w:hAnsi="Arial" w:cs="Arial"/>
                <w:b/>
              </w:rPr>
              <w:t xml:space="preserve"> </w:t>
            </w:r>
            <w:r w:rsidRPr="005C11A1">
              <w:rPr>
                <w:rFonts w:ascii="Arial" w:hAnsi="Arial" w:cs="Arial"/>
              </w:rPr>
              <w:t xml:space="preserve">– </w:t>
            </w:r>
            <w:r w:rsidRPr="005C11A1">
              <w:rPr>
                <w:rFonts w:ascii="Arial" w:eastAsia="Calibri" w:hAnsi="Arial" w:cs="Arial"/>
              </w:rPr>
              <w:t>Good governance and service delivery in the Australian territories including through the maintenance and improvement of the laws and services for non-self-governing territories, and the overarching legislative framework for self</w:t>
            </w:r>
            <w:r w:rsidRPr="005C11A1">
              <w:rPr>
                <w:rFonts w:ascii="Arial" w:eastAsia="Calibri" w:hAnsi="Arial" w:cs="Arial"/>
              </w:rPr>
              <w:noBreakHyphen/>
              <w:t>governing territories</w:t>
            </w:r>
          </w:p>
        </w:tc>
      </w:tr>
      <w:tr w:rsidR="00115843" w:rsidRPr="001D5782" w14:paraId="4E88578C" w14:textId="77777777" w:rsidTr="002F3AAF">
        <w:trPr>
          <w:trHeight w:val="522"/>
        </w:trPr>
        <w:tc>
          <w:tcPr>
            <w:tcW w:w="7655" w:type="dxa"/>
            <w:gridSpan w:val="3"/>
            <w:shd w:val="clear" w:color="auto" w:fill="E6E6E6"/>
          </w:tcPr>
          <w:p w14:paraId="0C565D33" w14:textId="77777777" w:rsidR="00115843" w:rsidRPr="001D5782" w:rsidRDefault="00115843" w:rsidP="00FB0D02">
            <w:pPr>
              <w:spacing w:before="60" w:after="0" w:line="240" w:lineRule="auto"/>
              <w:rPr>
                <w:rFonts w:ascii="Arial" w:eastAsia="Calibri" w:hAnsi="Arial" w:cs="Arial"/>
                <w:b/>
                <w:sz w:val="18"/>
                <w:szCs w:val="18"/>
              </w:rPr>
            </w:pPr>
            <w:bookmarkStart w:id="32" w:name="Territories4_1"/>
            <w:r w:rsidRPr="001D5782">
              <w:rPr>
                <w:rFonts w:ascii="Arial" w:eastAsia="Calibri" w:hAnsi="Arial" w:cs="Arial"/>
                <w:b/>
                <w:sz w:val="18"/>
                <w:szCs w:val="18"/>
              </w:rPr>
              <w:t>Program 4.1 – Services to Territories</w:t>
            </w:r>
            <w:bookmarkEnd w:id="32"/>
          </w:p>
          <w:p w14:paraId="68423216" w14:textId="77777777" w:rsidR="00115843" w:rsidRPr="001D5782" w:rsidRDefault="00115843" w:rsidP="00FB0D02">
            <w:pPr>
              <w:pStyle w:val="TableTextLeft"/>
              <w:rPr>
                <w:szCs w:val="18"/>
                <w:highlight w:val="yellow"/>
              </w:rPr>
            </w:pPr>
            <w:r w:rsidRPr="001D5782">
              <w:rPr>
                <w:rFonts w:eastAsia="Calibri" w:cs="Arial"/>
                <w:szCs w:val="18"/>
                <w:lang w:eastAsia="en-US"/>
              </w:rPr>
              <w:t>The services to territories program provides good governance and service delivery in the Australian territories, including through the maintenance and improvement of the laws and services for non-self-governing territories, and the overarching legislative framework for self-governing territories.</w:t>
            </w:r>
          </w:p>
        </w:tc>
      </w:tr>
      <w:tr w:rsidR="00115843" w:rsidRPr="0027724F" w14:paraId="251934B6" w14:textId="77777777" w:rsidTr="00FB0D02">
        <w:trPr>
          <w:trHeight w:val="694"/>
        </w:trPr>
        <w:tc>
          <w:tcPr>
            <w:tcW w:w="1418" w:type="dxa"/>
            <w:tcBorders>
              <w:bottom w:val="double" w:sz="4" w:space="0" w:color="auto"/>
            </w:tcBorders>
          </w:tcPr>
          <w:p w14:paraId="5F9382BB" w14:textId="77777777" w:rsidR="00115843" w:rsidRPr="00160C23" w:rsidRDefault="00115843" w:rsidP="00FB0D02">
            <w:pPr>
              <w:spacing w:before="60" w:after="60"/>
              <w:rPr>
                <w:rFonts w:ascii="Arial" w:hAnsi="Arial" w:cs="Arial"/>
                <w:b/>
                <w:sz w:val="16"/>
                <w:szCs w:val="16"/>
              </w:rPr>
            </w:pPr>
            <w:r w:rsidRPr="00BE08C4">
              <w:rPr>
                <w:rFonts w:ascii="Arial" w:eastAsia="Calibri" w:hAnsi="Arial" w:cs="Arial"/>
                <w:b/>
                <w:sz w:val="16"/>
                <w:szCs w:val="16"/>
              </w:rPr>
              <w:t>Key Activities</w:t>
            </w:r>
          </w:p>
        </w:tc>
        <w:tc>
          <w:tcPr>
            <w:tcW w:w="6237" w:type="dxa"/>
            <w:gridSpan w:val="2"/>
            <w:tcBorders>
              <w:bottom w:val="double" w:sz="4" w:space="0" w:color="auto"/>
            </w:tcBorders>
          </w:tcPr>
          <w:p w14:paraId="390B16DA" w14:textId="77777777" w:rsidR="00115843" w:rsidRPr="0027724F" w:rsidRDefault="00115843" w:rsidP="00115843">
            <w:pPr>
              <w:numPr>
                <w:ilvl w:val="0"/>
                <w:numId w:val="13"/>
              </w:numPr>
              <w:spacing w:before="60" w:after="60" w:line="240" w:lineRule="auto"/>
              <w:ind w:left="179" w:hanging="227"/>
              <w:rPr>
                <w:rFonts w:ascii="Arial" w:hAnsi="Arial" w:cs="Arial"/>
                <w:sz w:val="16"/>
                <w:szCs w:val="16"/>
              </w:rPr>
            </w:pPr>
            <w:r w:rsidRPr="0027724F">
              <w:rPr>
                <w:rFonts w:ascii="Arial" w:hAnsi="Arial" w:cs="Arial"/>
                <w:sz w:val="16"/>
                <w:szCs w:val="16"/>
              </w:rPr>
              <w:t xml:space="preserve">Provide essential infrastructure and fund and deliver services to residents of Norfolk Island, Christmas Island, the Cocos (Keeling) Islands and the Jervis Bay Territory </w:t>
            </w:r>
          </w:p>
          <w:p w14:paraId="797877A4" w14:textId="77777777" w:rsidR="00115843" w:rsidRPr="0027724F" w:rsidRDefault="00115843" w:rsidP="00115843">
            <w:pPr>
              <w:numPr>
                <w:ilvl w:val="0"/>
                <w:numId w:val="13"/>
              </w:numPr>
              <w:spacing w:before="60" w:after="60" w:line="240" w:lineRule="auto"/>
              <w:ind w:left="179" w:hanging="227"/>
              <w:rPr>
                <w:rFonts w:ascii="Arial" w:hAnsi="Arial" w:cs="Arial"/>
                <w:sz w:val="16"/>
                <w:szCs w:val="16"/>
              </w:rPr>
            </w:pPr>
            <w:r w:rsidRPr="0027724F">
              <w:rPr>
                <w:rFonts w:ascii="Arial" w:hAnsi="Arial" w:cs="Arial"/>
                <w:sz w:val="16"/>
                <w:szCs w:val="16"/>
              </w:rPr>
              <w:t>Administer the Ashmore and Cartier Islands and the Coral Sea Island Territories, and manage national interests in the ACT and NT</w:t>
            </w:r>
          </w:p>
          <w:p w14:paraId="1D92D59A" w14:textId="77777777" w:rsidR="00115843" w:rsidRPr="0027724F" w:rsidRDefault="00115843" w:rsidP="00115843">
            <w:pPr>
              <w:numPr>
                <w:ilvl w:val="0"/>
                <w:numId w:val="13"/>
              </w:numPr>
              <w:spacing w:before="60" w:after="60" w:line="240" w:lineRule="auto"/>
              <w:ind w:left="179" w:hanging="227"/>
              <w:rPr>
                <w:rFonts w:ascii="Arial" w:hAnsi="Arial" w:cs="Arial"/>
                <w:sz w:val="16"/>
                <w:szCs w:val="16"/>
              </w:rPr>
            </w:pPr>
            <w:r w:rsidRPr="0027724F">
              <w:rPr>
                <w:rFonts w:ascii="Arial" w:hAnsi="Arial" w:cs="Arial"/>
                <w:sz w:val="16"/>
                <w:szCs w:val="16"/>
              </w:rPr>
              <w:t xml:space="preserve">Improve the legislative frameworks in the Territories, to optimise governance arrangements and to support </w:t>
            </w:r>
            <w:r>
              <w:rPr>
                <w:rFonts w:ascii="Arial" w:hAnsi="Arial" w:cs="Arial"/>
                <w:sz w:val="16"/>
                <w:szCs w:val="16"/>
              </w:rPr>
              <w:t>improvements</w:t>
            </w:r>
            <w:r w:rsidRPr="0027724F">
              <w:rPr>
                <w:rFonts w:ascii="Arial" w:hAnsi="Arial" w:cs="Arial"/>
                <w:sz w:val="16"/>
                <w:szCs w:val="16"/>
              </w:rPr>
              <w:t xml:space="preserve"> in the service delivery landscape</w:t>
            </w:r>
            <w:r>
              <w:rPr>
                <w:rFonts w:ascii="Arial" w:hAnsi="Arial" w:cs="Arial"/>
                <w:sz w:val="16"/>
                <w:szCs w:val="16"/>
              </w:rPr>
              <w:t xml:space="preserve"> </w:t>
            </w:r>
            <w:r>
              <w:rPr>
                <w:rFonts w:ascii="Arial" w:hAnsi="Arial" w:cs="Arial"/>
                <w:sz w:val="16"/>
                <w:szCs w:val="16"/>
                <w:vertAlign w:val="superscript"/>
              </w:rPr>
              <w:t>(a)</w:t>
            </w:r>
          </w:p>
        </w:tc>
      </w:tr>
      <w:tr w:rsidR="00115843" w:rsidRPr="00160C23" w14:paraId="2BABBB63" w14:textId="77777777" w:rsidTr="00FB0D02">
        <w:trPr>
          <w:trHeight w:val="258"/>
        </w:trPr>
        <w:tc>
          <w:tcPr>
            <w:tcW w:w="1418" w:type="dxa"/>
            <w:tcBorders>
              <w:top w:val="double" w:sz="4" w:space="0" w:color="auto"/>
              <w:bottom w:val="single" w:sz="4" w:space="0" w:color="auto"/>
              <w:right w:val="single" w:sz="4" w:space="0" w:color="auto"/>
            </w:tcBorders>
          </w:tcPr>
          <w:p w14:paraId="5307F3B2" w14:textId="77777777" w:rsidR="00115843" w:rsidRPr="00CD1CF1" w:rsidRDefault="00115843" w:rsidP="00FB0D02">
            <w:pPr>
              <w:pStyle w:val="TableTextBase"/>
              <w:rPr>
                <w:b/>
                <w:sz w:val="16"/>
                <w:szCs w:val="16"/>
              </w:rPr>
            </w:pPr>
            <w:r w:rsidRPr="00CD1CF1">
              <w:rPr>
                <w:b/>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731CDBBD"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3544" w:type="dxa"/>
            <w:tcBorders>
              <w:top w:val="double" w:sz="4" w:space="0" w:color="auto"/>
              <w:left w:val="single" w:sz="4" w:space="0" w:color="auto"/>
              <w:bottom w:val="single" w:sz="4" w:space="0" w:color="auto"/>
            </w:tcBorders>
          </w:tcPr>
          <w:p w14:paraId="3526C6F7"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5307EA" w14:paraId="49A4B858" w14:textId="77777777" w:rsidTr="00FB0D02">
        <w:trPr>
          <w:cantSplit/>
          <w:trHeight w:val="642"/>
        </w:trPr>
        <w:tc>
          <w:tcPr>
            <w:tcW w:w="1418" w:type="dxa"/>
            <w:vMerge w:val="restart"/>
            <w:tcBorders>
              <w:top w:val="single" w:sz="4" w:space="0" w:color="auto"/>
              <w:right w:val="single" w:sz="4" w:space="0" w:color="auto"/>
            </w:tcBorders>
          </w:tcPr>
          <w:p w14:paraId="76408DA4"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w:t>
            </w:r>
          </w:p>
        </w:tc>
        <w:tc>
          <w:tcPr>
            <w:tcW w:w="2693" w:type="dxa"/>
            <w:tcBorders>
              <w:top w:val="single" w:sz="4" w:space="0" w:color="auto"/>
              <w:left w:val="single" w:sz="4" w:space="0" w:color="auto"/>
              <w:bottom w:val="single" w:sz="4" w:space="0" w:color="auto"/>
              <w:right w:val="single" w:sz="4" w:space="0" w:color="auto"/>
            </w:tcBorders>
          </w:tcPr>
          <w:p w14:paraId="2586D420"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 xml:space="preserve">Commonwealth legal and governance frameworks in Australia’s territories are appropriate for the protection and wellbeing of the communities </w:t>
            </w:r>
            <w:r w:rsidRPr="00FD292C">
              <w:rPr>
                <w:rFonts w:asciiTheme="minorHAnsi" w:hAnsiTheme="minorHAnsi" w:cstheme="minorHAnsi"/>
                <w:b/>
                <w:color w:val="FFFFFF" w:themeColor="background1"/>
                <w:sz w:val="16"/>
                <w:szCs w:val="16"/>
                <w:shd w:val="clear" w:color="auto" w:fill="A8D08D" w:themeFill="accent6" w:themeFillTint="99"/>
                <w:lang w:val="en-US"/>
              </w:rPr>
              <w:t xml:space="preserve">                                                  </w:t>
            </w:r>
          </w:p>
        </w:tc>
        <w:tc>
          <w:tcPr>
            <w:tcW w:w="3544" w:type="dxa"/>
            <w:tcBorders>
              <w:top w:val="single" w:sz="4" w:space="0" w:color="auto"/>
              <w:left w:val="single" w:sz="4" w:space="0" w:color="auto"/>
              <w:bottom w:val="single" w:sz="4" w:space="0" w:color="auto"/>
            </w:tcBorders>
          </w:tcPr>
          <w:p w14:paraId="408499BB"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Legal and governance frameworks are improved each financial year to be increasingly comparable to other Australian jurisdictions, with territory-specific modifications as necessary</w:t>
            </w:r>
          </w:p>
          <w:p w14:paraId="3A0A6710"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3C209945" w14:textId="77777777"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Actual: Legal and governance frameworks are in place, and were modified where necessary</w:t>
            </w:r>
          </w:p>
        </w:tc>
      </w:tr>
      <w:tr w:rsidR="00115843" w:rsidRPr="005C11A1" w14:paraId="6992FFF1" w14:textId="77777777" w:rsidTr="00FB0D02">
        <w:trPr>
          <w:cantSplit/>
          <w:trHeight w:val="642"/>
        </w:trPr>
        <w:tc>
          <w:tcPr>
            <w:tcW w:w="1418" w:type="dxa"/>
            <w:vMerge/>
            <w:tcBorders>
              <w:bottom w:val="single" w:sz="4" w:space="0" w:color="auto"/>
              <w:right w:val="single" w:sz="4" w:space="0" w:color="auto"/>
            </w:tcBorders>
          </w:tcPr>
          <w:p w14:paraId="4F40DE5C" w14:textId="77777777" w:rsidR="00115843" w:rsidRPr="00FD292C" w:rsidRDefault="00115843" w:rsidP="00FB0D02">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69F59D3" w14:textId="77777777" w:rsidR="00115843" w:rsidRPr="00FD292C" w:rsidRDefault="00115843" w:rsidP="00FB0D02">
            <w:pPr>
              <w:pStyle w:val="TableTextBase"/>
              <w:rPr>
                <w:sz w:val="16"/>
                <w:szCs w:val="16"/>
              </w:rPr>
            </w:pPr>
            <w:r w:rsidRPr="00FD292C">
              <w:rPr>
                <w:rFonts w:eastAsia="Calibri" w:cs="Arial"/>
                <w:sz w:val="16"/>
                <w:szCs w:val="16"/>
                <w:lang w:eastAsia="en-US"/>
              </w:rPr>
              <w:t>Communities in the external territories and Jervis Bay Territory have comparable services and essential infrastructure to mainland Australia</w:t>
            </w:r>
            <w:r w:rsidRPr="00FD292C">
              <w:rPr>
                <w:rFonts w:asciiTheme="minorHAnsi" w:hAnsiTheme="minorHAnsi" w:cstheme="minorHAnsi"/>
                <w:b/>
                <w:color w:val="FFFFFF" w:themeColor="background1"/>
                <w:sz w:val="16"/>
                <w:szCs w:val="16"/>
                <w:shd w:val="clear" w:color="auto" w:fill="A8D08D" w:themeFill="accent6" w:themeFillTint="99"/>
                <w:lang w:val="en-US"/>
              </w:rPr>
              <w:t xml:space="preserve">                                                    </w:t>
            </w:r>
          </w:p>
        </w:tc>
        <w:tc>
          <w:tcPr>
            <w:tcW w:w="3544" w:type="dxa"/>
            <w:tcBorders>
              <w:top w:val="single" w:sz="4" w:space="0" w:color="auto"/>
              <w:left w:val="single" w:sz="4" w:space="0" w:color="auto"/>
              <w:bottom w:val="single" w:sz="4" w:space="0" w:color="auto"/>
            </w:tcBorders>
          </w:tcPr>
          <w:p w14:paraId="2A45A46F"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Target: Service delivery arrangements and contracts each financial year deliver comparable services and essential infrastructure to mainland Australia </w:t>
            </w:r>
          </w:p>
          <w:p w14:paraId="4CC1F351"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47A03EB8" w14:textId="77777777" w:rsidR="00115843" w:rsidRPr="00FD292C" w:rsidRDefault="00115843" w:rsidP="00FB0D02">
            <w:pPr>
              <w:pStyle w:val="TableTextBase"/>
              <w:rPr>
                <w:sz w:val="16"/>
                <w:szCs w:val="16"/>
              </w:rPr>
            </w:pPr>
            <w:r w:rsidRPr="00FD292C">
              <w:rPr>
                <w:rFonts w:eastAsia="Calibri" w:cs="Arial"/>
                <w:sz w:val="16"/>
                <w:szCs w:val="16"/>
                <w:lang w:eastAsia="en-US"/>
              </w:rPr>
              <w:t>Actual: State-type services and essential infrastructure were delivered</w:t>
            </w:r>
          </w:p>
        </w:tc>
      </w:tr>
    </w:tbl>
    <w:p w14:paraId="4771BE5B" w14:textId="77777777" w:rsidR="00115843" w:rsidRDefault="00115843" w:rsidP="00115843">
      <w:pPr>
        <w:spacing w:after="0" w:line="240" w:lineRule="auto"/>
      </w:pPr>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8"/>
        <w:gridCol w:w="3261"/>
      </w:tblGrid>
      <w:tr w:rsidR="00115843" w:rsidRPr="00160C23" w14:paraId="75484753" w14:textId="77777777" w:rsidTr="00FB0D02">
        <w:trPr>
          <w:trHeight w:val="258"/>
        </w:trPr>
        <w:tc>
          <w:tcPr>
            <w:tcW w:w="1276" w:type="dxa"/>
            <w:tcBorders>
              <w:top w:val="double" w:sz="4" w:space="0" w:color="auto"/>
              <w:bottom w:val="single" w:sz="4" w:space="0" w:color="auto"/>
              <w:right w:val="single" w:sz="4" w:space="0" w:color="auto"/>
            </w:tcBorders>
          </w:tcPr>
          <w:p w14:paraId="71A081EC" w14:textId="77777777" w:rsidR="00115843" w:rsidRPr="00CD1CF1" w:rsidRDefault="00115843" w:rsidP="00FB0D02">
            <w:pPr>
              <w:pStyle w:val="TableTextBase"/>
              <w:rPr>
                <w:b/>
                <w:sz w:val="16"/>
                <w:szCs w:val="16"/>
              </w:rPr>
            </w:pPr>
            <w:r w:rsidRPr="00CD1CF1">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35A524E9"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3261" w:type="dxa"/>
            <w:tcBorders>
              <w:top w:val="double" w:sz="4" w:space="0" w:color="auto"/>
              <w:left w:val="single" w:sz="4" w:space="0" w:color="auto"/>
              <w:bottom w:val="single" w:sz="4" w:space="0" w:color="auto"/>
            </w:tcBorders>
          </w:tcPr>
          <w:p w14:paraId="1B85C0F5" w14:textId="77777777" w:rsidR="00115843" w:rsidRPr="00CD1CF1" w:rsidRDefault="00115843" w:rsidP="00FB0D02">
            <w:pPr>
              <w:pStyle w:val="TableTextBase"/>
              <w:rPr>
                <w:rFonts w:cs="Arial"/>
                <w:b/>
                <w:sz w:val="16"/>
                <w:szCs w:val="16"/>
              </w:rPr>
            </w:pPr>
            <w:r w:rsidRPr="00CD1CF1">
              <w:rPr>
                <w:rFonts w:cs="Arial"/>
                <w:b/>
                <w:sz w:val="16"/>
                <w:szCs w:val="16"/>
              </w:rPr>
              <w:t>Planned Performance Results</w:t>
            </w:r>
          </w:p>
        </w:tc>
      </w:tr>
      <w:tr w:rsidR="00115843" w14:paraId="6463A8F0" w14:textId="77777777" w:rsidTr="00FB0D02">
        <w:trPr>
          <w:cantSplit/>
          <w:trHeight w:val="642"/>
        </w:trPr>
        <w:tc>
          <w:tcPr>
            <w:tcW w:w="1276" w:type="dxa"/>
            <w:tcBorders>
              <w:top w:val="single" w:sz="4" w:space="0" w:color="auto"/>
              <w:bottom w:val="nil"/>
              <w:right w:val="single" w:sz="4" w:space="0" w:color="auto"/>
            </w:tcBorders>
          </w:tcPr>
          <w:p w14:paraId="70E53090" w14:textId="77777777" w:rsidR="00115843" w:rsidRPr="00FD292C" w:rsidRDefault="00115843" w:rsidP="00FB0D02">
            <w:pPr>
              <w:spacing w:before="60" w:after="60" w:line="240" w:lineRule="auto"/>
              <w:rPr>
                <w:sz w:val="16"/>
                <w:szCs w:val="16"/>
              </w:rPr>
            </w:pPr>
            <w:r w:rsidRPr="00FD292C">
              <w:rPr>
                <w:rFonts w:ascii="Arial" w:eastAsia="Calibri" w:hAnsi="Arial" w:cs="Arial"/>
                <w:sz w:val="16"/>
                <w:szCs w:val="16"/>
              </w:rPr>
              <w:t>Budget year</w:t>
            </w:r>
            <w:r w:rsidRPr="00FD292C">
              <w:rPr>
                <w:rFonts w:ascii="Arial" w:eastAsia="Calibri" w:hAnsi="Arial" w:cs="Arial"/>
                <w:sz w:val="16"/>
                <w:szCs w:val="16"/>
              </w:rPr>
              <w:br/>
            </w:r>
            <w:r w:rsidRPr="00FD292C">
              <w:rPr>
                <w:rFonts w:ascii="Arial" w:eastAsia="Calibri" w:hAnsi="Arial" w:cs="Arial"/>
                <w:sz w:val="16"/>
                <w:szCs w:val="16"/>
                <w:lang w:eastAsia="en-US"/>
              </w:rPr>
              <w:t>2022–23</w:t>
            </w:r>
            <w:r w:rsidRPr="00FD292C">
              <w:rPr>
                <w:rFonts w:eastAsia="Calibri" w:cs="Arial"/>
                <w:sz w:val="16"/>
                <w:szCs w:val="16"/>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2384F66E" w14:textId="77777777" w:rsidR="00115843" w:rsidRPr="00FD292C" w:rsidRDefault="00115843" w:rsidP="00FB0D02">
            <w:pPr>
              <w:spacing w:before="60" w:after="60" w:line="240" w:lineRule="auto"/>
              <w:rPr>
                <w:rFonts w:ascii="Arial" w:eastAsia="Calibri" w:hAnsi="Arial" w:cs="Arial"/>
                <w:i/>
                <w:sz w:val="16"/>
                <w:szCs w:val="16"/>
              </w:rPr>
            </w:pPr>
            <w:r w:rsidRPr="00FD292C">
              <w:rPr>
                <w:rFonts w:ascii="Arial" w:eastAsia="Calibri" w:hAnsi="Arial" w:cs="Arial"/>
                <w:sz w:val="16"/>
                <w:szCs w:val="16"/>
              </w:rPr>
              <w:t>Commonwealth legal and governance frameworks in Australia’s territories are appropriate for the protection and wellbeing of the communities</w:t>
            </w:r>
            <w:r w:rsidRPr="00FD292C">
              <w:rPr>
                <w:rFonts w:cstheme="minorHAnsi"/>
                <w:b/>
                <w:color w:val="FFFFFF" w:themeColor="background1"/>
                <w:sz w:val="16"/>
                <w:szCs w:val="16"/>
                <w:shd w:val="clear" w:color="auto" w:fill="A8D08D" w:themeFill="accent6" w:themeFillTint="99"/>
                <w:lang w:val="en-US"/>
              </w:rPr>
              <w:t xml:space="preserve">                                                    </w:t>
            </w:r>
          </w:p>
        </w:tc>
        <w:tc>
          <w:tcPr>
            <w:tcW w:w="3261" w:type="dxa"/>
            <w:tcBorders>
              <w:top w:val="single" w:sz="4" w:space="0" w:color="auto"/>
              <w:left w:val="single" w:sz="4" w:space="0" w:color="auto"/>
              <w:bottom w:val="single" w:sz="4" w:space="0" w:color="auto"/>
            </w:tcBorders>
          </w:tcPr>
          <w:p w14:paraId="3EEEA603" w14:textId="5861169B"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Legal and governance frameworks are updated and improved in the financial year with territory-specific modifications as necessary</w:t>
            </w:r>
            <w:r w:rsidR="00204144">
              <w:rPr>
                <w:rFonts w:eastAsia="Calibri" w:cs="Arial"/>
                <w:sz w:val="16"/>
                <w:szCs w:val="16"/>
                <w:lang w:eastAsia="en-US"/>
              </w:rPr>
              <w:t>.</w:t>
            </w:r>
          </w:p>
        </w:tc>
      </w:tr>
      <w:tr w:rsidR="00115843" w:rsidRPr="001063C8" w14:paraId="2538DF15" w14:textId="77777777" w:rsidTr="00FB0D02">
        <w:trPr>
          <w:cantSplit/>
          <w:trHeight w:val="642"/>
        </w:trPr>
        <w:tc>
          <w:tcPr>
            <w:tcW w:w="1276" w:type="dxa"/>
            <w:tcBorders>
              <w:top w:val="nil"/>
              <w:bottom w:val="single" w:sz="4" w:space="0" w:color="auto"/>
              <w:right w:val="single" w:sz="4" w:space="0" w:color="auto"/>
            </w:tcBorders>
          </w:tcPr>
          <w:p w14:paraId="5E54F5F3" w14:textId="77777777" w:rsidR="00115843" w:rsidRPr="00FD292C" w:rsidRDefault="00115843" w:rsidP="00FB0D0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C6C414B" w14:textId="77777777" w:rsidR="00115843" w:rsidRPr="00FD292C" w:rsidRDefault="00115843" w:rsidP="00FB0D02">
            <w:pPr>
              <w:pStyle w:val="TableTextBase"/>
              <w:rPr>
                <w:sz w:val="16"/>
                <w:szCs w:val="16"/>
              </w:rPr>
            </w:pPr>
            <w:r w:rsidRPr="00FD292C">
              <w:rPr>
                <w:rFonts w:eastAsia="Calibri" w:cs="Arial"/>
                <w:sz w:val="16"/>
                <w:szCs w:val="16"/>
                <w:lang w:eastAsia="en-US"/>
              </w:rPr>
              <w:t>Communities in the external territories and Jervis Bay Territory have comparable services and essential infrastructure to mainland Australia</w:t>
            </w:r>
            <w:r w:rsidRPr="00FD292C">
              <w:rPr>
                <w:rFonts w:asciiTheme="minorHAnsi" w:hAnsiTheme="minorHAnsi" w:cstheme="minorHAnsi"/>
                <w:b/>
                <w:color w:val="FFFFFF" w:themeColor="background1"/>
                <w:sz w:val="16"/>
                <w:szCs w:val="16"/>
                <w:shd w:val="clear" w:color="auto" w:fill="A8D08D" w:themeFill="accent6" w:themeFillTint="99"/>
                <w:lang w:val="en-US"/>
              </w:rPr>
              <w:t xml:space="preserve">                                                    </w:t>
            </w:r>
          </w:p>
        </w:tc>
        <w:tc>
          <w:tcPr>
            <w:tcW w:w="3261" w:type="dxa"/>
            <w:tcBorders>
              <w:top w:val="single" w:sz="4" w:space="0" w:color="auto"/>
              <w:left w:val="single" w:sz="4" w:space="0" w:color="auto"/>
              <w:bottom w:val="single" w:sz="4" w:space="0" w:color="auto"/>
            </w:tcBorders>
          </w:tcPr>
          <w:p w14:paraId="6011C82A" w14:textId="7AB21494"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Service delivery arrangements and contracts in financial year deliver services and essential infrastructure comparable to similar Australian mainland communities</w:t>
            </w:r>
            <w:r w:rsidR="00204144">
              <w:rPr>
                <w:rFonts w:eastAsia="Calibri" w:cs="Arial"/>
                <w:sz w:val="16"/>
                <w:szCs w:val="16"/>
                <w:lang w:eastAsia="en-US"/>
              </w:rPr>
              <w:t>.</w:t>
            </w:r>
          </w:p>
        </w:tc>
      </w:tr>
      <w:tr w:rsidR="00115843" w:rsidRPr="00196B69" w:rsidDel="008E1A6E" w14:paraId="1CA2B7AB" w14:textId="77777777" w:rsidTr="00FB0D02">
        <w:trPr>
          <w:cantSplit/>
          <w:trHeight w:val="642"/>
        </w:trPr>
        <w:tc>
          <w:tcPr>
            <w:tcW w:w="1276" w:type="dxa"/>
            <w:vMerge w:val="restart"/>
            <w:tcBorders>
              <w:top w:val="single" w:sz="4" w:space="0" w:color="auto"/>
              <w:right w:val="single" w:sz="4" w:space="0" w:color="auto"/>
            </w:tcBorders>
          </w:tcPr>
          <w:p w14:paraId="11D2EAB8" w14:textId="77777777" w:rsidR="00115843" w:rsidRPr="00FD292C" w:rsidRDefault="00115843" w:rsidP="00FB0D02">
            <w:pPr>
              <w:pStyle w:val="TableTextBase"/>
              <w:rPr>
                <w:sz w:val="16"/>
                <w:szCs w:val="16"/>
              </w:rPr>
            </w:pPr>
            <w:r w:rsidRPr="00FD292C">
              <w:rPr>
                <w:rFonts w:eastAsia="Calibri" w:cs="Arial"/>
                <w:sz w:val="16"/>
                <w:szCs w:val="16"/>
              </w:rPr>
              <w:t>Forward Estimates</w:t>
            </w:r>
            <w:r w:rsidRPr="00FD292C">
              <w:rPr>
                <w:rFonts w:eastAsia="Calibri" w:cs="Arial"/>
                <w:sz w:val="16"/>
                <w:szCs w:val="16"/>
              </w:rPr>
              <w:br/>
              <w:t>2023–26</w:t>
            </w:r>
          </w:p>
        </w:tc>
        <w:tc>
          <w:tcPr>
            <w:tcW w:w="3118" w:type="dxa"/>
            <w:tcBorders>
              <w:top w:val="single" w:sz="4" w:space="0" w:color="auto"/>
              <w:left w:val="single" w:sz="4" w:space="0" w:color="auto"/>
              <w:bottom w:val="single" w:sz="4" w:space="0" w:color="auto"/>
              <w:right w:val="single" w:sz="4" w:space="0" w:color="auto"/>
            </w:tcBorders>
          </w:tcPr>
          <w:p w14:paraId="63835043"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rPr>
              <w:t>Commonwealth legal and governance frameworks in Australia’s territories are appropriate for the protection and wellbeing of the communities</w:t>
            </w:r>
            <w:r w:rsidRPr="00FD292C">
              <w:rPr>
                <w:rFonts w:asciiTheme="minorHAnsi" w:hAnsiTheme="minorHAnsi" w:cstheme="minorHAnsi"/>
                <w:b/>
                <w:color w:val="FFFFFF" w:themeColor="background1"/>
                <w:sz w:val="16"/>
                <w:szCs w:val="16"/>
                <w:shd w:val="clear" w:color="auto" w:fill="A8D08D" w:themeFill="accent6" w:themeFillTint="99"/>
                <w:lang w:val="en-US"/>
              </w:rPr>
              <w:t xml:space="preserve">                                                    </w:t>
            </w:r>
          </w:p>
        </w:tc>
        <w:tc>
          <w:tcPr>
            <w:tcW w:w="3261" w:type="dxa"/>
            <w:tcBorders>
              <w:top w:val="single" w:sz="4" w:space="0" w:color="auto"/>
              <w:left w:val="single" w:sz="4" w:space="0" w:color="auto"/>
              <w:bottom w:val="single" w:sz="4" w:space="0" w:color="auto"/>
            </w:tcBorders>
          </w:tcPr>
          <w:p w14:paraId="3FAAF5C1" w14:textId="0C39FCFC" w:rsidR="00115843" w:rsidRPr="00FD292C" w:rsidDel="008E1A6E" w:rsidRDefault="00115843" w:rsidP="00FB0D02">
            <w:pPr>
              <w:pStyle w:val="TableTextBase"/>
              <w:rPr>
                <w:rFonts w:eastAsia="Calibri" w:cs="Arial"/>
                <w:b/>
                <w:sz w:val="16"/>
                <w:szCs w:val="16"/>
                <w:lang w:eastAsia="en-US"/>
              </w:rPr>
            </w:pPr>
            <w:r w:rsidRPr="00FD292C">
              <w:rPr>
                <w:rFonts w:eastAsia="Calibri" w:cs="Arial"/>
                <w:sz w:val="16"/>
                <w:szCs w:val="16"/>
                <w:lang w:eastAsia="en-US"/>
              </w:rPr>
              <w:t>Legal and governance frameworks are updated and improved in the financial year with territory-specific modifications as necessary</w:t>
            </w:r>
            <w:r w:rsidR="00204144">
              <w:rPr>
                <w:rFonts w:eastAsia="Calibri" w:cs="Arial"/>
                <w:sz w:val="16"/>
                <w:szCs w:val="16"/>
                <w:lang w:eastAsia="en-US"/>
              </w:rPr>
              <w:t>.</w:t>
            </w:r>
          </w:p>
        </w:tc>
      </w:tr>
      <w:tr w:rsidR="00115843" w:rsidRPr="001063C8" w:rsidDel="008E1A6E" w14:paraId="668403FB" w14:textId="77777777" w:rsidTr="00FB0D02">
        <w:trPr>
          <w:cantSplit/>
          <w:trHeight w:val="642"/>
        </w:trPr>
        <w:tc>
          <w:tcPr>
            <w:tcW w:w="1276" w:type="dxa"/>
            <w:vMerge/>
            <w:tcBorders>
              <w:bottom w:val="single" w:sz="4" w:space="0" w:color="auto"/>
              <w:right w:val="single" w:sz="4" w:space="0" w:color="auto"/>
            </w:tcBorders>
          </w:tcPr>
          <w:p w14:paraId="296CEAB2" w14:textId="77777777" w:rsidR="00115843" w:rsidRPr="00FD292C" w:rsidRDefault="00115843" w:rsidP="00FB0D02">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27484C2"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Communities in the external territories and Jervis Bay Territory have comparable services and essential infrastructure to mainland Australia</w:t>
            </w:r>
            <w:r w:rsidRPr="00FD292C">
              <w:rPr>
                <w:rFonts w:asciiTheme="minorHAnsi" w:hAnsiTheme="minorHAnsi" w:cstheme="minorHAnsi"/>
                <w:b/>
                <w:color w:val="FFFFFF" w:themeColor="background1"/>
                <w:sz w:val="16"/>
                <w:szCs w:val="16"/>
                <w:shd w:val="clear" w:color="auto" w:fill="A8D08D" w:themeFill="accent6" w:themeFillTint="99"/>
                <w:lang w:val="en-US"/>
              </w:rPr>
              <w:t xml:space="preserve">                                                    </w:t>
            </w:r>
          </w:p>
        </w:tc>
        <w:tc>
          <w:tcPr>
            <w:tcW w:w="3261" w:type="dxa"/>
            <w:tcBorders>
              <w:top w:val="single" w:sz="4" w:space="0" w:color="auto"/>
              <w:left w:val="single" w:sz="4" w:space="0" w:color="auto"/>
              <w:bottom w:val="single" w:sz="4" w:space="0" w:color="auto"/>
            </w:tcBorders>
          </w:tcPr>
          <w:p w14:paraId="6F9948A0" w14:textId="2C59FFBE" w:rsidR="00115843" w:rsidRPr="00FD292C" w:rsidDel="008E1A6E" w:rsidRDefault="00115843" w:rsidP="00FB0D02">
            <w:pPr>
              <w:pStyle w:val="TableTextBase"/>
              <w:rPr>
                <w:rFonts w:eastAsia="Calibri" w:cs="Arial"/>
                <w:b/>
                <w:sz w:val="16"/>
                <w:szCs w:val="16"/>
                <w:lang w:eastAsia="en-US"/>
              </w:rPr>
            </w:pPr>
            <w:r w:rsidRPr="00FD292C">
              <w:rPr>
                <w:rFonts w:eastAsia="Calibri" w:cs="Arial"/>
                <w:sz w:val="16"/>
                <w:szCs w:val="16"/>
                <w:lang w:eastAsia="en-US"/>
              </w:rPr>
              <w:t>Service delivery arrangements and contracts in financial year deliver services and essential infrastructure comparable to similar Australian mainland communities</w:t>
            </w:r>
            <w:r w:rsidR="00204144">
              <w:rPr>
                <w:rFonts w:eastAsia="Calibri" w:cs="Arial"/>
                <w:sz w:val="16"/>
                <w:szCs w:val="16"/>
                <w:lang w:eastAsia="en-US"/>
              </w:rPr>
              <w:t>.</w:t>
            </w:r>
          </w:p>
        </w:tc>
      </w:tr>
    </w:tbl>
    <w:p w14:paraId="719996B6" w14:textId="77777777" w:rsidR="00115843" w:rsidRPr="00444573" w:rsidRDefault="00115843" w:rsidP="00115843">
      <w:pPr>
        <w:pStyle w:val="ChartandTableFootnoteAlpha"/>
        <w:numPr>
          <w:ilvl w:val="0"/>
          <w:numId w:val="220"/>
        </w:numPr>
        <w:spacing w:before="60"/>
        <w:rPr>
          <w:rFonts w:cs="Arial"/>
          <w:szCs w:val="14"/>
        </w:rPr>
      </w:pPr>
      <w:r w:rsidRPr="00444573">
        <w:rPr>
          <w:rFonts w:cs="Arial"/>
          <w:szCs w:val="14"/>
        </w:rPr>
        <w:t>Refers to updated key activity that is reflected in the 2022–23 Corporate Plan.</w:t>
      </w:r>
    </w:p>
    <w:p w14:paraId="2C37BEDA" w14:textId="77777777" w:rsidR="00115843" w:rsidRDefault="00115843" w:rsidP="00115843">
      <w:pPr>
        <w:spacing w:after="0" w:line="240" w:lineRule="auto"/>
        <w:rPr>
          <w:rFonts w:ascii="Arial" w:hAnsi="Arial" w:cs="Arial"/>
          <w:sz w:val="16"/>
        </w:rPr>
      </w:pPr>
    </w:p>
    <w:p w14:paraId="71A1790D"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5AADC8FA" w14:textId="77777777" w:rsidR="00115843" w:rsidRPr="00C000B8" w:rsidRDefault="00115843" w:rsidP="00115843">
      <w:pPr>
        <w:pStyle w:val="Heading3-ITRDCA"/>
      </w:pPr>
      <w:bookmarkStart w:id="33" w:name="_Toc99295952"/>
      <w:bookmarkStart w:id="34" w:name="_Toc117242351"/>
      <w:r w:rsidRPr="00C000B8">
        <w:lastRenderedPageBreak/>
        <w:t xml:space="preserve">2.5 </w:t>
      </w:r>
      <w:r w:rsidRPr="00C000B8">
        <w:tab/>
        <w:t>Budgeted expenses and performance for Outcome 5</w:t>
      </w:r>
      <w:bookmarkEnd w:id="33"/>
      <w:bookmarkEnd w:id="34"/>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7"/>
      </w:tblGrid>
      <w:tr w:rsidR="00115843" w:rsidRPr="00FC696C" w14:paraId="2FD989DB" w14:textId="77777777" w:rsidTr="00D6413D">
        <w:tc>
          <w:tcPr>
            <w:tcW w:w="7707" w:type="dxa"/>
            <w:shd w:val="clear" w:color="auto" w:fill="E6E6E6"/>
          </w:tcPr>
          <w:p w14:paraId="58041654" w14:textId="77777777" w:rsidR="00115843" w:rsidRPr="00CD1CF1" w:rsidRDefault="00115843" w:rsidP="00FB0D02">
            <w:pPr>
              <w:spacing w:before="60" w:after="60" w:line="240" w:lineRule="auto"/>
              <w:rPr>
                <w:rFonts w:ascii="Arial" w:hAnsi="Arial"/>
                <w:b/>
              </w:rPr>
            </w:pPr>
            <w:r w:rsidRPr="00CD1CF1">
              <w:rPr>
                <w:rFonts w:ascii="Arial" w:hAnsi="Arial"/>
                <w:b/>
              </w:rPr>
              <w:t>Outcome 5: Promote an innovative and competitive communications sector, through policy development, advice and program delivery, so all Australians can realise the full potential of digital technologies and communications services</w:t>
            </w:r>
          </w:p>
        </w:tc>
      </w:tr>
    </w:tbl>
    <w:p w14:paraId="478A5B45" w14:textId="77777777" w:rsidR="00115843" w:rsidRDefault="00115843" w:rsidP="00115843">
      <w:pPr>
        <w:pStyle w:val="Heading4"/>
        <w:spacing w:before="240"/>
      </w:pPr>
      <w:r w:rsidRPr="005E6F2B">
        <w:t xml:space="preserve">Linked programs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8"/>
      </w:tblGrid>
      <w:tr w:rsidR="00115843" w:rsidRPr="0049250C" w14:paraId="170B75CC" w14:textId="77777777" w:rsidTr="00D6413D">
        <w:trPr>
          <w:trHeight w:val="113"/>
          <w:tblHeader/>
        </w:trPr>
        <w:tc>
          <w:tcPr>
            <w:tcW w:w="7678" w:type="dxa"/>
            <w:tcBorders>
              <w:bottom w:val="nil"/>
            </w:tcBorders>
          </w:tcPr>
          <w:p w14:paraId="21DC2F33" w14:textId="77777777" w:rsidR="00115843" w:rsidRPr="0049250C" w:rsidRDefault="00115843" w:rsidP="00FB0D02">
            <w:pPr>
              <w:spacing w:before="60" w:after="60" w:line="240" w:lineRule="auto"/>
              <w:rPr>
                <w:i/>
              </w:rPr>
            </w:pPr>
            <w:r w:rsidRPr="0049250C">
              <w:rPr>
                <w:b/>
              </w:rPr>
              <w:t>Australian Communications and Media Authority (ACMA)</w:t>
            </w:r>
          </w:p>
        </w:tc>
      </w:tr>
      <w:tr w:rsidR="00115843" w:rsidRPr="0049250C" w14:paraId="52126196" w14:textId="77777777" w:rsidTr="00D6413D">
        <w:trPr>
          <w:trHeight w:val="113"/>
        </w:trPr>
        <w:tc>
          <w:tcPr>
            <w:tcW w:w="7678" w:type="dxa"/>
            <w:tcBorders>
              <w:top w:val="nil"/>
              <w:bottom w:val="single" w:sz="4" w:space="0" w:color="auto"/>
            </w:tcBorders>
          </w:tcPr>
          <w:p w14:paraId="2DB2C46A" w14:textId="77777777" w:rsidR="00115843" w:rsidRPr="0049250C" w:rsidRDefault="00115843" w:rsidP="00FB0D02">
            <w:pPr>
              <w:spacing w:before="60" w:after="60" w:line="240" w:lineRule="auto"/>
              <w:rPr>
                <w:b/>
              </w:rPr>
            </w:pPr>
            <w:r w:rsidRPr="0049250C">
              <w:rPr>
                <w:b/>
              </w:rPr>
              <w:t>Programs</w:t>
            </w:r>
          </w:p>
          <w:p w14:paraId="3E25DDEA" w14:textId="77777777" w:rsidR="00115843" w:rsidRPr="0049250C" w:rsidRDefault="00115843" w:rsidP="00115843">
            <w:pPr>
              <w:numPr>
                <w:ilvl w:val="0"/>
                <w:numId w:val="88"/>
              </w:numPr>
              <w:spacing w:before="60" w:after="60" w:line="240" w:lineRule="auto"/>
              <w:ind w:left="714" w:hanging="357"/>
            </w:pPr>
            <w:r w:rsidRPr="0049250C">
              <w:t>Program 1.1 – Communications regulation, planning and licensing</w:t>
            </w:r>
          </w:p>
          <w:p w14:paraId="4DBF37D1" w14:textId="77777777" w:rsidR="00115843" w:rsidRPr="0049250C" w:rsidRDefault="00115843" w:rsidP="00115843">
            <w:pPr>
              <w:numPr>
                <w:ilvl w:val="0"/>
                <w:numId w:val="88"/>
              </w:numPr>
              <w:spacing w:before="60" w:after="60" w:line="240" w:lineRule="auto"/>
              <w:ind w:left="714" w:hanging="357"/>
            </w:pPr>
            <w:r w:rsidRPr="0049250C">
              <w:t>Program 1.2 – Consumer safeguards, education and information</w:t>
            </w:r>
          </w:p>
          <w:p w14:paraId="3BCD36A6" w14:textId="77777777" w:rsidR="00115843" w:rsidRPr="0049250C" w:rsidRDefault="00115843" w:rsidP="00FB0D02">
            <w:pPr>
              <w:spacing w:before="60" w:after="60" w:line="240" w:lineRule="auto"/>
              <w:rPr>
                <w:b/>
              </w:rPr>
            </w:pPr>
            <w:r w:rsidRPr="0049250C">
              <w:rPr>
                <w:b/>
              </w:rPr>
              <w:t xml:space="preserve">Contribution to Outcome </w:t>
            </w:r>
            <w:r w:rsidRPr="0049250C">
              <w:rPr>
                <w:b/>
                <w:lang w:val="en-US"/>
              </w:rPr>
              <w:t>5</w:t>
            </w:r>
            <w:r w:rsidRPr="0049250C">
              <w:rPr>
                <w:b/>
              </w:rPr>
              <w:t xml:space="preserve"> made by linked programs</w:t>
            </w:r>
          </w:p>
          <w:p w14:paraId="4AB66375" w14:textId="77777777" w:rsidR="00115843" w:rsidRPr="0049250C" w:rsidRDefault="00115843" w:rsidP="00FB0D02">
            <w:pPr>
              <w:spacing w:before="60" w:after="60" w:line="240" w:lineRule="auto"/>
            </w:pPr>
            <w:r w:rsidRPr="0049250C">
              <w:t xml:space="preserve">As the regulator of the media and communications sector, the ACMA is responsible for enforcing compliance with the Universal Service Obligation (USO) and emergency call services requirements under the </w:t>
            </w:r>
            <w:r w:rsidRPr="0049250C">
              <w:rPr>
                <w:i/>
              </w:rPr>
              <w:t>Telecommunications (Industry Levy) Act 2012</w:t>
            </w:r>
            <w:r w:rsidRPr="0049250C">
              <w:t xml:space="preserve">, recouping costs of the Consumer Representation Grants Program allocated to the Australian Communications Consumer Action Network (ACCAN) under section 593 of the </w:t>
            </w:r>
            <w:r w:rsidRPr="0049250C">
              <w:rPr>
                <w:i/>
              </w:rPr>
              <w:t>Telecommunications Act 1997</w:t>
            </w:r>
            <w:r w:rsidRPr="0049250C">
              <w:t xml:space="preserve"> and costs related to the management of Australia’s membership and engagement with the International Telecommunications Union (ITU), from licence carriers under the </w:t>
            </w:r>
            <w:r w:rsidRPr="0049250C">
              <w:rPr>
                <w:i/>
              </w:rPr>
              <w:t>Telecommunications (Carrier Licence Charges) Act 1997</w:t>
            </w:r>
            <w:r w:rsidRPr="0049250C">
              <w:t xml:space="preserve">. The ACMA is also responsible for administering the Regional Broadband Scheme under the </w:t>
            </w:r>
            <w:r w:rsidRPr="0049250C">
              <w:rPr>
                <w:i/>
              </w:rPr>
              <w:t>Telecommunications (Consumer Protection and Service Standards) Act 1999</w:t>
            </w:r>
            <w:r w:rsidRPr="0049250C">
              <w:t>.</w:t>
            </w:r>
          </w:p>
        </w:tc>
      </w:tr>
      <w:tr w:rsidR="00115843" w:rsidRPr="0049250C" w14:paraId="151C2AF2" w14:textId="77777777" w:rsidTr="00D6413D">
        <w:trPr>
          <w:trHeight w:val="113"/>
        </w:trPr>
        <w:tc>
          <w:tcPr>
            <w:tcW w:w="7678" w:type="dxa"/>
            <w:tcBorders>
              <w:bottom w:val="nil"/>
            </w:tcBorders>
          </w:tcPr>
          <w:p w14:paraId="2636886B" w14:textId="77777777" w:rsidR="00115843" w:rsidRPr="0049250C" w:rsidRDefault="00115843" w:rsidP="00FB0D02">
            <w:pPr>
              <w:spacing w:before="60" w:after="60" w:line="240" w:lineRule="auto"/>
              <w:rPr>
                <w:i/>
              </w:rPr>
            </w:pPr>
            <w:r w:rsidRPr="0049250C">
              <w:rPr>
                <w:b/>
              </w:rPr>
              <w:t>The Treasury</w:t>
            </w:r>
          </w:p>
        </w:tc>
      </w:tr>
      <w:tr w:rsidR="00115843" w:rsidRPr="0049250C" w14:paraId="32094101" w14:textId="77777777" w:rsidTr="00D6413D">
        <w:trPr>
          <w:trHeight w:val="113"/>
        </w:trPr>
        <w:tc>
          <w:tcPr>
            <w:tcW w:w="7678" w:type="dxa"/>
            <w:tcBorders>
              <w:top w:val="nil"/>
              <w:bottom w:val="single" w:sz="4" w:space="0" w:color="auto"/>
            </w:tcBorders>
          </w:tcPr>
          <w:p w14:paraId="74A8309F" w14:textId="77777777" w:rsidR="00115843" w:rsidRPr="0049250C" w:rsidRDefault="00115843" w:rsidP="00FB0D02">
            <w:pPr>
              <w:spacing w:before="60" w:after="60" w:line="240" w:lineRule="auto"/>
              <w:rPr>
                <w:b/>
              </w:rPr>
            </w:pPr>
            <w:r w:rsidRPr="0049250C">
              <w:rPr>
                <w:b/>
              </w:rPr>
              <w:t>Programs</w:t>
            </w:r>
          </w:p>
          <w:p w14:paraId="735E3221" w14:textId="77777777" w:rsidR="00115843" w:rsidRPr="00665295" w:rsidRDefault="00115843" w:rsidP="00115843">
            <w:pPr>
              <w:numPr>
                <w:ilvl w:val="0"/>
                <w:numId w:val="88"/>
              </w:numPr>
              <w:spacing w:before="60" w:after="60" w:line="240" w:lineRule="auto"/>
              <w:ind w:left="714" w:hanging="357"/>
            </w:pPr>
            <w:r w:rsidRPr="00665295">
              <w:t>Program 1.9 – National Partnership Payments to the States</w:t>
            </w:r>
          </w:p>
          <w:p w14:paraId="7FB60B41" w14:textId="77777777" w:rsidR="00115843" w:rsidRPr="0049250C" w:rsidRDefault="00115843" w:rsidP="00FB0D02">
            <w:pPr>
              <w:spacing w:before="60" w:after="60" w:line="240" w:lineRule="auto"/>
              <w:rPr>
                <w:b/>
              </w:rPr>
            </w:pPr>
            <w:r w:rsidRPr="0049250C">
              <w:rPr>
                <w:b/>
              </w:rPr>
              <w:t xml:space="preserve">Contribution to Outcome </w:t>
            </w:r>
            <w:r w:rsidRPr="0049250C">
              <w:rPr>
                <w:b/>
                <w:lang w:val="en-US"/>
              </w:rPr>
              <w:t>5</w:t>
            </w:r>
            <w:r w:rsidRPr="0049250C">
              <w:rPr>
                <w:b/>
              </w:rPr>
              <w:t xml:space="preserve"> made by linked programs</w:t>
            </w:r>
          </w:p>
          <w:p w14:paraId="05DAB2C7" w14:textId="77777777" w:rsidR="00115843" w:rsidRPr="0049250C" w:rsidRDefault="00115843" w:rsidP="00FB0D02">
            <w:pPr>
              <w:spacing w:before="60" w:after="60" w:line="240" w:lineRule="auto"/>
            </w:pPr>
            <w:r w:rsidRPr="0049250C">
              <w:t>The Government will make a National Partnership Payment to the New South Wales Government to provide the Government’s program for WiFi and mobile coverage on the rail corridor between Sydney and the Central Coast.</w:t>
            </w:r>
          </w:p>
        </w:tc>
      </w:tr>
    </w:tbl>
    <w:p w14:paraId="280F8C7F"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778DA266" w14:textId="77777777" w:rsidR="00115843" w:rsidRPr="00111C4F" w:rsidRDefault="00115843" w:rsidP="00115843">
      <w:pPr>
        <w:pStyle w:val="Heading5"/>
        <w:rPr>
          <w:b/>
        </w:rPr>
      </w:pPr>
      <w:r w:rsidRPr="00111C4F">
        <w:rPr>
          <w:b/>
        </w:rPr>
        <w:lastRenderedPageBreak/>
        <w:t>Budgeted expenses for Outcome 5</w:t>
      </w:r>
    </w:p>
    <w:p w14:paraId="0F9C2116" w14:textId="77777777" w:rsidR="00115843" w:rsidRPr="001D5782" w:rsidRDefault="00115843" w:rsidP="00115843">
      <w:r w:rsidRPr="001D5782">
        <w:t>This table shows how much the Department intends to spend (on an accrual basis) on achieving the outcome, broken down by program, as well as by administered and departmental funding sources.</w:t>
      </w:r>
    </w:p>
    <w:p w14:paraId="73AE108C" w14:textId="77777777" w:rsidR="00115843" w:rsidRDefault="00115843" w:rsidP="00115843">
      <w:pPr>
        <w:pStyle w:val="TableHeading"/>
      </w:pPr>
      <w:r w:rsidRPr="00302493">
        <w:t>Table 2.</w:t>
      </w:r>
      <w:r>
        <w:t>5</w:t>
      </w:r>
      <w:r w:rsidRPr="00302493">
        <w:t xml:space="preserve">.1: Budgeted expenses for Outcome </w:t>
      </w:r>
      <w:r>
        <w:t>5</w:t>
      </w:r>
    </w:p>
    <w:tbl>
      <w:tblPr>
        <w:tblW w:w="4945" w:type="pct"/>
        <w:tblLayout w:type="fixed"/>
        <w:tblLook w:val="04A0" w:firstRow="1" w:lastRow="0" w:firstColumn="1" w:lastColumn="0" w:noHBand="0" w:noVBand="1"/>
      </w:tblPr>
      <w:tblGrid>
        <w:gridCol w:w="2634"/>
        <w:gridCol w:w="55"/>
        <w:gridCol w:w="17"/>
        <w:gridCol w:w="974"/>
        <w:gridCol w:w="32"/>
        <w:gridCol w:w="15"/>
        <w:gridCol w:w="958"/>
        <w:gridCol w:w="20"/>
        <w:gridCol w:w="14"/>
        <w:gridCol w:w="953"/>
        <w:gridCol w:w="59"/>
        <w:gridCol w:w="766"/>
        <w:gridCol w:w="166"/>
        <w:gridCol w:w="941"/>
        <w:gridCol w:w="9"/>
        <w:gridCol w:w="12"/>
      </w:tblGrid>
      <w:tr w:rsidR="00115843" w:rsidRPr="00ED572D" w14:paraId="27F54FD3" w14:textId="77777777" w:rsidTr="00CD1CF1">
        <w:trPr>
          <w:gridAfter w:val="2"/>
          <w:wAfter w:w="16" w:type="pct"/>
          <w:trHeight w:val="204"/>
        </w:trPr>
        <w:tc>
          <w:tcPr>
            <w:tcW w:w="1763" w:type="pct"/>
            <w:gridSpan w:val="2"/>
            <w:tcBorders>
              <w:top w:val="single" w:sz="4" w:space="0" w:color="auto"/>
              <w:left w:val="nil"/>
              <w:bottom w:val="single" w:sz="4" w:space="0" w:color="auto"/>
              <w:right w:val="nil"/>
            </w:tcBorders>
            <w:shd w:val="clear" w:color="auto" w:fill="auto"/>
            <w:noWrap/>
            <w:vAlign w:val="bottom"/>
            <w:hideMark/>
          </w:tcPr>
          <w:p w14:paraId="77BDB69A" w14:textId="77777777" w:rsidR="00115843" w:rsidRPr="00ED572D" w:rsidRDefault="00115843" w:rsidP="00FB0D02">
            <w:pPr>
              <w:spacing w:after="0" w:line="240" w:lineRule="auto"/>
              <w:rPr>
                <w:rFonts w:ascii="Arial" w:hAnsi="Arial" w:cs="Arial"/>
                <w:sz w:val="16"/>
                <w:szCs w:val="16"/>
              </w:rPr>
            </w:pPr>
            <w:r w:rsidRPr="00ED572D">
              <w:rPr>
                <w:rFonts w:ascii="Arial" w:hAnsi="Arial" w:cs="Arial"/>
                <w:sz w:val="16"/>
                <w:szCs w:val="16"/>
              </w:rPr>
              <w:t> </w:t>
            </w:r>
          </w:p>
        </w:tc>
        <w:tc>
          <w:tcPr>
            <w:tcW w:w="650" w:type="pct"/>
            <w:gridSpan w:val="2"/>
            <w:tcBorders>
              <w:top w:val="single" w:sz="4" w:space="0" w:color="auto"/>
              <w:left w:val="nil"/>
              <w:bottom w:val="single" w:sz="4" w:space="0" w:color="auto"/>
              <w:right w:val="nil"/>
            </w:tcBorders>
            <w:shd w:val="clear" w:color="auto" w:fill="auto"/>
            <w:vAlign w:val="bottom"/>
            <w:hideMark/>
          </w:tcPr>
          <w:p w14:paraId="441339F1" w14:textId="77777777" w:rsidR="00115843" w:rsidRPr="00ED572D" w:rsidRDefault="00115843" w:rsidP="00FB0D02">
            <w:pPr>
              <w:spacing w:after="0" w:line="240" w:lineRule="auto"/>
              <w:jc w:val="right"/>
              <w:rPr>
                <w:rFonts w:ascii="Arial" w:hAnsi="Arial" w:cs="Arial"/>
                <w:sz w:val="16"/>
                <w:szCs w:val="16"/>
              </w:rPr>
            </w:pPr>
            <w:r w:rsidRPr="00ED572D">
              <w:rPr>
                <w:rFonts w:ascii="Arial" w:hAnsi="Arial" w:cs="Arial"/>
                <w:sz w:val="16"/>
                <w:szCs w:val="16"/>
              </w:rPr>
              <w:t>2021-22</w:t>
            </w:r>
            <w:r w:rsidRPr="00ED572D">
              <w:rPr>
                <w:rFonts w:ascii="Arial" w:hAnsi="Arial" w:cs="Arial"/>
                <w:sz w:val="16"/>
                <w:szCs w:val="16"/>
              </w:rPr>
              <w:br/>
              <w:t>Estimated</w:t>
            </w:r>
            <w:r w:rsidRPr="00ED572D">
              <w:rPr>
                <w:rFonts w:ascii="Arial" w:hAnsi="Arial" w:cs="Arial"/>
                <w:sz w:val="16"/>
                <w:szCs w:val="16"/>
              </w:rPr>
              <w:br/>
              <w:t>actual</w:t>
            </w:r>
            <w:r w:rsidRPr="00ED572D">
              <w:rPr>
                <w:rFonts w:ascii="Arial" w:hAnsi="Arial" w:cs="Arial"/>
                <w:sz w:val="16"/>
                <w:szCs w:val="16"/>
              </w:rPr>
              <w:br/>
              <w:t>$'000</w:t>
            </w:r>
          </w:p>
        </w:tc>
        <w:tc>
          <w:tcPr>
            <w:tcW w:w="681" w:type="pct"/>
            <w:gridSpan w:val="5"/>
            <w:tcBorders>
              <w:top w:val="single" w:sz="4" w:space="0" w:color="auto"/>
              <w:left w:val="nil"/>
              <w:bottom w:val="single" w:sz="4" w:space="0" w:color="auto"/>
              <w:right w:val="nil"/>
            </w:tcBorders>
            <w:shd w:val="clear" w:color="auto" w:fill="E6E6E6"/>
            <w:vAlign w:val="bottom"/>
            <w:hideMark/>
          </w:tcPr>
          <w:p w14:paraId="30A2A01A" w14:textId="77777777" w:rsidR="00115843" w:rsidRPr="00ED572D" w:rsidRDefault="00115843" w:rsidP="00FB0D02">
            <w:pPr>
              <w:spacing w:after="0" w:line="240" w:lineRule="auto"/>
              <w:jc w:val="right"/>
              <w:rPr>
                <w:rFonts w:ascii="Arial" w:hAnsi="Arial" w:cs="Arial"/>
                <w:sz w:val="16"/>
                <w:szCs w:val="16"/>
              </w:rPr>
            </w:pPr>
            <w:r w:rsidRPr="00ED572D">
              <w:rPr>
                <w:rFonts w:ascii="Arial" w:hAnsi="Arial" w:cs="Arial"/>
                <w:sz w:val="16"/>
                <w:szCs w:val="16"/>
              </w:rPr>
              <w:t>2022-23</w:t>
            </w:r>
            <w:r w:rsidRPr="00ED572D">
              <w:rPr>
                <w:rFonts w:ascii="Arial" w:hAnsi="Arial" w:cs="Arial"/>
                <w:sz w:val="16"/>
                <w:szCs w:val="16"/>
              </w:rPr>
              <w:br/>
              <w:t xml:space="preserve"> Budget</w:t>
            </w:r>
            <w:r w:rsidRPr="00ED572D">
              <w:rPr>
                <w:rFonts w:ascii="Arial" w:hAnsi="Arial" w:cs="Arial"/>
                <w:sz w:val="16"/>
                <w:szCs w:val="16"/>
              </w:rPr>
              <w:br/>
              <w:t xml:space="preserve">                                      $'000</w:t>
            </w:r>
          </w:p>
        </w:tc>
        <w:tc>
          <w:tcPr>
            <w:tcW w:w="625" w:type="pct"/>
            <w:tcBorders>
              <w:top w:val="single" w:sz="4" w:space="0" w:color="auto"/>
              <w:left w:val="nil"/>
              <w:bottom w:val="single" w:sz="4" w:space="0" w:color="auto"/>
              <w:right w:val="nil"/>
            </w:tcBorders>
            <w:shd w:val="clear" w:color="auto" w:fill="auto"/>
            <w:vAlign w:val="bottom"/>
            <w:hideMark/>
          </w:tcPr>
          <w:p w14:paraId="69E4DF35" w14:textId="77777777" w:rsidR="00115843" w:rsidRPr="00ED572D" w:rsidRDefault="00115843" w:rsidP="00FB0D02">
            <w:pPr>
              <w:spacing w:after="0" w:line="240" w:lineRule="auto"/>
              <w:jc w:val="right"/>
              <w:rPr>
                <w:rFonts w:ascii="Arial" w:hAnsi="Arial" w:cs="Arial"/>
                <w:sz w:val="16"/>
                <w:szCs w:val="16"/>
              </w:rPr>
            </w:pPr>
            <w:r w:rsidRPr="00ED572D">
              <w:rPr>
                <w:rFonts w:ascii="Arial" w:hAnsi="Arial" w:cs="Arial"/>
                <w:sz w:val="16"/>
                <w:szCs w:val="16"/>
              </w:rPr>
              <w:t>2023-24</w:t>
            </w:r>
            <w:r w:rsidRPr="00ED572D">
              <w:rPr>
                <w:rFonts w:ascii="Arial" w:hAnsi="Arial" w:cs="Arial"/>
                <w:sz w:val="16"/>
                <w:szCs w:val="16"/>
              </w:rPr>
              <w:br/>
              <w:t>Forward</w:t>
            </w:r>
            <w:r w:rsidRPr="00ED572D">
              <w:rPr>
                <w:rFonts w:ascii="Arial" w:hAnsi="Arial" w:cs="Arial"/>
                <w:sz w:val="16"/>
                <w:szCs w:val="16"/>
              </w:rPr>
              <w:br/>
              <w:t>estimate</w:t>
            </w:r>
            <w:r w:rsidRPr="00ED572D">
              <w:rPr>
                <w:rFonts w:ascii="Arial" w:hAnsi="Arial" w:cs="Arial"/>
                <w:sz w:val="16"/>
                <w:szCs w:val="16"/>
              </w:rPr>
              <w:br/>
              <w:t>$'000</w:t>
            </w:r>
          </w:p>
        </w:tc>
        <w:tc>
          <w:tcPr>
            <w:tcW w:w="650" w:type="pct"/>
            <w:gridSpan w:val="3"/>
            <w:tcBorders>
              <w:top w:val="single" w:sz="4" w:space="0" w:color="auto"/>
              <w:left w:val="nil"/>
              <w:bottom w:val="single" w:sz="4" w:space="0" w:color="auto"/>
              <w:right w:val="nil"/>
            </w:tcBorders>
            <w:shd w:val="clear" w:color="auto" w:fill="auto"/>
            <w:vAlign w:val="bottom"/>
            <w:hideMark/>
          </w:tcPr>
          <w:p w14:paraId="0C53E553" w14:textId="77777777" w:rsidR="00115843" w:rsidRPr="00ED572D" w:rsidRDefault="00115843" w:rsidP="00FB0D02">
            <w:pPr>
              <w:spacing w:after="0" w:line="240" w:lineRule="auto"/>
              <w:jc w:val="right"/>
              <w:rPr>
                <w:rFonts w:ascii="Arial" w:hAnsi="Arial" w:cs="Arial"/>
                <w:sz w:val="16"/>
                <w:szCs w:val="16"/>
              </w:rPr>
            </w:pPr>
            <w:r w:rsidRPr="00ED572D">
              <w:rPr>
                <w:rFonts w:ascii="Arial" w:hAnsi="Arial" w:cs="Arial"/>
                <w:sz w:val="16"/>
                <w:szCs w:val="16"/>
              </w:rPr>
              <w:t>2024-25</w:t>
            </w:r>
            <w:r w:rsidRPr="00ED572D">
              <w:rPr>
                <w:rFonts w:ascii="Arial" w:hAnsi="Arial" w:cs="Arial"/>
                <w:sz w:val="16"/>
                <w:szCs w:val="16"/>
              </w:rPr>
              <w:br/>
              <w:t>Forward</w:t>
            </w:r>
            <w:r w:rsidRPr="00ED572D">
              <w:rPr>
                <w:rFonts w:ascii="Arial" w:hAnsi="Arial" w:cs="Arial"/>
                <w:sz w:val="16"/>
                <w:szCs w:val="16"/>
              </w:rPr>
              <w:br/>
              <w:t>estimate</w:t>
            </w:r>
            <w:r w:rsidRPr="00ED572D">
              <w:rPr>
                <w:rFonts w:ascii="Arial" w:hAnsi="Arial" w:cs="Arial"/>
                <w:sz w:val="16"/>
                <w:szCs w:val="16"/>
              </w:rPr>
              <w:br/>
              <w:t>$'000</w:t>
            </w:r>
          </w:p>
        </w:tc>
        <w:tc>
          <w:tcPr>
            <w:tcW w:w="615" w:type="pct"/>
            <w:tcBorders>
              <w:top w:val="single" w:sz="4" w:space="0" w:color="auto"/>
              <w:left w:val="nil"/>
              <w:bottom w:val="single" w:sz="4" w:space="0" w:color="auto"/>
              <w:right w:val="nil"/>
            </w:tcBorders>
            <w:shd w:val="clear" w:color="auto" w:fill="auto"/>
            <w:vAlign w:val="bottom"/>
            <w:hideMark/>
          </w:tcPr>
          <w:p w14:paraId="0991584E" w14:textId="77777777" w:rsidR="00115843" w:rsidRPr="00ED572D" w:rsidRDefault="00115843" w:rsidP="00FB0D02">
            <w:pPr>
              <w:spacing w:after="0" w:line="240" w:lineRule="auto"/>
              <w:jc w:val="right"/>
              <w:rPr>
                <w:rFonts w:ascii="Arial" w:hAnsi="Arial" w:cs="Arial"/>
                <w:sz w:val="16"/>
                <w:szCs w:val="16"/>
              </w:rPr>
            </w:pPr>
            <w:r w:rsidRPr="00ED572D">
              <w:rPr>
                <w:rFonts w:ascii="Arial" w:hAnsi="Arial" w:cs="Arial"/>
                <w:sz w:val="16"/>
                <w:szCs w:val="16"/>
              </w:rPr>
              <w:t>2025-26</w:t>
            </w:r>
            <w:r w:rsidRPr="00ED572D">
              <w:rPr>
                <w:rFonts w:ascii="Arial" w:hAnsi="Arial" w:cs="Arial"/>
                <w:sz w:val="16"/>
                <w:szCs w:val="16"/>
              </w:rPr>
              <w:br/>
              <w:t>Forward</w:t>
            </w:r>
            <w:r w:rsidRPr="00ED572D">
              <w:rPr>
                <w:rFonts w:ascii="Arial" w:hAnsi="Arial" w:cs="Arial"/>
                <w:sz w:val="16"/>
                <w:szCs w:val="16"/>
              </w:rPr>
              <w:br/>
              <w:t>estimate</w:t>
            </w:r>
            <w:r w:rsidRPr="00ED572D">
              <w:rPr>
                <w:rFonts w:ascii="Arial" w:hAnsi="Arial" w:cs="Arial"/>
                <w:sz w:val="16"/>
                <w:szCs w:val="16"/>
              </w:rPr>
              <w:br/>
              <w:t>$'000</w:t>
            </w:r>
          </w:p>
        </w:tc>
      </w:tr>
      <w:tr w:rsidR="00115843" w:rsidRPr="00ED572D" w14:paraId="7E7004AD" w14:textId="77777777" w:rsidTr="00CD1CF1">
        <w:trPr>
          <w:gridAfter w:val="2"/>
          <w:wAfter w:w="16" w:type="pct"/>
          <w:trHeight w:val="204"/>
        </w:trPr>
        <w:tc>
          <w:tcPr>
            <w:tcW w:w="4984" w:type="pct"/>
            <w:gridSpan w:val="14"/>
            <w:tcBorders>
              <w:top w:val="single" w:sz="4" w:space="0" w:color="auto"/>
              <w:left w:val="nil"/>
              <w:bottom w:val="single" w:sz="4" w:space="0" w:color="auto"/>
              <w:right w:val="nil"/>
            </w:tcBorders>
            <w:shd w:val="clear" w:color="auto" w:fill="E6E6E6"/>
            <w:noWrap/>
            <w:vAlign w:val="bottom"/>
            <w:hideMark/>
          </w:tcPr>
          <w:p w14:paraId="090420EE" w14:textId="77777777" w:rsidR="00115843" w:rsidRPr="00ED572D" w:rsidRDefault="00115843" w:rsidP="00FB0D02">
            <w:pPr>
              <w:spacing w:after="0" w:line="240" w:lineRule="auto"/>
              <w:rPr>
                <w:rFonts w:ascii="Arial" w:hAnsi="Arial" w:cs="Arial"/>
                <w:sz w:val="16"/>
                <w:szCs w:val="16"/>
              </w:rPr>
            </w:pPr>
            <w:r w:rsidRPr="00ED572D">
              <w:rPr>
                <w:rFonts w:ascii="Arial" w:hAnsi="Arial" w:cs="Arial"/>
                <w:b/>
                <w:bCs/>
                <w:sz w:val="16"/>
                <w:szCs w:val="16"/>
              </w:rPr>
              <w:t>Program 5.1: Digital Technologies and Communications Services</w:t>
            </w:r>
          </w:p>
        </w:tc>
      </w:tr>
      <w:tr w:rsidR="00115843" w:rsidRPr="00ED572D" w14:paraId="17753558" w14:textId="77777777" w:rsidTr="00CD1CF1">
        <w:trPr>
          <w:gridAfter w:val="2"/>
          <w:wAfter w:w="16" w:type="pct"/>
          <w:trHeight w:val="204"/>
        </w:trPr>
        <w:tc>
          <w:tcPr>
            <w:tcW w:w="1763" w:type="pct"/>
            <w:gridSpan w:val="2"/>
            <w:tcBorders>
              <w:top w:val="nil"/>
              <w:left w:val="nil"/>
              <w:bottom w:val="nil"/>
              <w:right w:val="nil"/>
            </w:tcBorders>
            <w:shd w:val="clear" w:color="auto" w:fill="auto"/>
            <w:noWrap/>
            <w:vAlign w:val="bottom"/>
            <w:hideMark/>
          </w:tcPr>
          <w:p w14:paraId="2A706639" w14:textId="77777777" w:rsidR="00115843" w:rsidRPr="00ED572D" w:rsidRDefault="00115843" w:rsidP="00FB0D02">
            <w:pPr>
              <w:spacing w:after="0" w:line="240" w:lineRule="auto"/>
              <w:rPr>
                <w:rFonts w:ascii="Arial" w:hAnsi="Arial" w:cs="Arial"/>
                <w:sz w:val="16"/>
                <w:szCs w:val="16"/>
              </w:rPr>
            </w:pPr>
            <w:r w:rsidRPr="00ED572D">
              <w:rPr>
                <w:rFonts w:ascii="Arial" w:hAnsi="Arial" w:cs="Arial"/>
                <w:sz w:val="16"/>
                <w:szCs w:val="16"/>
              </w:rPr>
              <w:t>Administered expenses</w:t>
            </w:r>
          </w:p>
        </w:tc>
        <w:tc>
          <w:tcPr>
            <w:tcW w:w="650" w:type="pct"/>
            <w:gridSpan w:val="2"/>
            <w:tcBorders>
              <w:top w:val="nil"/>
              <w:left w:val="nil"/>
              <w:bottom w:val="nil"/>
              <w:right w:val="nil"/>
            </w:tcBorders>
            <w:shd w:val="clear" w:color="auto" w:fill="auto"/>
            <w:noWrap/>
            <w:vAlign w:val="bottom"/>
            <w:hideMark/>
          </w:tcPr>
          <w:p w14:paraId="350E5879" w14:textId="77777777" w:rsidR="00115843" w:rsidRPr="00ED572D" w:rsidRDefault="00115843" w:rsidP="00FB0D02">
            <w:pPr>
              <w:spacing w:after="0" w:line="240" w:lineRule="auto"/>
              <w:jc w:val="right"/>
              <w:rPr>
                <w:rFonts w:ascii="Arial" w:hAnsi="Arial" w:cs="Arial"/>
                <w:sz w:val="16"/>
                <w:szCs w:val="16"/>
              </w:rPr>
            </w:pPr>
          </w:p>
        </w:tc>
        <w:tc>
          <w:tcPr>
            <w:tcW w:w="681" w:type="pct"/>
            <w:gridSpan w:val="5"/>
            <w:tcBorders>
              <w:top w:val="nil"/>
              <w:left w:val="nil"/>
              <w:bottom w:val="nil"/>
              <w:right w:val="nil"/>
            </w:tcBorders>
            <w:shd w:val="clear" w:color="auto" w:fill="E6E6E6"/>
            <w:noWrap/>
            <w:vAlign w:val="bottom"/>
            <w:hideMark/>
          </w:tcPr>
          <w:p w14:paraId="0264E38A" w14:textId="77777777" w:rsidR="00115843" w:rsidRPr="00ED572D" w:rsidRDefault="00115843" w:rsidP="00FB0D02">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7379E6D8" w14:textId="77777777" w:rsidR="00115843" w:rsidRPr="00ED572D" w:rsidRDefault="00115843" w:rsidP="00FB0D02">
            <w:pPr>
              <w:spacing w:after="0" w:line="240" w:lineRule="auto"/>
              <w:jc w:val="right"/>
              <w:rPr>
                <w:rFonts w:ascii="Arial" w:hAnsi="Arial" w:cs="Arial"/>
                <w:sz w:val="16"/>
                <w:szCs w:val="16"/>
              </w:rPr>
            </w:pPr>
          </w:p>
        </w:tc>
        <w:tc>
          <w:tcPr>
            <w:tcW w:w="650" w:type="pct"/>
            <w:gridSpan w:val="3"/>
            <w:tcBorders>
              <w:top w:val="nil"/>
              <w:left w:val="nil"/>
              <w:bottom w:val="nil"/>
              <w:right w:val="nil"/>
            </w:tcBorders>
            <w:shd w:val="clear" w:color="auto" w:fill="auto"/>
            <w:noWrap/>
            <w:vAlign w:val="bottom"/>
            <w:hideMark/>
          </w:tcPr>
          <w:p w14:paraId="2699D1C7" w14:textId="77777777" w:rsidR="00115843" w:rsidRPr="00ED572D" w:rsidRDefault="00115843" w:rsidP="00FB0D02">
            <w:pPr>
              <w:spacing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14:paraId="761179A9" w14:textId="77777777" w:rsidR="00115843" w:rsidRPr="00ED572D" w:rsidRDefault="00115843" w:rsidP="00FB0D02">
            <w:pPr>
              <w:spacing w:after="0" w:line="240" w:lineRule="auto"/>
              <w:jc w:val="right"/>
              <w:rPr>
                <w:rFonts w:ascii="Arial" w:hAnsi="Arial" w:cs="Arial"/>
                <w:sz w:val="16"/>
                <w:szCs w:val="16"/>
              </w:rPr>
            </w:pPr>
          </w:p>
        </w:tc>
      </w:tr>
      <w:tr w:rsidR="008F4D74" w:rsidRPr="00ED572D" w14:paraId="60E34007"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068C28A5"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Ordinary Annual Services (Appropriation Act No. 1 and Bill No. 3)</w:t>
            </w:r>
          </w:p>
        </w:tc>
        <w:tc>
          <w:tcPr>
            <w:tcW w:w="650" w:type="pct"/>
            <w:gridSpan w:val="2"/>
            <w:tcBorders>
              <w:top w:val="nil"/>
              <w:left w:val="nil"/>
              <w:bottom w:val="nil"/>
              <w:right w:val="nil"/>
            </w:tcBorders>
            <w:shd w:val="clear" w:color="auto" w:fill="auto"/>
            <w:noWrap/>
            <w:vAlign w:val="bottom"/>
            <w:hideMark/>
          </w:tcPr>
          <w:p w14:paraId="49FFF3D8" w14:textId="0DFE0A82"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309,486</w:t>
            </w:r>
          </w:p>
        </w:tc>
        <w:tc>
          <w:tcPr>
            <w:tcW w:w="681" w:type="pct"/>
            <w:gridSpan w:val="5"/>
            <w:tcBorders>
              <w:top w:val="nil"/>
              <w:left w:val="nil"/>
              <w:bottom w:val="nil"/>
              <w:right w:val="nil"/>
            </w:tcBorders>
            <w:shd w:val="clear" w:color="auto" w:fill="E6E6E6"/>
            <w:noWrap/>
            <w:vAlign w:val="bottom"/>
            <w:hideMark/>
          </w:tcPr>
          <w:p w14:paraId="7B3A7E41" w14:textId="65E5DC64"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213,815</w:t>
            </w:r>
          </w:p>
        </w:tc>
        <w:tc>
          <w:tcPr>
            <w:tcW w:w="625" w:type="pct"/>
            <w:tcBorders>
              <w:top w:val="nil"/>
              <w:left w:val="nil"/>
              <w:bottom w:val="nil"/>
              <w:right w:val="nil"/>
            </w:tcBorders>
            <w:shd w:val="clear" w:color="auto" w:fill="auto"/>
            <w:noWrap/>
            <w:vAlign w:val="bottom"/>
            <w:hideMark/>
          </w:tcPr>
          <w:p w14:paraId="0E0A8D2F" w14:textId="3E44DDE4"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285,451</w:t>
            </w:r>
          </w:p>
        </w:tc>
        <w:tc>
          <w:tcPr>
            <w:tcW w:w="650" w:type="pct"/>
            <w:gridSpan w:val="3"/>
            <w:tcBorders>
              <w:top w:val="nil"/>
              <w:left w:val="nil"/>
              <w:bottom w:val="nil"/>
              <w:right w:val="nil"/>
            </w:tcBorders>
            <w:shd w:val="clear" w:color="auto" w:fill="auto"/>
            <w:noWrap/>
            <w:vAlign w:val="bottom"/>
            <w:hideMark/>
          </w:tcPr>
          <w:p w14:paraId="45D70A6F" w14:textId="73014D71"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261,603</w:t>
            </w:r>
          </w:p>
        </w:tc>
        <w:tc>
          <w:tcPr>
            <w:tcW w:w="615" w:type="pct"/>
            <w:tcBorders>
              <w:top w:val="nil"/>
              <w:left w:val="nil"/>
              <w:bottom w:val="nil"/>
              <w:right w:val="nil"/>
            </w:tcBorders>
            <w:shd w:val="clear" w:color="auto" w:fill="auto"/>
            <w:noWrap/>
            <w:vAlign w:val="bottom"/>
            <w:hideMark/>
          </w:tcPr>
          <w:p w14:paraId="65B80D4D" w14:textId="1404CB2F"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172,587</w:t>
            </w:r>
          </w:p>
        </w:tc>
      </w:tr>
      <w:tr w:rsidR="008F4D74" w:rsidRPr="00ED572D" w14:paraId="693D3453" w14:textId="77777777" w:rsidTr="00CD1CF1">
        <w:trPr>
          <w:gridAfter w:val="2"/>
          <w:wAfter w:w="16" w:type="pct"/>
          <w:trHeight w:val="204"/>
        </w:trPr>
        <w:tc>
          <w:tcPr>
            <w:tcW w:w="1763" w:type="pct"/>
            <w:gridSpan w:val="2"/>
            <w:tcBorders>
              <w:top w:val="nil"/>
              <w:left w:val="nil"/>
              <w:bottom w:val="nil"/>
              <w:right w:val="nil"/>
            </w:tcBorders>
            <w:shd w:val="clear" w:color="auto" w:fill="auto"/>
            <w:noWrap/>
            <w:vAlign w:val="bottom"/>
            <w:hideMark/>
          </w:tcPr>
          <w:p w14:paraId="091C2C74" w14:textId="77777777" w:rsidR="008F4D74" w:rsidRPr="00ED572D" w:rsidRDefault="008F4D74" w:rsidP="008F4D74">
            <w:pPr>
              <w:spacing w:after="0" w:line="240" w:lineRule="auto"/>
              <w:rPr>
                <w:rFonts w:ascii="Arial" w:hAnsi="Arial" w:cs="Arial"/>
                <w:sz w:val="16"/>
                <w:szCs w:val="16"/>
              </w:rPr>
            </w:pPr>
            <w:r w:rsidRPr="00ED572D">
              <w:rPr>
                <w:rFonts w:ascii="Arial" w:hAnsi="Arial" w:cs="Arial"/>
                <w:sz w:val="16"/>
                <w:szCs w:val="16"/>
              </w:rPr>
              <w:t>Special Accounts</w:t>
            </w:r>
          </w:p>
        </w:tc>
        <w:tc>
          <w:tcPr>
            <w:tcW w:w="650" w:type="pct"/>
            <w:gridSpan w:val="2"/>
            <w:tcBorders>
              <w:top w:val="nil"/>
              <w:left w:val="nil"/>
              <w:bottom w:val="nil"/>
              <w:right w:val="nil"/>
            </w:tcBorders>
            <w:shd w:val="clear" w:color="auto" w:fill="auto"/>
            <w:noWrap/>
            <w:vAlign w:val="bottom"/>
            <w:hideMark/>
          </w:tcPr>
          <w:p w14:paraId="18E224CD" w14:textId="77777777" w:rsidR="008F4D74" w:rsidRPr="00ED572D" w:rsidRDefault="008F4D74" w:rsidP="008F4D74">
            <w:pPr>
              <w:spacing w:after="0" w:line="240" w:lineRule="auto"/>
              <w:ind w:firstLineChars="100" w:firstLine="160"/>
              <w:jc w:val="right"/>
              <w:rPr>
                <w:rFonts w:ascii="Arial" w:hAnsi="Arial" w:cs="Arial"/>
                <w:sz w:val="16"/>
                <w:szCs w:val="16"/>
              </w:rPr>
            </w:pPr>
          </w:p>
        </w:tc>
        <w:tc>
          <w:tcPr>
            <w:tcW w:w="681" w:type="pct"/>
            <w:gridSpan w:val="5"/>
            <w:tcBorders>
              <w:top w:val="nil"/>
              <w:left w:val="nil"/>
              <w:bottom w:val="nil"/>
              <w:right w:val="nil"/>
            </w:tcBorders>
            <w:shd w:val="clear" w:color="auto" w:fill="E6E6E6"/>
            <w:noWrap/>
            <w:vAlign w:val="bottom"/>
            <w:hideMark/>
          </w:tcPr>
          <w:p w14:paraId="36AA8AF7" w14:textId="16F3898B" w:rsidR="008F4D74" w:rsidRPr="00ED572D" w:rsidRDefault="008F4D74" w:rsidP="008F4D74">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47A1EBF0" w14:textId="77777777" w:rsidR="008F4D74" w:rsidRPr="00ED572D" w:rsidRDefault="008F4D74" w:rsidP="008F4D74">
            <w:pPr>
              <w:spacing w:after="0" w:line="240" w:lineRule="auto"/>
              <w:jc w:val="right"/>
              <w:rPr>
                <w:rFonts w:ascii="Arial" w:hAnsi="Arial" w:cs="Arial"/>
                <w:sz w:val="16"/>
                <w:szCs w:val="16"/>
              </w:rPr>
            </w:pPr>
          </w:p>
        </w:tc>
        <w:tc>
          <w:tcPr>
            <w:tcW w:w="650" w:type="pct"/>
            <w:gridSpan w:val="3"/>
            <w:tcBorders>
              <w:top w:val="nil"/>
              <w:left w:val="nil"/>
              <w:bottom w:val="nil"/>
              <w:right w:val="nil"/>
            </w:tcBorders>
            <w:shd w:val="clear" w:color="auto" w:fill="auto"/>
            <w:noWrap/>
            <w:vAlign w:val="bottom"/>
            <w:hideMark/>
          </w:tcPr>
          <w:p w14:paraId="29E53799" w14:textId="77777777" w:rsidR="008F4D74" w:rsidRPr="00ED572D" w:rsidRDefault="008F4D74" w:rsidP="008F4D74">
            <w:pPr>
              <w:spacing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14:paraId="5992A127" w14:textId="77777777" w:rsidR="008F4D74" w:rsidRPr="00ED572D" w:rsidRDefault="008F4D74" w:rsidP="008F4D74">
            <w:pPr>
              <w:spacing w:after="0" w:line="240" w:lineRule="auto"/>
              <w:jc w:val="right"/>
              <w:rPr>
                <w:rFonts w:ascii="Arial" w:hAnsi="Arial" w:cs="Arial"/>
                <w:sz w:val="16"/>
                <w:szCs w:val="16"/>
              </w:rPr>
            </w:pPr>
          </w:p>
        </w:tc>
      </w:tr>
      <w:tr w:rsidR="008F4D74" w:rsidRPr="00ED572D" w14:paraId="5E5C6FE4"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6C0D4837"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Public Interest Telecommunications Services Special Account</w:t>
            </w:r>
          </w:p>
        </w:tc>
        <w:tc>
          <w:tcPr>
            <w:tcW w:w="650" w:type="pct"/>
            <w:gridSpan w:val="2"/>
            <w:tcBorders>
              <w:top w:val="nil"/>
              <w:left w:val="nil"/>
              <w:bottom w:val="nil"/>
              <w:right w:val="nil"/>
            </w:tcBorders>
            <w:shd w:val="clear" w:color="auto" w:fill="auto"/>
            <w:noWrap/>
            <w:vAlign w:val="bottom"/>
            <w:hideMark/>
          </w:tcPr>
          <w:p w14:paraId="54984DAE" w14:textId="77777777" w:rsidR="008F4D74" w:rsidRPr="00ED572D" w:rsidRDefault="008F4D74" w:rsidP="008F4D74">
            <w:pPr>
              <w:spacing w:after="0" w:line="240" w:lineRule="auto"/>
              <w:ind w:firstLineChars="200" w:firstLine="320"/>
              <w:jc w:val="right"/>
              <w:rPr>
                <w:rFonts w:ascii="Arial" w:hAnsi="Arial" w:cs="Arial"/>
                <w:sz w:val="16"/>
                <w:szCs w:val="16"/>
              </w:rPr>
            </w:pPr>
          </w:p>
        </w:tc>
        <w:tc>
          <w:tcPr>
            <w:tcW w:w="681" w:type="pct"/>
            <w:gridSpan w:val="5"/>
            <w:tcBorders>
              <w:top w:val="nil"/>
              <w:left w:val="nil"/>
              <w:bottom w:val="nil"/>
              <w:right w:val="nil"/>
            </w:tcBorders>
            <w:shd w:val="clear" w:color="auto" w:fill="E6E6E6"/>
            <w:noWrap/>
            <w:vAlign w:val="bottom"/>
            <w:hideMark/>
          </w:tcPr>
          <w:p w14:paraId="71E8F508" w14:textId="17F04735" w:rsidR="008F4D74" w:rsidRPr="00ED572D" w:rsidRDefault="008F4D74" w:rsidP="008F4D74">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10D3888" w14:textId="77777777" w:rsidR="008F4D74" w:rsidRPr="00ED572D" w:rsidRDefault="008F4D74" w:rsidP="008F4D74">
            <w:pPr>
              <w:spacing w:after="0" w:line="240" w:lineRule="auto"/>
              <w:jc w:val="right"/>
              <w:rPr>
                <w:rFonts w:ascii="Arial" w:hAnsi="Arial" w:cs="Arial"/>
                <w:sz w:val="16"/>
                <w:szCs w:val="16"/>
              </w:rPr>
            </w:pPr>
          </w:p>
        </w:tc>
        <w:tc>
          <w:tcPr>
            <w:tcW w:w="650" w:type="pct"/>
            <w:gridSpan w:val="3"/>
            <w:tcBorders>
              <w:top w:val="nil"/>
              <w:left w:val="nil"/>
              <w:bottom w:val="nil"/>
              <w:right w:val="nil"/>
            </w:tcBorders>
            <w:shd w:val="clear" w:color="auto" w:fill="auto"/>
            <w:noWrap/>
            <w:vAlign w:val="bottom"/>
            <w:hideMark/>
          </w:tcPr>
          <w:p w14:paraId="433E805D" w14:textId="77777777" w:rsidR="008F4D74" w:rsidRPr="00ED572D" w:rsidRDefault="008F4D74" w:rsidP="008F4D74">
            <w:pPr>
              <w:spacing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14:paraId="4FCF4A26" w14:textId="77777777" w:rsidR="008F4D74" w:rsidRPr="00ED572D" w:rsidRDefault="008F4D74" w:rsidP="008F4D74">
            <w:pPr>
              <w:spacing w:after="0" w:line="240" w:lineRule="auto"/>
              <w:jc w:val="right"/>
              <w:rPr>
                <w:rFonts w:ascii="Arial" w:hAnsi="Arial" w:cs="Arial"/>
                <w:sz w:val="16"/>
                <w:szCs w:val="16"/>
              </w:rPr>
            </w:pPr>
          </w:p>
        </w:tc>
      </w:tr>
      <w:tr w:rsidR="008F4D74" w:rsidRPr="00ED572D" w14:paraId="28B15AA3"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1B3D60BC" w14:textId="77777777" w:rsidR="008F4D74" w:rsidRPr="00ED572D" w:rsidRDefault="008F4D74" w:rsidP="00662504">
            <w:pPr>
              <w:spacing w:after="0" w:line="240" w:lineRule="auto"/>
              <w:ind w:left="227"/>
              <w:rPr>
                <w:rFonts w:ascii="Arial" w:hAnsi="Arial" w:cs="Arial"/>
                <w:sz w:val="16"/>
                <w:szCs w:val="16"/>
              </w:rPr>
            </w:pPr>
            <w:r w:rsidRPr="00ED572D">
              <w:rPr>
                <w:rFonts w:ascii="Arial" w:hAnsi="Arial" w:cs="Arial"/>
                <w:sz w:val="16"/>
                <w:szCs w:val="16"/>
              </w:rPr>
              <w:t>National Relay Service</w:t>
            </w:r>
          </w:p>
        </w:tc>
        <w:tc>
          <w:tcPr>
            <w:tcW w:w="650" w:type="pct"/>
            <w:gridSpan w:val="2"/>
            <w:tcBorders>
              <w:top w:val="nil"/>
              <w:left w:val="nil"/>
              <w:bottom w:val="nil"/>
              <w:right w:val="nil"/>
            </w:tcBorders>
            <w:shd w:val="clear" w:color="auto" w:fill="auto"/>
            <w:noWrap/>
            <w:vAlign w:val="bottom"/>
            <w:hideMark/>
          </w:tcPr>
          <w:p w14:paraId="1CB4DD26" w14:textId="77E86815"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20,184</w:t>
            </w:r>
          </w:p>
        </w:tc>
        <w:tc>
          <w:tcPr>
            <w:tcW w:w="681" w:type="pct"/>
            <w:gridSpan w:val="5"/>
            <w:tcBorders>
              <w:top w:val="nil"/>
              <w:left w:val="nil"/>
              <w:bottom w:val="nil"/>
              <w:right w:val="nil"/>
            </w:tcBorders>
            <w:shd w:val="clear" w:color="auto" w:fill="E6E6E6"/>
            <w:noWrap/>
            <w:vAlign w:val="bottom"/>
            <w:hideMark/>
          </w:tcPr>
          <w:p w14:paraId="6194ADE7" w14:textId="29EDF7C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20,000</w:t>
            </w:r>
          </w:p>
        </w:tc>
        <w:tc>
          <w:tcPr>
            <w:tcW w:w="625" w:type="pct"/>
            <w:tcBorders>
              <w:top w:val="nil"/>
              <w:left w:val="nil"/>
              <w:bottom w:val="nil"/>
              <w:right w:val="nil"/>
            </w:tcBorders>
            <w:shd w:val="clear" w:color="auto" w:fill="auto"/>
            <w:noWrap/>
            <w:vAlign w:val="bottom"/>
            <w:hideMark/>
          </w:tcPr>
          <w:p w14:paraId="1FE0727A" w14:textId="294824DA"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20,000</w:t>
            </w:r>
          </w:p>
        </w:tc>
        <w:tc>
          <w:tcPr>
            <w:tcW w:w="650" w:type="pct"/>
            <w:gridSpan w:val="3"/>
            <w:tcBorders>
              <w:top w:val="nil"/>
              <w:left w:val="nil"/>
              <w:bottom w:val="nil"/>
              <w:right w:val="nil"/>
            </w:tcBorders>
            <w:shd w:val="clear" w:color="auto" w:fill="auto"/>
            <w:noWrap/>
            <w:vAlign w:val="bottom"/>
            <w:hideMark/>
          </w:tcPr>
          <w:p w14:paraId="009479F5" w14:textId="4FBA8D92"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20,000</w:t>
            </w:r>
          </w:p>
        </w:tc>
        <w:tc>
          <w:tcPr>
            <w:tcW w:w="615" w:type="pct"/>
            <w:tcBorders>
              <w:top w:val="nil"/>
              <w:left w:val="nil"/>
              <w:bottom w:val="nil"/>
              <w:right w:val="nil"/>
            </w:tcBorders>
            <w:shd w:val="clear" w:color="auto" w:fill="auto"/>
            <w:noWrap/>
            <w:vAlign w:val="bottom"/>
            <w:hideMark/>
          </w:tcPr>
          <w:p w14:paraId="5B1751FE" w14:textId="42D5F3BA"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20,000</w:t>
            </w:r>
          </w:p>
        </w:tc>
      </w:tr>
      <w:tr w:rsidR="008F4D74" w:rsidRPr="00ED572D" w14:paraId="7525DCCD"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36EEEA98" w14:textId="77777777" w:rsidR="008F4D74" w:rsidRPr="00ED572D" w:rsidRDefault="008F4D74" w:rsidP="00662504">
            <w:pPr>
              <w:spacing w:after="0" w:line="240" w:lineRule="auto"/>
              <w:ind w:left="227"/>
              <w:rPr>
                <w:rFonts w:ascii="Arial" w:hAnsi="Arial" w:cs="Arial"/>
                <w:sz w:val="16"/>
                <w:szCs w:val="16"/>
              </w:rPr>
            </w:pPr>
            <w:r w:rsidRPr="00ED572D">
              <w:rPr>
                <w:rFonts w:ascii="Arial" w:hAnsi="Arial" w:cs="Arial"/>
                <w:sz w:val="16"/>
                <w:szCs w:val="16"/>
              </w:rPr>
              <w:t>Universal Service Obligation</w:t>
            </w:r>
          </w:p>
        </w:tc>
        <w:tc>
          <w:tcPr>
            <w:tcW w:w="650" w:type="pct"/>
            <w:gridSpan w:val="2"/>
            <w:tcBorders>
              <w:top w:val="nil"/>
              <w:left w:val="nil"/>
              <w:bottom w:val="nil"/>
              <w:right w:val="nil"/>
            </w:tcBorders>
            <w:shd w:val="clear" w:color="auto" w:fill="auto"/>
            <w:noWrap/>
            <w:vAlign w:val="bottom"/>
            <w:hideMark/>
          </w:tcPr>
          <w:p w14:paraId="06AA98B9" w14:textId="24F410A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270,000</w:t>
            </w:r>
          </w:p>
        </w:tc>
        <w:tc>
          <w:tcPr>
            <w:tcW w:w="681" w:type="pct"/>
            <w:gridSpan w:val="5"/>
            <w:tcBorders>
              <w:top w:val="nil"/>
              <w:left w:val="nil"/>
              <w:bottom w:val="nil"/>
              <w:right w:val="nil"/>
            </w:tcBorders>
            <w:shd w:val="clear" w:color="auto" w:fill="E6E6E6"/>
            <w:noWrap/>
            <w:vAlign w:val="bottom"/>
            <w:hideMark/>
          </w:tcPr>
          <w:p w14:paraId="59B199F7" w14:textId="423051C1"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270,000</w:t>
            </w:r>
          </w:p>
        </w:tc>
        <w:tc>
          <w:tcPr>
            <w:tcW w:w="625" w:type="pct"/>
            <w:tcBorders>
              <w:top w:val="nil"/>
              <w:left w:val="nil"/>
              <w:bottom w:val="nil"/>
              <w:right w:val="nil"/>
            </w:tcBorders>
            <w:shd w:val="clear" w:color="auto" w:fill="auto"/>
            <w:noWrap/>
            <w:vAlign w:val="bottom"/>
            <w:hideMark/>
          </w:tcPr>
          <w:p w14:paraId="0D6C91BE" w14:textId="52BD2697"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270,000</w:t>
            </w:r>
          </w:p>
        </w:tc>
        <w:tc>
          <w:tcPr>
            <w:tcW w:w="650" w:type="pct"/>
            <w:gridSpan w:val="3"/>
            <w:tcBorders>
              <w:top w:val="nil"/>
              <w:left w:val="nil"/>
              <w:bottom w:val="nil"/>
              <w:right w:val="nil"/>
            </w:tcBorders>
            <w:shd w:val="clear" w:color="auto" w:fill="auto"/>
            <w:noWrap/>
            <w:vAlign w:val="bottom"/>
            <w:hideMark/>
          </w:tcPr>
          <w:p w14:paraId="191FE6EA" w14:textId="3D7E41A7"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270,000</w:t>
            </w:r>
          </w:p>
        </w:tc>
        <w:tc>
          <w:tcPr>
            <w:tcW w:w="615" w:type="pct"/>
            <w:tcBorders>
              <w:top w:val="nil"/>
              <w:left w:val="nil"/>
              <w:bottom w:val="nil"/>
              <w:right w:val="nil"/>
            </w:tcBorders>
            <w:shd w:val="clear" w:color="auto" w:fill="auto"/>
            <w:noWrap/>
            <w:vAlign w:val="bottom"/>
            <w:hideMark/>
          </w:tcPr>
          <w:p w14:paraId="77EA5E05" w14:textId="2FA9727E"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270,000</w:t>
            </w:r>
          </w:p>
        </w:tc>
      </w:tr>
      <w:tr w:rsidR="008F4D74" w:rsidRPr="00ED572D" w14:paraId="1DAF0E05"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48948F65" w14:textId="77777777" w:rsidR="008F4D74" w:rsidRPr="00ED572D" w:rsidRDefault="008F4D74" w:rsidP="000723E3">
            <w:pPr>
              <w:spacing w:after="0" w:line="240" w:lineRule="auto"/>
              <w:ind w:left="227"/>
              <w:rPr>
                <w:rFonts w:ascii="Arial" w:hAnsi="Arial" w:cs="Arial"/>
                <w:sz w:val="16"/>
                <w:szCs w:val="16"/>
              </w:rPr>
            </w:pPr>
            <w:r w:rsidRPr="00ED572D">
              <w:rPr>
                <w:rFonts w:ascii="Arial" w:hAnsi="Arial" w:cs="Arial"/>
                <w:sz w:val="16"/>
                <w:szCs w:val="16"/>
              </w:rPr>
              <w:t>Other Public Interest Services</w:t>
            </w:r>
          </w:p>
        </w:tc>
        <w:tc>
          <w:tcPr>
            <w:tcW w:w="650" w:type="pct"/>
            <w:gridSpan w:val="2"/>
            <w:tcBorders>
              <w:top w:val="nil"/>
              <w:left w:val="nil"/>
              <w:bottom w:val="nil"/>
              <w:right w:val="nil"/>
            </w:tcBorders>
            <w:shd w:val="clear" w:color="auto" w:fill="auto"/>
            <w:noWrap/>
            <w:vAlign w:val="bottom"/>
            <w:hideMark/>
          </w:tcPr>
          <w:p w14:paraId="064DF754" w14:textId="129A28EA"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23,604</w:t>
            </w:r>
          </w:p>
        </w:tc>
        <w:tc>
          <w:tcPr>
            <w:tcW w:w="681" w:type="pct"/>
            <w:gridSpan w:val="5"/>
            <w:tcBorders>
              <w:top w:val="nil"/>
              <w:left w:val="nil"/>
              <w:bottom w:val="nil"/>
              <w:right w:val="nil"/>
            </w:tcBorders>
            <w:shd w:val="clear" w:color="auto" w:fill="E6E6E6"/>
            <w:noWrap/>
            <w:vAlign w:val="bottom"/>
            <w:hideMark/>
          </w:tcPr>
          <w:p w14:paraId="7815F8A0" w14:textId="3F204404"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39,064</w:t>
            </w:r>
          </w:p>
        </w:tc>
        <w:tc>
          <w:tcPr>
            <w:tcW w:w="625" w:type="pct"/>
            <w:tcBorders>
              <w:top w:val="nil"/>
              <w:left w:val="nil"/>
              <w:bottom w:val="nil"/>
              <w:right w:val="nil"/>
            </w:tcBorders>
            <w:shd w:val="clear" w:color="auto" w:fill="auto"/>
            <w:noWrap/>
            <w:vAlign w:val="bottom"/>
            <w:hideMark/>
          </w:tcPr>
          <w:p w14:paraId="7DF00B48" w14:textId="53DE3155"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22,250</w:t>
            </w:r>
          </w:p>
        </w:tc>
        <w:tc>
          <w:tcPr>
            <w:tcW w:w="650" w:type="pct"/>
            <w:gridSpan w:val="3"/>
            <w:tcBorders>
              <w:top w:val="nil"/>
              <w:left w:val="nil"/>
              <w:bottom w:val="nil"/>
              <w:right w:val="nil"/>
            </w:tcBorders>
            <w:shd w:val="clear" w:color="auto" w:fill="auto"/>
            <w:noWrap/>
            <w:vAlign w:val="bottom"/>
            <w:hideMark/>
          </w:tcPr>
          <w:p w14:paraId="7CEDBE6A" w14:textId="0E176897"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22,250</w:t>
            </w:r>
          </w:p>
        </w:tc>
        <w:tc>
          <w:tcPr>
            <w:tcW w:w="615" w:type="pct"/>
            <w:tcBorders>
              <w:top w:val="nil"/>
              <w:left w:val="nil"/>
              <w:bottom w:val="nil"/>
              <w:right w:val="nil"/>
            </w:tcBorders>
            <w:shd w:val="clear" w:color="auto" w:fill="auto"/>
            <w:noWrap/>
            <w:vAlign w:val="bottom"/>
            <w:hideMark/>
          </w:tcPr>
          <w:p w14:paraId="47AEF30D" w14:textId="3314331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22,250</w:t>
            </w:r>
          </w:p>
        </w:tc>
      </w:tr>
      <w:tr w:rsidR="008F4D74" w:rsidRPr="00ED572D" w14:paraId="7C66DC50"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5FB9968E"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Payments to corporate entities </w:t>
            </w:r>
            <w:r w:rsidRPr="00ED572D">
              <w:rPr>
                <w:rFonts w:ascii="Arial" w:hAnsi="Arial" w:cs="Arial"/>
                <w:sz w:val="16"/>
                <w:szCs w:val="16"/>
                <w:vertAlign w:val="superscript"/>
              </w:rPr>
              <w:t>(a)</w:t>
            </w:r>
          </w:p>
        </w:tc>
        <w:tc>
          <w:tcPr>
            <w:tcW w:w="650" w:type="pct"/>
            <w:gridSpan w:val="2"/>
            <w:tcBorders>
              <w:top w:val="nil"/>
              <w:left w:val="nil"/>
              <w:bottom w:val="nil"/>
              <w:right w:val="nil"/>
            </w:tcBorders>
            <w:shd w:val="clear" w:color="auto" w:fill="auto"/>
            <w:noWrap/>
            <w:vAlign w:val="bottom"/>
            <w:hideMark/>
          </w:tcPr>
          <w:p w14:paraId="6DD19D06" w14:textId="28F9933D"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1,380,118</w:t>
            </w:r>
          </w:p>
        </w:tc>
        <w:tc>
          <w:tcPr>
            <w:tcW w:w="681" w:type="pct"/>
            <w:gridSpan w:val="5"/>
            <w:tcBorders>
              <w:top w:val="nil"/>
              <w:left w:val="nil"/>
              <w:bottom w:val="nil"/>
              <w:right w:val="nil"/>
            </w:tcBorders>
            <w:shd w:val="clear" w:color="auto" w:fill="E6E6E6"/>
            <w:noWrap/>
            <w:vAlign w:val="bottom"/>
            <w:hideMark/>
          </w:tcPr>
          <w:p w14:paraId="1D81EE69" w14:textId="09924B61"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1,423,963</w:t>
            </w:r>
          </w:p>
        </w:tc>
        <w:tc>
          <w:tcPr>
            <w:tcW w:w="625" w:type="pct"/>
            <w:tcBorders>
              <w:top w:val="nil"/>
              <w:left w:val="nil"/>
              <w:bottom w:val="nil"/>
              <w:right w:val="nil"/>
            </w:tcBorders>
            <w:shd w:val="clear" w:color="auto" w:fill="auto"/>
            <w:noWrap/>
            <w:vAlign w:val="bottom"/>
            <w:hideMark/>
          </w:tcPr>
          <w:p w14:paraId="1CA3F61B" w14:textId="4C626EE7"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1,465,780</w:t>
            </w:r>
          </w:p>
        </w:tc>
        <w:tc>
          <w:tcPr>
            <w:tcW w:w="650" w:type="pct"/>
            <w:gridSpan w:val="3"/>
            <w:tcBorders>
              <w:top w:val="nil"/>
              <w:left w:val="nil"/>
              <w:bottom w:val="nil"/>
              <w:right w:val="nil"/>
            </w:tcBorders>
            <w:shd w:val="clear" w:color="auto" w:fill="auto"/>
            <w:noWrap/>
            <w:vAlign w:val="bottom"/>
            <w:hideMark/>
          </w:tcPr>
          <w:p w14:paraId="592539FB" w14:textId="77456344"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1,515,137</w:t>
            </w:r>
          </w:p>
        </w:tc>
        <w:tc>
          <w:tcPr>
            <w:tcW w:w="615" w:type="pct"/>
            <w:tcBorders>
              <w:top w:val="nil"/>
              <w:left w:val="nil"/>
              <w:bottom w:val="nil"/>
              <w:right w:val="nil"/>
            </w:tcBorders>
            <w:shd w:val="clear" w:color="auto" w:fill="auto"/>
            <w:noWrap/>
            <w:vAlign w:val="bottom"/>
            <w:hideMark/>
          </w:tcPr>
          <w:p w14:paraId="042E39AA" w14:textId="3BFE0F41"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1,530,720</w:t>
            </w:r>
          </w:p>
        </w:tc>
      </w:tr>
      <w:tr w:rsidR="008F4D74" w:rsidRPr="00ED572D" w14:paraId="26C12650" w14:textId="77777777" w:rsidTr="00CD1CF1">
        <w:trPr>
          <w:gridAfter w:val="2"/>
          <w:wAfter w:w="16" w:type="pct"/>
          <w:trHeight w:val="204"/>
        </w:trPr>
        <w:tc>
          <w:tcPr>
            <w:tcW w:w="1763" w:type="pct"/>
            <w:gridSpan w:val="2"/>
            <w:tcBorders>
              <w:top w:val="nil"/>
              <w:left w:val="nil"/>
              <w:bottom w:val="nil"/>
              <w:right w:val="nil"/>
            </w:tcBorders>
            <w:shd w:val="clear" w:color="auto" w:fill="auto"/>
            <w:vAlign w:val="bottom"/>
            <w:hideMark/>
          </w:tcPr>
          <w:p w14:paraId="111ED3B0"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Expenses not requiring appropriation in the Budget year </w:t>
            </w:r>
            <w:r w:rsidRPr="00ED572D">
              <w:rPr>
                <w:rFonts w:ascii="Arial" w:hAnsi="Arial" w:cs="Arial"/>
                <w:sz w:val="16"/>
                <w:szCs w:val="16"/>
                <w:vertAlign w:val="superscript"/>
              </w:rPr>
              <w:t>(b)</w:t>
            </w:r>
          </w:p>
        </w:tc>
        <w:tc>
          <w:tcPr>
            <w:tcW w:w="650" w:type="pct"/>
            <w:gridSpan w:val="2"/>
            <w:tcBorders>
              <w:top w:val="nil"/>
              <w:left w:val="nil"/>
              <w:bottom w:val="nil"/>
              <w:right w:val="nil"/>
            </w:tcBorders>
            <w:shd w:val="clear" w:color="auto" w:fill="auto"/>
            <w:noWrap/>
            <w:vAlign w:val="bottom"/>
            <w:hideMark/>
          </w:tcPr>
          <w:p w14:paraId="66ABCCB2" w14:textId="1C9C0BA7" w:rsidR="008F4D74" w:rsidRPr="00ED572D" w:rsidRDefault="008F4D74" w:rsidP="008F4D74">
            <w:pPr>
              <w:spacing w:after="0" w:line="240" w:lineRule="auto"/>
              <w:jc w:val="right"/>
              <w:outlineLvl w:val="0"/>
              <w:rPr>
                <w:rFonts w:ascii="Arial" w:hAnsi="Arial" w:cs="Arial"/>
                <w:sz w:val="16"/>
                <w:szCs w:val="16"/>
              </w:rPr>
            </w:pPr>
            <w:r>
              <w:rPr>
                <w:rFonts w:ascii="Arial" w:hAnsi="Arial" w:cs="Arial"/>
                <w:sz w:val="16"/>
                <w:szCs w:val="16"/>
              </w:rPr>
              <w:t>1,046,534</w:t>
            </w:r>
          </w:p>
        </w:tc>
        <w:tc>
          <w:tcPr>
            <w:tcW w:w="681" w:type="pct"/>
            <w:gridSpan w:val="5"/>
            <w:tcBorders>
              <w:top w:val="nil"/>
              <w:left w:val="nil"/>
              <w:bottom w:val="nil"/>
              <w:right w:val="nil"/>
            </w:tcBorders>
            <w:shd w:val="clear" w:color="auto" w:fill="E6E6E6"/>
            <w:noWrap/>
            <w:vAlign w:val="bottom"/>
            <w:hideMark/>
          </w:tcPr>
          <w:p w14:paraId="67D8A69F" w14:textId="2977D3BF" w:rsidR="008F4D74" w:rsidRPr="00ED572D" w:rsidRDefault="008F4D74" w:rsidP="008F4D74">
            <w:pPr>
              <w:spacing w:after="0" w:line="240" w:lineRule="auto"/>
              <w:jc w:val="right"/>
              <w:outlineLvl w:val="0"/>
              <w:rPr>
                <w:rFonts w:ascii="Arial" w:hAnsi="Arial" w:cs="Arial"/>
                <w:sz w:val="16"/>
                <w:szCs w:val="16"/>
              </w:rPr>
            </w:pPr>
            <w:r>
              <w:rPr>
                <w:rFonts w:ascii="Arial" w:hAnsi="Arial" w:cs="Arial"/>
                <w:sz w:val="16"/>
                <w:szCs w:val="16"/>
              </w:rPr>
              <w:t>930,426</w:t>
            </w:r>
          </w:p>
        </w:tc>
        <w:tc>
          <w:tcPr>
            <w:tcW w:w="625" w:type="pct"/>
            <w:tcBorders>
              <w:top w:val="nil"/>
              <w:left w:val="nil"/>
              <w:bottom w:val="nil"/>
              <w:right w:val="nil"/>
            </w:tcBorders>
            <w:shd w:val="clear" w:color="auto" w:fill="auto"/>
            <w:noWrap/>
            <w:vAlign w:val="bottom"/>
            <w:hideMark/>
          </w:tcPr>
          <w:p w14:paraId="7D7D196B" w14:textId="75030433" w:rsidR="008F4D74" w:rsidRPr="00ED572D" w:rsidRDefault="008F4D74" w:rsidP="008F4D74">
            <w:pPr>
              <w:spacing w:after="0" w:line="240" w:lineRule="auto"/>
              <w:jc w:val="right"/>
              <w:outlineLvl w:val="0"/>
              <w:rPr>
                <w:rFonts w:ascii="Arial" w:hAnsi="Arial" w:cs="Arial"/>
                <w:sz w:val="16"/>
                <w:szCs w:val="16"/>
              </w:rPr>
            </w:pPr>
            <w:r>
              <w:rPr>
                <w:rFonts w:ascii="Arial" w:hAnsi="Arial" w:cs="Arial"/>
                <w:sz w:val="16"/>
                <w:szCs w:val="16"/>
              </w:rPr>
              <w:t>889,617</w:t>
            </w:r>
          </w:p>
        </w:tc>
        <w:tc>
          <w:tcPr>
            <w:tcW w:w="650" w:type="pct"/>
            <w:gridSpan w:val="3"/>
            <w:tcBorders>
              <w:top w:val="nil"/>
              <w:left w:val="nil"/>
              <w:bottom w:val="nil"/>
              <w:right w:val="nil"/>
            </w:tcBorders>
            <w:shd w:val="clear" w:color="auto" w:fill="auto"/>
            <w:noWrap/>
            <w:vAlign w:val="bottom"/>
            <w:hideMark/>
          </w:tcPr>
          <w:p w14:paraId="43452125" w14:textId="0FC5131D" w:rsidR="008F4D74" w:rsidRPr="00ED572D" w:rsidRDefault="008F4D74" w:rsidP="008F4D74">
            <w:pPr>
              <w:spacing w:after="0" w:line="240" w:lineRule="auto"/>
              <w:jc w:val="right"/>
              <w:outlineLvl w:val="0"/>
              <w:rPr>
                <w:rFonts w:ascii="Arial" w:hAnsi="Arial" w:cs="Arial"/>
                <w:sz w:val="16"/>
                <w:szCs w:val="16"/>
              </w:rPr>
            </w:pPr>
            <w:r>
              <w:rPr>
                <w:rFonts w:ascii="Arial" w:hAnsi="Arial" w:cs="Arial"/>
                <w:sz w:val="16"/>
                <w:szCs w:val="16"/>
              </w:rPr>
              <w:t>831,003</w:t>
            </w:r>
          </w:p>
        </w:tc>
        <w:tc>
          <w:tcPr>
            <w:tcW w:w="615" w:type="pct"/>
            <w:tcBorders>
              <w:top w:val="nil"/>
              <w:left w:val="nil"/>
              <w:bottom w:val="nil"/>
              <w:right w:val="nil"/>
            </w:tcBorders>
            <w:shd w:val="clear" w:color="auto" w:fill="auto"/>
            <w:noWrap/>
            <w:vAlign w:val="bottom"/>
            <w:hideMark/>
          </w:tcPr>
          <w:p w14:paraId="4E156B45" w14:textId="167AF94F" w:rsidR="008F4D74" w:rsidRPr="00ED572D" w:rsidRDefault="008F4D74" w:rsidP="008F4D74">
            <w:pPr>
              <w:spacing w:after="0" w:line="240" w:lineRule="auto"/>
              <w:jc w:val="right"/>
              <w:outlineLvl w:val="0"/>
              <w:rPr>
                <w:rFonts w:ascii="Arial" w:hAnsi="Arial" w:cs="Arial"/>
                <w:sz w:val="16"/>
                <w:szCs w:val="16"/>
              </w:rPr>
            </w:pPr>
            <w:r>
              <w:rPr>
                <w:rFonts w:ascii="Arial" w:hAnsi="Arial" w:cs="Arial"/>
                <w:sz w:val="16"/>
                <w:szCs w:val="16"/>
              </w:rPr>
              <w:t>888,370</w:t>
            </w:r>
          </w:p>
        </w:tc>
      </w:tr>
      <w:tr w:rsidR="008F4D74" w:rsidRPr="00ED572D" w14:paraId="664A5BA5" w14:textId="77777777" w:rsidTr="00CD1CF1">
        <w:trPr>
          <w:gridAfter w:val="2"/>
          <w:wAfter w:w="16" w:type="pct"/>
          <w:trHeight w:val="204"/>
        </w:trPr>
        <w:tc>
          <w:tcPr>
            <w:tcW w:w="1763" w:type="pct"/>
            <w:gridSpan w:val="2"/>
            <w:tcBorders>
              <w:top w:val="nil"/>
              <w:left w:val="nil"/>
              <w:bottom w:val="nil"/>
              <w:right w:val="nil"/>
            </w:tcBorders>
            <w:shd w:val="clear" w:color="auto" w:fill="auto"/>
            <w:noWrap/>
            <w:vAlign w:val="bottom"/>
            <w:hideMark/>
          </w:tcPr>
          <w:p w14:paraId="5AE78249" w14:textId="77777777" w:rsidR="008F4D74" w:rsidRPr="00ED572D" w:rsidRDefault="008F4D74" w:rsidP="008F4D74">
            <w:pPr>
              <w:spacing w:after="0" w:line="240" w:lineRule="auto"/>
              <w:outlineLvl w:val="0"/>
              <w:rPr>
                <w:rFonts w:ascii="Arial" w:hAnsi="Arial" w:cs="Arial"/>
                <w:b/>
                <w:bCs/>
                <w:sz w:val="16"/>
                <w:szCs w:val="16"/>
              </w:rPr>
            </w:pPr>
            <w:r w:rsidRPr="00ED572D">
              <w:rPr>
                <w:rFonts w:ascii="Arial" w:hAnsi="Arial" w:cs="Arial"/>
                <w:b/>
                <w:bCs/>
                <w:sz w:val="16"/>
                <w:szCs w:val="16"/>
              </w:rPr>
              <w:t>Total expenses for Program 5.1</w:t>
            </w:r>
          </w:p>
        </w:tc>
        <w:tc>
          <w:tcPr>
            <w:tcW w:w="650" w:type="pct"/>
            <w:gridSpan w:val="2"/>
            <w:tcBorders>
              <w:top w:val="single" w:sz="4" w:space="0" w:color="auto"/>
              <w:left w:val="nil"/>
              <w:bottom w:val="single" w:sz="4" w:space="0" w:color="auto"/>
              <w:right w:val="nil"/>
            </w:tcBorders>
            <w:shd w:val="clear" w:color="auto" w:fill="auto"/>
            <w:noWrap/>
            <w:vAlign w:val="bottom"/>
            <w:hideMark/>
          </w:tcPr>
          <w:p w14:paraId="7E7DFF56" w14:textId="06BB00E7" w:rsidR="008F4D74" w:rsidRPr="00ED572D" w:rsidRDefault="008F4D74" w:rsidP="008F4D74">
            <w:pPr>
              <w:spacing w:after="0" w:line="240" w:lineRule="auto"/>
              <w:jc w:val="right"/>
              <w:outlineLvl w:val="0"/>
              <w:rPr>
                <w:rFonts w:ascii="Arial" w:hAnsi="Arial" w:cs="Arial"/>
                <w:b/>
                <w:bCs/>
                <w:sz w:val="16"/>
                <w:szCs w:val="16"/>
              </w:rPr>
            </w:pPr>
            <w:r>
              <w:rPr>
                <w:rFonts w:ascii="Arial" w:hAnsi="Arial" w:cs="Arial"/>
                <w:b/>
                <w:bCs/>
                <w:sz w:val="16"/>
                <w:szCs w:val="16"/>
              </w:rPr>
              <w:t>3,049,926</w:t>
            </w:r>
          </w:p>
        </w:tc>
        <w:tc>
          <w:tcPr>
            <w:tcW w:w="681" w:type="pct"/>
            <w:gridSpan w:val="5"/>
            <w:tcBorders>
              <w:top w:val="single" w:sz="4" w:space="0" w:color="auto"/>
              <w:left w:val="nil"/>
              <w:bottom w:val="single" w:sz="4" w:space="0" w:color="auto"/>
              <w:right w:val="nil"/>
            </w:tcBorders>
            <w:shd w:val="clear" w:color="auto" w:fill="E6E6E6"/>
            <w:noWrap/>
            <w:vAlign w:val="bottom"/>
            <w:hideMark/>
          </w:tcPr>
          <w:p w14:paraId="42B977C2" w14:textId="4F1E500B" w:rsidR="008F4D74" w:rsidRPr="00ED572D" w:rsidRDefault="008F4D74" w:rsidP="008F4D74">
            <w:pPr>
              <w:spacing w:after="0" w:line="240" w:lineRule="auto"/>
              <w:jc w:val="right"/>
              <w:outlineLvl w:val="0"/>
              <w:rPr>
                <w:rFonts w:ascii="Arial" w:hAnsi="Arial" w:cs="Arial"/>
                <w:b/>
                <w:bCs/>
                <w:sz w:val="16"/>
                <w:szCs w:val="16"/>
              </w:rPr>
            </w:pPr>
            <w:r>
              <w:rPr>
                <w:rFonts w:ascii="Arial" w:hAnsi="Arial" w:cs="Arial"/>
                <w:b/>
                <w:bCs/>
                <w:sz w:val="16"/>
                <w:szCs w:val="16"/>
              </w:rPr>
              <w:t>2,897,268</w:t>
            </w:r>
          </w:p>
        </w:tc>
        <w:tc>
          <w:tcPr>
            <w:tcW w:w="625" w:type="pct"/>
            <w:tcBorders>
              <w:top w:val="single" w:sz="4" w:space="0" w:color="auto"/>
              <w:left w:val="nil"/>
              <w:bottom w:val="single" w:sz="4" w:space="0" w:color="auto"/>
              <w:right w:val="nil"/>
            </w:tcBorders>
            <w:shd w:val="clear" w:color="auto" w:fill="auto"/>
            <w:noWrap/>
            <w:vAlign w:val="bottom"/>
            <w:hideMark/>
          </w:tcPr>
          <w:p w14:paraId="60342E82" w14:textId="58F1A3B1" w:rsidR="008F4D74" w:rsidRPr="00ED572D" w:rsidRDefault="008F4D74" w:rsidP="008F4D74">
            <w:pPr>
              <w:spacing w:after="0" w:line="240" w:lineRule="auto"/>
              <w:jc w:val="right"/>
              <w:outlineLvl w:val="0"/>
              <w:rPr>
                <w:rFonts w:ascii="Arial" w:hAnsi="Arial" w:cs="Arial"/>
                <w:b/>
                <w:bCs/>
                <w:sz w:val="16"/>
                <w:szCs w:val="16"/>
              </w:rPr>
            </w:pPr>
            <w:r>
              <w:rPr>
                <w:rFonts w:ascii="Arial" w:hAnsi="Arial" w:cs="Arial"/>
                <w:b/>
                <w:bCs/>
                <w:sz w:val="16"/>
                <w:szCs w:val="16"/>
              </w:rPr>
              <w:t>2,953,098</w:t>
            </w:r>
          </w:p>
        </w:tc>
        <w:tc>
          <w:tcPr>
            <w:tcW w:w="650" w:type="pct"/>
            <w:gridSpan w:val="3"/>
            <w:tcBorders>
              <w:top w:val="single" w:sz="4" w:space="0" w:color="auto"/>
              <w:left w:val="nil"/>
              <w:bottom w:val="single" w:sz="4" w:space="0" w:color="auto"/>
              <w:right w:val="nil"/>
            </w:tcBorders>
            <w:shd w:val="clear" w:color="auto" w:fill="auto"/>
            <w:noWrap/>
            <w:vAlign w:val="bottom"/>
            <w:hideMark/>
          </w:tcPr>
          <w:p w14:paraId="4CE913AF" w14:textId="49219424" w:rsidR="008F4D74" w:rsidRPr="00ED572D" w:rsidRDefault="008F4D74" w:rsidP="008F4D74">
            <w:pPr>
              <w:spacing w:after="0" w:line="240" w:lineRule="auto"/>
              <w:jc w:val="right"/>
              <w:outlineLvl w:val="0"/>
              <w:rPr>
                <w:rFonts w:ascii="Arial" w:hAnsi="Arial" w:cs="Arial"/>
                <w:b/>
                <w:bCs/>
                <w:sz w:val="16"/>
                <w:szCs w:val="16"/>
              </w:rPr>
            </w:pPr>
            <w:r>
              <w:rPr>
                <w:rFonts w:ascii="Arial" w:hAnsi="Arial" w:cs="Arial"/>
                <w:b/>
                <w:bCs/>
                <w:sz w:val="16"/>
                <w:szCs w:val="16"/>
              </w:rPr>
              <w:t>2,919,993</w:t>
            </w:r>
          </w:p>
        </w:tc>
        <w:tc>
          <w:tcPr>
            <w:tcW w:w="615" w:type="pct"/>
            <w:tcBorders>
              <w:top w:val="single" w:sz="4" w:space="0" w:color="auto"/>
              <w:left w:val="nil"/>
              <w:bottom w:val="single" w:sz="4" w:space="0" w:color="auto"/>
              <w:right w:val="nil"/>
            </w:tcBorders>
            <w:shd w:val="clear" w:color="auto" w:fill="auto"/>
            <w:noWrap/>
            <w:vAlign w:val="bottom"/>
            <w:hideMark/>
          </w:tcPr>
          <w:p w14:paraId="24A4EDFA" w14:textId="283D16ED" w:rsidR="008F4D74" w:rsidRPr="00ED572D" w:rsidRDefault="008F4D74" w:rsidP="008F4D74">
            <w:pPr>
              <w:spacing w:after="0" w:line="240" w:lineRule="auto"/>
              <w:jc w:val="right"/>
              <w:outlineLvl w:val="0"/>
              <w:rPr>
                <w:rFonts w:ascii="Arial" w:hAnsi="Arial" w:cs="Arial"/>
                <w:b/>
                <w:bCs/>
                <w:sz w:val="16"/>
                <w:szCs w:val="16"/>
              </w:rPr>
            </w:pPr>
            <w:r>
              <w:rPr>
                <w:rFonts w:ascii="Arial" w:hAnsi="Arial" w:cs="Arial"/>
                <w:b/>
                <w:bCs/>
                <w:sz w:val="16"/>
                <w:szCs w:val="16"/>
              </w:rPr>
              <w:t>2,903,927</w:t>
            </w:r>
          </w:p>
        </w:tc>
      </w:tr>
      <w:tr w:rsidR="00115843" w:rsidRPr="00ED572D" w14:paraId="2AEAEE03" w14:textId="77777777" w:rsidTr="00CD1CF1">
        <w:trPr>
          <w:gridAfter w:val="2"/>
          <w:wAfter w:w="16" w:type="pct"/>
          <w:trHeight w:val="204"/>
        </w:trPr>
        <w:tc>
          <w:tcPr>
            <w:tcW w:w="4984" w:type="pct"/>
            <w:gridSpan w:val="14"/>
            <w:tcBorders>
              <w:top w:val="single" w:sz="4" w:space="0" w:color="auto"/>
              <w:left w:val="nil"/>
              <w:bottom w:val="single" w:sz="4" w:space="0" w:color="auto"/>
              <w:right w:val="nil"/>
            </w:tcBorders>
            <w:shd w:val="clear" w:color="auto" w:fill="E6E6E6"/>
            <w:noWrap/>
            <w:vAlign w:val="bottom"/>
            <w:hideMark/>
          </w:tcPr>
          <w:p w14:paraId="4DAAC240" w14:textId="77777777" w:rsidR="00115843" w:rsidRPr="00ED572D" w:rsidRDefault="00115843" w:rsidP="00FB0D02">
            <w:pPr>
              <w:spacing w:after="0" w:line="240" w:lineRule="auto"/>
              <w:rPr>
                <w:rFonts w:ascii="Arial" w:hAnsi="Arial" w:cs="Arial"/>
                <w:sz w:val="16"/>
                <w:szCs w:val="16"/>
              </w:rPr>
            </w:pPr>
            <w:r w:rsidRPr="00ED572D">
              <w:rPr>
                <w:rFonts w:ascii="Arial" w:hAnsi="Arial" w:cs="Arial"/>
                <w:b/>
                <w:bCs/>
                <w:sz w:val="16"/>
                <w:szCs w:val="16"/>
              </w:rPr>
              <w:t>Program 5.2 Program Support for Outcome 5</w:t>
            </w:r>
          </w:p>
        </w:tc>
      </w:tr>
      <w:tr w:rsidR="00115843" w:rsidRPr="00ED572D" w14:paraId="07A4E74C" w14:textId="77777777" w:rsidTr="00CD1CF1">
        <w:trPr>
          <w:gridAfter w:val="2"/>
          <w:wAfter w:w="16" w:type="pct"/>
          <w:trHeight w:val="204"/>
        </w:trPr>
        <w:tc>
          <w:tcPr>
            <w:tcW w:w="1727" w:type="pct"/>
            <w:tcBorders>
              <w:top w:val="nil"/>
              <w:left w:val="nil"/>
              <w:bottom w:val="nil"/>
              <w:right w:val="nil"/>
            </w:tcBorders>
            <w:shd w:val="clear" w:color="auto" w:fill="auto"/>
            <w:noWrap/>
            <w:vAlign w:val="bottom"/>
            <w:hideMark/>
          </w:tcPr>
          <w:p w14:paraId="11B9BDFD" w14:textId="77777777" w:rsidR="00115843" w:rsidRPr="00ED572D" w:rsidRDefault="00115843" w:rsidP="00FB0D02">
            <w:pPr>
              <w:spacing w:after="0" w:line="240" w:lineRule="auto"/>
              <w:rPr>
                <w:rFonts w:ascii="Arial" w:hAnsi="Arial" w:cs="Arial"/>
                <w:sz w:val="16"/>
                <w:szCs w:val="16"/>
              </w:rPr>
            </w:pPr>
            <w:r w:rsidRPr="00ED572D">
              <w:rPr>
                <w:rFonts w:ascii="Arial" w:hAnsi="Arial" w:cs="Arial"/>
                <w:sz w:val="16"/>
                <w:szCs w:val="16"/>
              </w:rPr>
              <w:t>Departmental expenses</w:t>
            </w:r>
          </w:p>
        </w:tc>
        <w:tc>
          <w:tcPr>
            <w:tcW w:w="717" w:type="pct"/>
            <w:gridSpan w:val="5"/>
            <w:tcBorders>
              <w:top w:val="nil"/>
              <w:left w:val="nil"/>
              <w:bottom w:val="nil"/>
              <w:right w:val="nil"/>
            </w:tcBorders>
            <w:shd w:val="clear" w:color="auto" w:fill="auto"/>
            <w:noWrap/>
            <w:vAlign w:val="bottom"/>
            <w:hideMark/>
          </w:tcPr>
          <w:p w14:paraId="1DBA3EAC" w14:textId="77777777" w:rsidR="00115843" w:rsidRPr="00ED572D" w:rsidRDefault="00115843" w:rsidP="00FB0D02">
            <w:pPr>
              <w:spacing w:after="0" w:line="240" w:lineRule="auto"/>
              <w:jc w:val="right"/>
              <w:rPr>
                <w:rFonts w:ascii="Arial" w:hAnsi="Arial" w:cs="Arial"/>
                <w:sz w:val="16"/>
                <w:szCs w:val="16"/>
              </w:rPr>
            </w:pPr>
          </w:p>
        </w:tc>
        <w:tc>
          <w:tcPr>
            <w:tcW w:w="641" w:type="pct"/>
            <w:gridSpan w:val="2"/>
            <w:tcBorders>
              <w:top w:val="nil"/>
              <w:left w:val="nil"/>
              <w:bottom w:val="nil"/>
              <w:right w:val="nil"/>
            </w:tcBorders>
            <w:shd w:val="clear" w:color="auto" w:fill="E6E6E6"/>
            <w:noWrap/>
            <w:vAlign w:val="bottom"/>
            <w:hideMark/>
          </w:tcPr>
          <w:p w14:paraId="0D0302F6" w14:textId="77777777" w:rsidR="00115843" w:rsidRPr="00ED572D" w:rsidRDefault="00115843" w:rsidP="00FB0D02">
            <w:pPr>
              <w:spacing w:after="0" w:line="240" w:lineRule="auto"/>
              <w:jc w:val="right"/>
              <w:rPr>
                <w:rFonts w:ascii="Arial" w:hAnsi="Arial" w:cs="Arial"/>
                <w:sz w:val="16"/>
                <w:szCs w:val="16"/>
              </w:rPr>
            </w:pPr>
          </w:p>
        </w:tc>
        <w:tc>
          <w:tcPr>
            <w:tcW w:w="673" w:type="pct"/>
            <w:gridSpan w:val="3"/>
            <w:tcBorders>
              <w:top w:val="nil"/>
              <w:left w:val="nil"/>
              <w:bottom w:val="nil"/>
              <w:right w:val="nil"/>
            </w:tcBorders>
            <w:shd w:val="clear" w:color="auto" w:fill="auto"/>
            <w:noWrap/>
            <w:vAlign w:val="bottom"/>
            <w:hideMark/>
          </w:tcPr>
          <w:p w14:paraId="47954CDE" w14:textId="77777777" w:rsidR="00115843" w:rsidRPr="00ED572D" w:rsidRDefault="00115843" w:rsidP="00FB0D02">
            <w:pPr>
              <w:spacing w:after="0" w:line="240" w:lineRule="auto"/>
              <w:jc w:val="right"/>
              <w:rPr>
                <w:rFonts w:ascii="Arial" w:hAnsi="Arial" w:cs="Arial"/>
                <w:sz w:val="16"/>
                <w:szCs w:val="16"/>
              </w:rPr>
            </w:pPr>
          </w:p>
        </w:tc>
        <w:tc>
          <w:tcPr>
            <w:tcW w:w="502" w:type="pct"/>
            <w:tcBorders>
              <w:top w:val="nil"/>
              <w:left w:val="nil"/>
              <w:bottom w:val="nil"/>
              <w:right w:val="nil"/>
            </w:tcBorders>
            <w:shd w:val="clear" w:color="auto" w:fill="auto"/>
            <w:noWrap/>
            <w:vAlign w:val="bottom"/>
            <w:hideMark/>
          </w:tcPr>
          <w:p w14:paraId="45B2AEA6" w14:textId="77777777" w:rsidR="00115843" w:rsidRPr="00ED572D" w:rsidRDefault="00115843" w:rsidP="00FB0D02">
            <w:pPr>
              <w:spacing w:after="0" w:line="240" w:lineRule="auto"/>
              <w:jc w:val="right"/>
              <w:rPr>
                <w:rFonts w:ascii="Arial" w:hAnsi="Arial" w:cs="Arial"/>
                <w:sz w:val="16"/>
                <w:szCs w:val="16"/>
              </w:rPr>
            </w:pPr>
          </w:p>
        </w:tc>
        <w:tc>
          <w:tcPr>
            <w:tcW w:w="726" w:type="pct"/>
            <w:gridSpan w:val="2"/>
            <w:tcBorders>
              <w:top w:val="nil"/>
              <w:left w:val="nil"/>
              <w:bottom w:val="nil"/>
              <w:right w:val="nil"/>
            </w:tcBorders>
            <w:shd w:val="clear" w:color="auto" w:fill="auto"/>
            <w:noWrap/>
            <w:vAlign w:val="bottom"/>
            <w:hideMark/>
          </w:tcPr>
          <w:p w14:paraId="72E2F383" w14:textId="77777777" w:rsidR="00115843" w:rsidRPr="00ED572D" w:rsidRDefault="00115843" w:rsidP="00FB0D02">
            <w:pPr>
              <w:spacing w:after="0" w:line="240" w:lineRule="auto"/>
              <w:jc w:val="right"/>
              <w:rPr>
                <w:rFonts w:ascii="Arial" w:hAnsi="Arial" w:cs="Arial"/>
                <w:sz w:val="16"/>
                <w:szCs w:val="16"/>
              </w:rPr>
            </w:pPr>
          </w:p>
        </w:tc>
      </w:tr>
      <w:tr w:rsidR="008F4D74" w:rsidRPr="00ED572D" w14:paraId="64A928C0" w14:textId="77777777" w:rsidTr="00CD1CF1">
        <w:trPr>
          <w:gridAfter w:val="2"/>
          <w:wAfter w:w="16" w:type="pct"/>
          <w:trHeight w:val="204"/>
        </w:trPr>
        <w:tc>
          <w:tcPr>
            <w:tcW w:w="1727" w:type="pct"/>
            <w:tcBorders>
              <w:top w:val="nil"/>
              <w:left w:val="nil"/>
              <w:bottom w:val="nil"/>
              <w:right w:val="nil"/>
            </w:tcBorders>
            <w:shd w:val="clear" w:color="auto" w:fill="auto"/>
            <w:vAlign w:val="bottom"/>
            <w:hideMark/>
          </w:tcPr>
          <w:p w14:paraId="5C4A0814"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Departmental appropriation</w:t>
            </w:r>
          </w:p>
        </w:tc>
        <w:tc>
          <w:tcPr>
            <w:tcW w:w="717" w:type="pct"/>
            <w:gridSpan w:val="5"/>
            <w:tcBorders>
              <w:top w:val="nil"/>
              <w:left w:val="nil"/>
              <w:bottom w:val="nil"/>
              <w:right w:val="nil"/>
            </w:tcBorders>
            <w:shd w:val="clear" w:color="auto" w:fill="auto"/>
            <w:noWrap/>
            <w:vAlign w:val="bottom"/>
            <w:hideMark/>
          </w:tcPr>
          <w:p w14:paraId="1F24CD52" w14:textId="2D48955E"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75,002</w:t>
            </w:r>
          </w:p>
        </w:tc>
        <w:tc>
          <w:tcPr>
            <w:tcW w:w="641" w:type="pct"/>
            <w:gridSpan w:val="2"/>
            <w:tcBorders>
              <w:top w:val="nil"/>
              <w:left w:val="nil"/>
              <w:bottom w:val="nil"/>
              <w:right w:val="nil"/>
            </w:tcBorders>
            <w:shd w:val="clear" w:color="auto" w:fill="E6E6E6"/>
            <w:noWrap/>
            <w:vAlign w:val="bottom"/>
            <w:hideMark/>
          </w:tcPr>
          <w:p w14:paraId="61E58566" w14:textId="5496F124"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75,742</w:t>
            </w:r>
          </w:p>
        </w:tc>
        <w:tc>
          <w:tcPr>
            <w:tcW w:w="673" w:type="pct"/>
            <w:gridSpan w:val="3"/>
            <w:tcBorders>
              <w:top w:val="nil"/>
              <w:left w:val="nil"/>
              <w:bottom w:val="nil"/>
              <w:right w:val="nil"/>
            </w:tcBorders>
            <w:shd w:val="clear" w:color="auto" w:fill="auto"/>
            <w:noWrap/>
            <w:vAlign w:val="bottom"/>
            <w:hideMark/>
          </w:tcPr>
          <w:p w14:paraId="3D3B8640" w14:textId="3DADE28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78,694</w:t>
            </w:r>
          </w:p>
        </w:tc>
        <w:tc>
          <w:tcPr>
            <w:tcW w:w="502" w:type="pct"/>
            <w:tcBorders>
              <w:top w:val="nil"/>
              <w:left w:val="nil"/>
              <w:bottom w:val="nil"/>
              <w:right w:val="nil"/>
            </w:tcBorders>
            <w:shd w:val="clear" w:color="auto" w:fill="auto"/>
            <w:noWrap/>
            <w:vAlign w:val="bottom"/>
            <w:hideMark/>
          </w:tcPr>
          <w:p w14:paraId="2F9A2A2E" w14:textId="52D8E0F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69,121</w:t>
            </w:r>
          </w:p>
        </w:tc>
        <w:tc>
          <w:tcPr>
            <w:tcW w:w="726" w:type="pct"/>
            <w:gridSpan w:val="2"/>
            <w:tcBorders>
              <w:top w:val="nil"/>
              <w:left w:val="nil"/>
              <w:bottom w:val="nil"/>
              <w:right w:val="nil"/>
            </w:tcBorders>
            <w:shd w:val="clear" w:color="auto" w:fill="auto"/>
            <w:noWrap/>
            <w:vAlign w:val="bottom"/>
            <w:hideMark/>
          </w:tcPr>
          <w:p w14:paraId="4850F3E3" w14:textId="653C125D"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62,160</w:t>
            </w:r>
          </w:p>
        </w:tc>
      </w:tr>
      <w:tr w:rsidR="008F4D74" w:rsidRPr="00ED572D" w14:paraId="65036BB6" w14:textId="77777777" w:rsidTr="00CD1CF1">
        <w:trPr>
          <w:gridAfter w:val="2"/>
          <w:wAfter w:w="16" w:type="pct"/>
          <w:trHeight w:val="204"/>
        </w:trPr>
        <w:tc>
          <w:tcPr>
            <w:tcW w:w="1727" w:type="pct"/>
            <w:tcBorders>
              <w:top w:val="nil"/>
              <w:left w:val="nil"/>
              <w:bottom w:val="nil"/>
              <w:right w:val="nil"/>
            </w:tcBorders>
            <w:shd w:val="clear" w:color="auto" w:fill="auto"/>
            <w:vAlign w:val="bottom"/>
            <w:hideMark/>
          </w:tcPr>
          <w:p w14:paraId="488D2D0F"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 xml:space="preserve">s74 external revenues </w:t>
            </w:r>
            <w:r w:rsidRPr="00ED572D">
              <w:rPr>
                <w:rFonts w:ascii="Arial" w:hAnsi="Arial" w:cs="Arial"/>
                <w:sz w:val="16"/>
                <w:szCs w:val="16"/>
                <w:vertAlign w:val="superscript"/>
              </w:rPr>
              <w:t>(c)</w:t>
            </w:r>
          </w:p>
        </w:tc>
        <w:tc>
          <w:tcPr>
            <w:tcW w:w="717" w:type="pct"/>
            <w:gridSpan w:val="5"/>
            <w:tcBorders>
              <w:top w:val="nil"/>
              <w:left w:val="nil"/>
              <w:bottom w:val="nil"/>
              <w:right w:val="nil"/>
            </w:tcBorders>
            <w:shd w:val="clear" w:color="auto" w:fill="auto"/>
            <w:noWrap/>
            <w:vAlign w:val="bottom"/>
            <w:hideMark/>
          </w:tcPr>
          <w:p w14:paraId="6B067416" w14:textId="4C996C6D"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1,984</w:t>
            </w:r>
          </w:p>
        </w:tc>
        <w:tc>
          <w:tcPr>
            <w:tcW w:w="641" w:type="pct"/>
            <w:gridSpan w:val="2"/>
            <w:tcBorders>
              <w:top w:val="nil"/>
              <w:left w:val="nil"/>
              <w:bottom w:val="nil"/>
              <w:right w:val="nil"/>
            </w:tcBorders>
            <w:shd w:val="clear" w:color="auto" w:fill="E6E6E6"/>
            <w:noWrap/>
            <w:vAlign w:val="bottom"/>
            <w:hideMark/>
          </w:tcPr>
          <w:p w14:paraId="71A04F73" w14:textId="34E167FE"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2,406</w:t>
            </w:r>
          </w:p>
        </w:tc>
        <w:tc>
          <w:tcPr>
            <w:tcW w:w="673" w:type="pct"/>
            <w:gridSpan w:val="3"/>
            <w:tcBorders>
              <w:top w:val="nil"/>
              <w:left w:val="nil"/>
              <w:bottom w:val="nil"/>
              <w:right w:val="nil"/>
            </w:tcBorders>
            <w:shd w:val="clear" w:color="auto" w:fill="auto"/>
            <w:noWrap/>
            <w:vAlign w:val="bottom"/>
            <w:hideMark/>
          </w:tcPr>
          <w:p w14:paraId="2E14D881" w14:textId="465F3F4F"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2,406</w:t>
            </w:r>
          </w:p>
        </w:tc>
        <w:tc>
          <w:tcPr>
            <w:tcW w:w="502" w:type="pct"/>
            <w:tcBorders>
              <w:top w:val="nil"/>
              <w:left w:val="nil"/>
              <w:bottom w:val="nil"/>
              <w:right w:val="nil"/>
            </w:tcBorders>
            <w:shd w:val="clear" w:color="auto" w:fill="auto"/>
            <w:noWrap/>
            <w:vAlign w:val="bottom"/>
            <w:hideMark/>
          </w:tcPr>
          <w:p w14:paraId="70C28BBA" w14:textId="4F0C90D7"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2,049</w:t>
            </w:r>
          </w:p>
        </w:tc>
        <w:tc>
          <w:tcPr>
            <w:tcW w:w="726" w:type="pct"/>
            <w:gridSpan w:val="2"/>
            <w:tcBorders>
              <w:top w:val="nil"/>
              <w:left w:val="nil"/>
              <w:bottom w:val="nil"/>
              <w:right w:val="nil"/>
            </w:tcBorders>
            <w:shd w:val="clear" w:color="auto" w:fill="auto"/>
            <w:noWrap/>
            <w:vAlign w:val="bottom"/>
            <w:hideMark/>
          </w:tcPr>
          <w:p w14:paraId="7277479E" w14:textId="301D6B76"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2,049</w:t>
            </w:r>
          </w:p>
        </w:tc>
      </w:tr>
      <w:tr w:rsidR="008F4D74" w:rsidRPr="00ED572D" w14:paraId="38FD296C" w14:textId="77777777" w:rsidTr="00CD1CF1">
        <w:trPr>
          <w:gridAfter w:val="2"/>
          <w:wAfter w:w="16" w:type="pct"/>
          <w:trHeight w:val="204"/>
        </w:trPr>
        <w:tc>
          <w:tcPr>
            <w:tcW w:w="1727" w:type="pct"/>
            <w:tcBorders>
              <w:top w:val="nil"/>
              <w:left w:val="nil"/>
              <w:bottom w:val="nil"/>
              <w:right w:val="nil"/>
            </w:tcBorders>
            <w:shd w:val="clear" w:color="auto" w:fill="auto"/>
            <w:vAlign w:val="bottom"/>
            <w:hideMark/>
          </w:tcPr>
          <w:p w14:paraId="4F4813EF"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Special Accounts</w:t>
            </w:r>
          </w:p>
        </w:tc>
        <w:tc>
          <w:tcPr>
            <w:tcW w:w="717" w:type="pct"/>
            <w:gridSpan w:val="5"/>
            <w:tcBorders>
              <w:top w:val="nil"/>
              <w:left w:val="nil"/>
              <w:bottom w:val="nil"/>
              <w:right w:val="nil"/>
            </w:tcBorders>
            <w:shd w:val="clear" w:color="auto" w:fill="auto"/>
            <w:noWrap/>
            <w:vAlign w:val="bottom"/>
            <w:hideMark/>
          </w:tcPr>
          <w:p w14:paraId="1B31AA78" w14:textId="77777777" w:rsidR="008F4D74" w:rsidRPr="00ED572D" w:rsidRDefault="008F4D74" w:rsidP="008F4D74">
            <w:pPr>
              <w:spacing w:after="0" w:line="240" w:lineRule="auto"/>
              <w:jc w:val="right"/>
              <w:rPr>
                <w:rFonts w:ascii="Arial" w:hAnsi="Arial" w:cs="Arial"/>
                <w:sz w:val="16"/>
                <w:szCs w:val="16"/>
              </w:rPr>
            </w:pPr>
          </w:p>
        </w:tc>
        <w:tc>
          <w:tcPr>
            <w:tcW w:w="641" w:type="pct"/>
            <w:gridSpan w:val="2"/>
            <w:tcBorders>
              <w:top w:val="nil"/>
              <w:left w:val="nil"/>
              <w:bottom w:val="nil"/>
              <w:right w:val="nil"/>
            </w:tcBorders>
            <w:shd w:val="clear" w:color="auto" w:fill="E6E6E6"/>
            <w:noWrap/>
            <w:vAlign w:val="bottom"/>
            <w:hideMark/>
          </w:tcPr>
          <w:p w14:paraId="5B656D9F" w14:textId="73B06229" w:rsidR="008F4D74" w:rsidRPr="00ED572D" w:rsidRDefault="008F4D74" w:rsidP="008F4D74">
            <w:pPr>
              <w:spacing w:after="0" w:line="240" w:lineRule="auto"/>
              <w:jc w:val="right"/>
              <w:rPr>
                <w:rFonts w:ascii="Arial" w:hAnsi="Arial" w:cs="Arial"/>
                <w:sz w:val="16"/>
                <w:szCs w:val="16"/>
              </w:rPr>
            </w:pPr>
          </w:p>
        </w:tc>
        <w:tc>
          <w:tcPr>
            <w:tcW w:w="673" w:type="pct"/>
            <w:gridSpan w:val="3"/>
            <w:tcBorders>
              <w:top w:val="nil"/>
              <w:left w:val="nil"/>
              <w:bottom w:val="nil"/>
              <w:right w:val="nil"/>
            </w:tcBorders>
            <w:shd w:val="clear" w:color="auto" w:fill="auto"/>
            <w:noWrap/>
            <w:vAlign w:val="bottom"/>
            <w:hideMark/>
          </w:tcPr>
          <w:p w14:paraId="5D2B5729" w14:textId="77777777" w:rsidR="008F4D74" w:rsidRPr="00ED572D" w:rsidRDefault="008F4D74" w:rsidP="008F4D74">
            <w:pPr>
              <w:spacing w:after="0" w:line="240" w:lineRule="auto"/>
              <w:jc w:val="right"/>
              <w:rPr>
                <w:rFonts w:ascii="Arial" w:hAnsi="Arial" w:cs="Arial"/>
                <w:sz w:val="16"/>
                <w:szCs w:val="16"/>
              </w:rPr>
            </w:pPr>
          </w:p>
        </w:tc>
        <w:tc>
          <w:tcPr>
            <w:tcW w:w="502" w:type="pct"/>
            <w:tcBorders>
              <w:top w:val="nil"/>
              <w:left w:val="nil"/>
              <w:bottom w:val="nil"/>
              <w:right w:val="nil"/>
            </w:tcBorders>
            <w:shd w:val="clear" w:color="auto" w:fill="auto"/>
            <w:noWrap/>
            <w:vAlign w:val="bottom"/>
            <w:hideMark/>
          </w:tcPr>
          <w:p w14:paraId="62BB9709" w14:textId="77777777" w:rsidR="008F4D74" w:rsidRPr="00ED572D" w:rsidRDefault="008F4D74" w:rsidP="008F4D74">
            <w:pPr>
              <w:spacing w:after="0" w:line="240" w:lineRule="auto"/>
              <w:jc w:val="right"/>
              <w:rPr>
                <w:rFonts w:ascii="Arial" w:hAnsi="Arial" w:cs="Arial"/>
                <w:sz w:val="16"/>
                <w:szCs w:val="16"/>
              </w:rPr>
            </w:pPr>
          </w:p>
        </w:tc>
        <w:tc>
          <w:tcPr>
            <w:tcW w:w="726" w:type="pct"/>
            <w:gridSpan w:val="2"/>
            <w:tcBorders>
              <w:top w:val="nil"/>
              <w:left w:val="nil"/>
              <w:bottom w:val="nil"/>
              <w:right w:val="nil"/>
            </w:tcBorders>
            <w:shd w:val="clear" w:color="auto" w:fill="auto"/>
            <w:noWrap/>
            <w:vAlign w:val="bottom"/>
            <w:hideMark/>
          </w:tcPr>
          <w:p w14:paraId="519E17A0" w14:textId="77777777" w:rsidR="008F4D74" w:rsidRPr="00ED572D" w:rsidRDefault="008F4D74" w:rsidP="008F4D74">
            <w:pPr>
              <w:spacing w:after="0" w:line="240" w:lineRule="auto"/>
              <w:jc w:val="right"/>
              <w:rPr>
                <w:rFonts w:ascii="Arial" w:hAnsi="Arial" w:cs="Arial"/>
                <w:sz w:val="16"/>
                <w:szCs w:val="16"/>
              </w:rPr>
            </w:pPr>
          </w:p>
        </w:tc>
      </w:tr>
      <w:tr w:rsidR="008F4D74" w:rsidRPr="00ED572D" w14:paraId="06C3E4C4" w14:textId="77777777" w:rsidTr="00CD1CF1">
        <w:trPr>
          <w:gridAfter w:val="2"/>
          <w:wAfter w:w="16" w:type="pct"/>
          <w:trHeight w:val="204"/>
        </w:trPr>
        <w:tc>
          <w:tcPr>
            <w:tcW w:w="1727" w:type="pct"/>
            <w:tcBorders>
              <w:top w:val="nil"/>
              <w:left w:val="nil"/>
              <w:bottom w:val="nil"/>
              <w:right w:val="nil"/>
            </w:tcBorders>
            <w:shd w:val="clear" w:color="auto" w:fill="auto"/>
            <w:vAlign w:val="bottom"/>
            <w:hideMark/>
          </w:tcPr>
          <w:p w14:paraId="632AD4F8" w14:textId="77777777" w:rsidR="008F4D74" w:rsidRPr="00ED572D" w:rsidRDefault="008F4D74" w:rsidP="00662504">
            <w:pPr>
              <w:spacing w:after="0" w:line="240" w:lineRule="auto"/>
              <w:ind w:left="227"/>
              <w:rPr>
                <w:rFonts w:ascii="Arial" w:hAnsi="Arial" w:cs="Arial"/>
                <w:sz w:val="16"/>
                <w:szCs w:val="16"/>
              </w:rPr>
            </w:pPr>
            <w:r w:rsidRPr="00ED572D">
              <w:rPr>
                <w:rFonts w:ascii="Arial" w:hAnsi="Arial" w:cs="Arial"/>
                <w:sz w:val="16"/>
                <w:szCs w:val="16"/>
              </w:rPr>
              <w:t>Public Interest Telecommunications Services Special Account</w:t>
            </w:r>
          </w:p>
        </w:tc>
        <w:tc>
          <w:tcPr>
            <w:tcW w:w="717" w:type="pct"/>
            <w:gridSpan w:val="5"/>
            <w:tcBorders>
              <w:top w:val="nil"/>
              <w:left w:val="nil"/>
              <w:bottom w:val="nil"/>
              <w:right w:val="nil"/>
            </w:tcBorders>
            <w:shd w:val="clear" w:color="auto" w:fill="auto"/>
            <w:noWrap/>
            <w:vAlign w:val="bottom"/>
            <w:hideMark/>
          </w:tcPr>
          <w:p w14:paraId="7D392BE5" w14:textId="50B2A5FF" w:rsidR="008F4D74" w:rsidRPr="00ED572D" w:rsidRDefault="008F4D74" w:rsidP="008F4D74">
            <w:pPr>
              <w:spacing w:after="0" w:line="240" w:lineRule="auto"/>
              <w:jc w:val="right"/>
              <w:rPr>
                <w:rFonts w:ascii="Arial" w:hAnsi="Arial" w:cs="Arial"/>
                <w:color w:val="000000" w:themeColor="text1"/>
                <w:sz w:val="16"/>
                <w:szCs w:val="16"/>
              </w:rPr>
            </w:pPr>
            <w:r>
              <w:rPr>
                <w:rFonts w:ascii="Arial" w:hAnsi="Arial" w:cs="Arial"/>
                <w:sz w:val="16"/>
                <w:szCs w:val="16"/>
              </w:rPr>
              <w:t>4,046</w:t>
            </w:r>
          </w:p>
        </w:tc>
        <w:tc>
          <w:tcPr>
            <w:tcW w:w="641" w:type="pct"/>
            <w:gridSpan w:val="2"/>
            <w:tcBorders>
              <w:top w:val="nil"/>
              <w:left w:val="nil"/>
              <w:bottom w:val="nil"/>
              <w:right w:val="nil"/>
            </w:tcBorders>
            <w:shd w:val="clear" w:color="auto" w:fill="E6E6E6"/>
            <w:noWrap/>
            <w:vAlign w:val="bottom"/>
            <w:hideMark/>
          </w:tcPr>
          <w:p w14:paraId="1555EF6C" w14:textId="7096FF13"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4,046</w:t>
            </w:r>
          </w:p>
        </w:tc>
        <w:tc>
          <w:tcPr>
            <w:tcW w:w="673" w:type="pct"/>
            <w:gridSpan w:val="3"/>
            <w:tcBorders>
              <w:top w:val="nil"/>
              <w:left w:val="nil"/>
              <w:bottom w:val="nil"/>
              <w:right w:val="nil"/>
            </w:tcBorders>
            <w:shd w:val="clear" w:color="auto" w:fill="auto"/>
            <w:noWrap/>
            <w:vAlign w:val="bottom"/>
            <w:hideMark/>
          </w:tcPr>
          <w:p w14:paraId="1CCEC632" w14:textId="6BC47B21"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4,046</w:t>
            </w:r>
          </w:p>
        </w:tc>
        <w:tc>
          <w:tcPr>
            <w:tcW w:w="502" w:type="pct"/>
            <w:tcBorders>
              <w:top w:val="nil"/>
              <w:left w:val="nil"/>
              <w:bottom w:val="nil"/>
              <w:right w:val="nil"/>
            </w:tcBorders>
            <w:shd w:val="clear" w:color="auto" w:fill="auto"/>
            <w:noWrap/>
            <w:vAlign w:val="bottom"/>
            <w:hideMark/>
          </w:tcPr>
          <w:p w14:paraId="43963C56" w14:textId="6BB48B4F"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4,046</w:t>
            </w:r>
          </w:p>
        </w:tc>
        <w:tc>
          <w:tcPr>
            <w:tcW w:w="726" w:type="pct"/>
            <w:gridSpan w:val="2"/>
            <w:tcBorders>
              <w:top w:val="nil"/>
              <w:left w:val="nil"/>
              <w:bottom w:val="nil"/>
              <w:right w:val="nil"/>
            </w:tcBorders>
            <w:shd w:val="clear" w:color="auto" w:fill="auto"/>
            <w:noWrap/>
            <w:vAlign w:val="bottom"/>
            <w:hideMark/>
          </w:tcPr>
          <w:p w14:paraId="759596B7" w14:textId="08514C50"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4,046</w:t>
            </w:r>
          </w:p>
        </w:tc>
      </w:tr>
      <w:tr w:rsidR="008F4D74" w:rsidRPr="00ED572D" w14:paraId="121811D7" w14:textId="77777777" w:rsidTr="00CD1CF1">
        <w:trPr>
          <w:gridAfter w:val="2"/>
          <w:wAfter w:w="16" w:type="pct"/>
          <w:trHeight w:val="204"/>
        </w:trPr>
        <w:tc>
          <w:tcPr>
            <w:tcW w:w="1727" w:type="pct"/>
            <w:tcBorders>
              <w:top w:val="nil"/>
              <w:left w:val="nil"/>
              <w:bottom w:val="nil"/>
              <w:right w:val="nil"/>
            </w:tcBorders>
            <w:shd w:val="clear" w:color="auto" w:fill="auto"/>
            <w:vAlign w:val="bottom"/>
            <w:hideMark/>
          </w:tcPr>
          <w:p w14:paraId="242BF777" w14:textId="77777777" w:rsidR="008F4D74" w:rsidRPr="00ED572D" w:rsidRDefault="008F4D74" w:rsidP="008F4D74">
            <w:pPr>
              <w:spacing w:after="0" w:line="240" w:lineRule="auto"/>
              <w:ind w:left="113"/>
              <w:rPr>
                <w:rFonts w:ascii="Arial" w:hAnsi="Arial" w:cs="Arial"/>
                <w:sz w:val="16"/>
                <w:szCs w:val="16"/>
              </w:rPr>
            </w:pPr>
            <w:r w:rsidRPr="00ED572D">
              <w:rPr>
                <w:rFonts w:ascii="Arial" w:hAnsi="Arial" w:cs="Arial"/>
                <w:sz w:val="16"/>
                <w:szCs w:val="16"/>
              </w:rPr>
              <w:t>Expenses not requiring appropriation in the Budget year </w:t>
            </w:r>
            <w:r w:rsidRPr="00ED572D">
              <w:rPr>
                <w:rFonts w:ascii="Arial" w:hAnsi="Arial" w:cs="Arial"/>
                <w:sz w:val="16"/>
                <w:szCs w:val="16"/>
                <w:vertAlign w:val="superscript"/>
              </w:rPr>
              <w:t>(d)</w:t>
            </w:r>
          </w:p>
        </w:tc>
        <w:tc>
          <w:tcPr>
            <w:tcW w:w="717" w:type="pct"/>
            <w:gridSpan w:val="5"/>
            <w:tcBorders>
              <w:top w:val="nil"/>
              <w:left w:val="nil"/>
              <w:bottom w:val="nil"/>
              <w:right w:val="nil"/>
            </w:tcBorders>
            <w:shd w:val="clear" w:color="auto" w:fill="auto"/>
            <w:noWrap/>
            <w:vAlign w:val="bottom"/>
            <w:hideMark/>
          </w:tcPr>
          <w:p w14:paraId="45C155EA" w14:textId="31E96138"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3,010</w:t>
            </w:r>
          </w:p>
        </w:tc>
        <w:tc>
          <w:tcPr>
            <w:tcW w:w="641" w:type="pct"/>
            <w:gridSpan w:val="2"/>
            <w:tcBorders>
              <w:top w:val="nil"/>
              <w:left w:val="nil"/>
              <w:bottom w:val="nil"/>
              <w:right w:val="nil"/>
            </w:tcBorders>
            <w:shd w:val="clear" w:color="auto" w:fill="E6E6E6"/>
            <w:noWrap/>
            <w:vAlign w:val="bottom"/>
            <w:hideMark/>
          </w:tcPr>
          <w:p w14:paraId="2509C900" w14:textId="6143781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5,849</w:t>
            </w:r>
          </w:p>
        </w:tc>
        <w:tc>
          <w:tcPr>
            <w:tcW w:w="673" w:type="pct"/>
            <w:gridSpan w:val="3"/>
            <w:tcBorders>
              <w:top w:val="nil"/>
              <w:left w:val="nil"/>
              <w:bottom w:val="nil"/>
              <w:right w:val="nil"/>
            </w:tcBorders>
            <w:shd w:val="clear" w:color="auto" w:fill="auto"/>
            <w:noWrap/>
            <w:vAlign w:val="bottom"/>
            <w:hideMark/>
          </w:tcPr>
          <w:p w14:paraId="0370DA6C" w14:textId="7463B10C"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5,816</w:t>
            </w:r>
          </w:p>
        </w:tc>
        <w:tc>
          <w:tcPr>
            <w:tcW w:w="502" w:type="pct"/>
            <w:tcBorders>
              <w:top w:val="nil"/>
              <w:left w:val="nil"/>
              <w:bottom w:val="nil"/>
              <w:right w:val="nil"/>
            </w:tcBorders>
            <w:shd w:val="clear" w:color="auto" w:fill="auto"/>
            <w:noWrap/>
            <w:vAlign w:val="bottom"/>
            <w:hideMark/>
          </w:tcPr>
          <w:p w14:paraId="1B781769" w14:textId="2F8C0243"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5,816</w:t>
            </w:r>
          </w:p>
        </w:tc>
        <w:tc>
          <w:tcPr>
            <w:tcW w:w="726" w:type="pct"/>
            <w:gridSpan w:val="2"/>
            <w:tcBorders>
              <w:top w:val="nil"/>
              <w:left w:val="nil"/>
              <w:bottom w:val="nil"/>
              <w:right w:val="nil"/>
            </w:tcBorders>
            <w:shd w:val="clear" w:color="auto" w:fill="auto"/>
            <w:noWrap/>
            <w:vAlign w:val="bottom"/>
            <w:hideMark/>
          </w:tcPr>
          <w:p w14:paraId="6926D722" w14:textId="293F8335" w:rsidR="008F4D74" w:rsidRPr="00ED572D" w:rsidRDefault="008F4D74" w:rsidP="008F4D74">
            <w:pPr>
              <w:spacing w:after="0" w:line="240" w:lineRule="auto"/>
              <w:jc w:val="right"/>
              <w:rPr>
                <w:rFonts w:ascii="Arial" w:hAnsi="Arial" w:cs="Arial"/>
                <w:sz w:val="16"/>
                <w:szCs w:val="16"/>
              </w:rPr>
            </w:pPr>
            <w:r>
              <w:rPr>
                <w:rFonts w:ascii="Arial" w:hAnsi="Arial" w:cs="Arial"/>
                <w:sz w:val="16"/>
                <w:szCs w:val="16"/>
              </w:rPr>
              <w:t>5,816</w:t>
            </w:r>
          </w:p>
        </w:tc>
      </w:tr>
      <w:tr w:rsidR="008F4D74" w:rsidRPr="00ED572D" w14:paraId="4F8DAC8C" w14:textId="77777777" w:rsidTr="00CD1CF1">
        <w:trPr>
          <w:gridAfter w:val="2"/>
          <w:wAfter w:w="16" w:type="pct"/>
          <w:trHeight w:val="204"/>
        </w:trPr>
        <w:tc>
          <w:tcPr>
            <w:tcW w:w="1727" w:type="pct"/>
            <w:tcBorders>
              <w:top w:val="nil"/>
              <w:left w:val="nil"/>
              <w:bottom w:val="nil"/>
              <w:right w:val="nil"/>
            </w:tcBorders>
            <w:shd w:val="clear" w:color="auto" w:fill="auto"/>
            <w:noWrap/>
            <w:vAlign w:val="bottom"/>
            <w:hideMark/>
          </w:tcPr>
          <w:p w14:paraId="40711A74" w14:textId="77777777" w:rsidR="008F4D74" w:rsidRPr="00ED572D" w:rsidRDefault="008F4D74" w:rsidP="008F4D74">
            <w:pPr>
              <w:spacing w:after="0" w:line="240" w:lineRule="auto"/>
              <w:rPr>
                <w:rFonts w:ascii="Arial" w:hAnsi="Arial" w:cs="Arial"/>
                <w:b/>
                <w:bCs/>
                <w:sz w:val="16"/>
                <w:szCs w:val="16"/>
              </w:rPr>
            </w:pPr>
            <w:r w:rsidRPr="00ED572D">
              <w:rPr>
                <w:rFonts w:ascii="Arial" w:hAnsi="Arial" w:cs="Arial"/>
                <w:b/>
                <w:bCs/>
                <w:sz w:val="16"/>
                <w:szCs w:val="16"/>
              </w:rPr>
              <w:t>Total expenses for Program 5.2</w:t>
            </w:r>
          </w:p>
        </w:tc>
        <w:tc>
          <w:tcPr>
            <w:tcW w:w="717" w:type="pct"/>
            <w:gridSpan w:val="5"/>
            <w:tcBorders>
              <w:top w:val="single" w:sz="4" w:space="0" w:color="auto"/>
              <w:left w:val="nil"/>
              <w:bottom w:val="single" w:sz="4" w:space="0" w:color="auto"/>
              <w:right w:val="nil"/>
            </w:tcBorders>
            <w:shd w:val="clear" w:color="auto" w:fill="auto"/>
            <w:noWrap/>
            <w:vAlign w:val="bottom"/>
            <w:hideMark/>
          </w:tcPr>
          <w:p w14:paraId="4E10BA91" w14:textId="04994AF2" w:rsidR="008F4D74" w:rsidRPr="00ED572D" w:rsidRDefault="008F4D74" w:rsidP="008F4D74">
            <w:pPr>
              <w:spacing w:after="0" w:line="240" w:lineRule="auto"/>
              <w:jc w:val="right"/>
              <w:rPr>
                <w:rFonts w:ascii="Arial" w:hAnsi="Arial" w:cs="Arial"/>
                <w:b/>
                <w:bCs/>
                <w:sz w:val="16"/>
                <w:szCs w:val="16"/>
              </w:rPr>
            </w:pPr>
            <w:r>
              <w:rPr>
                <w:rFonts w:ascii="Arial" w:hAnsi="Arial" w:cs="Arial"/>
                <w:b/>
                <w:bCs/>
                <w:sz w:val="16"/>
                <w:szCs w:val="16"/>
              </w:rPr>
              <w:t>84,042</w:t>
            </w:r>
          </w:p>
        </w:tc>
        <w:tc>
          <w:tcPr>
            <w:tcW w:w="641" w:type="pct"/>
            <w:gridSpan w:val="2"/>
            <w:tcBorders>
              <w:top w:val="single" w:sz="4" w:space="0" w:color="auto"/>
              <w:left w:val="nil"/>
              <w:bottom w:val="single" w:sz="4" w:space="0" w:color="auto"/>
              <w:right w:val="nil"/>
            </w:tcBorders>
            <w:shd w:val="clear" w:color="auto" w:fill="E6E6E6"/>
            <w:noWrap/>
            <w:vAlign w:val="bottom"/>
            <w:hideMark/>
          </w:tcPr>
          <w:p w14:paraId="72D23220" w14:textId="07DCCC5B" w:rsidR="008F4D74" w:rsidRPr="00ED572D" w:rsidRDefault="008F4D74" w:rsidP="008F4D74">
            <w:pPr>
              <w:spacing w:after="0" w:line="240" w:lineRule="auto"/>
              <w:jc w:val="right"/>
              <w:rPr>
                <w:rFonts w:ascii="Arial" w:hAnsi="Arial" w:cs="Arial"/>
                <w:b/>
                <w:bCs/>
                <w:sz w:val="16"/>
                <w:szCs w:val="16"/>
              </w:rPr>
            </w:pPr>
            <w:r>
              <w:rPr>
                <w:rFonts w:ascii="Arial" w:hAnsi="Arial" w:cs="Arial"/>
                <w:b/>
                <w:bCs/>
                <w:sz w:val="16"/>
                <w:szCs w:val="16"/>
              </w:rPr>
              <w:t>88,043</w:t>
            </w:r>
          </w:p>
        </w:tc>
        <w:tc>
          <w:tcPr>
            <w:tcW w:w="673" w:type="pct"/>
            <w:gridSpan w:val="3"/>
            <w:tcBorders>
              <w:top w:val="single" w:sz="4" w:space="0" w:color="auto"/>
              <w:left w:val="nil"/>
              <w:bottom w:val="single" w:sz="4" w:space="0" w:color="auto"/>
              <w:right w:val="nil"/>
            </w:tcBorders>
            <w:shd w:val="clear" w:color="auto" w:fill="auto"/>
            <w:noWrap/>
            <w:vAlign w:val="bottom"/>
            <w:hideMark/>
          </w:tcPr>
          <w:p w14:paraId="04D9F395" w14:textId="3C987981" w:rsidR="008F4D74" w:rsidRPr="00ED572D" w:rsidRDefault="008F4D74" w:rsidP="008F4D74">
            <w:pPr>
              <w:spacing w:after="0" w:line="240" w:lineRule="auto"/>
              <w:jc w:val="right"/>
              <w:rPr>
                <w:rFonts w:ascii="Arial" w:hAnsi="Arial" w:cs="Arial"/>
                <w:b/>
                <w:bCs/>
                <w:sz w:val="16"/>
                <w:szCs w:val="16"/>
              </w:rPr>
            </w:pPr>
            <w:r>
              <w:rPr>
                <w:rFonts w:ascii="Arial" w:hAnsi="Arial" w:cs="Arial"/>
                <w:b/>
                <w:bCs/>
                <w:sz w:val="16"/>
                <w:szCs w:val="16"/>
              </w:rPr>
              <w:t>90,962</w:t>
            </w:r>
          </w:p>
        </w:tc>
        <w:tc>
          <w:tcPr>
            <w:tcW w:w="502" w:type="pct"/>
            <w:tcBorders>
              <w:top w:val="single" w:sz="4" w:space="0" w:color="auto"/>
              <w:left w:val="nil"/>
              <w:bottom w:val="single" w:sz="4" w:space="0" w:color="auto"/>
              <w:right w:val="nil"/>
            </w:tcBorders>
            <w:shd w:val="clear" w:color="auto" w:fill="auto"/>
            <w:noWrap/>
            <w:vAlign w:val="bottom"/>
            <w:hideMark/>
          </w:tcPr>
          <w:p w14:paraId="38625BA5" w14:textId="407A176A" w:rsidR="008F4D74" w:rsidRPr="00ED572D" w:rsidRDefault="008F4D74" w:rsidP="008F4D74">
            <w:pPr>
              <w:spacing w:after="0" w:line="240" w:lineRule="auto"/>
              <w:jc w:val="right"/>
              <w:rPr>
                <w:rFonts w:ascii="Arial" w:hAnsi="Arial" w:cs="Arial"/>
                <w:b/>
                <w:bCs/>
                <w:sz w:val="16"/>
                <w:szCs w:val="16"/>
              </w:rPr>
            </w:pPr>
            <w:r>
              <w:rPr>
                <w:rFonts w:ascii="Arial" w:hAnsi="Arial" w:cs="Arial"/>
                <w:b/>
                <w:bCs/>
                <w:sz w:val="16"/>
                <w:szCs w:val="16"/>
              </w:rPr>
              <w:t>81,032</w:t>
            </w:r>
          </w:p>
        </w:tc>
        <w:tc>
          <w:tcPr>
            <w:tcW w:w="726" w:type="pct"/>
            <w:gridSpan w:val="2"/>
            <w:tcBorders>
              <w:top w:val="single" w:sz="4" w:space="0" w:color="auto"/>
              <w:left w:val="nil"/>
              <w:bottom w:val="single" w:sz="4" w:space="0" w:color="auto"/>
              <w:right w:val="nil"/>
            </w:tcBorders>
            <w:shd w:val="clear" w:color="auto" w:fill="auto"/>
            <w:noWrap/>
            <w:vAlign w:val="bottom"/>
            <w:hideMark/>
          </w:tcPr>
          <w:p w14:paraId="30628B7B" w14:textId="26E11746" w:rsidR="008F4D74" w:rsidRPr="00ED572D" w:rsidRDefault="008F4D74" w:rsidP="008F4D74">
            <w:pPr>
              <w:spacing w:after="0" w:line="240" w:lineRule="auto"/>
              <w:jc w:val="right"/>
              <w:rPr>
                <w:rFonts w:ascii="Arial" w:hAnsi="Arial" w:cs="Arial"/>
                <w:b/>
                <w:bCs/>
                <w:sz w:val="16"/>
                <w:szCs w:val="16"/>
              </w:rPr>
            </w:pPr>
            <w:r>
              <w:rPr>
                <w:rFonts w:ascii="Arial" w:hAnsi="Arial" w:cs="Arial"/>
                <w:b/>
                <w:bCs/>
                <w:sz w:val="16"/>
                <w:szCs w:val="16"/>
              </w:rPr>
              <w:t>74,071</w:t>
            </w:r>
          </w:p>
        </w:tc>
      </w:tr>
      <w:tr w:rsidR="00115843" w:rsidRPr="00ED572D" w14:paraId="60693A72" w14:textId="77777777" w:rsidTr="00CD1CF1">
        <w:trPr>
          <w:gridAfter w:val="1"/>
          <w:wAfter w:w="8" w:type="pct"/>
          <w:trHeight w:val="204"/>
        </w:trPr>
        <w:tc>
          <w:tcPr>
            <w:tcW w:w="4992" w:type="pct"/>
            <w:gridSpan w:val="15"/>
            <w:tcBorders>
              <w:top w:val="single" w:sz="4" w:space="0" w:color="auto"/>
              <w:left w:val="nil"/>
              <w:bottom w:val="single" w:sz="4" w:space="0" w:color="auto"/>
              <w:right w:val="nil"/>
            </w:tcBorders>
            <w:shd w:val="clear" w:color="auto" w:fill="E6E6E6"/>
            <w:noWrap/>
            <w:vAlign w:val="bottom"/>
            <w:hideMark/>
          </w:tcPr>
          <w:p w14:paraId="09215FEA" w14:textId="77777777" w:rsidR="00115843" w:rsidRPr="00ED572D" w:rsidRDefault="00115843" w:rsidP="00FB0D02">
            <w:pPr>
              <w:spacing w:after="0" w:line="240" w:lineRule="auto"/>
              <w:outlineLvl w:val="0"/>
              <w:rPr>
                <w:rFonts w:ascii="Arial" w:hAnsi="Arial" w:cs="Arial"/>
                <w:sz w:val="16"/>
                <w:szCs w:val="16"/>
              </w:rPr>
            </w:pPr>
            <w:r w:rsidRPr="00ED572D">
              <w:rPr>
                <w:rFonts w:ascii="Arial" w:hAnsi="Arial" w:cs="Arial"/>
                <w:b/>
                <w:bCs/>
                <w:sz w:val="16"/>
                <w:szCs w:val="16"/>
              </w:rPr>
              <w:t>Outcome 5 Totals by appropriation type</w:t>
            </w:r>
          </w:p>
        </w:tc>
      </w:tr>
      <w:tr w:rsidR="00115843" w:rsidRPr="00ED572D" w14:paraId="43440FB8" w14:textId="77777777" w:rsidTr="00CD1CF1">
        <w:trPr>
          <w:trHeight w:val="204"/>
        </w:trPr>
        <w:tc>
          <w:tcPr>
            <w:tcW w:w="1774" w:type="pct"/>
            <w:gridSpan w:val="3"/>
            <w:tcBorders>
              <w:top w:val="nil"/>
              <w:left w:val="nil"/>
              <w:bottom w:val="nil"/>
              <w:right w:val="nil"/>
            </w:tcBorders>
            <w:shd w:val="clear" w:color="auto" w:fill="auto"/>
            <w:noWrap/>
            <w:vAlign w:val="bottom"/>
            <w:hideMark/>
          </w:tcPr>
          <w:p w14:paraId="3FF40839" w14:textId="77777777" w:rsidR="00115843" w:rsidRPr="00ED572D" w:rsidRDefault="00115843" w:rsidP="00FB0D02">
            <w:pPr>
              <w:spacing w:after="0" w:line="240" w:lineRule="auto"/>
              <w:outlineLvl w:val="0"/>
              <w:rPr>
                <w:rFonts w:ascii="Arial" w:hAnsi="Arial" w:cs="Arial"/>
                <w:sz w:val="16"/>
                <w:szCs w:val="16"/>
              </w:rPr>
            </w:pPr>
            <w:r w:rsidRPr="00ED572D">
              <w:rPr>
                <w:rFonts w:ascii="Arial" w:hAnsi="Arial" w:cs="Arial"/>
                <w:sz w:val="16"/>
                <w:szCs w:val="16"/>
              </w:rPr>
              <w:t>Administered expenses</w:t>
            </w:r>
          </w:p>
        </w:tc>
        <w:tc>
          <w:tcPr>
            <w:tcW w:w="660" w:type="pct"/>
            <w:gridSpan w:val="2"/>
            <w:tcBorders>
              <w:top w:val="nil"/>
              <w:left w:val="nil"/>
              <w:bottom w:val="nil"/>
              <w:right w:val="nil"/>
            </w:tcBorders>
            <w:shd w:val="clear" w:color="auto" w:fill="auto"/>
            <w:noWrap/>
            <w:vAlign w:val="bottom"/>
            <w:hideMark/>
          </w:tcPr>
          <w:p w14:paraId="0FEC4043" w14:textId="77777777" w:rsidR="00115843" w:rsidRPr="00ED572D" w:rsidRDefault="00115843" w:rsidP="00FB0D02">
            <w:pPr>
              <w:spacing w:after="0" w:line="240" w:lineRule="auto"/>
              <w:jc w:val="right"/>
              <w:outlineLvl w:val="0"/>
              <w:rPr>
                <w:rFonts w:ascii="Arial" w:hAnsi="Arial" w:cs="Arial"/>
                <w:sz w:val="16"/>
                <w:szCs w:val="16"/>
              </w:rPr>
            </w:pPr>
          </w:p>
        </w:tc>
        <w:tc>
          <w:tcPr>
            <w:tcW w:w="638" w:type="pct"/>
            <w:gridSpan w:val="2"/>
            <w:tcBorders>
              <w:top w:val="nil"/>
              <w:left w:val="nil"/>
              <w:bottom w:val="nil"/>
              <w:right w:val="nil"/>
            </w:tcBorders>
            <w:shd w:val="clear" w:color="auto" w:fill="E6E6E6"/>
            <w:noWrap/>
            <w:vAlign w:val="bottom"/>
            <w:hideMark/>
          </w:tcPr>
          <w:p w14:paraId="7569FDBD" w14:textId="77777777" w:rsidR="00115843" w:rsidRPr="00ED572D" w:rsidRDefault="00115843" w:rsidP="00FB0D02">
            <w:pPr>
              <w:spacing w:after="0" w:line="240" w:lineRule="auto"/>
              <w:jc w:val="right"/>
              <w:outlineLvl w:val="0"/>
              <w:rPr>
                <w:rFonts w:ascii="Arial" w:hAnsi="Arial" w:cs="Arial"/>
                <w:sz w:val="16"/>
                <w:szCs w:val="16"/>
              </w:rPr>
            </w:pPr>
          </w:p>
        </w:tc>
        <w:tc>
          <w:tcPr>
            <w:tcW w:w="647" w:type="pct"/>
            <w:gridSpan w:val="3"/>
            <w:tcBorders>
              <w:top w:val="nil"/>
              <w:left w:val="nil"/>
              <w:bottom w:val="nil"/>
              <w:right w:val="nil"/>
            </w:tcBorders>
            <w:shd w:val="clear" w:color="auto" w:fill="auto"/>
            <w:noWrap/>
            <w:vAlign w:val="bottom"/>
            <w:hideMark/>
          </w:tcPr>
          <w:p w14:paraId="7E382CB9" w14:textId="77777777" w:rsidR="00115843" w:rsidRPr="00ED572D" w:rsidRDefault="00115843" w:rsidP="00FB0D02">
            <w:pPr>
              <w:spacing w:after="0" w:line="240" w:lineRule="auto"/>
              <w:jc w:val="right"/>
              <w:outlineLvl w:val="0"/>
              <w:rPr>
                <w:rFonts w:ascii="Arial" w:hAnsi="Arial" w:cs="Arial"/>
                <w:sz w:val="16"/>
                <w:szCs w:val="16"/>
              </w:rPr>
            </w:pPr>
          </w:p>
        </w:tc>
        <w:tc>
          <w:tcPr>
            <w:tcW w:w="647" w:type="pct"/>
            <w:gridSpan w:val="3"/>
            <w:tcBorders>
              <w:top w:val="nil"/>
              <w:left w:val="nil"/>
              <w:bottom w:val="nil"/>
              <w:right w:val="nil"/>
            </w:tcBorders>
            <w:shd w:val="clear" w:color="auto" w:fill="auto"/>
            <w:noWrap/>
            <w:vAlign w:val="bottom"/>
            <w:hideMark/>
          </w:tcPr>
          <w:p w14:paraId="4C18B928" w14:textId="77777777" w:rsidR="00115843" w:rsidRPr="00ED572D" w:rsidRDefault="00115843" w:rsidP="00FB0D02">
            <w:pPr>
              <w:spacing w:after="0" w:line="240" w:lineRule="auto"/>
              <w:jc w:val="right"/>
              <w:outlineLvl w:val="0"/>
              <w:rPr>
                <w:rFonts w:ascii="Arial" w:hAnsi="Arial" w:cs="Arial"/>
                <w:sz w:val="16"/>
                <w:szCs w:val="16"/>
              </w:rPr>
            </w:pPr>
          </w:p>
        </w:tc>
        <w:tc>
          <w:tcPr>
            <w:tcW w:w="634" w:type="pct"/>
            <w:gridSpan w:val="3"/>
            <w:tcBorders>
              <w:top w:val="nil"/>
              <w:left w:val="nil"/>
              <w:bottom w:val="nil"/>
              <w:right w:val="nil"/>
            </w:tcBorders>
            <w:shd w:val="clear" w:color="auto" w:fill="auto"/>
            <w:noWrap/>
            <w:vAlign w:val="bottom"/>
            <w:hideMark/>
          </w:tcPr>
          <w:p w14:paraId="6B84086C" w14:textId="77777777" w:rsidR="00115843" w:rsidRPr="00ED572D" w:rsidRDefault="00115843" w:rsidP="00FB0D02">
            <w:pPr>
              <w:spacing w:after="0" w:line="240" w:lineRule="auto"/>
              <w:jc w:val="right"/>
              <w:outlineLvl w:val="0"/>
              <w:rPr>
                <w:rFonts w:ascii="Arial" w:hAnsi="Arial" w:cs="Arial"/>
                <w:sz w:val="16"/>
                <w:szCs w:val="16"/>
              </w:rPr>
            </w:pPr>
          </w:p>
        </w:tc>
      </w:tr>
      <w:tr w:rsidR="00D320B9" w:rsidRPr="00ED572D" w14:paraId="5675F662" w14:textId="77777777" w:rsidTr="00CD1CF1">
        <w:trPr>
          <w:trHeight w:val="204"/>
        </w:trPr>
        <w:tc>
          <w:tcPr>
            <w:tcW w:w="1774" w:type="pct"/>
            <w:gridSpan w:val="3"/>
            <w:tcBorders>
              <w:top w:val="nil"/>
              <w:left w:val="nil"/>
              <w:bottom w:val="nil"/>
              <w:right w:val="nil"/>
            </w:tcBorders>
            <w:shd w:val="clear" w:color="auto" w:fill="auto"/>
            <w:vAlign w:val="bottom"/>
            <w:hideMark/>
          </w:tcPr>
          <w:p w14:paraId="251BE2AF" w14:textId="77777777" w:rsidR="00D320B9" w:rsidRPr="00ED572D" w:rsidRDefault="00D320B9" w:rsidP="00D320B9">
            <w:pPr>
              <w:spacing w:after="0" w:line="240" w:lineRule="auto"/>
              <w:ind w:left="113"/>
              <w:rPr>
                <w:rFonts w:ascii="Arial" w:hAnsi="Arial" w:cs="Arial"/>
                <w:sz w:val="16"/>
                <w:szCs w:val="16"/>
              </w:rPr>
            </w:pPr>
            <w:r w:rsidRPr="00ED572D">
              <w:rPr>
                <w:rFonts w:ascii="Arial" w:hAnsi="Arial" w:cs="Arial"/>
                <w:sz w:val="16"/>
                <w:szCs w:val="16"/>
              </w:rPr>
              <w:t>Ordinary Annual Services (Appropriation Act No. 1 and Bill No.3)</w:t>
            </w:r>
          </w:p>
        </w:tc>
        <w:tc>
          <w:tcPr>
            <w:tcW w:w="660" w:type="pct"/>
            <w:gridSpan w:val="2"/>
            <w:tcBorders>
              <w:top w:val="nil"/>
              <w:left w:val="nil"/>
              <w:bottom w:val="nil"/>
              <w:right w:val="nil"/>
            </w:tcBorders>
            <w:shd w:val="clear" w:color="auto" w:fill="auto"/>
            <w:noWrap/>
            <w:vAlign w:val="bottom"/>
            <w:hideMark/>
          </w:tcPr>
          <w:p w14:paraId="39D40913" w14:textId="377CE508"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309,486</w:t>
            </w:r>
          </w:p>
        </w:tc>
        <w:tc>
          <w:tcPr>
            <w:tcW w:w="638" w:type="pct"/>
            <w:gridSpan w:val="2"/>
            <w:tcBorders>
              <w:top w:val="nil"/>
              <w:left w:val="nil"/>
              <w:bottom w:val="nil"/>
              <w:right w:val="nil"/>
            </w:tcBorders>
            <w:shd w:val="clear" w:color="auto" w:fill="E6E6E6"/>
            <w:noWrap/>
            <w:vAlign w:val="bottom"/>
            <w:hideMark/>
          </w:tcPr>
          <w:p w14:paraId="166CEBE8" w14:textId="4D6B4011"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213,815</w:t>
            </w:r>
          </w:p>
        </w:tc>
        <w:tc>
          <w:tcPr>
            <w:tcW w:w="647" w:type="pct"/>
            <w:gridSpan w:val="3"/>
            <w:tcBorders>
              <w:top w:val="nil"/>
              <w:left w:val="nil"/>
              <w:bottom w:val="nil"/>
              <w:right w:val="nil"/>
            </w:tcBorders>
            <w:shd w:val="clear" w:color="auto" w:fill="auto"/>
            <w:noWrap/>
            <w:vAlign w:val="bottom"/>
            <w:hideMark/>
          </w:tcPr>
          <w:p w14:paraId="6BA2DA20" w14:textId="2685B60D"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285,451</w:t>
            </w:r>
          </w:p>
        </w:tc>
        <w:tc>
          <w:tcPr>
            <w:tcW w:w="647" w:type="pct"/>
            <w:gridSpan w:val="3"/>
            <w:tcBorders>
              <w:top w:val="nil"/>
              <w:left w:val="nil"/>
              <w:bottom w:val="nil"/>
              <w:right w:val="nil"/>
            </w:tcBorders>
            <w:shd w:val="clear" w:color="auto" w:fill="auto"/>
            <w:noWrap/>
            <w:vAlign w:val="bottom"/>
            <w:hideMark/>
          </w:tcPr>
          <w:p w14:paraId="6196FC54" w14:textId="72A5DD72"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261,603</w:t>
            </w:r>
          </w:p>
        </w:tc>
        <w:tc>
          <w:tcPr>
            <w:tcW w:w="634" w:type="pct"/>
            <w:gridSpan w:val="3"/>
            <w:tcBorders>
              <w:top w:val="nil"/>
              <w:left w:val="nil"/>
              <w:bottom w:val="nil"/>
              <w:right w:val="nil"/>
            </w:tcBorders>
            <w:shd w:val="clear" w:color="auto" w:fill="auto"/>
            <w:noWrap/>
            <w:vAlign w:val="bottom"/>
            <w:hideMark/>
          </w:tcPr>
          <w:p w14:paraId="785B0259" w14:textId="602D5E9D"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172,587</w:t>
            </w:r>
          </w:p>
        </w:tc>
      </w:tr>
      <w:tr w:rsidR="00D320B9" w:rsidRPr="00ED572D" w14:paraId="380491F1" w14:textId="77777777" w:rsidTr="00CD1CF1">
        <w:trPr>
          <w:trHeight w:val="204"/>
        </w:trPr>
        <w:tc>
          <w:tcPr>
            <w:tcW w:w="1774" w:type="pct"/>
            <w:gridSpan w:val="3"/>
            <w:tcBorders>
              <w:top w:val="nil"/>
              <w:left w:val="nil"/>
              <w:bottom w:val="nil"/>
              <w:right w:val="nil"/>
            </w:tcBorders>
            <w:shd w:val="clear" w:color="auto" w:fill="auto"/>
            <w:vAlign w:val="bottom"/>
            <w:hideMark/>
          </w:tcPr>
          <w:p w14:paraId="0679F6BB" w14:textId="77777777" w:rsidR="00D320B9" w:rsidRPr="00ED572D" w:rsidRDefault="00D320B9" w:rsidP="00D320B9">
            <w:pPr>
              <w:spacing w:after="0" w:line="240" w:lineRule="auto"/>
              <w:ind w:left="113"/>
              <w:rPr>
                <w:rFonts w:ascii="Arial" w:hAnsi="Arial" w:cs="Arial"/>
                <w:sz w:val="16"/>
                <w:szCs w:val="16"/>
              </w:rPr>
            </w:pPr>
            <w:r w:rsidRPr="00ED572D">
              <w:rPr>
                <w:rFonts w:ascii="Arial" w:hAnsi="Arial" w:cs="Arial"/>
                <w:sz w:val="16"/>
                <w:szCs w:val="16"/>
              </w:rPr>
              <w:t>Special accounts</w:t>
            </w:r>
          </w:p>
        </w:tc>
        <w:tc>
          <w:tcPr>
            <w:tcW w:w="660" w:type="pct"/>
            <w:gridSpan w:val="2"/>
            <w:tcBorders>
              <w:top w:val="nil"/>
              <w:left w:val="nil"/>
              <w:bottom w:val="nil"/>
              <w:right w:val="nil"/>
            </w:tcBorders>
            <w:shd w:val="clear" w:color="auto" w:fill="auto"/>
            <w:noWrap/>
            <w:vAlign w:val="bottom"/>
            <w:hideMark/>
          </w:tcPr>
          <w:p w14:paraId="0FFB1158" w14:textId="4793A525"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313,788</w:t>
            </w:r>
          </w:p>
        </w:tc>
        <w:tc>
          <w:tcPr>
            <w:tcW w:w="638" w:type="pct"/>
            <w:gridSpan w:val="2"/>
            <w:tcBorders>
              <w:top w:val="nil"/>
              <w:left w:val="nil"/>
              <w:bottom w:val="nil"/>
              <w:right w:val="nil"/>
            </w:tcBorders>
            <w:shd w:val="clear" w:color="auto" w:fill="E6E6E6"/>
            <w:noWrap/>
            <w:vAlign w:val="bottom"/>
            <w:hideMark/>
          </w:tcPr>
          <w:p w14:paraId="2DD5134B" w14:textId="06335CCE"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329,064</w:t>
            </w:r>
          </w:p>
        </w:tc>
        <w:tc>
          <w:tcPr>
            <w:tcW w:w="647" w:type="pct"/>
            <w:gridSpan w:val="3"/>
            <w:tcBorders>
              <w:top w:val="nil"/>
              <w:left w:val="nil"/>
              <w:bottom w:val="nil"/>
              <w:right w:val="nil"/>
            </w:tcBorders>
            <w:shd w:val="clear" w:color="auto" w:fill="auto"/>
            <w:noWrap/>
            <w:vAlign w:val="bottom"/>
            <w:hideMark/>
          </w:tcPr>
          <w:p w14:paraId="6251F22B" w14:textId="7B7BEE93"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312,250</w:t>
            </w:r>
          </w:p>
        </w:tc>
        <w:tc>
          <w:tcPr>
            <w:tcW w:w="647" w:type="pct"/>
            <w:gridSpan w:val="3"/>
            <w:tcBorders>
              <w:top w:val="nil"/>
              <w:left w:val="nil"/>
              <w:bottom w:val="nil"/>
              <w:right w:val="nil"/>
            </w:tcBorders>
            <w:shd w:val="clear" w:color="auto" w:fill="auto"/>
            <w:noWrap/>
            <w:vAlign w:val="bottom"/>
            <w:hideMark/>
          </w:tcPr>
          <w:p w14:paraId="7CC45839" w14:textId="5C7C6FE4"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312,250</w:t>
            </w:r>
          </w:p>
        </w:tc>
        <w:tc>
          <w:tcPr>
            <w:tcW w:w="634" w:type="pct"/>
            <w:gridSpan w:val="3"/>
            <w:tcBorders>
              <w:top w:val="nil"/>
              <w:left w:val="nil"/>
              <w:bottom w:val="nil"/>
              <w:right w:val="nil"/>
            </w:tcBorders>
            <w:shd w:val="clear" w:color="auto" w:fill="auto"/>
            <w:noWrap/>
            <w:vAlign w:val="bottom"/>
            <w:hideMark/>
          </w:tcPr>
          <w:p w14:paraId="13798589" w14:textId="2CDD6CA6"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312,250</w:t>
            </w:r>
          </w:p>
        </w:tc>
      </w:tr>
      <w:tr w:rsidR="00D320B9" w:rsidRPr="00ED572D" w14:paraId="5C30EE06" w14:textId="77777777" w:rsidTr="00CD1CF1">
        <w:trPr>
          <w:trHeight w:val="204"/>
        </w:trPr>
        <w:tc>
          <w:tcPr>
            <w:tcW w:w="1774" w:type="pct"/>
            <w:gridSpan w:val="3"/>
            <w:tcBorders>
              <w:top w:val="nil"/>
              <w:left w:val="nil"/>
              <w:bottom w:val="nil"/>
              <w:right w:val="nil"/>
            </w:tcBorders>
            <w:shd w:val="clear" w:color="auto" w:fill="auto"/>
            <w:vAlign w:val="bottom"/>
            <w:hideMark/>
          </w:tcPr>
          <w:p w14:paraId="225F94BB" w14:textId="77777777" w:rsidR="00D320B9" w:rsidRPr="00ED572D" w:rsidRDefault="00D320B9" w:rsidP="00D320B9">
            <w:pPr>
              <w:spacing w:after="0" w:line="240" w:lineRule="auto"/>
              <w:ind w:left="113"/>
              <w:rPr>
                <w:rFonts w:ascii="Arial" w:hAnsi="Arial" w:cs="Arial"/>
                <w:sz w:val="16"/>
                <w:szCs w:val="16"/>
              </w:rPr>
            </w:pPr>
            <w:r w:rsidRPr="00ED572D">
              <w:rPr>
                <w:rFonts w:ascii="Arial" w:hAnsi="Arial" w:cs="Arial"/>
                <w:sz w:val="16"/>
                <w:szCs w:val="16"/>
              </w:rPr>
              <w:t xml:space="preserve">Payments to corporate entities </w:t>
            </w:r>
            <w:r w:rsidRPr="00ED572D">
              <w:rPr>
                <w:rFonts w:ascii="Arial" w:hAnsi="Arial" w:cs="Arial"/>
                <w:sz w:val="16"/>
                <w:szCs w:val="16"/>
                <w:vertAlign w:val="superscript"/>
              </w:rPr>
              <w:t>(a)</w:t>
            </w:r>
          </w:p>
        </w:tc>
        <w:tc>
          <w:tcPr>
            <w:tcW w:w="660" w:type="pct"/>
            <w:gridSpan w:val="2"/>
            <w:tcBorders>
              <w:top w:val="nil"/>
              <w:left w:val="nil"/>
              <w:bottom w:val="nil"/>
              <w:right w:val="nil"/>
            </w:tcBorders>
            <w:shd w:val="clear" w:color="auto" w:fill="auto"/>
            <w:noWrap/>
            <w:vAlign w:val="bottom"/>
            <w:hideMark/>
          </w:tcPr>
          <w:p w14:paraId="47D99D07" w14:textId="459DE895"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1,380,118</w:t>
            </w:r>
          </w:p>
        </w:tc>
        <w:tc>
          <w:tcPr>
            <w:tcW w:w="638" w:type="pct"/>
            <w:gridSpan w:val="2"/>
            <w:tcBorders>
              <w:top w:val="nil"/>
              <w:left w:val="nil"/>
              <w:bottom w:val="nil"/>
              <w:right w:val="nil"/>
            </w:tcBorders>
            <w:shd w:val="clear" w:color="auto" w:fill="E6E6E6"/>
            <w:noWrap/>
            <w:vAlign w:val="bottom"/>
            <w:hideMark/>
          </w:tcPr>
          <w:p w14:paraId="026A003F" w14:textId="55F07285"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1,423,963</w:t>
            </w:r>
          </w:p>
        </w:tc>
        <w:tc>
          <w:tcPr>
            <w:tcW w:w="647" w:type="pct"/>
            <w:gridSpan w:val="3"/>
            <w:tcBorders>
              <w:top w:val="nil"/>
              <w:left w:val="nil"/>
              <w:bottom w:val="nil"/>
              <w:right w:val="nil"/>
            </w:tcBorders>
            <w:shd w:val="clear" w:color="auto" w:fill="auto"/>
            <w:noWrap/>
            <w:vAlign w:val="bottom"/>
            <w:hideMark/>
          </w:tcPr>
          <w:p w14:paraId="3798172D" w14:textId="046642B8"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1,465,780</w:t>
            </w:r>
          </w:p>
        </w:tc>
        <w:tc>
          <w:tcPr>
            <w:tcW w:w="647" w:type="pct"/>
            <w:gridSpan w:val="3"/>
            <w:tcBorders>
              <w:top w:val="nil"/>
              <w:left w:val="nil"/>
              <w:bottom w:val="nil"/>
              <w:right w:val="nil"/>
            </w:tcBorders>
            <w:shd w:val="clear" w:color="auto" w:fill="auto"/>
            <w:noWrap/>
            <w:vAlign w:val="bottom"/>
            <w:hideMark/>
          </w:tcPr>
          <w:p w14:paraId="60BDEC38" w14:textId="621A3D9F"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1,515,137</w:t>
            </w:r>
          </w:p>
        </w:tc>
        <w:tc>
          <w:tcPr>
            <w:tcW w:w="634" w:type="pct"/>
            <w:gridSpan w:val="3"/>
            <w:tcBorders>
              <w:top w:val="nil"/>
              <w:left w:val="nil"/>
              <w:bottom w:val="nil"/>
              <w:right w:val="nil"/>
            </w:tcBorders>
            <w:shd w:val="clear" w:color="auto" w:fill="auto"/>
            <w:noWrap/>
            <w:vAlign w:val="bottom"/>
            <w:hideMark/>
          </w:tcPr>
          <w:p w14:paraId="711C0D23" w14:textId="23BAE01E"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1,530,720</w:t>
            </w:r>
          </w:p>
        </w:tc>
      </w:tr>
      <w:tr w:rsidR="00D320B9" w:rsidRPr="00ED572D" w14:paraId="65F59EFC" w14:textId="77777777" w:rsidTr="00CD1CF1">
        <w:trPr>
          <w:trHeight w:val="204"/>
        </w:trPr>
        <w:tc>
          <w:tcPr>
            <w:tcW w:w="1774" w:type="pct"/>
            <w:gridSpan w:val="3"/>
            <w:tcBorders>
              <w:top w:val="nil"/>
              <w:left w:val="nil"/>
              <w:bottom w:val="nil"/>
              <w:right w:val="nil"/>
            </w:tcBorders>
            <w:shd w:val="clear" w:color="auto" w:fill="auto"/>
            <w:vAlign w:val="bottom"/>
            <w:hideMark/>
          </w:tcPr>
          <w:p w14:paraId="5C285530" w14:textId="77777777" w:rsidR="00D320B9" w:rsidRPr="00ED572D" w:rsidRDefault="00D320B9" w:rsidP="00D320B9">
            <w:pPr>
              <w:spacing w:after="0" w:line="240" w:lineRule="auto"/>
              <w:ind w:left="113"/>
              <w:rPr>
                <w:rFonts w:ascii="Arial" w:hAnsi="Arial" w:cs="Arial"/>
                <w:sz w:val="16"/>
                <w:szCs w:val="16"/>
              </w:rPr>
            </w:pPr>
            <w:r w:rsidRPr="00ED572D">
              <w:rPr>
                <w:rFonts w:ascii="Arial" w:hAnsi="Arial" w:cs="Arial"/>
                <w:sz w:val="16"/>
                <w:szCs w:val="16"/>
              </w:rPr>
              <w:t>Expenses not requiring appropriation in the Budget year </w:t>
            </w:r>
            <w:r w:rsidRPr="00ED572D">
              <w:rPr>
                <w:rFonts w:ascii="Arial" w:hAnsi="Arial" w:cs="Arial"/>
                <w:sz w:val="16"/>
                <w:szCs w:val="16"/>
                <w:vertAlign w:val="superscript"/>
              </w:rPr>
              <w:t>(b)</w:t>
            </w:r>
          </w:p>
        </w:tc>
        <w:tc>
          <w:tcPr>
            <w:tcW w:w="660" w:type="pct"/>
            <w:gridSpan w:val="2"/>
            <w:tcBorders>
              <w:top w:val="nil"/>
              <w:left w:val="nil"/>
              <w:bottom w:val="nil"/>
              <w:right w:val="nil"/>
            </w:tcBorders>
            <w:shd w:val="clear" w:color="auto" w:fill="auto"/>
            <w:noWrap/>
            <w:vAlign w:val="bottom"/>
            <w:hideMark/>
          </w:tcPr>
          <w:p w14:paraId="1258F9B1" w14:textId="5334B331"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1,046,534</w:t>
            </w:r>
          </w:p>
        </w:tc>
        <w:tc>
          <w:tcPr>
            <w:tcW w:w="638" w:type="pct"/>
            <w:gridSpan w:val="2"/>
            <w:tcBorders>
              <w:top w:val="nil"/>
              <w:left w:val="nil"/>
              <w:bottom w:val="nil"/>
              <w:right w:val="nil"/>
            </w:tcBorders>
            <w:shd w:val="clear" w:color="auto" w:fill="E6E6E6"/>
            <w:noWrap/>
            <w:vAlign w:val="bottom"/>
            <w:hideMark/>
          </w:tcPr>
          <w:p w14:paraId="7A6FBA50" w14:textId="27CB45E7"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930,426</w:t>
            </w:r>
          </w:p>
        </w:tc>
        <w:tc>
          <w:tcPr>
            <w:tcW w:w="647" w:type="pct"/>
            <w:gridSpan w:val="3"/>
            <w:tcBorders>
              <w:top w:val="nil"/>
              <w:left w:val="nil"/>
              <w:bottom w:val="nil"/>
              <w:right w:val="nil"/>
            </w:tcBorders>
            <w:shd w:val="clear" w:color="auto" w:fill="auto"/>
            <w:noWrap/>
            <w:vAlign w:val="bottom"/>
            <w:hideMark/>
          </w:tcPr>
          <w:p w14:paraId="2B4B860D" w14:textId="3C45865C"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889,617</w:t>
            </w:r>
          </w:p>
        </w:tc>
        <w:tc>
          <w:tcPr>
            <w:tcW w:w="647" w:type="pct"/>
            <w:gridSpan w:val="3"/>
            <w:tcBorders>
              <w:top w:val="nil"/>
              <w:left w:val="nil"/>
              <w:bottom w:val="nil"/>
              <w:right w:val="nil"/>
            </w:tcBorders>
            <w:shd w:val="clear" w:color="auto" w:fill="auto"/>
            <w:noWrap/>
            <w:vAlign w:val="bottom"/>
            <w:hideMark/>
          </w:tcPr>
          <w:p w14:paraId="0B626549" w14:textId="52405049"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831,003</w:t>
            </w:r>
          </w:p>
        </w:tc>
        <w:tc>
          <w:tcPr>
            <w:tcW w:w="634" w:type="pct"/>
            <w:gridSpan w:val="3"/>
            <w:tcBorders>
              <w:top w:val="nil"/>
              <w:left w:val="nil"/>
              <w:bottom w:val="nil"/>
              <w:right w:val="nil"/>
            </w:tcBorders>
            <w:shd w:val="clear" w:color="auto" w:fill="auto"/>
            <w:noWrap/>
            <w:vAlign w:val="bottom"/>
            <w:hideMark/>
          </w:tcPr>
          <w:p w14:paraId="58D45CB6" w14:textId="0854EAB2" w:rsidR="00D320B9" w:rsidRPr="00ED572D" w:rsidRDefault="00D320B9" w:rsidP="00D320B9">
            <w:pPr>
              <w:spacing w:after="0" w:line="240" w:lineRule="auto"/>
              <w:jc w:val="right"/>
              <w:rPr>
                <w:rFonts w:ascii="Arial" w:hAnsi="Arial" w:cs="Arial"/>
                <w:sz w:val="16"/>
                <w:szCs w:val="16"/>
              </w:rPr>
            </w:pPr>
            <w:r>
              <w:rPr>
                <w:rFonts w:ascii="Arial" w:hAnsi="Arial" w:cs="Arial"/>
                <w:sz w:val="16"/>
                <w:szCs w:val="16"/>
              </w:rPr>
              <w:t>888,370</w:t>
            </w:r>
          </w:p>
        </w:tc>
      </w:tr>
      <w:tr w:rsidR="00D320B9" w:rsidRPr="00ED572D" w14:paraId="2E52D5F9" w14:textId="77777777" w:rsidTr="00CD1CF1">
        <w:trPr>
          <w:trHeight w:val="204"/>
        </w:trPr>
        <w:tc>
          <w:tcPr>
            <w:tcW w:w="1774" w:type="pct"/>
            <w:gridSpan w:val="3"/>
            <w:tcBorders>
              <w:top w:val="nil"/>
              <w:left w:val="nil"/>
              <w:bottom w:val="single" w:sz="4" w:space="0" w:color="auto"/>
              <w:right w:val="nil"/>
            </w:tcBorders>
            <w:shd w:val="clear" w:color="auto" w:fill="auto"/>
            <w:vAlign w:val="bottom"/>
            <w:hideMark/>
          </w:tcPr>
          <w:p w14:paraId="1AE126D4" w14:textId="77777777" w:rsidR="00D320B9" w:rsidRPr="00ED572D" w:rsidRDefault="00D320B9" w:rsidP="00662504">
            <w:pPr>
              <w:spacing w:after="60" w:line="240" w:lineRule="auto"/>
              <w:jc w:val="right"/>
              <w:rPr>
                <w:rFonts w:ascii="Arial" w:hAnsi="Arial" w:cs="Arial"/>
                <w:b/>
                <w:bCs/>
                <w:sz w:val="16"/>
                <w:szCs w:val="16"/>
              </w:rPr>
            </w:pPr>
            <w:r w:rsidRPr="00ED572D">
              <w:rPr>
                <w:rFonts w:ascii="Arial" w:hAnsi="Arial" w:cs="Arial"/>
                <w:b/>
                <w:bCs/>
                <w:sz w:val="16"/>
                <w:szCs w:val="16"/>
              </w:rPr>
              <w:t>Total administered expenses</w:t>
            </w:r>
          </w:p>
        </w:tc>
        <w:tc>
          <w:tcPr>
            <w:tcW w:w="660" w:type="pct"/>
            <w:gridSpan w:val="2"/>
            <w:tcBorders>
              <w:top w:val="single" w:sz="4" w:space="0" w:color="auto"/>
              <w:left w:val="nil"/>
              <w:bottom w:val="single" w:sz="4" w:space="0" w:color="auto"/>
              <w:right w:val="nil"/>
            </w:tcBorders>
            <w:shd w:val="clear" w:color="auto" w:fill="auto"/>
            <w:noWrap/>
            <w:vAlign w:val="bottom"/>
            <w:hideMark/>
          </w:tcPr>
          <w:p w14:paraId="4A9B6177" w14:textId="3CBC70E7" w:rsidR="00D320B9" w:rsidRPr="00ED572D" w:rsidRDefault="00D320B9" w:rsidP="00CD1CF1">
            <w:pPr>
              <w:spacing w:after="0" w:line="240" w:lineRule="auto"/>
              <w:jc w:val="right"/>
              <w:outlineLvl w:val="0"/>
              <w:rPr>
                <w:rFonts w:ascii="Arial" w:hAnsi="Arial" w:cs="Arial"/>
                <w:b/>
                <w:bCs/>
                <w:sz w:val="16"/>
                <w:szCs w:val="16"/>
              </w:rPr>
            </w:pPr>
            <w:r>
              <w:rPr>
                <w:rFonts w:ascii="Arial" w:hAnsi="Arial" w:cs="Arial"/>
                <w:b/>
                <w:bCs/>
                <w:sz w:val="16"/>
                <w:szCs w:val="16"/>
              </w:rPr>
              <w:t>3,049,926</w:t>
            </w:r>
          </w:p>
        </w:tc>
        <w:tc>
          <w:tcPr>
            <w:tcW w:w="638" w:type="pct"/>
            <w:gridSpan w:val="2"/>
            <w:tcBorders>
              <w:top w:val="single" w:sz="4" w:space="0" w:color="auto"/>
              <w:left w:val="nil"/>
              <w:bottom w:val="single" w:sz="4" w:space="0" w:color="auto"/>
              <w:right w:val="nil"/>
            </w:tcBorders>
            <w:shd w:val="clear" w:color="auto" w:fill="E6E6E6"/>
            <w:noWrap/>
            <w:vAlign w:val="bottom"/>
            <w:hideMark/>
          </w:tcPr>
          <w:p w14:paraId="45F6F2E3" w14:textId="24441746" w:rsidR="00D320B9" w:rsidRPr="00ED572D" w:rsidRDefault="00D320B9" w:rsidP="00CD1CF1">
            <w:pPr>
              <w:spacing w:after="0" w:line="240" w:lineRule="auto"/>
              <w:jc w:val="right"/>
              <w:outlineLvl w:val="0"/>
              <w:rPr>
                <w:rFonts w:ascii="Arial" w:hAnsi="Arial" w:cs="Arial"/>
                <w:b/>
                <w:bCs/>
                <w:sz w:val="16"/>
                <w:szCs w:val="16"/>
              </w:rPr>
            </w:pPr>
            <w:r>
              <w:rPr>
                <w:rFonts w:ascii="Arial" w:hAnsi="Arial" w:cs="Arial"/>
                <w:b/>
                <w:bCs/>
                <w:sz w:val="16"/>
                <w:szCs w:val="16"/>
              </w:rPr>
              <w:t>2,897,268</w:t>
            </w:r>
          </w:p>
        </w:tc>
        <w:tc>
          <w:tcPr>
            <w:tcW w:w="647" w:type="pct"/>
            <w:gridSpan w:val="3"/>
            <w:tcBorders>
              <w:top w:val="single" w:sz="4" w:space="0" w:color="auto"/>
              <w:left w:val="nil"/>
              <w:bottom w:val="single" w:sz="4" w:space="0" w:color="auto"/>
              <w:right w:val="nil"/>
            </w:tcBorders>
            <w:shd w:val="clear" w:color="auto" w:fill="auto"/>
            <w:noWrap/>
            <w:vAlign w:val="bottom"/>
            <w:hideMark/>
          </w:tcPr>
          <w:p w14:paraId="2DD0D472" w14:textId="633DAB99" w:rsidR="00D320B9" w:rsidRPr="00ED572D" w:rsidRDefault="00D320B9" w:rsidP="00CD1CF1">
            <w:pPr>
              <w:spacing w:after="0" w:line="240" w:lineRule="auto"/>
              <w:jc w:val="right"/>
              <w:outlineLvl w:val="0"/>
              <w:rPr>
                <w:rFonts w:ascii="Arial" w:hAnsi="Arial" w:cs="Arial"/>
                <w:b/>
                <w:bCs/>
                <w:sz w:val="16"/>
                <w:szCs w:val="16"/>
              </w:rPr>
            </w:pPr>
            <w:r>
              <w:rPr>
                <w:rFonts w:ascii="Arial" w:hAnsi="Arial" w:cs="Arial"/>
                <w:b/>
                <w:bCs/>
                <w:sz w:val="16"/>
                <w:szCs w:val="16"/>
              </w:rPr>
              <w:t>2,953,098</w:t>
            </w:r>
          </w:p>
        </w:tc>
        <w:tc>
          <w:tcPr>
            <w:tcW w:w="647" w:type="pct"/>
            <w:gridSpan w:val="3"/>
            <w:tcBorders>
              <w:top w:val="single" w:sz="4" w:space="0" w:color="auto"/>
              <w:left w:val="nil"/>
              <w:bottom w:val="single" w:sz="4" w:space="0" w:color="auto"/>
              <w:right w:val="nil"/>
            </w:tcBorders>
            <w:shd w:val="clear" w:color="auto" w:fill="auto"/>
            <w:noWrap/>
            <w:vAlign w:val="bottom"/>
            <w:hideMark/>
          </w:tcPr>
          <w:p w14:paraId="3F72D50F" w14:textId="4FECFE3F" w:rsidR="00D320B9" w:rsidRPr="00ED572D" w:rsidRDefault="00D320B9" w:rsidP="00CD1CF1">
            <w:pPr>
              <w:spacing w:after="0" w:line="240" w:lineRule="auto"/>
              <w:jc w:val="right"/>
              <w:outlineLvl w:val="0"/>
              <w:rPr>
                <w:rFonts w:ascii="Arial" w:hAnsi="Arial" w:cs="Arial"/>
                <w:b/>
                <w:bCs/>
                <w:sz w:val="16"/>
                <w:szCs w:val="16"/>
              </w:rPr>
            </w:pPr>
            <w:r>
              <w:rPr>
                <w:rFonts w:ascii="Arial" w:hAnsi="Arial" w:cs="Arial"/>
                <w:b/>
                <w:bCs/>
                <w:sz w:val="16"/>
                <w:szCs w:val="16"/>
              </w:rPr>
              <w:t>2,919,993</w:t>
            </w:r>
          </w:p>
        </w:tc>
        <w:tc>
          <w:tcPr>
            <w:tcW w:w="634" w:type="pct"/>
            <w:gridSpan w:val="3"/>
            <w:tcBorders>
              <w:top w:val="single" w:sz="4" w:space="0" w:color="auto"/>
              <w:left w:val="nil"/>
              <w:bottom w:val="single" w:sz="4" w:space="0" w:color="auto"/>
              <w:right w:val="nil"/>
            </w:tcBorders>
            <w:shd w:val="clear" w:color="auto" w:fill="auto"/>
            <w:noWrap/>
            <w:vAlign w:val="bottom"/>
            <w:hideMark/>
          </w:tcPr>
          <w:p w14:paraId="33646A68" w14:textId="51E2A5C8" w:rsidR="00D320B9" w:rsidRPr="00ED572D" w:rsidRDefault="00D320B9" w:rsidP="00CD1CF1">
            <w:pPr>
              <w:spacing w:after="0" w:line="240" w:lineRule="auto"/>
              <w:jc w:val="right"/>
              <w:outlineLvl w:val="0"/>
              <w:rPr>
                <w:rFonts w:ascii="Arial" w:hAnsi="Arial" w:cs="Arial"/>
                <w:b/>
                <w:bCs/>
                <w:sz w:val="16"/>
                <w:szCs w:val="16"/>
              </w:rPr>
            </w:pPr>
            <w:r>
              <w:rPr>
                <w:rFonts w:ascii="Arial" w:hAnsi="Arial" w:cs="Arial"/>
                <w:b/>
                <w:bCs/>
                <w:sz w:val="16"/>
                <w:szCs w:val="16"/>
              </w:rPr>
              <w:t>2,903,927</w:t>
            </w:r>
          </w:p>
        </w:tc>
      </w:tr>
    </w:tbl>
    <w:p w14:paraId="3AE78228"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5E79040F" w14:textId="77777777" w:rsidR="00115843" w:rsidRDefault="00115843" w:rsidP="00115843">
      <w:pPr>
        <w:pStyle w:val="TableHeading"/>
        <w:rPr>
          <w:noProof/>
        </w:rPr>
      </w:pPr>
      <w:r>
        <w:lastRenderedPageBreak/>
        <w:t>Table 2.</w:t>
      </w:r>
      <w:r>
        <w:rPr>
          <w:lang w:val="en-GB"/>
        </w:rPr>
        <w:t>5</w:t>
      </w:r>
      <w:r>
        <w:t xml:space="preserve">.1: Budgeted expenses for Outcome </w:t>
      </w:r>
      <w:r>
        <w:rPr>
          <w:lang w:val="en-GB"/>
        </w:rPr>
        <w:t>5</w:t>
      </w:r>
      <w:r>
        <w:t xml:space="preserve"> (continued)</w:t>
      </w:r>
    </w:p>
    <w:tbl>
      <w:tblPr>
        <w:tblW w:w="4949" w:type="pct"/>
        <w:tblLayout w:type="fixed"/>
        <w:tblLook w:val="04A0" w:firstRow="1" w:lastRow="0" w:firstColumn="1" w:lastColumn="0" w:noHBand="0" w:noVBand="1"/>
      </w:tblPr>
      <w:tblGrid>
        <w:gridCol w:w="2977"/>
        <w:gridCol w:w="942"/>
        <w:gridCol w:w="928"/>
        <w:gridCol w:w="928"/>
        <w:gridCol w:w="928"/>
        <w:gridCol w:w="928"/>
      </w:tblGrid>
      <w:tr w:rsidR="00115843" w:rsidRPr="00DD3B42" w14:paraId="5C57FBE2" w14:textId="77777777" w:rsidTr="002F3AAF">
        <w:trPr>
          <w:trHeight w:val="204"/>
        </w:trPr>
        <w:tc>
          <w:tcPr>
            <w:tcW w:w="1951" w:type="pct"/>
            <w:tcBorders>
              <w:top w:val="single" w:sz="4" w:space="0" w:color="auto"/>
              <w:left w:val="nil"/>
              <w:bottom w:val="single" w:sz="4" w:space="0" w:color="auto"/>
              <w:right w:val="nil"/>
            </w:tcBorders>
            <w:shd w:val="clear" w:color="auto" w:fill="auto"/>
            <w:noWrap/>
            <w:vAlign w:val="bottom"/>
            <w:hideMark/>
          </w:tcPr>
          <w:p w14:paraId="639D90E2" w14:textId="77777777" w:rsidR="00115843" w:rsidRPr="00DD3B42" w:rsidRDefault="00115843" w:rsidP="00FB0D02">
            <w:pPr>
              <w:spacing w:after="0" w:line="240" w:lineRule="auto"/>
              <w:outlineLvl w:val="0"/>
              <w:rPr>
                <w:rFonts w:ascii="Arial" w:hAnsi="Arial" w:cs="Arial"/>
                <w:sz w:val="16"/>
                <w:szCs w:val="16"/>
              </w:rPr>
            </w:pPr>
            <w:r w:rsidRPr="00DD3B42">
              <w:rPr>
                <w:rFonts w:ascii="Arial" w:hAnsi="Arial" w:cs="Arial"/>
                <w:sz w:val="16"/>
                <w:szCs w:val="16"/>
              </w:rPr>
              <w:t> </w:t>
            </w:r>
          </w:p>
        </w:tc>
        <w:tc>
          <w:tcPr>
            <w:tcW w:w="617" w:type="pct"/>
            <w:tcBorders>
              <w:top w:val="single" w:sz="4" w:space="0" w:color="auto"/>
              <w:left w:val="nil"/>
              <w:bottom w:val="single" w:sz="4" w:space="0" w:color="auto"/>
              <w:right w:val="nil"/>
            </w:tcBorders>
            <w:shd w:val="clear" w:color="auto" w:fill="auto"/>
            <w:vAlign w:val="bottom"/>
            <w:hideMark/>
          </w:tcPr>
          <w:p w14:paraId="2ECC1B59"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2021-22</w:t>
            </w:r>
            <w:r w:rsidRPr="00DD3B42">
              <w:rPr>
                <w:rFonts w:ascii="Arial" w:hAnsi="Arial" w:cs="Arial"/>
                <w:sz w:val="16"/>
                <w:szCs w:val="16"/>
              </w:rPr>
              <w:br/>
              <w:t>Estimated  actual</w:t>
            </w:r>
            <w:r w:rsidRPr="00DD3B42">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E6E6E6"/>
            <w:vAlign w:val="bottom"/>
            <w:hideMark/>
          </w:tcPr>
          <w:p w14:paraId="6741F8BA"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2022-23</w:t>
            </w:r>
            <w:r w:rsidRPr="00DD3B42">
              <w:rPr>
                <w:rFonts w:ascii="Arial" w:hAnsi="Arial" w:cs="Arial"/>
                <w:sz w:val="16"/>
                <w:szCs w:val="16"/>
              </w:rPr>
              <w:br/>
              <w:t xml:space="preserve"> Budget</w:t>
            </w:r>
            <w:r w:rsidRPr="00DD3B42">
              <w:rPr>
                <w:rFonts w:ascii="Arial" w:hAnsi="Arial" w:cs="Arial"/>
                <w:sz w:val="16"/>
                <w:szCs w:val="16"/>
              </w:rPr>
              <w:br/>
              <w:t xml:space="preserve">                                      $'000</w:t>
            </w:r>
          </w:p>
        </w:tc>
        <w:tc>
          <w:tcPr>
            <w:tcW w:w="608" w:type="pct"/>
            <w:tcBorders>
              <w:top w:val="single" w:sz="4" w:space="0" w:color="auto"/>
              <w:left w:val="nil"/>
              <w:bottom w:val="single" w:sz="4" w:space="0" w:color="auto"/>
              <w:right w:val="nil"/>
            </w:tcBorders>
            <w:shd w:val="clear" w:color="auto" w:fill="auto"/>
            <w:vAlign w:val="bottom"/>
            <w:hideMark/>
          </w:tcPr>
          <w:p w14:paraId="68EFD7C7"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2023-24</w:t>
            </w:r>
            <w:r w:rsidRPr="00DD3B42">
              <w:rPr>
                <w:rFonts w:ascii="Arial" w:hAnsi="Arial" w:cs="Arial"/>
                <w:sz w:val="16"/>
                <w:szCs w:val="16"/>
              </w:rPr>
              <w:br/>
              <w:t>Forward estimate</w:t>
            </w:r>
            <w:r w:rsidRPr="00DD3B42">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5435CFD3"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2024-25</w:t>
            </w:r>
            <w:r w:rsidRPr="00DD3B42">
              <w:rPr>
                <w:rFonts w:ascii="Arial" w:hAnsi="Arial" w:cs="Arial"/>
                <w:sz w:val="16"/>
                <w:szCs w:val="16"/>
              </w:rPr>
              <w:br/>
              <w:t>Forward estimate</w:t>
            </w:r>
            <w:r w:rsidRPr="00DD3B42">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2F72A606"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2025-26</w:t>
            </w:r>
            <w:r w:rsidRPr="00DD3B42">
              <w:rPr>
                <w:rFonts w:ascii="Arial" w:hAnsi="Arial" w:cs="Arial"/>
                <w:sz w:val="16"/>
                <w:szCs w:val="16"/>
              </w:rPr>
              <w:br/>
              <w:t>Forward estimate</w:t>
            </w:r>
            <w:r w:rsidRPr="00DD3B42">
              <w:rPr>
                <w:rFonts w:ascii="Arial" w:hAnsi="Arial" w:cs="Arial"/>
                <w:sz w:val="16"/>
                <w:szCs w:val="16"/>
              </w:rPr>
              <w:br/>
              <w:t>$'000</w:t>
            </w:r>
          </w:p>
        </w:tc>
      </w:tr>
      <w:tr w:rsidR="00115843" w:rsidRPr="00DD3B42" w14:paraId="26CBD15B" w14:textId="77777777" w:rsidTr="002F3AAF">
        <w:trPr>
          <w:trHeight w:val="204"/>
        </w:trPr>
        <w:tc>
          <w:tcPr>
            <w:tcW w:w="2568" w:type="pct"/>
            <w:gridSpan w:val="2"/>
            <w:tcBorders>
              <w:top w:val="nil"/>
              <w:left w:val="nil"/>
              <w:bottom w:val="single" w:sz="4" w:space="0" w:color="auto"/>
              <w:right w:val="nil"/>
            </w:tcBorders>
            <w:shd w:val="clear" w:color="auto" w:fill="E6E6E6"/>
            <w:noWrap/>
            <w:vAlign w:val="bottom"/>
            <w:hideMark/>
          </w:tcPr>
          <w:p w14:paraId="366706C9" w14:textId="77777777" w:rsidR="00115843" w:rsidRPr="00DD3B42" w:rsidRDefault="00115843" w:rsidP="00FB0D02">
            <w:pPr>
              <w:spacing w:after="0" w:line="240" w:lineRule="auto"/>
              <w:outlineLvl w:val="0"/>
              <w:rPr>
                <w:rFonts w:ascii="Arial" w:hAnsi="Arial" w:cs="Arial"/>
                <w:sz w:val="16"/>
                <w:szCs w:val="16"/>
              </w:rPr>
            </w:pPr>
            <w:r w:rsidRPr="00DD3B42">
              <w:rPr>
                <w:rFonts w:ascii="Arial" w:hAnsi="Arial" w:cs="Arial"/>
                <w:b/>
                <w:bCs/>
                <w:sz w:val="16"/>
                <w:szCs w:val="16"/>
              </w:rPr>
              <w:t>Outcome 5 Totals by appropriation type</w:t>
            </w:r>
            <w:r w:rsidRPr="00DD3B42">
              <w:rPr>
                <w:rFonts w:ascii="Arial" w:hAnsi="Arial" w:cs="Arial"/>
                <w:sz w:val="16"/>
                <w:szCs w:val="16"/>
              </w:rPr>
              <w:t> </w:t>
            </w:r>
          </w:p>
        </w:tc>
        <w:tc>
          <w:tcPr>
            <w:tcW w:w="608" w:type="pct"/>
            <w:tcBorders>
              <w:top w:val="nil"/>
              <w:left w:val="nil"/>
              <w:bottom w:val="single" w:sz="4" w:space="0" w:color="auto"/>
              <w:right w:val="nil"/>
            </w:tcBorders>
            <w:shd w:val="clear" w:color="auto" w:fill="E6E6E6"/>
            <w:noWrap/>
            <w:vAlign w:val="bottom"/>
            <w:hideMark/>
          </w:tcPr>
          <w:p w14:paraId="297C2643"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 </w:t>
            </w:r>
          </w:p>
        </w:tc>
        <w:tc>
          <w:tcPr>
            <w:tcW w:w="608" w:type="pct"/>
            <w:tcBorders>
              <w:top w:val="nil"/>
              <w:left w:val="nil"/>
              <w:bottom w:val="single" w:sz="4" w:space="0" w:color="auto"/>
              <w:right w:val="nil"/>
            </w:tcBorders>
            <w:shd w:val="clear" w:color="auto" w:fill="E6E6E6"/>
            <w:noWrap/>
            <w:vAlign w:val="bottom"/>
            <w:hideMark/>
          </w:tcPr>
          <w:p w14:paraId="1AD498A2"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 </w:t>
            </w:r>
          </w:p>
        </w:tc>
        <w:tc>
          <w:tcPr>
            <w:tcW w:w="608" w:type="pct"/>
            <w:tcBorders>
              <w:top w:val="nil"/>
              <w:left w:val="nil"/>
              <w:bottom w:val="single" w:sz="4" w:space="0" w:color="auto"/>
              <w:right w:val="nil"/>
            </w:tcBorders>
            <w:shd w:val="clear" w:color="auto" w:fill="E6E6E6"/>
            <w:noWrap/>
            <w:vAlign w:val="bottom"/>
            <w:hideMark/>
          </w:tcPr>
          <w:p w14:paraId="68F02C7B"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 </w:t>
            </w:r>
          </w:p>
        </w:tc>
        <w:tc>
          <w:tcPr>
            <w:tcW w:w="608" w:type="pct"/>
            <w:tcBorders>
              <w:top w:val="nil"/>
              <w:left w:val="nil"/>
              <w:bottom w:val="single" w:sz="4" w:space="0" w:color="auto"/>
              <w:right w:val="nil"/>
            </w:tcBorders>
            <w:shd w:val="clear" w:color="auto" w:fill="E6E6E6"/>
            <w:noWrap/>
            <w:vAlign w:val="bottom"/>
            <w:hideMark/>
          </w:tcPr>
          <w:p w14:paraId="60E75C46" w14:textId="77777777" w:rsidR="00115843" w:rsidRPr="00DD3B42" w:rsidRDefault="00115843" w:rsidP="00FB0D02">
            <w:pPr>
              <w:spacing w:after="0" w:line="240" w:lineRule="auto"/>
              <w:jc w:val="right"/>
              <w:outlineLvl w:val="0"/>
              <w:rPr>
                <w:rFonts w:ascii="Arial" w:hAnsi="Arial" w:cs="Arial"/>
                <w:sz w:val="16"/>
                <w:szCs w:val="16"/>
              </w:rPr>
            </w:pPr>
            <w:r w:rsidRPr="00DD3B42">
              <w:rPr>
                <w:rFonts w:ascii="Arial" w:hAnsi="Arial" w:cs="Arial"/>
                <w:sz w:val="16"/>
                <w:szCs w:val="16"/>
              </w:rPr>
              <w:t> </w:t>
            </w:r>
          </w:p>
        </w:tc>
      </w:tr>
      <w:tr w:rsidR="00115843" w:rsidRPr="00DD3B42" w14:paraId="3F8D51FB" w14:textId="77777777" w:rsidTr="002F3AAF">
        <w:trPr>
          <w:trHeight w:val="204"/>
        </w:trPr>
        <w:tc>
          <w:tcPr>
            <w:tcW w:w="1951" w:type="pct"/>
            <w:tcBorders>
              <w:top w:val="nil"/>
              <w:left w:val="nil"/>
              <w:bottom w:val="nil"/>
              <w:right w:val="nil"/>
            </w:tcBorders>
            <w:shd w:val="clear" w:color="auto" w:fill="auto"/>
            <w:noWrap/>
            <w:vAlign w:val="bottom"/>
            <w:hideMark/>
          </w:tcPr>
          <w:p w14:paraId="742B676C" w14:textId="77777777" w:rsidR="00115843" w:rsidRPr="00DD3B42" w:rsidRDefault="00115843" w:rsidP="00FB0D02">
            <w:pPr>
              <w:spacing w:after="0" w:line="240" w:lineRule="auto"/>
              <w:rPr>
                <w:rFonts w:ascii="Arial" w:hAnsi="Arial" w:cs="Arial"/>
                <w:sz w:val="16"/>
                <w:szCs w:val="16"/>
              </w:rPr>
            </w:pPr>
            <w:r w:rsidRPr="00DD3B42">
              <w:rPr>
                <w:rFonts w:ascii="Arial" w:hAnsi="Arial" w:cs="Arial"/>
                <w:sz w:val="16"/>
                <w:szCs w:val="16"/>
              </w:rPr>
              <w:t>Departmental expenses</w:t>
            </w:r>
          </w:p>
        </w:tc>
        <w:tc>
          <w:tcPr>
            <w:tcW w:w="617" w:type="pct"/>
            <w:tcBorders>
              <w:top w:val="nil"/>
              <w:left w:val="nil"/>
              <w:bottom w:val="nil"/>
              <w:right w:val="nil"/>
            </w:tcBorders>
            <w:shd w:val="clear" w:color="auto" w:fill="auto"/>
            <w:noWrap/>
            <w:vAlign w:val="bottom"/>
            <w:hideMark/>
          </w:tcPr>
          <w:p w14:paraId="402B927F" w14:textId="77777777" w:rsidR="00115843" w:rsidRPr="00DD3B42" w:rsidRDefault="00115843" w:rsidP="00FB0D02">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E6E6E6"/>
            <w:noWrap/>
            <w:vAlign w:val="bottom"/>
            <w:hideMark/>
          </w:tcPr>
          <w:p w14:paraId="629FDA24" w14:textId="77777777" w:rsidR="00115843" w:rsidRPr="00DD3B42" w:rsidRDefault="00115843" w:rsidP="00FB0D02">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29808646" w14:textId="77777777" w:rsidR="00115843" w:rsidRPr="00DD3B42" w:rsidRDefault="00115843" w:rsidP="00FB0D02">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42ABF42F" w14:textId="77777777" w:rsidR="00115843" w:rsidRPr="00DD3B42" w:rsidRDefault="00115843" w:rsidP="00FB0D02">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59C39739" w14:textId="77777777" w:rsidR="00115843" w:rsidRPr="00DD3B42" w:rsidRDefault="00115843" w:rsidP="00FB0D02">
            <w:pPr>
              <w:spacing w:after="0" w:line="240" w:lineRule="auto"/>
              <w:jc w:val="right"/>
              <w:rPr>
                <w:rFonts w:ascii="Times New Roman" w:hAnsi="Times New Roman"/>
              </w:rPr>
            </w:pPr>
          </w:p>
        </w:tc>
      </w:tr>
      <w:tr w:rsidR="00D320B9" w:rsidRPr="00DD3B42" w14:paraId="7A32C2F8" w14:textId="77777777" w:rsidTr="002F3AAF">
        <w:trPr>
          <w:trHeight w:val="204"/>
        </w:trPr>
        <w:tc>
          <w:tcPr>
            <w:tcW w:w="1951" w:type="pct"/>
            <w:tcBorders>
              <w:top w:val="nil"/>
              <w:left w:val="nil"/>
              <w:bottom w:val="nil"/>
              <w:right w:val="nil"/>
            </w:tcBorders>
            <w:shd w:val="clear" w:color="auto" w:fill="auto"/>
            <w:noWrap/>
            <w:vAlign w:val="bottom"/>
            <w:hideMark/>
          </w:tcPr>
          <w:p w14:paraId="2B8ECFB8" w14:textId="77777777" w:rsidR="00D320B9" w:rsidRPr="00DD3B42" w:rsidRDefault="00D320B9" w:rsidP="00D320B9">
            <w:pPr>
              <w:spacing w:after="0" w:line="240" w:lineRule="auto"/>
              <w:ind w:left="113"/>
              <w:rPr>
                <w:rFonts w:ascii="Arial" w:hAnsi="Arial" w:cs="Arial"/>
                <w:sz w:val="16"/>
                <w:szCs w:val="16"/>
              </w:rPr>
            </w:pPr>
            <w:r w:rsidRPr="00DD3B42">
              <w:rPr>
                <w:rFonts w:ascii="Arial" w:hAnsi="Arial" w:cs="Arial"/>
                <w:sz w:val="16"/>
                <w:szCs w:val="16"/>
              </w:rPr>
              <w:t>Departmental appropriation</w:t>
            </w:r>
          </w:p>
        </w:tc>
        <w:tc>
          <w:tcPr>
            <w:tcW w:w="617" w:type="pct"/>
            <w:tcBorders>
              <w:top w:val="nil"/>
              <w:left w:val="nil"/>
              <w:bottom w:val="nil"/>
              <w:right w:val="nil"/>
            </w:tcBorders>
            <w:shd w:val="clear" w:color="auto" w:fill="auto"/>
            <w:noWrap/>
            <w:vAlign w:val="bottom"/>
            <w:hideMark/>
          </w:tcPr>
          <w:p w14:paraId="20C38EE7" w14:textId="513FE75A"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72,425</w:t>
            </w:r>
          </w:p>
        </w:tc>
        <w:tc>
          <w:tcPr>
            <w:tcW w:w="608" w:type="pct"/>
            <w:tcBorders>
              <w:top w:val="nil"/>
              <w:left w:val="nil"/>
              <w:bottom w:val="nil"/>
              <w:right w:val="nil"/>
            </w:tcBorders>
            <w:shd w:val="clear" w:color="auto" w:fill="E6E6E6"/>
            <w:noWrap/>
            <w:vAlign w:val="bottom"/>
            <w:hideMark/>
          </w:tcPr>
          <w:p w14:paraId="094DEB38" w14:textId="1B9B41C3"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82,313</w:t>
            </w:r>
          </w:p>
        </w:tc>
        <w:tc>
          <w:tcPr>
            <w:tcW w:w="608" w:type="pct"/>
            <w:tcBorders>
              <w:top w:val="nil"/>
              <w:left w:val="nil"/>
              <w:bottom w:val="nil"/>
              <w:right w:val="nil"/>
            </w:tcBorders>
            <w:shd w:val="clear" w:color="auto" w:fill="auto"/>
            <w:noWrap/>
            <w:vAlign w:val="bottom"/>
            <w:hideMark/>
          </w:tcPr>
          <w:p w14:paraId="0D4578C5" w14:textId="2E36960E"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85,265</w:t>
            </w:r>
          </w:p>
        </w:tc>
        <w:tc>
          <w:tcPr>
            <w:tcW w:w="608" w:type="pct"/>
            <w:tcBorders>
              <w:top w:val="nil"/>
              <w:left w:val="nil"/>
              <w:bottom w:val="nil"/>
              <w:right w:val="nil"/>
            </w:tcBorders>
            <w:shd w:val="clear" w:color="auto" w:fill="auto"/>
            <w:noWrap/>
            <w:vAlign w:val="bottom"/>
            <w:hideMark/>
          </w:tcPr>
          <w:p w14:paraId="3D36E499" w14:textId="7F27641C"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92,537</w:t>
            </w:r>
          </w:p>
        </w:tc>
        <w:tc>
          <w:tcPr>
            <w:tcW w:w="608" w:type="pct"/>
            <w:tcBorders>
              <w:top w:val="nil"/>
              <w:left w:val="nil"/>
              <w:bottom w:val="nil"/>
              <w:right w:val="nil"/>
            </w:tcBorders>
            <w:shd w:val="clear" w:color="auto" w:fill="auto"/>
            <w:noWrap/>
            <w:vAlign w:val="bottom"/>
            <w:hideMark/>
          </w:tcPr>
          <w:p w14:paraId="7DECA2E9" w14:textId="25387BE3"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85,576</w:t>
            </w:r>
          </w:p>
        </w:tc>
      </w:tr>
      <w:tr w:rsidR="00D320B9" w:rsidRPr="00DD3B42" w14:paraId="22612A59" w14:textId="77777777" w:rsidTr="002F3AAF">
        <w:trPr>
          <w:trHeight w:val="204"/>
        </w:trPr>
        <w:tc>
          <w:tcPr>
            <w:tcW w:w="1951" w:type="pct"/>
            <w:tcBorders>
              <w:top w:val="nil"/>
              <w:left w:val="nil"/>
              <w:bottom w:val="nil"/>
              <w:right w:val="nil"/>
            </w:tcBorders>
            <w:shd w:val="clear" w:color="auto" w:fill="auto"/>
            <w:noWrap/>
            <w:vAlign w:val="bottom"/>
            <w:hideMark/>
          </w:tcPr>
          <w:p w14:paraId="086EADE4" w14:textId="77777777" w:rsidR="00D320B9" w:rsidRPr="00DD3B42" w:rsidRDefault="00D320B9" w:rsidP="00D320B9">
            <w:pPr>
              <w:spacing w:after="0" w:line="240" w:lineRule="auto"/>
              <w:ind w:left="113"/>
              <w:rPr>
                <w:rFonts w:ascii="Arial" w:hAnsi="Arial" w:cs="Arial"/>
                <w:sz w:val="16"/>
                <w:szCs w:val="16"/>
              </w:rPr>
            </w:pPr>
            <w:r w:rsidRPr="00DD3B42">
              <w:rPr>
                <w:rFonts w:ascii="Arial" w:hAnsi="Arial" w:cs="Arial"/>
                <w:sz w:val="16"/>
                <w:szCs w:val="16"/>
              </w:rPr>
              <w:t xml:space="preserve">s74 external revenues </w:t>
            </w:r>
            <w:r w:rsidRPr="00DD3B42">
              <w:rPr>
                <w:rFonts w:ascii="Arial" w:hAnsi="Arial" w:cs="Arial"/>
                <w:sz w:val="16"/>
                <w:szCs w:val="16"/>
                <w:vertAlign w:val="superscript"/>
              </w:rPr>
              <w:t>(c)</w:t>
            </w:r>
          </w:p>
        </w:tc>
        <w:tc>
          <w:tcPr>
            <w:tcW w:w="617" w:type="pct"/>
            <w:tcBorders>
              <w:top w:val="nil"/>
              <w:left w:val="nil"/>
              <w:bottom w:val="nil"/>
              <w:right w:val="nil"/>
            </w:tcBorders>
            <w:shd w:val="clear" w:color="auto" w:fill="auto"/>
            <w:noWrap/>
            <w:vAlign w:val="bottom"/>
            <w:hideMark/>
          </w:tcPr>
          <w:p w14:paraId="1911B8CE" w14:textId="02F574BB"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1,984</w:t>
            </w:r>
          </w:p>
        </w:tc>
        <w:tc>
          <w:tcPr>
            <w:tcW w:w="608" w:type="pct"/>
            <w:tcBorders>
              <w:top w:val="nil"/>
              <w:left w:val="nil"/>
              <w:bottom w:val="nil"/>
              <w:right w:val="nil"/>
            </w:tcBorders>
            <w:shd w:val="clear" w:color="auto" w:fill="E6E6E6"/>
            <w:noWrap/>
            <w:vAlign w:val="bottom"/>
            <w:hideMark/>
          </w:tcPr>
          <w:p w14:paraId="57EB7A6C" w14:textId="1D8BE56E"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2,406</w:t>
            </w:r>
          </w:p>
        </w:tc>
        <w:tc>
          <w:tcPr>
            <w:tcW w:w="608" w:type="pct"/>
            <w:tcBorders>
              <w:top w:val="nil"/>
              <w:left w:val="nil"/>
              <w:bottom w:val="nil"/>
              <w:right w:val="nil"/>
            </w:tcBorders>
            <w:shd w:val="clear" w:color="auto" w:fill="auto"/>
            <w:noWrap/>
            <w:vAlign w:val="bottom"/>
            <w:hideMark/>
          </w:tcPr>
          <w:p w14:paraId="7FC454ED" w14:textId="1AED68FC"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2,406</w:t>
            </w:r>
          </w:p>
        </w:tc>
        <w:tc>
          <w:tcPr>
            <w:tcW w:w="608" w:type="pct"/>
            <w:tcBorders>
              <w:top w:val="nil"/>
              <w:left w:val="nil"/>
              <w:bottom w:val="nil"/>
              <w:right w:val="nil"/>
            </w:tcBorders>
            <w:shd w:val="clear" w:color="auto" w:fill="auto"/>
            <w:noWrap/>
            <w:vAlign w:val="bottom"/>
            <w:hideMark/>
          </w:tcPr>
          <w:p w14:paraId="29FB042E" w14:textId="20E1429F"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2,049</w:t>
            </w:r>
          </w:p>
        </w:tc>
        <w:tc>
          <w:tcPr>
            <w:tcW w:w="608" w:type="pct"/>
            <w:tcBorders>
              <w:top w:val="nil"/>
              <w:left w:val="nil"/>
              <w:bottom w:val="nil"/>
              <w:right w:val="nil"/>
            </w:tcBorders>
            <w:shd w:val="clear" w:color="auto" w:fill="auto"/>
            <w:noWrap/>
            <w:vAlign w:val="bottom"/>
            <w:hideMark/>
          </w:tcPr>
          <w:p w14:paraId="1DDC2AC3" w14:textId="7CC594A4"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2,049</w:t>
            </w:r>
          </w:p>
        </w:tc>
      </w:tr>
      <w:tr w:rsidR="00D320B9" w:rsidRPr="00DD3B42" w14:paraId="40780BFF" w14:textId="77777777" w:rsidTr="002F3AAF">
        <w:trPr>
          <w:trHeight w:val="204"/>
        </w:trPr>
        <w:tc>
          <w:tcPr>
            <w:tcW w:w="1951" w:type="pct"/>
            <w:tcBorders>
              <w:top w:val="nil"/>
              <w:left w:val="nil"/>
              <w:bottom w:val="nil"/>
              <w:right w:val="nil"/>
            </w:tcBorders>
            <w:shd w:val="clear" w:color="auto" w:fill="auto"/>
            <w:noWrap/>
            <w:vAlign w:val="bottom"/>
            <w:hideMark/>
          </w:tcPr>
          <w:p w14:paraId="04A251F5" w14:textId="77777777" w:rsidR="00D320B9" w:rsidRPr="00DD3B42" w:rsidRDefault="00D320B9" w:rsidP="00D320B9">
            <w:pPr>
              <w:spacing w:after="0" w:line="240" w:lineRule="auto"/>
              <w:ind w:left="113"/>
              <w:rPr>
                <w:rFonts w:ascii="Arial" w:hAnsi="Arial" w:cs="Arial"/>
                <w:sz w:val="16"/>
                <w:szCs w:val="16"/>
              </w:rPr>
            </w:pPr>
            <w:r w:rsidRPr="00DD3B42">
              <w:rPr>
                <w:rFonts w:ascii="Arial" w:hAnsi="Arial" w:cs="Arial"/>
                <w:sz w:val="16"/>
                <w:szCs w:val="16"/>
              </w:rPr>
              <w:t>Special accounts</w:t>
            </w:r>
          </w:p>
        </w:tc>
        <w:tc>
          <w:tcPr>
            <w:tcW w:w="617" w:type="pct"/>
            <w:tcBorders>
              <w:top w:val="nil"/>
              <w:left w:val="nil"/>
              <w:bottom w:val="nil"/>
              <w:right w:val="nil"/>
            </w:tcBorders>
            <w:shd w:val="clear" w:color="auto" w:fill="auto"/>
            <w:noWrap/>
            <w:vAlign w:val="bottom"/>
            <w:hideMark/>
          </w:tcPr>
          <w:p w14:paraId="622ECB44" w14:textId="42E45156"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4,046</w:t>
            </w:r>
          </w:p>
        </w:tc>
        <w:tc>
          <w:tcPr>
            <w:tcW w:w="608" w:type="pct"/>
            <w:tcBorders>
              <w:top w:val="nil"/>
              <w:left w:val="nil"/>
              <w:bottom w:val="nil"/>
              <w:right w:val="nil"/>
            </w:tcBorders>
            <w:shd w:val="clear" w:color="auto" w:fill="E6E6E6"/>
            <w:noWrap/>
            <w:vAlign w:val="bottom"/>
            <w:hideMark/>
          </w:tcPr>
          <w:p w14:paraId="3838D070" w14:textId="4C113086"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4,046</w:t>
            </w:r>
          </w:p>
        </w:tc>
        <w:tc>
          <w:tcPr>
            <w:tcW w:w="608" w:type="pct"/>
            <w:tcBorders>
              <w:top w:val="nil"/>
              <w:left w:val="nil"/>
              <w:bottom w:val="nil"/>
              <w:right w:val="nil"/>
            </w:tcBorders>
            <w:shd w:val="clear" w:color="auto" w:fill="auto"/>
            <w:noWrap/>
            <w:vAlign w:val="bottom"/>
            <w:hideMark/>
          </w:tcPr>
          <w:p w14:paraId="76A11F44" w14:textId="4A7F6E2E"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4,046</w:t>
            </w:r>
          </w:p>
        </w:tc>
        <w:tc>
          <w:tcPr>
            <w:tcW w:w="608" w:type="pct"/>
            <w:tcBorders>
              <w:top w:val="nil"/>
              <w:left w:val="nil"/>
              <w:bottom w:val="nil"/>
              <w:right w:val="nil"/>
            </w:tcBorders>
            <w:shd w:val="clear" w:color="auto" w:fill="auto"/>
            <w:noWrap/>
            <w:vAlign w:val="bottom"/>
            <w:hideMark/>
          </w:tcPr>
          <w:p w14:paraId="1E3977F4" w14:textId="15B2AAF6"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4,046</w:t>
            </w:r>
          </w:p>
        </w:tc>
        <w:tc>
          <w:tcPr>
            <w:tcW w:w="608" w:type="pct"/>
            <w:tcBorders>
              <w:top w:val="nil"/>
              <w:left w:val="nil"/>
              <w:bottom w:val="nil"/>
              <w:right w:val="nil"/>
            </w:tcBorders>
            <w:shd w:val="clear" w:color="auto" w:fill="auto"/>
            <w:noWrap/>
            <w:vAlign w:val="bottom"/>
            <w:hideMark/>
          </w:tcPr>
          <w:p w14:paraId="1DBB960C" w14:textId="02556774"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4,046</w:t>
            </w:r>
          </w:p>
        </w:tc>
      </w:tr>
      <w:tr w:rsidR="00D320B9" w:rsidRPr="00DD3B42" w14:paraId="46AFB494" w14:textId="77777777" w:rsidTr="002F3AAF">
        <w:trPr>
          <w:trHeight w:val="204"/>
        </w:trPr>
        <w:tc>
          <w:tcPr>
            <w:tcW w:w="1951" w:type="pct"/>
            <w:tcBorders>
              <w:top w:val="nil"/>
              <w:left w:val="nil"/>
              <w:bottom w:val="nil"/>
              <w:right w:val="nil"/>
            </w:tcBorders>
            <w:shd w:val="clear" w:color="auto" w:fill="auto"/>
            <w:vAlign w:val="bottom"/>
            <w:hideMark/>
          </w:tcPr>
          <w:p w14:paraId="587113F8" w14:textId="77777777" w:rsidR="00D320B9" w:rsidRPr="00DD3B42" w:rsidRDefault="00D320B9" w:rsidP="00D320B9">
            <w:pPr>
              <w:spacing w:after="0" w:line="240" w:lineRule="auto"/>
              <w:ind w:left="113"/>
              <w:rPr>
                <w:rFonts w:ascii="Arial" w:hAnsi="Arial" w:cs="Arial"/>
                <w:sz w:val="16"/>
                <w:szCs w:val="16"/>
              </w:rPr>
            </w:pPr>
            <w:r w:rsidRPr="00DD3B42">
              <w:rPr>
                <w:rFonts w:ascii="Arial" w:hAnsi="Arial" w:cs="Arial"/>
                <w:sz w:val="16"/>
                <w:szCs w:val="16"/>
              </w:rPr>
              <w:t xml:space="preserve">Expenses not requiring appropriation in the Budget year </w:t>
            </w:r>
            <w:r w:rsidRPr="00DD3B42">
              <w:rPr>
                <w:rFonts w:ascii="Arial" w:hAnsi="Arial" w:cs="Arial"/>
                <w:sz w:val="16"/>
                <w:szCs w:val="16"/>
                <w:vertAlign w:val="superscript"/>
              </w:rPr>
              <w:t>(d)</w:t>
            </w:r>
          </w:p>
        </w:tc>
        <w:tc>
          <w:tcPr>
            <w:tcW w:w="617" w:type="pct"/>
            <w:tcBorders>
              <w:top w:val="nil"/>
              <w:left w:val="nil"/>
              <w:bottom w:val="nil"/>
              <w:right w:val="nil"/>
            </w:tcBorders>
            <w:shd w:val="clear" w:color="auto" w:fill="auto"/>
            <w:noWrap/>
            <w:vAlign w:val="bottom"/>
            <w:hideMark/>
          </w:tcPr>
          <w:p w14:paraId="0518053D" w14:textId="216E7694"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3,010</w:t>
            </w:r>
          </w:p>
        </w:tc>
        <w:tc>
          <w:tcPr>
            <w:tcW w:w="608" w:type="pct"/>
            <w:tcBorders>
              <w:top w:val="nil"/>
              <w:left w:val="nil"/>
              <w:bottom w:val="nil"/>
              <w:right w:val="nil"/>
            </w:tcBorders>
            <w:shd w:val="clear" w:color="auto" w:fill="E6E6E6"/>
            <w:noWrap/>
            <w:vAlign w:val="bottom"/>
            <w:hideMark/>
          </w:tcPr>
          <w:p w14:paraId="058D971B" w14:textId="25C7D067"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5,849</w:t>
            </w:r>
          </w:p>
        </w:tc>
        <w:tc>
          <w:tcPr>
            <w:tcW w:w="608" w:type="pct"/>
            <w:tcBorders>
              <w:top w:val="nil"/>
              <w:left w:val="nil"/>
              <w:bottom w:val="nil"/>
              <w:right w:val="nil"/>
            </w:tcBorders>
            <w:shd w:val="clear" w:color="auto" w:fill="auto"/>
            <w:noWrap/>
            <w:vAlign w:val="bottom"/>
            <w:hideMark/>
          </w:tcPr>
          <w:p w14:paraId="23EAA527" w14:textId="7D92D894"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5,816</w:t>
            </w:r>
          </w:p>
        </w:tc>
        <w:tc>
          <w:tcPr>
            <w:tcW w:w="608" w:type="pct"/>
            <w:tcBorders>
              <w:top w:val="nil"/>
              <w:left w:val="nil"/>
              <w:bottom w:val="nil"/>
              <w:right w:val="nil"/>
            </w:tcBorders>
            <w:shd w:val="clear" w:color="auto" w:fill="auto"/>
            <w:noWrap/>
            <w:vAlign w:val="bottom"/>
            <w:hideMark/>
          </w:tcPr>
          <w:p w14:paraId="7BCE8170" w14:textId="058BABD1"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5,816</w:t>
            </w:r>
          </w:p>
        </w:tc>
        <w:tc>
          <w:tcPr>
            <w:tcW w:w="608" w:type="pct"/>
            <w:tcBorders>
              <w:top w:val="nil"/>
              <w:left w:val="nil"/>
              <w:bottom w:val="nil"/>
              <w:right w:val="nil"/>
            </w:tcBorders>
            <w:shd w:val="clear" w:color="auto" w:fill="auto"/>
            <w:noWrap/>
            <w:vAlign w:val="bottom"/>
            <w:hideMark/>
          </w:tcPr>
          <w:p w14:paraId="3C488F56" w14:textId="5A4B22C0" w:rsidR="00D320B9" w:rsidRPr="00DD3B42" w:rsidRDefault="00D320B9" w:rsidP="00D320B9">
            <w:pPr>
              <w:spacing w:after="0" w:line="240" w:lineRule="auto"/>
              <w:jc w:val="right"/>
              <w:rPr>
                <w:rFonts w:ascii="Arial" w:hAnsi="Arial" w:cs="Arial"/>
                <w:sz w:val="16"/>
                <w:szCs w:val="16"/>
              </w:rPr>
            </w:pPr>
            <w:r>
              <w:rPr>
                <w:rFonts w:ascii="Arial" w:hAnsi="Arial" w:cs="Arial"/>
                <w:sz w:val="16"/>
                <w:szCs w:val="16"/>
              </w:rPr>
              <w:t>5,816</w:t>
            </w:r>
          </w:p>
        </w:tc>
      </w:tr>
      <w:tr w:rsidR="00D320B9" w:rsidRPr="00DD3B42" w14:paraId="5CDCA183" w14:textId="77777777" w:rsidTr="002F3AAF">
        <w:trPr>
          <w:trHeight w:val="204"/>
        </w:trPr>
        <w:tc>
          <w:tcPr>
            <w:tcW w:w="1951" w:type="pct"/>
            <w:tcBorders>
              <w:top w:val="nil"/>
              <w:left w:val="nil"/>
              <w:bottom w:val="nil"/>
              <w:right w:val="nil"/>
            </w:tcBorders>
            <w:shd w:val="clear" w:color="auto" w:fill="auto"/>
            <w:vAlign w:val="bottom"/>
            <w:hideMark/>
          </w:tcPr>
          <w:p w14:paraId="5DAF5F8A" w14:textId="77777777" w:rsidR="00D320B9" w:rsidRPr="00DD3B42" w:rsidRDefault="00D320B9" w:rsidP="00662504">
            <w:pPr>
              <w:spacing w:after="0" w:line="240" w:lineRule="auto"/>
              <w:jc w:val="right"/>
              <w:rPr>
                <w:rFonts w:ascii="Arial" w:hAnsi="Arial" w:cs="Arial"/>
                <w:b/>
                <w:bCs/>
                <w:sz w:val="16"/>
                <w:szCs w:val="16"/>
              </w:rPr>
            </w:pPr>
            <w:r w:rsidRPr="00DD3B42">
              <w:rPr>
                <w:rFonts w:ascii="Arial" w:hAnsi="Arial" w:cs="Arial"/>
                <w:b/>
                <w:bCs/>
                <w:sz w:val="16"/>
                <w:szCs w:val="16"/>
              </w:rPr>
              <w:t>Total departmental expenses</w:t>
            </w:r>
          </w:p>
        </w:tc>
        <w:tc>
          <w:tcPr>
            <w:tcW w:w="617" w:type="pct"/>
            <w:tcBorders>
              <w:top w:val="single" w:sz="4" w:space="0" w:color="auto"/>
              <w:left w:val="nil"/>
              <w:bottom w:val="single" w:sz="4" w:space="0" w:color="auto"/>
              <w:right w:val="nil"/>
            </w:tcBorders>
            <w:shd w:val="clear" w:color="auto" w:fill="auto"/>
            <w:noWrap/>
            <w:vAlign w:val="bottom"/>
            <w:hideMark/>
          </w:tcPr>
          <w:p w14:paraId="2BF11FCE" w14:textId="0F8117F0"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81,465</w:t>
            </w:r>
          </w:p>
        </w:tc>
        <w:tc>
          <w:tcPr>
            <w:tcW w:w="608" w:type="pct"/>
            <w:tcBorders>
              <w:top w:val="single" w:sz="4" w:space="0" w:color="auto"/>
              <w:left w:val="nil"/>
              <w:bottom w:val="single" w:sz="4" w:space="0" w:color="auto"/>
              <w:right w:val="nil"/>
            </w:tcBorders>
            <w:shd w:val="clear" w:color="auto" w:fill="E6E6E6"/>
            <w:noWrap/>
            <w:vAlign w:val="bottom"/>
            <w:hideMark/>
          </w:tcPr>
          <w:p w14:paraId="5C5DE02D" w14:textId="66801326"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94,614</w:t>
            </w:r>
          </w:p>
        </w:tc>
        <w:tc>
          <w:tcPr>
            <w:tcW w:w="608" w:type="pct"/>
            <w:tcBorders>
              <w:top w:val="single" w:sz="4" w:space="0" w:color="auto"/>
              <w:left w:val="nil"/>
              <w:bottom w:val="single" w:sz="4" w:space="0" w:color="auto"/>
              <w:right w:val="nil"/>
            </w:tcBorders>
            <w:shd w:val="clear" w:color="auto" w:fill="auto"/>
            <w:noWrap/>
            <w:vAlign w:val="bottom"/>
            <w:hideMark/>
          </w:tcPr>
          <w:p w14:paraId="186DFCFC" w14:textId="5A6B8526"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97,533</w:t>
            </w:r>
          </w:p>
        </w:tc>
        <w:tc>
          <w:tcPr>
            <w:tcW w:w="608" w:type="pct"/>
            <w:tcBorders>
              <w:top w:val="single" w:sz="4" w:space="0" w:color="auto"/>
              <w:left w:val="nil"/>
              <w:bottom w:val="single" w:sz="4" w:space="0" w:color="auto"/>
              <w:right w:val="nil"/>
            </w:tcBorders>
            <w:shd w:val="clear" w:color="auto" w:fill="auto"/>
            <w:noWrap/>
            <w:vAlign w:val="bottom"/>
            <w:hideMark/>
          </w:tcPr>
          <w:p w14:paraId="4E8F12D5" w14:textId="69DFF5AB"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104,448</w:t>
            </w:r>
          </w:p>
        </w:tc>
        <w:tc>
          <w:tcPr>
            <w:tcW w:w="608" w:type="pct"/>
            <w:tcBorders>
              <w:top w:val="single" w:sz="4" w:space="0" w:color="auto"/>
              <w:left w:val="nil"/>
              <w:bottom w:val="single" w:sz="4" w:space="0" w:color="auto"/>
              <w:right w:val="nil"/>
            </w:tcBorders>
            <w:shd w:val="clear" w:color="auto" w:fill="auto"/>
            <w:noWrap/>
            <w:vAlign w:val="bottom"/>
            <w:hideMark/>
          </w:tcPr>
          <w:p w14:paraId="61D25390" w14:textId="4FE08C6B"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97,487</w:t>
            </w:r>
          </w:p>
        </w:tc>
      </w:tr>
      <w:tr w:rsidR="00D320B9" w:rsidRPr="00DD3B42" w14:paraId="3DA9E6EB" w14:textId="77777777" w:rsidTr="002F3AAF">
        <w:trPr>
          <w:trHeight w:val="204"/>
        </w:trPr>
        <w:tc>
          <w:tcPr>
            <w:tcW w:w="1951" w:type="pct"/>
            <w:tcBorders>
              <w:top w:val="nil"/>
              <w:left w:val="nil"/>
              <w:bottom w:val="single" w:sz="4" w:space="0" w:color="auto"/>
              <w:right w:val="nil"/>
            </w:tcBorders>
            <w:shd w:val="clear" w:color="auto" w:fill="auto"/>
            <w:noWrap/>
            <w:vAlign w:val="bottom"/>
            <w:hideMark/>
          </w:tcPr>
          <w:p w14:paraId="172D1581" w14:textId="77777777" w:rsidR="00D320B9" w:rsidRPr="00DD3B42" w:rsidRDefault="00D320B9" w:rsidP="00D320B9">
            <w:pPr>
              <w:spacing w:after="0" w:line="240" w:lineRule="auto"/>
              <w:rPr>
                <w:rFonts w:ascii="Arial" w:hAnsi="Arial" w:cs="Arial"/>
                <w:b/>
                <w:bCs/>
                <w:sz w:val="16"/>
                <w:szCs w:val="16"/>
              </w:rPr>
            </w:pPr>
            <w:r w:rsidRPr="00DD3B42">
              <w:rPr>
                <w:rFonts w:ascii="Arial" w:hAnsi="Arial" w:cs="Arial"/>
                <w:b/>
                <w:bCs/>
                <w:sz w:val="16"/>
                <w:szCs w:val="16"/>
              </w:rPr>
              <w:t>Total expenses for Outcome 5</w:t>
            </w:r>
          </w:p>
        </w:tc>
        <w:tc>
          <w:tcPr>
            <w:tcW w:w="617" w:type="pct"/>
            <w:tcBorders>
              <w:top w:val="nil"/>
              <w:left w:val="nil"/>
              <w:bottom w:val="single" w:sz="4" w:space="0" w:color="auto"/>
              <w:right w:val="nil"/>
            </w:tcBorders>
            <w:shd w:val="clear" w:color="auto" w:fill="auto"/>
            <w:noWrap/>
            <w:vAlign w:val="bottom"/>
            <w:hideMark/>
          </w:tcPr>
          <w:p w14:paraId="379EB375" w14:textId="7477C2E7"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3,131,391</w:t>
            </w:r>
          </w:p>
        </w:tc>
        <w:tc>
          <w:tcPr>
            <w:tcW w:w="608" w:type="pct"/>
            <w:tcBorders>
              <w:top w:val="nil"/>
              <w:left w:val="nil"/>
              <w:bottom w:val="single" w:sz="4" w:space="0" w:color="auto"/>
              <w:right w:val="nil"/>
            </w:tcBorders>
            <w:shd w:val="clear" w:color="auto" w:fill="E6E6E6"/>
            <w:noWrap/>
            <w:vAlign w:val="bottom"/>
            <w:hideMark/>
          </w:tcPr>
          <w:p w14:paraId="5E574ED1" w14:textId="317D168C"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2,991,882</w:t>
            </w:r>
          </w:p>
        </w:tc>
        <w:tc>
          <w:tcPr>
            <w:tcW w:w="608" w:type="pct"/>
            <w:tcBorders>
              <w:top w:val="nil"/>
              <w:left w:val="nil"/>
              <w:bottom w:val="single" w:sz="4" w:space="0" w:color="auto"/>
              <w:right w:val="nil"/>
            </w:tcBorders>
            <w:shd w:val="clear" w:color="auto" w:fill="auto"/>
            <w:noWrap/>
            <w:vAlign w:val="bottom"/>
            <w:hideMark/>
          </w:tcPr>
          <w:p w14:paraId="5677946C" w14:textId="26D6D1CD"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3,050,631</w:t>
            </w:r>
          </w:p>
        </w:tc>
        <w:tc>
          <w:tcPr>
            <w:tcW w:w="608" w:type="pct"/>
            <w:tcBorders>
              <w:top w:val="nil"/>
              <w:left w:val="nil"/>
              <w:bottom w:val="single" w:sz="4" w:space="0" w:color="auto"/>
              <w:right w:val="nil"/>
            </w:tcBorders>
            <w:shd w:val="clear" w:color="auto" w:fill="auto"/>
            <w:noWrap/>
            <w:vAlign w:val="bottom"/>
            <w:hideMark/>
          </w:tcPr>
          <w:p w14:paraId="4485CDAC" w14:textId="1A3B7041"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3,024,441</w:t>
            </w:r>
          </w:p>
        </w:tc>
        <w:tc>
          <w:tcPr>
            <w:tcW w:w="608" w:type="pct"/>
            <w:tcBorders>
              <w:top w:val="nil"/>
              <w:left w:val="nil"/>
              <w:bottom w:val="single" w:sz="4" w:space="0" w:color="auto"/>
              <w:right w:val="nil"/>
            </w:tcBorders>
            <w:shd w:val="clear" w:color="auto" w:fill="auto"/>
            <w:noWrap/>
            <w:vAlign w:val="bottom"/>
            <w:hideMark/>
          </w:tcPr>
          <w:p w14:paraId="5C30228A" w14:textId="754E2BBA" w:rsidR="00D320B9" w:rsidRPr="00DD3B42" w:rsidRDefault="00D320B9" w:rsidP="00D320B9">
            <w:pPr>
              <w:spacing w:after="0" w:line="240" w:lineRule="auto"/>
              <w:jc w:val="right"/>
              <w:rPr>
                <w:rFonts w:ascii="Arial" w:hAnsi="Arial" w:cs="Arial"/>
                <w:b/>
                <w:bCs/>
                <w:sz w:val="16"/>
                <w:szCs w:val="16"/>
              </w:rPr>
            </w:pPr>
            <w:r>
              <w:rPr>
                <w:rFonts w:ascii="Arial" w:hAnsi="Arial" w:cs="Arial"/>
                <w:b/>
                <w:bCs/>
                <w:sz w:val="16"/>
                <w:szCs w:val="16"/>
              </w:rPr>
              <w:t>3,001,414</w:t>
            </w:r>
          </w:p>
        </w:tc>
      </w:tr>
    </w:tbl>
    <w:p w14:paraId="3A0C9698" w14:textId="77777777" w:rsidR="00115843" w:rsidRPr="00DD3B42" w:rsidRDefault="00115843" w:rsidP="00115843">
      <w:pPr>
        <w:spacing w:after="0" w:line="240" w:lineRule="auto"/>
        <w:rPr>
          <w:rFonts w:ascii="Arial" w:hAnsi="Arial" w:cs="Arial"/>
          <w:sz w:val="16"/>
        </w:rPr>
      </w:pPr>
    </w:p>
    <w:tbl>
      <w:tblPr>
        <w:tblW w:w="4964" w:type="pct"/>
        <w:tblLook w:val="04A0" w:firstRow="1" w:lastRow="0" w:firstColumn="1" w:lastColumn="0" w:noHBand="0" w:noVBand="1"/>
      </w:tblPr>
      <w:tblGrid>
        <w:gridCol w:w="2968"/>
        <w:gridCol w:w="920"/>
        <w:gridCol w:w="969"/>
        <w:gridCol w:w="882"/>
        <w:gridCol w:w="882"/>
        <w:gridCol w:w="1033"/>
      </w:tblGrid>
      <w:tr w:rsidR="00115843" w:rsidRPr="00DD3B42" w14:paraId="0B1038AF" w14:textId="77777777" w:rsidTr="002F3AAF">
        <w:trPr>
          <w:trHeight w:val="204"/>
        </w:trPr>
        <w:tc>
          <w:tcPr>
            <w:tcW w:w="1939" w:type="pct"/>
            <w:tcBorders>
              <w:top w:val="single" w:sz="4" w:space="0" w:color="auto"/>
              <w:left w:val="nil"/>
              <w:bottom w:val="nil"/>
              <w:right w:val="nil"/>
            </w:tcBorders>
            <w:shd w:val="clear" w:color="auto" w:fill="auto"/>
            <w:vAlign w:val="bottom"/>
            <w:hideMark/>
          </w:tcPr>
          <w:p w14:paraId="0FFA1B2A" w14:textId="77777777" w:rsidR="00115843" w:rsidRPr="00DD3B42" w:rsidRDefault="00115843" w:rsidP="00FB0D02">
            <w:pPr>
              <w:spacing w:after="0" w:line="240" w:lineRule="auto"/>
              <w:rPr>
                <w:rFonts w:ascii="Arial" w:hAnsi="Arial" w:cs="Arial"/>
                <w:b/>
                <w:bCs/>
                <w:sz w:val="16"/>
                <w:szCs w:val="16"/>
              </w:rPr>
            </w:pPr>
            <w:r w:rsidRPr="00DD3B42">
              <w:rPr>
                <w:rFonts w:ascii="Arial" w:hAnsi="Arial" w:cs="Arial"/>
                <w:b/>
                <w:bCs/>
                <w:sz w:val="16"/>
                <w:szCs w:val="16"/>
              </w:rPr>
              <w:t xml:space="preserve">Movement of administered funds between years </w:t>
            </w:r>
            <w:r w:rsidRPr="002656D3">
              <w:rPr>
                <w:rFonts w:ascii="Arial" w:hAnsi="Arial" w:cs="Arial"/>
                <w:bCs/>
                <w:sz w:val="16"/>
                <w:szCs w:val="16"/>
                <w:vertAlign w:val="superscript"/>
              </w:rPr>
              <w:t>(e)</w:t>
            </w:r>
          </w:p>
        </w:tc>
        <w:tc>
          <w:tcPr>
            <w:tcW w:w="601" w:type="pct"/>
            <w:tcBorders>
              <w:top w:val="single" w:sz="4" w:space="0" w:color="auto"/>
              <w:left w:val="nil"/>
              <w:bottom w:val="nil"/>
              <w:right w:val="nil"/>
            </w:tcBorders>
            <w:shd w:val="clear" w:color="auto" w:fill="auto"/>
            <w:vAlign w:val="bottom"/>
            <w:hideMark/>
          </w:tcPr>
          <w:p w14:paraId="08F0DADA" w14:textId="77777777" w:rsidR="00115843" w:rsidRPr="008E2FE3" w:rsidRDefault="00115843" w:rsidP="00FB0D02">
            <w:pPr>
              <w:spacing w:after="0" w:line="240" w:lineRule="auto"/>
              <w:jc w:val="right"/>
              <w:rPr>
                <w:rFonts w:ascii="Arial" w:hAnsi="Arial" w:cs="Arial"/>
                <w:b/>
                <w:bCs/>
                <w:sz w:val="16"/>
                <w:szCs w:val="16"/>
              </w:rPr>
            </w:pPr>
          </w:p>
        </w:tc>
        <w:tc>
          <w:tcPr>
            <w:tcW w:w="633" w:type="pct"/>
            <w:tcBorders>
              <w:top w:val="single" w:sz="4" w:space="0" w:color="auto"/>
              <w:left w:val="nil"/>
              <w:bottom w:val="nil"/>
              <w:right w:val="nil"/>
            </w:tcBorders>
            <w:shd w:val="clear" w:color="auto" w:fill="E6E6E6"/>
            <w:noWrap/>
            <w:vAlign w:val="bottom"/>
            <w:hideMark/>
          </w:tcPr>
          <w:p w14:paraId="1B088057" w14:textId="77777777" w:rsidR="00115843" w:rsidRPr="008E2FE3" w:rsidRDefault="00115843" w:rsidP="00FB0D02">
            <w:pPr>
              <w:spacing w:after="0" w:line="240" w:lineRule="auto"/>
              <w:jc w:val="right"/>
              <w:rPr>
                <w:rFonts w:ascii="Arial" w:hAnsi="Arial" w:cs="Arial"/>
                <w:sz w:val="16"/>
                <w:szCs w:val="16"/>
              </w:rPr>
            </w:pPr>
          </w:p>
        </w:tc>
        <w:tc>
          <w:tcPr>
            <w:tcW w:w="576" w:type="pct"/>
            <w:tcBorders>
              <w:top w:val="single" w:sz="4" w:space="0" w:color="auto"/>
              <w:left w:val="nil"/>
              <w:bottom w:val="nil"/>
              <w:right w:val="nil"/>
            </w:tcBorders>
            <w:shd w:val="clear" w:color="auto" w:fill="auto"/>
            <w:vAlign w:val="bottom"/>
            <w:hideMark/>
          </w:tcPr>
          <w:p w14:paraId="3030445A" w14:textId="77777777" w:rsidR="00115843" w:rsidRPr="008E2FE3" w:rsidRDefault="00115843" w:rsidP="00FB0D02">
            <w:pPr>
              <w:spacing w:after="0" w:line="240" w:lineRule="auto"/>
              <w:jc w:val="right"/>
              <w:rPr>
                <w:rFonts w:ascii="Arial" w:hAnsi="Arial" w:cs="Arial"/>
                <w:sz w:val="16"/>
                <w:szCs w:val="16"/>
              </w:rPr>
            </w:pPr>
          </w:p>
        </w:tc>
        <w:tc>
          <w:tcPr>
            <w:tcW w:w="576" w:type="pct"/>
            <w:tcBorders>
              <w:top w:val="single" w:sz="4" w:space="0" w:color="auto"/>
              <w:left w:val="nil"/>
              <w:bottom w:val="nil"/>
              <w:right w:val="nil"/>
            </w:tcBorders>
            <w:shd w:val="clear" w:color="auto" w:fill="auto"/>
            <w:vAlign w:val="bottom"/>
            <w:hideMark/>
          </w:tcPr>
          <w:p w14:paraId="46BAF3C2" w14:textId="77777777" w:rsidR="00115843" w:rsidRPr="008E2FE3" w:rsidRDefault="00115843" w:rsidP="00FB0D02">
            <w:pPr>
              <w:spacing w:after="0" w:line="240" w:lineRule="auto"/>
              <w:jc w:val="right"/>
              <w:rPr>
                <w:rFonts w:ascii="Arial" w:hAnsi="Arial" w:cs="Arial"/>
                <w:sz w:val="16"/>
                <w:szCs w:val="16"/>
              </w:rPr>
            </w:pPr>
          </w:p>
        </w:tc>
        <w:tc>
          <w:tcPr>
            <w:tcW w:w="675" w:type="pct"/>
            <w:tcBorders>
              <w:top w:val="single" w:sz="4" w:space="0" w:color="auto"/>
              <w:left w:val="nil"/>
              <w:bottom w:val="nil"/>
              <w:right w:val="nil"/>
            </w:tcBorders>
            <w:shd w:val="clear" w:color="auto" w:fill="auto"/>
            <w:vAlign w:val="bottom"/>
            <w:hideMark/>
          </w:tcPr>
          <w:p w14:paraId="0D2622C3" w14:textId="77777777" w:rsidR="00115843" w:rsidRPr="008E2FE3" w:rsidRDefault="00115843" w:rsidP="00FB0D02">
            <w:pPr>
              <w:spacing w:after="0" w:line="240" w:lineRule="auto"/>
              <w:jc w:val="right"/>
              <w:rPr>
                <w:rFonts w:ascii="Arial" w:hAnsi="Arial" w:cs="Arial"/>
                <w:sz w:val="16"/>
                <w:szCs w:val="16"/>
              </w:rPr>
            </w:pPr>
          </w:p>
        </w:tc>
      </w:tr>
      <w:tr w:rsidR="00115843" w:rsidRPr="00DD3B42" w14:paraId="0C540120" w14:textId="77777777" w:rsidTr="002F3AAF">
        <w:trPr>
          <w:trHeight w:val="204"/>
        </w:trPr>
        <w:tc>
          <w:tcPr>
            <w:tcW w:w="1939" w:type="pct"/>
            <w:tcBorders>
              <w:top w:val="nil"/>
              <w:left w:val="nil"/>
              <w:bottom w:val="nil"/>
              <w:right w:val="nil"/>
            </w:tcBorders>
            <w:shd w:val="clear" w:color="auto" w:fill="auto"/>
            <w:vAlign w:val="bottom"/>
            <w:hideMark/>
          </w:tcPr>
          <w:p w14:paraId="085B3AA3" w14:textId="77777777" w:rsidR="00115843" w:rsidRPr="00DD3B42" w:rsidRDefault="00115843" w:rsidP="00FB0D02">
            <w:pPr>
              <w:spacing w:after="0" w:line="240" w:lineRule="auto"/>
              <w:ind w:left="113"/>
              <w:rPr>
                <w:rFonts w:ascii="Arial" w:hAnsi="Arial" w:cs="Arial"/>
                <w:sz w:val="16"/>
                <w:szCs w:val="16"/>
              </w:rPr>
            </w:pPr>
            <w:r w:rsidRPr="00DD3B42">
              <w:rPr>
                <w:rFonts w:ascii="Arial" w:hAnsi="Arial" w:cs="Arial"/>
                <w:sz w:val="16"/>
                <w:szCs w:val="16"/>
              </w:rPr>
              <w:t>Program 5.1: Digital Technologies and Communications</w:t>
            </w:r>
          </w:p>
        </w:tc>
        <w:tc>
          <w:tcPr>
            <w:tcW w:w="601" w:type="pct"/>
            <w:tcBorders>
              <w:top w:val="nil"/>
              <w:left w:val="nil"/>
              <w:bottom w:val="nil"/>
              <w:right w:val="nil"/>
            </w:tcBorders>
            <w:shd w:val="clear" w:color="auto" w:fill="auto"/>
            <w:noWrap/>
            <w:vAlign w:val="bottom"/>
            <w:hideMark/>
          </w:tcPr>
          <w:p w14:paraId="2EE5475F" w14:textId="77777777" w:rsidR="00115843" w:rsidRPr="008E2FE3" w:rsidRDefault="00115843" w:rsidP="00FB0D02">
            <w:pPr>
              <w:spacing w:after="0" w:line="240" w:lineRule="auto"/>
              <w:jc w:val="right"/>
              <w:rPr>
                <w:rFonts w:ascii="Arial" w:hAnsi="Arial" w:cs="Arial"/>
                <w:sz w:val="16"/>
                <w:szCs w:val="16"/>
              </w:rPr>
            </w:pPr>
            <w:r w:rsidRPr="008E2FE3">
              <w:rPr>
                <w:rFonts w:ascii="Arial" w:hAnsi="Arial" w:cs="Arial"/>
                <w:sz w:val="16"/>
                <w:szCs w:val="16"/>
              </w:rPr>
              <w:t>(140,216)</w:t>
            </w:r>
          </w:p>
        </w:tc>
        <w:tc>
          <w:tcPr>
            <w:tcW w:w="633" w:type="pct"/>
            <w:tcBorders>
              <w:top w:val="nil"/>
              <w:left w:val="nil"/>
              <w:bottom w:val="nil"/>
              <w:right w:val="nil"/>
            </w:tcBorders>
            <w:shd w:val="clear" w:color="auto" w:fill="E6E6E6"/>
            <w:noWrap/>
            <w:vAlign w:val="bottom"/>
            <w:hideMark/>
          </w:tcPr>
          <w:p w14:paraId="2CEFDE48" w14:textId="77777777" w:rsidR="00115843" w:rsidRPr="008E2FE3" w:rsidRDefault="00115843" w:rsidP="00FB0D02">
            <w:pPr>
              <w:spacing w:after="0" w:line="240" w:lineRule="auto"/>
              <w:jc w:val="right"/>
              <w:rPr>
                <w:rFonts w:ascii="Arial" w:hAnsi="Arial" w:cs="Arial"/>
                <w:sz w:val="16"/>
                <w:szCs w:val="16"/>
              </w:rPr>
            </w:pPr>
            <w:r w:rsidRPr="008E2FE3">
              <w:rPr>
                <w:rFonts w:ascii="Arial" w:hAnsi="Arial" w:cs="Arial"/>
                <w:sz w:val="16"/>
                <w:szCs w:val="16"/>
              </w:rPr>
              <w:t>67,540</w:t>
            </w:r>
          </w:p>
        </w:tc>
        <w:tc>
          <w:tcPr>
            <w:tcW w:w="576" w:type="pct"/>
            <w:tcBorders>
              <w:top w:val="nil"/>
              <w:left w:val="nil"/>
              <w:bottom w:val="nil"/>
              <w:right w:val="nil"/>
            </w:tcBorders>
            <w:shd w:val="clear" w:color="auto" w:fill="auto"/>
            <w:noWrap/>
            <w:vAlign w:val="bottom"/>
            <w:hideMark/>
          </w:tcPr>
          <w:p w14:paraId="092F30AC" w14:textId="77777777" w:rsidR="00115843" w:rsidRPr="008E2FE3" w:rsidRDefault="00115843" w:rsidP="00FB0D02">
            <w:pPr>
              <w:spacing w:after="0" w:line="240" w:lineRule="auto"/>
              <w:jc w:val="right"/>
              <w:rPr>
                <w:rFonts w:ascii="Arial" w:hAnsi="Arial" w:cs="Arial"/>
                <w:sz w:val="16"/>
                <w:szCs w:val="16"/>
              </w:rPr>
            </w:pPr>
            <w:r w:rsidRPr="008E2FE3">
              <w:rPr>
                <w:rFonts w:ascii="Arial" w:hAnsi="Arial" w:cs="Arial"/>
                <w:sz w:val="16"/>
                <w:szCs w:val="16"/>
              </w:rPr>
              <w:t>72,676</w:t>
            </w:r>
          </w:p>
        </w:tc>
        <w:tc>
          <w:tcPr>
            <w:tcW w:w="576" w:type="pct"/>
            <w:tcBorders>
              <w:top w:val="nil"/>
              <w:left w:val="nil"/>
              <w:bottom w:val="nil"/>
              <w:right w:val="nil"/>
            </w:tcBorders>
            <w:shd w:val="clear" w:color="auto" w:fill="auto"/>
            <w:noWrap/>
            <w:vAlign w:val="bottom"/>
            <w:hideMark/>
          </w:tcPr>
          <w:p w14:paraId="726AF905" w14:textId="77777777" w:rsidR="00115843" w:rsidRPr="008E2FE3" w:rsidRDefault="00115843" w:rsidP="00FB0D02">
            <w:pPr>
              <w:spacing w:after="0" w:line="240" w:lineRule="auto"/>
              <w:jc w:val="right"/>
              <w:rPr>
                <w:rFonts w:ascii="Arial" w:hAnsi="Arial" w:cs="Arial"/>
                <w:sz w:val="16"/>
                <w:szCs w:val="16"/>
              </w:rPr>
            </w:pPr>
            <w:r w:rsidRPr="008E2FE3">
              <w:rPr>
                <w:rFonts w:ascii="Arial" w:hAnsi="Arial" w:cs="Arial"/>
                <w:sz w:val="16"/>
                <w:szCs w:val="16"/>
              </w:rPr>
              <w:t>-</w:t>
            </w:r>
          </w:p>
        </w:tc>
        <w:tc>
          <w:tcPr>
            <w:tcW w:w="675" w:type="pct"/>
            <w:tcBorders>
              <w:top w:val="nil"/>
              <w:left w:val="nil"/>
              <w:bottom w:val="nil"/>
              <w:right w:val="nil"/>
            </w:tcBorders>
            <w:shd w:val="clear" w:color="auto" w:fill="auto"/>
            <w:noWrap/>
            <w:vAlign w:val="bottom"/>
            <w:hideMark/>
          </w:tcPr>
          <w:p w14:paraId="0CE01A0C" w14:textId="77777777" w:rsidR="00115843" w:rsidRPr="008E2FE3" w:rsidRDefault="00115843" w:rsidP="00FB0D02">
            <w:pPr>
              <w:spacing w:after="0" w:line="240" w:lineRule="auto"/>
              <w:jc w:val="right"/>
              <w:rPr>
                <w:rFonts w:ascii="Arial" w:hAnsi="Arial" w:cs="Arial"/>
                <w:sz w:val="16"/>
                <w:szCs w:val="16"/>
              </w:rPr>
            </w:pPr>
            <w:r w:rsidRPr="008E2FE3">
              <w:rPr>
                <w:rFonts w:ascii="Arial" w:hAnsi="Arial" w:cs="Arial"/>
                <w:sz w:val="16"/>
                <w:szCs w:val="16"/>
              </w:rPr>
              <w:t>-</w:t>
            </w:r>
          </w:p>
        </w:tc>
      </w:tr>
      <w:tr w:rsidR="00115843" w:rsidRPr="00DD3B42" w14:paraId="45F79A04" w14:textId="77777777" w:rsidTr="002F3AAF">
        <w:trPr>
          <w:trHeight w:val="204"/>
        </w:trPr>
        <w:tc>
          <w:tcPr>
            <w:tcW w:w="1939" w:type="pct"/>
            <w:tcBorders>
              <w:top w:val="nil"/>
              <w:left w:val="nil"/>
              <w:bottom w:val="single" w:sz="4" w:space="0" w:color="auto"/>
              <w:right w:val="nil"/>
            </w:tcBorders>
            <w:shd w:val="clear" w:color="auto" w:fill="auto"/>
            <w:vAlign w:val="bottom"/>
            <w:hideMark/>
          </w:tcPr>
          <w:p w14:paraId="0DBBD609" w14:textId="77777777" w:rsidR="00115843" w:rsidRPr="00DD3B42" w:rsidRDefault="00115843" w:rsidP="00FB0D02">
            <w:pPr>
              <w:spacing w:after="0" w:line="240" w:lineRule="auto"/>
              <w:rPr>
                <w:rFonts w:ascii="Arial" w:hAnsi="Arial" w:cs="Arial"/>
                <w:b/>
                <w:bCs/>
                <w:sz w:val="16"/>
                <w:szCs w:val="16"/>
              </w:rPr>
            </w:pPr>
            <w:r w:rsidRPr="00DD3B42">
              <w:rPr>
                <w:rFonts w:ascii="Arial" w:hAnsi="Arial" w:cs="Arial"/>
                <w:b/>
                <w:bCs/>
                <w:sz w:val="16"/>
                <w:szCs w:val="16"/>
              </w:rPr>
              <w:t>Total movement of administered funds between years</w:t>
            </w:r>
          </w:p>
        </w:tc>
        <w:tc>
          <w:tcPr>
            <w:tcW w:w="601" w:type="pct"/>
            <w:tcBorders>
              <w:top w:val="single" w:sz="4" w:space="0" w:color="auto"/>
              <w:left w:val="nil"/>
              <w:bottom w:val="single" w:sz="4" w:space="0" w:color="auto"/>
              <w:right w:val="nil"/>
            </w:tcBorders>
            <w:shd w:val="clear" w:color="auto" w:fill="auto"/>
            <w:noWrap/>
            <w:vAlign w:val="bottom"/>
            <w:hideMark/>
          </w:tcPr>
          <w:p w14:paraId="7A0ECD97" w14:textId="77777777" w:rsidR="00115843" w:rsidRPr="008E2FE3" w:rsidRDefault="00115843" w:rsidP="00FB0D02">
            <w:pPr>
              <w:spacing w:after="0" w:line="240" w:lineRule="auto"/>
              <w:jc w:val="right"/>
              <w:rPr>
                <w:rFonts w:ascii="Arial" w:hAnsi="Arial" w:cs="Arial"/>
                <w:b/>
                <w:bCs/>
                <w:sz w:val="16"/>
                <w:szCs w:val="16"/>
              </w:rPr>
            </w:pPr>
            <w:r w:rsidRPr="008E2FE3">
              <w:rPr>
                <w:rFonts w:ascii="Arial" w:hAnsi="Arial" w:cs="Arial"/>
                <w:b/>
                <w:bCs/>
                <w:sz w:val="16"/>
                <w:szCs w:val="16"/>
              </w:rPr>
              <w:t>(140,216)</w:t>
            </w:r>
          </w:p>
        </w:tc>
        <w:tc>
          <w:tcPr>
            <w:tcW w:w="633" w:type="pct"/>
            <w:tcBorders>
              <w:top w:val="single" w:sz="4" w:space="0" w:color="auto"/>
              <w:left w:val="nil"/>
              <w:bottom w:val="single" w:sz="4" w:space="0" w:color="auto"/>
              <w:right w:val="nil"/>
            </w:tcBorders>
            <w:shd w:val="clear" w:color="auto" w:fill="E6E6E6"/>
            <w:noWrap/>
            <w:vAlign w:val="bottom"/>
            <w:hideMark/>
          </w:tcPr>
          <w:p w14:paraId="24F20E25" w14:textId="77777777" w:rsidR="00115843" w:rsidRPr="008E2FE3" w:rsidRDefault="00115843" w:rsidP="00FB0D02">
            <w:pPr>
              <w:spacing w:after="0" w:line="240" w:lineRule="auto"/>
              <w:jc w:val="right"/>
              <w:rPr>
                <w:rFonts w:ascii="Arial" w:hAnsi="Arial" w:cs="Arial"/>
                <w:b/>
                <w:bCs/>
                <w:sz w:val="16"/>
                <w:szCs w:val="16"/>
              </w:rPr>
            </w:pPr>
            <w:r w:rsidRPr="008E2FE3">
              <w:rPr>
                <w:rFonts w:ascii="Arial" w:hAnsi="Arial" w:cs="Arial"/>
                <w:b/>
                <w:bCs/>
                <w:sz w:val="16"/>
                <w:szCs w:val="16"/>
              </w:rPr>
              <w:t>67,540</w:t>
            </w:r>
          </w:p>
        </w:tc>
        <w:tc>
          <w:tcPr>
            <w:tcW w:w="576" w:type="pct"/>
            <w:tcBorders>
              <w:top w:val="single" w:sz="4" w:space="0" w:color="auto"/>
              <w:left w:val="nil"/>
              <w:bottom w:val="single" w:sz="4" w:space="0" w:color="auto"/>
              <w:right w:val="nil"/>
            </w:tcBorders>
            <w:shd w:val="clear" w:color="auto" w:fill="auto"/>
            <w:noWrap/>
            <w:vAlign w:val="bottom"/>
            <w:hideMark/>
          </w:tcPr>
          <w:p w14:paraId="751577AE" w14:textId="77777777" w:rsidR="00115843" w:rsidRPr="008E2FE3" w:rsidRDefault="00115843" w:rsidP="00FB0D02">
            <w:pPr>
              <w:spacing w:after="0" w:line="240" w:lineRule="auto"/>
              <w:jc w:val="right"/>
              <w:rPr>
                <w:rFonts w:ascii="Arial" w:hAnsi="Arial" w:cs="Arial"/>
                <w:b/>
                <w:bCs/>
                <w:sz w:val="16"/>
                <w:szCs w:val="16"/>
              </w:rPr>
            </w:pPr>
            <w:r w:rsidRPr="008E2FE3">
              <w:rPr>
                <w:rFonts w:ascii="Arial" w:hAnsi="Arial" w:cs="Arial"/>
                <w:b/>
                <w:bCs/>
                <w:sz w:val="16"/>
                <w:szCs w:val="16"/>
              </w:rPr>
              <w:t>72,676</w:t>
            </w:r>
          </w:p>
        </w:tc>
        <w:tc>
          <w:tcPr>
            <w:tcW w:w="576" w:type="pct"/>
            <w:tcBorders>
              <w:top w:val="single" w:sz="4" w:space="0" w:color="auto"/>
              <w:left w:val="nil"/>
              <w:bottom w:val="single" w:sz="4" w:space="0" w:color="auto"/>
              <w:right w:val="nil"/>
            </w:tcBorders>
            <w:shd w:val="clear" w:color="auto" w:fill="auto"/>
            <w:noWrap/>
            <w:vAlign w:val="bottom"/>
            <w:hideMark/>
          </w:tcPr>
          <w:p w14:paraId="539D5109" w14:textId="77777777" w:rsidR="00115843" w:rsidRPr="008E2FE3" w:rsidRDefault="00115843" w:rsidP="00FB0D02">
            <w:pPr>
              <w:spacing w:after="0" w:line="240" w:lineRule="auto"/>
              <w:jc w:val="right"/>
              <w:rPr>
                <w:rFonts w:ascii="Arial" w:hAnsi="Arial" w:cs="Arial"/>
                <w:b/>
                <w:bCs/>
                <w:sz w:val="16"/>
                <w:szCs w:val="16"/>
              </w:rPr>
            </w:pPr>
            <w:r w:rsidRPr="008E2FE3">
              <w:rPr>
                <w:rFonts w:ascii="Arial" w:hAnsi="Arial" w:cs="Arial"/>
                <w:b/>
                <w:bCs/>
                <w:sz w:val="16"/>
                <w:szCs w:val="16"/>
              </w:rPr>
              <w:t>-</w:t>
            </w:r>
          </w:p>
        </w:tc>
        <w:tc>
          <w:tcPr>
            <w:tcW w:w="675" w:type="pct"/>
            <w:tcBorders>
              <w:top w:val="single" w:sz="4" w:space="0" w:color="auto"/>
              <w:left w:val="nil"/>
              <w:bottom w:val="single" w:sz="4" w:space="0" w:color="auto"/>
              <w:right w:val="nil"/>
            </w:tcBorders>
            <w:shd w:val="clear" w:color="auto" w:fill="auto"/>
            <w:noWrap/>
            <w:vAlign w:val="bottom"/>
            <w:hideMark/>
          </w:tcPr>
          <w:p w14:paraId="553AA5CD" w14:textId="77777777" w:rsidR="00115843" w:rsidRPr="008E2FE3" w:rsidRDefault="00115843" w:rsidP="00FB0D02">
            <w:pPr>
              <w:spacing w:after="0" w:line="240" w:lineRule="auto"/>
              <w:jc w:val="right"/>
              <w:rPr>
                <w:rFonts w:ascii="Arial" w:hAnsi="Arial" w:cs="Arial"/>
                <w:b/>
                <w:bCs/>
                <w:sz w:val="16"/>
                <w:szCs w:val="16"/>
              </w:rPr>
            </w:pPr>
            <w:r w:rsidRPr="008E2FE3">
              <w:rPr>
                <w:rFonts w:ascii="Arial" w:hAnsi="Arial" w:cs="Arial"/>
                <w:b/>
                <w:bCs/>
                <w:sz w:val="16"/>
                <w:szCs w:val="16"/>
              </w:rPr>
              <w:t>-</w:t>
            </w:r>
          </w:p>
        </w:tc>
      </w:tr>
    </w:tbl>
    <w:p w14:paraId="46DC5E8C" w14:textId="77777777" w:rsidR="00115843" w:rsidRDefault="00115843" w:rsidP="00115843">
      <w:pPr>
        <w:spacing w:after="0" w:line="240" w:lineRule="auto"/>
        <w:rPr>
          <w:rFonts w:ascii="Arial" w:hAnsi="Arial" w:cs="Arial"/>
          <w:sz w:val="16"/>
        </w:rPr>
      </w:pPr>
    </w:p>
    <w:tbl>
      <w:tblPr>
        <w:tblW w:w="4830" w:type="dxa"/>
        <w:tblLook w:val="04A0" w:firstRow="1" w:lastRow="0" w:firstColumn="1" w:lastColumn="0" w:noHBand="0" w:noVBand="1"/>
      </w:tblPr>
      <w:tblGrid>
        <w:gridCol w:w="2996"/>
        <w:gridCol w:w="910"/>
        <w:gridCol w:w="924"/>
      </w:tblGrid>
      <w:tr w:rsidR="00115843" w:rsidRPr="00DD3B42" w14:paraId="295876DF" w14:textId="77777777" w:rsidTr="002F3AAF">
        <w:trPr>
          <w:trHeight w:val="204"/>
        </w:trPr>
        <w:tc>
          <w:tcPr>
            <w:tcW w:w="2996" w:type="dxa"/>
            <w:tcBorders>
              <w:top w:val="single" w:sz="4" w:space="0" w:color="auto"/>
              <w:left w:val="nil"/>
              <w:bottom w:val="nil"/>
              <w:right w:val="nil"/>
            </w:tcBorders>
            <w:shd w:val="clear" w:color="auto" w:fill="auto"/>
            <w:noWrap/>
            <w:vAlign w:val="bottom"/>
            <w:hideMark/>
          </w:tcPr>
          <w:p w14:paraId="0F240B90" w14:textId="77777777" w:rsidR="00115843" w:rsidRPr="00DD3B42" w:rsidRDefault="00115843" w:rsidP="00FB0D02">
            <w:pPr>
              <w:spacing w:after="0" w:line="240" w:lineRule="auto"/>
              <w:rPr>
                <w:rFonts w:ascii="Arial" w:hAnsi="Arial" w:cs="Arial"/>
                <w:sz w:val="16"/>
                <w:szCs w:val="16"/>
              </w:rPr>
            </w:pPr>
            <w:r w:rsidRPr="00DD3B42">
              <w:rPr>
                <w:rFonts w:ascii="Arial" w:hAnsi="Arial" w:cs="Arial"/>
                <w:sz w:val="16"/>
                <w:szCs w:val="16"/>
              </w:rPr>
              <w:t> </w:t>
            </w:r>
          </w:p>
        </w:tc>
        <w:tc>
          <w:tcPr>
            <w:tcW w:w="910" w:type="dxa"/>
            <w:tcBorders>
              <w:top w:val="single" w:sz="4" w:space="0" w:color="auto"/>
              <w:left w:val="nil"/>
              <w:bottom w:val="single" w:sz="4" w:space="0" w:color="auto"/>
              <w:right w:val="nil"/>
            </w:tcBorders>
            <w:shd w:val="clear" w:color="auto" w:fill="auto"/>
            <w:noWrap/>
            <w:vAlign w:val="bottom"/>
            <w:hideMark/>
          </w:tcPr>
          <w:p w14:paraId="74DC3999" w14:textId="77777777" w:rsidR="00115843" w:rsidRPr="00DD3B42" w:rsidRDefault="00115843" w:rsidP="00FB0D02">
            <w:pPr>
              <w:spacing w:after="0" w:line="240" w:lineRule="auto"/>
              <w:jc w:val="right"/>
              <w:rPr>
                <w:rFonts w:ascii="Arial" w:hAnsi="Arial" w:cs="Arial"/>
                <w:sz w:val="16"/>
                <w:szCs w:val="16"/>
              </w:rPr>
            </w:pPr>
            <w:r w:rsidRPr="00DD3B42">
              <w:rPr>
                <w:rFonts w:ascii="Arial" w:hAnsi="Arial" w:cs="Arial"/>
                <w:sz w:val="16"/>
                <w:szCs w:val="16"/>
              </w:rPr>
              <w:t>2021-22</w:t>
            </w:r>
          </w:p>
        </w:tc>
        <w:tc>
          <w:tcPr>
            <w:tcW w:w="924" w:type="dxa"/>
            <w:tcBorders>
              <w:top w:val="single" w:sz="4" w:space="0" w:color="auto"/>
              <w:left w:val="nil"/>
              <w:bottom w:val="single" w:sz="4" w:space="0" w:color="auto"/>
              <w:right w:val="nil"/>
            </w:tcBorders>
            <w:shd w:val="clear" w:color="auto" w:fill="E6E6E6"/>
            <w:noWrap/>
            <w:vAlign w:val="bottom"/>
            <w:hideMark/>
          </w:tcPr>
          <w:p w14:paraId="3F9A9BD1" w14:textId="77777777" w:rsidR="00115843" w:rsidRPr="00DD3B42" w:rsidRDefault="00115843" w:rsidP="00FB0D02">
            <w:pPr>
              <w:spacing w:after="0" w:line="240" w:lineRule="auto"/>
              <w:jc w:val="right"/>
              <w:rPr>
                <w:rFonts w:ascii="Arial" w:hAnsi="Arial" w:cs="Arial"/>
                <w:sz w:val="16"/>
                <w:szCs w:val="16"/>
              </w:rPr>
            </w:pPr>
            <w:r w:rsidRPr="00DD3B42">
              <w:rPr>
                <w:rFonts w:ascii="Arial" w:hAnsi="Arial" w:cs="Arial"/>
                <w:sz w:val="16"/>
                <w:szCs w:val="16"/>
              </w:rPr>
              <w:t>2022-23</w:t>
            </w:r>
          </w:p>
        </w:tc>
      </w:tr>
      <w:tr w:rsidR="00115843" w:rsidRPr="00DD3B42" w14:paraId="3CC9A587" w14:textId="77777777" w:rsidTr="002F3AAF">
        <w:trPr>
          <w:trHeight w:val="204"/>
        </w:trPr>
        <w:tc>
          <w:tcPr>
            <w:tcW w:w="2996" w:type="dxa"/>
            <w:tcBorders>
              <w:top w:val="nil"/>
              <w:left w:val="nil"/>
              <w:bottom w:val="single" w:sz="4" w:space="0" w:color="auto"/>
              <w:right w:val="nil"/>
            </w:tcBorders>
            <w:shd w:val="clear" w:color="auto" w:fill="auto"/>
            <w:noWrap/>
            <w:vAlign w:val="bottom"/>
            <w:hideMark/>
          </w:tcPr>
          <w:p w14:paraId="41D5099A" w14:textId="77777777" w:rsidR="00115843" w:rsidRPr="00DD3B42" w:rsidRDefault="00115843" w:rsidP="00FB0D02">
            <w:pPr>
              <w:spacing w:after="0" w:line="240" w:lineRule="auto"/>
              <w:rPr>
                <w:rFonts w:ascii="Arial" w:hAnsi="Arial" w:cs="Arial"/>
                <w:b/>
                <w:bCs/>
                <w:sz w:val="16"/>
                <w:szCs w:val="16"/>
              </w:rPr>
            </w:pPr>
            <w:r w:rsidRPr="00DD3B42">
              <w:rPr>
                <w:rFonts w:ascii="Arial" w:hAnsi="Arial" w:cs="Arial"/>
                <w:b/>
                <w:bCs/>
                <w:sz w:val="16"/>
                <w:szCs w:val="16"/>
              </w:rPr>
              <w:t>Average staffing level (number)</w:t>
            </w:r>
          </w:p>
        </w:tc>
        <w:tc>
          <w:tcPr>
            <w:tcW w:w="910" w:type="dxa"/>
            <w:tcBorders>
              <w:top w:val="nil"/>
              <w:left w:val="nil"/>
              <w:bottom w:val="single" w:sz="4" w:space="0" w:color="auto"/>
              <w:right w:val="nil"/>
            </w:tcBorders>
            <w:shd w:val="clear" w:color="auto" w:fill="auto"/>
            <w:noWrap/>
            <w:vAlign w:val="bottom"/>
            <w:hideMark/>
          </w:tcPr>
          <w:p w14:paraId="24DE2274" w14:textId="77777777" w:rsidR="00115843" w:rsidRPr="00DD3B42" w:rsidRDefault="00115843" w:rsidP="00FB0D02">
            <w:pPr>
              <w:spacing w:after="0" w:line="240" w:lineRule="auto"/>
              <w:jc w:val="right"/>
              <w:rPr>
                <w:rFonts w:ascii="Arial" w:hAnsi="Arial" w:cs="Arial"/>
                <w:sz w:val="16"/>
                <w:szCs w:val="16"/>
              </w:rPr>
            </w:pPr>
            <w:r w:rsidRPr="00DD3B42">
              <w:rPr>
                <w:rFonts w:ascii="Arial" w:hAnsi="Arial" w:cs="Arial"/>
                <w:sz w:val="16"/>
                <w:szCs w:val="16"/>
              </w:rPr>
              <w:t xml:space="preserve">308 </w:t>
            </w:r>
          </w:p>
        </w:tc>
        <w:tc>
          <w:tcPr>
            <w:tcW w:w="924" w:type="dxa"/>
            <w:tcBorders>
              <w:top w:val="nil"/>
              <w:left w:val="nil"/>
              <w:bottom w:val="single" w:sz="4" w:space="0" w:color="auto"/>
              <w:right w:val="nil"/>
            </w:tcBorders>
            <w:shd w:val="clear" w:color="auto" w:fill="E6E6E6"/>
            <w:noWrap/>
            <w:vAlign w:val="bottom"/>
            <w:hideMark/>
          </w:tcPr>
          <w:p w14:paraId="78DC76E2" w14:textId="77777777" w:rsidR="00115843" w:rsidRPr="00DD3B42" w:rsidRDefault="00115843" w:rsidP="00FB0D02">
            <w:pPr>
              <w:spacing w:after="0" w:line="240" w:lineRule="auto"/>
              <w:jc w:val="right"/>
              <w:rPr>
                <w:rFonts w:ascii="Arial" w:hAnsi="Arial" w:cs="Arial"/>
                <w:sz w:val="16"/>
                <w:szCs w:val="16"/>
              </w:rPr>
            </w:pPr>
            <w:r w:rsidRPr="00DD3B42">
              <w:rPr>
                <w:rFonts w:ascii="Arial" w:hAnsi="Arial" w:cs="Arial"/>
                <w:sz w:val="16"/>
                <w:szCs w:val="16"/>
              </w:rPr>
              <w:t>31</w:t>
            </w:r>
            <w:r>
              <w:rPr>
                <w:rFonts w:ascii="Arial" w:hAnsi="Arial" w:cs="Arial"/>
                <w:sz w:val="16"/>
                <w:szCs w:val="16"/>
              </w:rPr>
              <w:t>6</w:t>
            </w:r>
            <w:r w:rsidRPr="00DD3B42">
              <w:rPr>
                <w:rFonts w:ascii="Arial" w:hAnsi="Arial" w:cs="Arial"/>
                <w:sz w:val="16"/>
                <w:szCs w:val="16"/>
              </w:rPr>
              <w:t xml:space="preserve"> </w:t>
            </w:r>
          </w:p>
        </w:tc>
      </w:tr>
    </w:tbl>
    <w:p w14:paraId="1EDFF566" w14:textId="16CEA25E" w:rsidR="00115843" w:rsidRPr="00DD3B42" w:rsidRDefault="00115843" w:rsidP="00115843">
      <w:pPr>
        <w:pStyle w:val="ListParagraph"/>
        <w:numPr>
          <w:ilvl w:val="0"/>
          <w:numId w:val="221"/>
        </w:numPr>
        <w:spacing w:before="60" w:after="0" w:line="240" w:lineRule="auto"/>
        <w:ind w:left="426" w:hanging="426"/>
        <w:rPr>
          <w:rFonts w:ascii="Arial" w:hAnsi="Arial" w:cs="Arial"/>
          <w:sz w:val="16"/>
        </w:rPr>
      </w:pPr>
      <w:r w:rsidRPr="00DD3B42">
        <w:rPr>
          <w:rFonts w:ascii="Arial" w:hAnsi="Arial" w:cs="Arial"/>
          <w:sz w:val="16"/>
        </w:rPr>
        <w:t xml:space="preserve">Relates to appropriation for corporate entities provided through </w:t>
      </w:r>
      <w:r>
        <w:rPr>
          <w:rFonts w:ascii="Arial" w:hAnsi="Arial" w:cs="Arial"/>
          <w:sz w:val="16"/>
        </w:rPr>
        <w:t xml:space="preserve">the </w:t>
      </w:r>
      <w:r w:rsidR="00D320B9">
        <w:rPr>
          <w:rFonts w:ascii="Arial" w:hAnsi="Arial" w:cs="Arial"/>
          <w:sz w:val="16"/>
        </w:rPr>
        <w:t>D</w:t>
      </w:r>
      <w:r>
        <w:rPr>
          <w:rFonts w:ascii="Arial" w:hAnsi="Arial" w:cs="Arial"/>
          <w:sz w:val="16"/>
        </w:rPr>
        <w:t>epartment</w:t>
      </w:r>
      <w:r w:rsidRPr="00DD3B42">
        <w:rPr>
          <w:rFonts w:ascii="Arial" w:hAnsi="Arial" w:cs="Arial"/>
          <w:sz w:val="16"/>
        </w:rPr>
        <w:t>.</w:t>
      </w:r>
    </w:p>
    <w:p w14:paraId="10D61D3A" w14:textId="77777777" w:rsidR="00115843" w:rsidRDefault="00115843" w:rsidP="00115843">
      <w:pPr>
        <w:pStyle w:val="ListParagraph"/>
        <w:numPr>
          <w:ilvl w:val="0"/>
          <w:numId w:val="221"/>
        </w:numPr>
        <w:spacing w:before="60" w:after="0" w:line="240" w:lineRule="auto"/>
        <w:ind w:left="426" w:hanging="426"/>
        <w:rPr>
          <w:rFonts w:ascii="Arial" w:hAnsi="Arial" w:cs="Arial"/>
          <w:sz w:val="16"/>
        </w:rPr>
      </w:pPr>
      <w:r w:rsidRPr="00DD3B42">
        <w:rPr>
          <w:rFonts w:ascii="Arial" w:hAnsi="Arial" w:cs="Arial"/>
          <w:sz w:val="16"/>
        </w:rPr>
        <w:t>Administered ‘Expenses not requiring appropriation in the Budget year’ comprises expenses relating to accruals, payments made from prior year appropriations and other non–cash expenses.</w:t>
      </w:r>
    </w:p>
    <w:p w14:paraId="012C0561" w14:textId="77777777" w:rsidR="00115843" w:rsidRDefault="00115843" w:rsidP="00115843">
      <w:pPr>
        <w:pStyle w:val="ListParagraph"/>
        <w:numPr>
          <w:ilvl w:val="0"/>
          <w:numId w:val="221"/>
        </w:numPr>
        <w:spacing w:before="60" w:after="0" w:line="240" w:lineRule="auto"/>
        <w:ind w:left="426" w:hanging="426"/>
        <w:rPr>
          <w:rFonts w:ascii="Arial" w:hAnsi="Arial" w:cs="Arial"/>
          <w:sz w:val="16"/>
        </w:rPr>
      </w:pPr>
      <w:r w:rsidRPr="00DD3B42">
        <w:rPr>
          <w:rFonts w:ascii="Arial" w:hAnsi="Arial" w:cs="Arial"/>
          <w:sz w:val="16"/>
        </w:rPr>
        <w:t>Estimated expenses incurred in relation to receipts retained under section 74 of the PGPA Act.</w:t>
      </w:r>
    </w:p>
    <w:p w14:paraId="10D6FC69" w14:textId="58552A06" w:rsidR="00115843" w:rsidRDefault="00D320B9" w:rsidP="00115843">
      <w:pPr>
        <w:pStyle w:val="ListParagraph"/>
        <w:numPr>
          <w:ilvl w:val="0"/>
          <w:numId w:val="221"/>
        </w:numPr>
        <w:spacing w:before="60" w:after="0" w:line="240" w:lineRule="auto"/>
        <w:ind w:left="426" w:hanging="426"/>
        <w:rPr>
          <w:rFonts w:ascii="Arial" w:hAnsi="Arial" w:cs="Arial"/>
          <w:sz w:val="16"/>
        </w:rPr>
      </w:pPr>
      <w:r>
        <w:rPr>
          <w:rFonts w:ascii="Arial" w:hAnsi="Arial" w:cs="Arial"/>
          <w:sz w:val="16"/>
        </w:rPr>
        <w:t xml:space="preserve">Departmental </w:t>
      </w:r>
      <w:r w:rsidR="00D7504F">
        <w:rPr>
          <w:rFonts w:ascii="Arial" w:hAnsi="Arial" w:cs="Arial"/>
          <w:sz w:val="16"/>
        </w:rPr>
        <w:t>‘E</w:t>
      </w:r>
      <w:r w:rsidR="00115843" w:rsidRPr="008E2FE3">
        <w:rPr>
          <w:rFonts w:ascii="Arial" w:hAnsi="Arial" w:cs="Arial"/>
          <w:sz w:val="16"/>
        </w:rPr>
        <w:t>xpenses not requiring appropriation in the Budget year</w:t>
      </w:r>
      <w:r w:rsidR="00D7504F">
        <w:rPr>
          <w:rFonts w:ascii="Arial" w:hAnsi="Arial" w:cs="Arial"/>
          <w:sz w:val="16"/>
        </w:rPr>
        <w:t>’</w:t>
      </w:r>
      <w:r w:rsidR="00115843" w:rsidRPr="008E2FE3">
        <w:rPr>
          <w:rFonts w:ascii="Arial" w:hAnsi="Arial" w:cs="Arial"/>
          <w:sz w:val="16"/>
        </w:rPr>
        <w:t xml:space="preserve"> are made up of depreciation expenses, amortisation expenses, which exclude right of use assets.</w:t>
      </w:r>
    </w:p>
    <w:p w14:paraId="229DF508" w14:textId="64A64F36" w:rsidR="00115843" w:rsidRDefault="00115843" w:rsidP="00115843">
      <w:pPr>
        <w:pStyle w:val="ListParagraph"/>
        <w:numPr>
          <w:ilvl w:val="0"/>
          <w:numId w:val="221"/>
        </w:numPr>
        <w:spacing w:before="60" w:after="0" w:line="240" w:lineRule="auto"/>
        <w:ind w:left="426" w:hanging="426"/>
        <w:rPr>
          <w:rFonts w:ascii="Arial" w:hAnsi="Arial" w:cs="Arial"/>
          <w:sz w:val="16"/>
        </w:rPr>
      </w:pPr>
      <w:r w:rsidRPr="00DD3B42">
        <w:rPr>
          <w:rFonts w:ascii="Arial" w:hAnsi="Arial" w:cs="Arial"/>
          <w:sz w:val="16"/>
        </w:rPr>
        <w:t>Figures displayed as a negative (–) represent a decrease in funds and a positive (+) represent an increase in funds.</w:t>
      </w:r>
    </w:p>
    <w:p w14:paraId="41768BB4" w14:textId="77777777" w:rsidR="00BF5A1E" w:rsidRPr="00BF5A1E" w:rsidRDefault="00BF5A1E" w:rsidP="00BF5A1E">
      <w:pPr>
        <w:spacing w:before="60" w:after="0" w:line="240" w:lineRule="auto"/>
        <w:rPr>
          <w:rFonts w:ascii="Arial" w:hAnsi="Arial" w:cs="Arial"/>
          <w:sz w:val="16"/>
          <w:szCs w:val="16"/>
        </w:rPr>
      </w:pPr>
      <w:r w:rsidRPr="00BF5A1E">
        <w:rPr>
          <w:rFonts w:ascii="Arial" w:hAnsi="Arial" w:cs="Arial"/>
          <w:sz w:val="16"/>
          <w:szCs w:val="16"/>
        </w:rPr>
        <w:t>Note: Departmental appropriation splits and totals are indicative estimates and may change in the course of the budget year as government priorities change.</w:t>
      </w:r>
    </w:p>
    <w:p w14:paraId="20CDEB51"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16C9557D" w14:textId="77777777" w:rsidR="00115843" w:rsidRPr="001A5D57" w:rsidRDefault="00115843" w:rsidP="00115843">
      <w:pPr>
        <w:spacing w:after="0"/>
        <w:rPr>
          <w:rStyle w:val="TableHeadingChar"/>
          <w:lang w:val="en-GB"/>
        </w:rPr>
      </w:pPr>
      <w:r w:rsidRPr="001A5D57">
        <w:rPr>
          <w:rStyle w:val="TableHeadingChar"/>
        </w:rPr>
        <w:lastRenderedPageBreak/>
        <w:t>Table 2.</w:t>
      </w:r>
      <w:r w:rsidRPr="001A5D57">
        <w:rPr>
          <w:rStyle w:val="TableHeadingChar"/>
          <w:lang w:val="en-GB"/>
        </w:rPr>
        <w:t>5</w:t>
      </w:r>
      <w:r w:rsidRPr="001A5D57">
        <w:rPr>
          <w:rStyle w:val="TableHeadingChar"/>
        </w:rPr>
        <w:t xml:space="preserve">.2: Program components of Outcome </w:t>
      </w:r>
      <w:r w:rsidRPr="001A5D57">
        <w:rPr>
          <w:rStyle w:val="TableHeadingChar"/>
          <w:lang w:val="en-GB"/>
        </w:rPr>
        <w:t>5</w:t>
      </w:r>
    </w:p>
    <w:tbl>
      <w:tblPr>
        <w:tblW w:w="5012" w:type="pct"/>
        <w:tblLook w:val="04A0" w:firstRow="1" w:lastRow="0" w:firstColumn="1" w:lastColumn="0" w:noHBand="0" w:noVBand="1"/>
      </w:tblPr>
      <w:tblGrid>
        <w:gridCol w:w="2751"/>
        <w:gridCol w:w="187"/>
        <w:gridCol w:w="940"/>
        <w:gridCol w:w="25"/>
        <w:gridCol w:w="926"/>
        <w:gridCol w:w="952"/>
        <w:gridCol w:w="1009"/>
        <w:gridCol w:w="909"/>
        <w:gridCol w:w="11"/>
        <w:gridCol w:w="19"/>
      </w:tblGrid>
      <w:tr w:rsidR="00115843" w:rsidRPr="000331A7" w14:paraId="1C3944F2" w14:textId="77777777" w:rsidTr="002F3AAF">
        <w:trPr>
          <w:gridAfter w:val="2"/>
          <w:wAfter w:w="19" w:type="pct"/>
          <w:trHeight w:val="204"/>
        </w:trPr>
        <w:tc>
          <w:tcPr>
            <w:tcW w:w="1901" w:type="pct"/>
            <w:gridSpan w:val="2"/>
            <w:tcBorders>
              <w:top w:val="single" w:sz="4" w:space="0" w:color="auto"/>
              <w:left w:val="nil"/>
              <w:bottom w:val="single" w:sz="4" w:space="0" w:color="auto"/>
              <w:right w:val="nil"/>
            </w:tcBorders>
            <w:shd w:val="clear" w:color="auto" w:fill="auto"/>
            <w:noWrap/>
            <w:vAlign w:val="bottom"/>
            <w:hideMark/>
          </w:tcPr>
          <w:p w14:paraId="44E14A14" w14:textId="77777777" w:rsidR="00115843" w:rsidRPr="009541F4" w:rsidRDefault="00115843" w:rsidP="00FB0D02">
            <w:pPr>
              <w:spacing w:after="0" w:line="240" w:lineRule="auto"/>
              <w:rPr>
                <w:rFonts w:ascii="Arial" w:hAnsi="Arial" w:cs="Arial"/>
                <w:sz w:val="16"/>
                <w:szCs w:val="16"/>
              </w:rPr>
            </w:pPr>
            <w:r w:rsidRPr="009541F4">
              <w:rPr>
                <w:rFonts w:ascii="Arial" w:hAnsi="Arial" w:cs="Arial"/>
                <w:sz w:val="16"/>
                <w:szCs w:val="16"/>
              </w:rPr>
              <w:t> </w:t>
            </w:r>
          </w:p>
        </w:tc>
        <w:tc>
          <w:tcPr>
            <w:tcW w:w="624" w:type="pct"/>
            <w:gridSpan w:val="2"/>
            <w:tcBorders>
              <w:top w:val="single" w:sz="4" w:space="0" w:color="auto"/>
              <w:left w:val="nil"/>
              <w:bottom w:val="single" w:sz="4" w:space="0" w:color="auto"/>
              <w:right w:val="nil"/>
            </w:tcBorders>
            <w:shd w:val="clear" w:color="auto" w:fill="auto"/>
            <w:vAlign w:val="bottom"/>
            <w:hideMark/>
          </w:tcPr>
          <w:p w14:paraId="11E3C32A"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2021-22</w:t>
            </w:r>
            <w:r w:rsidRPr="000331A7">
              <w:rPr>
                <w:rFonts w:ascii="Arial" w:hAnsi="Arial" w:cs="Arial"/>
                <w:sz w:val="16"/>
                <w:szCs w:val="16"/>
              </w:rPr>
              <w:br/>
              <w:t>Estimated  actual</w:t>
            </w:r>
            <w:r w:rsidRPr="000331A7">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E6E6E6"/>
            <w:vAlign w:val="bottom"/>
            <w:hideMark/>
          </w:tcPr>
          <w:p w14:paraId="69C2CE9D"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2022-23</w:t>
            </w:r>
            <w:r w:rsidRPr="000331A7">
              <w:rPr>
                <w:rFonts w:ascii="Arial" w:hAnsi="Arial" w:cs="Arial"/>
                <w:sz w:val="16"/>
                <w:szCs w:val="16"/>
              </w:rPr>
              <w:br/>
              <w:t xml:space="preserve"> Budget</w:t>
            </w:r>
            <w:r w:rsidRPr="000331A7">
              <w:rPr>
                <w:rFonts w:ascii="Arial" w:hAnsi="Arial" w:cs="Arial"/>
                <w:sz w:val="16"/>
                <w:szCs w:val="16"/>
              </w:rPr>
              <w:br/>
              <w:t xml:space="preserve">                                      $'000</w:t>
            </w:r>
          </w:p>
        </w:tc>
        <w:tc>
          <w:tcPr>
            <w:tcW w:w="616" w:type="pct"/>
            <w:tcBorders>
              <w:top w:val="single" w:sz="4" w:space="0" w:color="auto"/>
              <w:left w:val="nil"/>
              <w:bottom w:val="single" w:sz="4" w:space="0" w:color="auto"/>
              <w:right w:val="nil"/>
            </w:tcBorders>
            <w:shd w:val="clear" w:color="auto" w:fill="auto"/>
            <w:vAlign w:val="bottom"/>
            <w:hideMark/>
          </w:tcPr>
          <w:p w14:paraId="717D4B41"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2023-24</w:t>
            </w:r>
            <w:r w:rsidRPr="000331A7">
              <w:rPr>
                <w:rFonts w:ascii="Arial" w:hAnsi="Arial" w:cs="Arial"/>
                <w:sz w:val="16"/>
                <w:szCs w:val="16"/>
              </w:rPr>
              <w:br/>
              <w:t>Forward estimate</w:t>
            </w:r>
            <w:r w:rsidRPr="000331A7">
              <w:rPr>
                <w:rFonts w:ascii="Arial" w:hAnsi="Arial" w:cs="Arial"/>
                <w:sz w:val="16"/>
                <w:szCs w:val="16"/>
              </w:rPr>
              <w:br/>
              <w:t>$'000</w:t>
            </w:r>
          </w:p>
        </w:tc>
        <w:tc>
          <w:tcPr>
            <w:tcW w:w="653" w:type="pct"/>
            <w:tcBorders>
              <w:top w:val="single" w:sz="4" w:space="0" w:color="auto"/>
              <w:left w:val="nil"/>
              <w:bottom w:val="single" w:sz="4" w:space="0" w:color="auto"/>
              <w:right w:val="nil"/>
            </w:tcBorders>
            <w:shd w:val="clear" w:color="auto" w:fill="auto"/>
            <w:vAlign w:val="bottom"/>
            <w:hideMark/>
          </w:tcPr>
          <w:p w14:paraId="6EBCDDDE"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2024-25</w:t>
            </w:r>
            <w:r w:rsidRPr="000331A7">
              <w:rPr>
                <w:rFonts w:ascii="Arial" w:hAnsi="Arial" w:cs="Arial"/>
                <w:sz w:val="16"/>
                <w:szCs w:val="16"/>
              </w:rPr>
              <w:br/>
              <w:t>Forward estimate</w:t>
            </w:r>
            <w:r w:rsidRPr="000331A7">
              <w:rPr>
                <w:rFonts w:ascii="Arial" w:hAnsi="Arial" w:cs="Arial"/>
                <w:sz w:val="16"/>
                <w:szCs w:val="16"/>
              </w:rPr>
              <w:br/>
              <w:t>$'000</w:t>
            </w:r>
          </w:p>
        </w:tc>
        <w:tc>
          <w:tcPr>
            <w:tcW w:w="588" w:type="pct"/>
            <w:tcBorders>
              <w:top w:val="single" w:sz="4" w:space="0" w:color="auto"/>
              <w:left w:val="nil"/>
              <w:bottom w:val="single" w:sz="4" w:space="0" w:color="auto"/>
              <w:right w:val="nil"/>
            </w:tcBorders>
            <w:shd w:val="clear" w:color="auto" w:fill="auto"/>
            <w:vAlign w:val="bottom"/>
            <w:hideMark/>
          </w:tcPr>
          <w:p w14:paraId="5E988528"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2025-26</w:t>
            </w:r>
            <w:r w:rsidRPr="000331A7">
              <w:rPr>
                <w:rFonts w:ascii="Arial" w:hAnsi="Arial" w:cs="Arial"/>
                <w:sz w:val="16"/>
                <w:szCs w:val="16"/>
              </w:rPr>
              <w:br/>
              <w:t>Forward estimate</w:t>
            </w:r>
            <w:r w:rsidRPr="000331A7">
              <w:rPr>
                <w:rFonts w:ascii="Arial" w:hAnsi="Arial" w:cs="Arial"/>
                <w:sz w:val="16"/>
                <w:szCs w:val="16"/>
              </w:rPr>
              <w:br/>
              <w:t>$'000</w:t>
            </w:r>
          </w:p>
        </w:tc>
      </w:tr>
      <w:tr w:rsidR="00115843" w:rsidRPr="000331A7" w14:paraId="705A633A" w14:textId="77777777" w:rsidTr="002F3AAF">
        <w:trPr>
          <w:trHeight w:val="204"/>
        </w:trPr>
        <w:tc>
          <w:tcPr>
            <w:tcW w:w="5000" w:type="pct"/>
            <w:gridSpan w:val="10"/>
            <w:tcBorders>
              <w:top w:val="nil"/>
              <w:left w:val="nil"/>
              <w:bottom w:val="single" w:sz="4" w:space="0" w:color="auto"/>
              <w:right w:val="nil"/>
            </w:tcBorders>
            <w:shd w:val="clear" w:color="auto" w:fill="E6E6E6"/>
            <w:noWrap/>
            <w:vAlign w:val="bottom"/>
            <w:hideMark/>
          </w:tcPr>
          <w:p w14:paraId="5C16C397" w14:textId="77777777" w:rsidR="00115843" w:rsidRPr="000331A7" w:rsidRDefault="00115843" w:rsidP="00FB0D02">
            <w:pPr>
              <w:spacing w:after="0" w:line="240" w:lineRule="auto"/>
              <w:rPr>
                <w:rFonts w:ascii="Arial" w:hAnsi="Arial" w:cs="Arial"/>
                <w:sz w:val="16"/>
                <w:szCs w:val="16"/>
              </w:rPr>
            </w:pPr>
            <w:r w:rsidRPr="000331A7">
              <w:rPr>
                <w:rFonts w:ascii="Arial" w:hAnsi="Arial" w:cs="Arial"/>
                <w:b/>
                <w:bCs/>
                <w:sz w:val="16"/>
                <w:szCs w:val="16"/>
              </w:rPr>
              <w:t>Components for Program 5.1: Digital Technologies and Communications Services</w:t>
            </w:r>
            <w:r w:rsidRPr="000331A7">
              <w:rPr>
                <w:rFonts w:ascii="Arial" w:hAnsi="Arial" w:cs="Arial"/>
                <w:sz w:val="16"/>
                <w:szCs w:val="16"/>
              </w:rPr>
              <w:t> </w:t>
            </w:r>
          </w:p>
        </w:tc>
      </w:tr>
      <w:tr w:rsidR="00115843" w:rsidRPr="000331A7" w14:paraId="6E813F28" w14:textId="77777777" w:rsidTr="002F3AAF">
        <w:trPr>
          <w:gridAfter w:val="2"/>
          <w:wAfter w:w="19" w:type="pct"/>
          <w:trHeight w:val="204"/>
        </w:trPr>
        <w:tc>
          <w:tcPr>
            <w:tcW w:w="1901" w:type="pct"/>
            <w:gridSpan w:val="2"/>
            <w:tcBorders>
              <w:top w:val="nil"/>
              <w:left w:val="nil"/>
              <w:bottom w:val="nil"/>
              <w:right w:val="nil"/>
            </w:tcBorders>
            <w:shd w:val="clear" w:color="auto" w:fill="auto"/>
            <w:noWrap/>
            <w:vAlign w:val="bottom"/>
            <w:hideMark/>
          </w:tcPr>
          <w:p w14:paraId="569D8D13" w14:textId="77777777" w:rsidR="00115843" w:rsidRPr="000331A7" w:rsidRDefault="00115843" w:rsidP="00FB0D02">
            <w:pPr>
              <w:shd w:val="clear" w:color="auto" w:fill="FFFFFF" w:themeFill="background1"/>
              <w:spacing w:after="0" w:line="240" w:lineRule="auto"/>
              <w:rPr>
                <w:rFonts w:ascii="Arial" w:hAnsi="Arial" w:cs="Arial"/>
                <w:sz w:val="16"/>
                <w:szCs w:val="16"/>
              </w:rPr>
            </w:pPr>
            <w:r w:rsidRPr="000331A7">
              <w:rPr>
                <w:rFonts w:ascii="Arial" w:hAnsi="Arial" w:cs="Arial"/>
                <w:sz w:val="16"/>
                <w:szCs w:val="16"/>
              </w:rPr>
              <w:t>Administered expenses</w:t>
            </w:r>
          </w:p>
        </w:tc>
        <w:tc>
          <w:tcPr>
            <w:tcW w:w="608" w:type="pct"/>
            <w:tcBorders>
              <w:top w:val="nil"/>
              <w:left w:val="nil"/>
              <w:bottom w:val="nil"/>
              <w:right w:val="nil"/>
            </w:tcBorders>
            <w:shd w:val="clear" w:color="auto" w:fill="auto"/>
            <w:noWrap/>
            <w:vAlign w:val="bottom"/>
            <w:hideMark/>
          </w:tcPr>
          <w:p w14:paraId="7539E60B" w14:textId="77777777" w:rsidR="00115843" w:rsidRPr="000331A7" w:rsidRDefault="00115843" w:rsidP="00FB0D02">
            <w:pPr>
              <w:shd w:val="clear" w:color="auto" w:fill="FFFFFF" w:themeFill="background1"/>
              <w:spacing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E6E6E6"/>
            <w:noWrap/>
            <w:vAlign w:val="bottom"/>
            <w:hideMark/>
          </w:tcPr>
          <w:p w14:paraId="493B3386" w14:textId="77777777" w:rsidR="00115843" w:rsidRPr="000331A7" w:rsidRDefault="00115843" w:rsidP="00FB0D02">
            <w:pPr>
              <w:spacing w:after="0" w:line="240" w:lineRule="auto"/>
              <w:jc w:val="right"/>
              <w:rPr>
                <w:rFonts w:ascii="Arial" w:hAnsi="Arial" w:cs="Arial"/>
                <w:sz w:val="16"/>
                <w:szCs w:val="16"/>
              </w:rPr>
            </w:pPr>
          </w:p>
        </w:tc>
        <w:tc>
          <w:tcPr>
            <w:tcW w:w="616" w:type="pct"/>
            <w:tcBorders>
              <w:top w:val="nil"/>
              <w:left w:val="nil"/>
              <w:bottom w:val="nil"/>
              <w:right w:val="nil"/>
            </w:tcBorders>
            <w:shd w:val="clear" w:color="auto" w:fill="auto"/>
            <w:noWrap/>
            <w:vAlign w:val="bottom"/>
            <w:hideMark/>
          </w:tcPr>
          <w:p w14:paraId="7F347B82" w14:textId="77777777" w:rsidR="00115843" w:rsidRPr="000331A7" w:rsidRDefault="00115843" w:rsidP="00FB0D02">
            <w:pPr>
              <w:shd w:val="clear" w:color="auto" w:fill="FFFFFF" w:themeFill="background1"/>
              <w:spacing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noWrap/>
            <w:vAlign w:val="bottom"/>
            <w:hideMark/>
          </w:tcPr>
          <w:p w14:paraId="1B7336A5" w14:textId="77777777" w:rsidR="00115843" w:rsidRPr="000331A7" w:rsidRDefault="00115843" w:rsidP="00FB0D02">
            <w:pPr>
              <w:shd w:val="clear" w:color="auto" w:fill="FFFFFF" w:themeFill="background1"/>
              <w:spacing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2E041AB4" w14:textId="77777777" w:rsidR="00115843" w:rsidRPr="000331A7" w:rsidRDefault="00115843" w:rsidP="00FB0D02">
            <w:pPr>
              <w:shd w:val="clear" w:color="auto" w:fill="FFFFFF" w:themeFill="background1"/>
              <w:spacing w:after="0" w:line="240" w:lineRule="auto"/>
              <w:jc w:val="right"/>
              <w:rPr>
                <w:rFonts w:ascii="Arial" w:hAnsi="Arial" w:cs="Arial"/>
                <w:sz w:val="16"/>
                <w:szCs w:val="16"/>
              </w:rPr>
            </w:pPr>
          </w:p>
        </w:tc>
      </w:tr>
      <w:tr w:rsidR="00D320B9" w:rsidRPr="000331A7" w14:paraId="71C5C3F3"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6F60E494"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Amplifying Australia's Voice in the Pacific</w:t>
            </w:r>
          </w:p>
        </w:tc>
        <w:tc>
          <w:tcPr>
            <w:tcW w:w="729" w:type="pct"/>
            <w:gridSpan w:val="2"/>
            <w:tcBorders>
              <w:top w:val="nil"/>
              <w:left w:val="nil"/>
              <w:bottom w:val="nil"/>
              <w:right w:val="nil"/>
            </w:tcBorders>
            <w:shd w:val="clear" w:color="auto" w:fill="auto"/>
            <w:noWrap/>
            <w:vAlign w:val="bottom"/>
            <w:hideMark/>
          </w:tcPr>
          <w:p w14:paraId="732DF620" w14:textId="1A57715A"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5,675</w:t>
            </w:r>
          </w:p>
        </w:tc>
        <w:tc>
          <w:tcPr>
            <w:tcW w:w="615" w:type="pct"/>
            <w:gridSpan w:val="2"/>
            <w:tcBorders>
              <w:top w:val="nil"/>
              <w:left w:val="nil"/>
              <w:bottom w:val="nil"/>
              <w:right w:val="nil"/>
            </w:tcBorders>
            <w:shd w:val="clear" w:color="auto" w:fill="E6E6E6"/>
            <w:noWrap/>
            <w:vAlign w:val="bottom"/>
            <w:hideMark/>
          </w:tcPr>
          <w:p w14:paraId="45482D46" w14:textId="27A437C7"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5,675</w:t>
            </w:r>
          </w:p>
        </w:tc>
        <w:tc>
          <w:tcPr>
            <w:tcW w:w="616" w:type="pct"/>
            <w:tcBorders>
              <w:top w:val="nil"/>
              <w:left w:val="nil"/>
              <w:bottom w:val="nil"/>
              <w:right w:val="nil"/>
            </w:tcBorders>
            <w:shd w:val="clear" w:color="auto" w:fill="auto"/>
            <w:noWrap/>
            <w:vAlign w:val="bottom"/>
            <w:hideMark/>
          </w:tcPr>
          <w:p w14:paraId="7CFDB5CF" w14:textId="61FC9BF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2C34CF2B" w14:textId="32F8484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00FC7FF6" w14:textId="79FA3ED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15BC5318"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4AFB3B56"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Australian 5G Innovation Initiative</w:t>
            </w:r>
          </w:p>
        </w:tc>
        <w:tc>
          <w:tcPr>
            <w:tcW w:w="729" w:type="pct"/>
            <w:gridSpan w:val="2"/>
            <w:tcBorders>
              <w:top w:val="nil"/>
              <w:left w:val="nil"/>
              <w:bottom w:val="nil"/>
              <w:right w:val="nil"/>
            </w:tcBorders>
            <w:shd w:val="clear" w:color="auto" w:fill="auto"/>
            <w:noWrap/>
            <w:vAlign w:val="bottom"/>
            <w:hideMark/>
          </w:tcPr>
          <w:p w14:paraId="23203393" w14:textId="104A610E"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14,990</w:t>
            </w:r>
          </w:p>
        </w:tc>
        <w:tc>
          <w:tcPr>
            <w:tcW w:w="615" w:type="pct"/>
            <w:gridSpan w:val="2"/>
            <w:tcBorders>
              <w:top w:val="nil"/>
              <w:left w:val="nil"/>
              <w:bottom w:val="nil"/>
              <w:right w:val="nil"/>
            </w:tcBorders>
            <w:shd w:val="clear" w:color="auto" w:fill="E6E6E6"/>
            <w:noWrap/>
            <w:vAlign w:val="bottom"/>
            <w:hideMark/>
          </w:tcPr>
          <w:p w14:paraId="2567665F" w14:textId="107A158E"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5,000</w:t>
            </w:r>
          </w:p>
        </w:tc>
        <w:tc>
          <w:tcPr>
            <w:tcW w:w="616" w:type="pct"/>
            <w:tcBorders>
              <w:top w:val="nil"/>
              <w:left w:val="nil"/>
              <w:bottom w:val="nil"/>
              <w:right w:val="nil"/>
            </w:tcBorders>
            <w:shd w:val="clear" w:color="auto" w:fill="auto"/>
            <w:noWrap/>
            <w:vAlign w:val="bottom"/>
            <w:hideMark/>
          </w:tcPr>
          <w:p w14:paraId="0ACF076F" w14:textId="3699964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435CD449" w14:textId="3D278D71"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5B48DFBE" w14:textId="316A0BD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3B1E6D61"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74CC75BD" w14:textId="22BD0DC8"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Better Connectivity Plan for Regional and Rural Australia</w:t>
            </w:r>
            <w:r w:rsidR="000F0C9E">
              <w:rPr>
                <w:rFonts w:ascii="Arial" w:hAnsi="Arial" w:cs="Arial"/>
                <w:sz w:val="16"/>
                <w:szCs w:val="16"/>
              </w:rPr>
              <w:t xml:space="preserve"> </w:t>
            </w:r>
            <w:r w:rsidR="000F0C9E" w:rsidRPr="00F15C54">
              <w:rPr>
                <w:rFonts w:ascii="Arial" w:hAnsi="Arial" w:cs="Arial"/>
                <w:sz w:val="16"/>
                <w:szCs w:val="16"/>
                <w:vertAlign w:val="superscript"/>
              </w:rPr>
              <w:t>(a)</w:t>
            </w:r>
          </w:p>
        </w:tc>
        <w:tc>
          <w:tcPr>
            <w:tcW w:w="729" w:type="pct"/>
            <w:gridSpan w:val="2"/>
            <w:tcBorders>
              <w:top w:val="nil"/>
              <w:left w:val="nil"/>
              <w:bottom w:val="nil"/>
              <w:right w:val="nil"/>
            </w:tcBorders>
            <w:shd w:val="clear" w:color="auto" w:fill="auto"/>
            <w:noWrap/>
            <w:vAlign w:val="bottom"/>
            <w:hideMark/>
          </w:tcPr>
          <w:p w14:paraId="62CDD270" w14:textId="4C55A84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0D0EF96B" w14:textId="0D26605A"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29,428</w:t>
            </w:r>
          </w:p>
        </w:tc>
        <w:tc>
          <w:tcPr>
            <w:tcW w:w="616" w:type="pct"/>
            <w:tcBorders>
              <w:top w:val="nil"/>
              <w:left w:val="nil"/>
              <w:bottom w:val="nil"/>
              <w:right w:val="nil"/>
            </w:tcBorders>
            <w:shd w:val="clear" w:color="auto" w:fill="auto"/>
            <w:noWrap/>
            <w:vAlign w:val="bottom"/>
            <w:hideMark/>
          </w:tcPr>
          <w:p w14:paraId="12833279" w14:textId="144B100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190,018</w:t>
            </w:r>
          </w:p>
        </w:tc>
        <w:tc>
          <w:tcPr>
            <w:tcW w:w="653" w:type="pct"/>
            <w:tcBorders>
              <w:top w:val="nil"/>
              <w:left w:val="nil"/>
              <w:bottom w:val="nil"/>
              <w:right w:val="nil"/>
            </w:tcBorders>
            <w:shd w:val="clear" w:color="auto" w:fill="auto"/>
            <w:noWrap/>
            <w:vAlign w:val="bottom"/>
            <w:hideMark/>
          </w:tcPr>
          <w:p w14:paraId="4E341310" w14:textId="1EB279E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198,018</w:t>
            </w:r>
          </w:p>
        </w:tc>
        <w:tc>
          <w:tcPr>
            <w:tcW w:w="595" w:type="pct"/>
            <w:gridSpan w:val="2"/>
            <w:tcBorders>
              <w:top w:val="nil"/>
              <w:left w:val="nil"/>
              <w:bottom w:val="nil"/>
              <w:right w:val="nil"/>
            </w:tcBorders>
            <w:shd w:val="clear" w:color="auto" w:fill="auto"/>
            <w:noWrap/>
            <w:vAlign w:val="bottom"/>
            <w:hideMark/>
          </w:tcPr>
          <w:p w14:paraId="3ECC351D" w14:textId="3FFBE7A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129,718</w:t>
            </w:r>
          </w:p>
        </w:tc>
      </w:tr>
      <w:tr w:rsidR="00D320B9" w:rsidRPr="000331A7" w14:paraId="34243A6F"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195705E5" w14:textId="269CFC7C"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 xml:space="preserve">Boost Education Opportunities for Families with No </w:t>
            </w:r>
            <w:r w:rsidR="000F0C9E">
              <w:rPr>
                <w:rFonts w:ascii="Arial" w:hAnsi="Arial" w:cs="Arial"/>
                <w:sz w:val="16"/>
                <w:szCs w:val="16"/>
              </w:rPr>
              <w:t xml:space="preserve">Home </w:t>
            </w:r>
            <w:r w:rsidRPr="000331A7">
              <w:rPr>
                <w:rFonts w:ascii="Arial" w:hAnsi="Arial" w:cs="Arial"/>
                <w:sz w:val="16"/>
                <w:szCs w:val="16"/>
              </w:rPr>
              <w:t>Internet</w:t>
            </w:r>
          </w:p>
        </w:tc>
        <w:tc>
          <w:tcPr>
            <w:tcW w:w="729" w:type="pct"/>
            <w:gridSpan w:val="2"/>
            <w:tcBorders>
              <w:top w:val="nil"/>
              <w:left w:val="nil"/>
              <w:bottom w:val="nil"/>
              <w:right w:val="nil"/>
            </w:tcBorders>
            <w:shd w:val="clear" w:color="auto" w:fill="auto"/>
            <w:noWrap/>
            <w:vAlign w:val="bottom"/>
            <w:hideMark/>
          </w:tcPr>
          <w:p w14:paraId="3A89EBFF" w14:textId="3DF24C0E" w:rsidR="00D320B9" w:rsidRPr="000331A7" w:rsidRDefault="00D320B9" w:rsidP="00D320B9">
            <w:pPr>
              <w:shd w:val="clear" w:color="auto" w:fill="FFFFFF" w:themeFill="background1"/>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582F6C41" w14:textId="135C87E2"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4,500</w:t>
            </w:r>
          </w:p>
        </w:tc>
        <w:tc>
          <w:tcPr>
            <w:tcW w:w="616" w:type="pct"/>
            <w:tcBorders>
              <w:top w:val="nil"/>
              <w:left w:val="nil"/>
              <w:bottom w:val="nil"/>
              <w:right w:val="nil"/>
            </w:tcBorders>
            <w:shd w:val="clear" w:color="auto" w:fill="auto"/>
            <w:noWrap/>
            <w:vAlign w:val="bottom"/>
            <w:hideMark/>
          </w:tcPr>
          <w:p w14:paraId="2E58D28E" w14:textId="5FD5B7E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20925C5E" w14:textId="24FDDC3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29EE4044" w14:textId="39F6BB2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5F82A414"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6CE283F8" w14:textId="7990E68E"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Cellular Broadcast Technologies</w:t>
            </w:r>
            <w:r w:rsidRPr="00F15C54">
              <w:rPr>
                <w:rFonts w:ascii="Arial" w:hAnsi="Arial" w:cs="Arial"/>
                <w:sz w:val="16"/>
                <w:szCs w:val="16"/>
                <w:vertAlign w:val="superscript"/>
              </w:rPr>
              <w:t>(</w:t>
            </w:r>
            <w:r w:rsidR="000F0C9E">
              <w:rPr>
                <w:rFonts w:ascii="Arial" w:hAnsi="Arial" w:cs="Arial"/>
                <w:sz w:val="16"/>
                <w:szCs w:val="16"/>
                <w:vertAlign w:val="superscript"/>
              </w:rPr>
              <w:t>b</w:t>
            </w:r>
            <w:r w:rsidRPr="00F15C54">
              <w:rPr>
                <w:rFonts w:ascii="Arial" w:hAnsi="Arial" w:cs="Arial"/>
                <w:sz w:val="16"/>
                <w:szCs w:val="16"/>
                <w:vertAlign w:val="superscript"/>
              </w:rPr>
              <w:t>)</w:t>
            </w:r>
          </w:p>
        </w:tc>
        <w:tc>
          <w:tcPr>
            <w:tcW w:w="729" w:type="pct"/>
            <w:gridSpan w:val="2"/>
            <w:tcBorders>
              <w:top w:val="nil"/>
              <w:left w:val="nil"/>
              <w:bottom w:val="nil"/>
              <w:right w:val="nil"/>
            </w:tcBorders>
            <w:shd w:val="clear" w:color="auto" w:fill="auto"/>
            <w:noWrap/>
            <w:vAlign w:val="bottom"/>
            <w:hideMark/>
          </w:tcPr>
          <w:p w14:paraId="48EDC485" w14:textId="49774480"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6498ECDE" w14:textId="14F9D2D7"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nfp</w:t>
            </w:r>
          </w:p>
        </w:tc>
        <w:tc>
          <w:tcPr>
            <w:tcW w:w="616" w:type="pct"/>
            <w:tcBorders>
              <w:top w:val="nil"/>
              <w:left w:val="nil"/>
              <w:bottom w:val="nil"/>
              <w:right w:val="nil"/>
            </w:tcBorders>
            <w:shd w:val="clear" w:color="auto" w:fill="auto"/>
            <w:noWrap/>
            <w:vAlign w:val="bottom"/>
            <w:hideMark/>
          </w:tcPr>
          <w:p w14:paraId="59C3F696" w14:textId="3D15F4D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nfp</w:t>
            </w:r>
          </w:p>
        </w:tc>
        <w:tc>
          <w:tcPr>
            <w:tcW w:w="653" w:type="pct"/>
            <w:tcBorders>
              <w:top w:val="nil"/>
              <w:left w:val="nil"/>
              <w:bottom w:val="nil"/>
              <w:right w:val="nil"/>
            </w:tcBorders>
            <w:shd w:val="clear" w:color="auto" w:fill="auto"/>
            <w:noWrap/>
            <w:vAlign w:val="bottom"/>
            <w:hideMark/>
          </w:tcPr>
          <w:p w14:paraId="4DD7AE96" w14:textId="7F8BC135" w:rsidR="00D320B9" w:rsidRPr="00D320B9" w:rsidRDefault="00D320B9" w:rsidP="00D320B9">
            <w:pPr>
              <w:shd w:val="clear" w:color="auto" w:fill="FFFFFF" w:themeFill="background1"/>
              <w:spacing w:after="0" w:line="240" w:lineRule="auto"/>
              <w:jc w:val="right"/>
              <w:rPr>
                <w:rFonts w:ascii="Arial" w:hAnsi="Arial" w:cs="Arial"/>
                <w:color w:val="000000" w:themeColor="text1"/>
                <w:sz w:val="16"/>
                <w:szCs w:val="16"/>
              </w:rPr>
            </w:pPr>
            <w:r w:rsidRPr="00D320B9">
              <w:rPr>
                <w:rFonts w:ascii="Arial" w:hAnsi="Arial" w:cs="Arial"/>
                <w:color w:val="000000" w:themeColor="text1"/>
                <w:sz w:val="16"/>
                <w:szCs w:val="16"/>
              </w:rPr>
              <w:t>-</w:t>
            </w:r>
          </w:p>
        </w:tc>
        <w:tc>
          <w:tcPr>
            <w:tcW w:w="595" w:type="pct"/>
            <w:gridSpan w:val="2"/>
            <w:tcBorders>
              <w:top w:val="nil"/>
              <w:left w:val="nil"/>
              <w:bottom w:val="nil"/>
              <w:right w:val="nil"/>
            </w:tcBorders>
            <w:shd w:val="clear" w:color="auto" w:fill="auto"/>
            <w:noWrap/>
            <w:vAlign w:val="bottom"/>
            <w:hideMark/>
          </w:tcPr>
          <w:p w14:paraId="66517F04" w14:textId="2F7FFEDF" w:rsidR="00D320B9" w:rsidRPr="00D320B9" w:rsidRDefault="00D320B9" w:rsidP="00D320B9">
            <w:pPr>
              <w:shd w:val="clear" w:color="auto" w:fill="FFFFFF" w:themeFill="background1"/>
              <w:spacing w:after="0" w:line="240" w:lineRule="auto"/>
              <w:jc w:val="right"/>
              <w:rPr>
                <w:rFonts w:ascii="Arial" w:hAnsi="Arial" w:cs="Arial"/>
                <w:color w:val="000000" w:themeColor="text1"/>
                <w:sz w:val="16"/>
                <w:szCs w:val="16"/>
              </w:rPr>
            </w:pPr>
            <w:r w:rsidRPr="00D320B9">
              <w:rPr>
                <w:rFonts w:ascii="Arial" w:hAnsi="Arial" w:cs="Arial"/>
                <w:color w:val="000000" w:themeColor="text1"/>
                <w:sz w:val="16"/>
                <w:szCs w:val="16"/>
              </w:rPr>
              <w:t>-</w:t>
            </w:r>
          </w:p>
        </w:tc>
      </w:tr>
      <w:tr w:rsidR="00D320B9" w:rsidRPr="000331A7" w14:paraId="06125A74"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1DD7520"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Community Broadcasting Program</w:t>
            </w:r>
          </w:p>
        </w:tc>
        <w:tc>
          <w:tcPr>
            <w:tcW w:w="729" w:type="pct"/>
            <w:gridSpan w:val="2"/>
            <w:tcBorders>
              <w:top w:val="nil"/>
              <w:left w:val="nil"/>
              <w:bottom w:val="nil"/>
              <w:right w:val="nil"/>
            </w:tcBorders>
            <w:shd w:val="clear" w:color="auto" w:fill="auto"/>
            <w:noWrap/>
            <w:vAlign w:val="bottom"/>
            <w:hideMark/>
          </w:tcPr>
          <w:p w14:paraId="17E308A5" w14:textId="5C618B2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20,149</w:t>
            </w:r>
          </w:p>
        </w:tc>
        <w:tc>
          <w:tcPr>
            <w:tcW w:w="615" w:type="pct"/>
            <w:gridSpan w:val="2"/>
            <w:tcBorders>
              <w:top w:val="nil"/>
              <w:left w:val="nil"/>
              <w:bottom w:val="nil"/>
              <w:right w:val="nil"/>
            </w:tcBorders>
            <w:shd w:val="clear" w:color="auto" w:fill="E6E6E6"/>
            <w:noWrap/>
            <w:vAlign w:val="bottom"/>
            <w:hideMark/>
          </w:tcPr>
          <w:p w14:paraId="7BCF685F" w14:textId="25241E5A"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20,975</w:t>
            </w:r>
          </w:p>
        </w:tc>
        <w:tc>
          <w:tcPr>
            <w:tcW w:w="616" w:type="pct"/>
            <w:tcBorders>
              <w:top w:val="nil"/>
              <w:left w:val="nil"/>
              <w:bottom w:val="nil"/>
              <w:right w:val="nil"/>
            </w:tcBorders>
            <w:shd w:val="clear" w:color="auto" w:fill="auto"/>
            <w:noWrap/>
            <w:vAlign w:val="bottom"/>
            <w:hideMark/>
          </w:tcPr>
          <w:p w14:paraId="5EE3FAD2" w14:textId="75AD2B99"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21,838</w:t>
            </w:r>
          </w:p>
        </w:tc>
        <w:tc>
          <w:tcPr>
            <w:tcW w:w="653" w:type="pct"/>
            <w:tcBorders>
              <w:top w:val="nil"/>
              <w:left w:val="nil"/>
              <w:bottom w:val="nil"/>
              <w:right w:val="nil"/>
            </w:tcBorders>
            <w:shd w:val="clear" w:color="auto" w:fill="auto"/>
            <w:noWrap/>
            <w:vAlign w:val="bottom"/>
            <w:hideMark/>
          </w:tcPr>
          <w:p w14:paraId="6B1A434C" w14:textId="0F6E82AC" w:rsidR="00D320B9" w:rsidRPr="000331A7" w:rsidRDefault="00D320B9" w:rsidP="00D320B9">
            <w:pPr>
              <w:shd w:val="clear" w:color="auto" w:fill="FFFFFF" w:themeFill="background1"/>
              <w:spacing w:after="0" w:line="240" w:lineRule="auto"/>
              <w:jc w:val="right"/>
              <w:rPr>
                <w:rFonts w:ascii="Arial" w:hAnsi="Arial" w:cs="Arial"/>
                <w:color w:val="000000" w:themeColor="text1"/>
                <w:sz w:val="16"/>
                <w:szCs w:val="16"/>
              </w:rPr>
            </w:pPr>
            <w:r>
              <w:rPr>
                <w:rFonts w:ascii="Arial" w:hAnsi="Arial" w:cs="Arial"/>
                <w:sz w:val="16"/>
                <w:szCs w:val="16"/>
              </w:rPr>
              <w:t>22,345</w:t>
            </w:r>
          </w:p>
        </w:tc>
        <w:tc>
          <w:tcPr>
            <w:tcW w:w="595" w:type="pct"/>
            <w:gridSpan w:val="2"/>
            <w:tcBorders>
              <w:top w:val="nil"/>
              <w:left w:val="nil"/>
              <w:bottom w:val="nil"/>
              <w:right w:val="nil"/>
            </w:tcBorders>
            <w:shd w:val="clear" w:color="auto" w:fill="auto"/>
            <w:noWrap/>
            <w:vAlign w:val="bottom"/>
            <w:hideMark/>
          </w:tcPr>
          <w:p w14:paraId="6994A1DC" w14:textId="1D97BE27" w:rsidR="00D320B9" w:rsidRPr="000331A7" w:rsidRDefault="00D320B9" w:rsidP="00D320B9">
            <w:pPr>
              <w:shd w:val="clear" w:color="auto" w:fill="FFFFFF" w:themeFill="background1"/>
              <w:spacing w:after="0" w:line="240" w:lineRule="auto"/>
              <w:jc w:val="right"/>
              <w:rPr>
                <w:rFonts w:ascii="Arial" w:hAnsi="Arial" w:cs="Arial"/>
                <w:color w:val="000000" w:themeColor="text1"/>
                <w:sz w:val="16"/>
                <w:szCs w:val="16"/>
              </w:rPr>
            </w:pPr>
            <w:r>
              <w:rPr>
                <w:rFonts w:ascii="Arial" w:hAnsi="Arial" w:cs="Arial"/>
                <w:sz w:val="16"/>
                <w:szCs w:val="16"/>
              </w:rPr>
              <w:t>22,721</w:t>
            </w:r>
          </w:p>
        </w:tc>
      </w:tr>
      <w:tr w:rsidR="00D320B9" w:rsidRPr="000331A7" w14:paraId="59D1F025"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0924CC57"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Connecting Northern Australia</w:t>
            </w:r>
          </w:p>
        </w:tc>
        <w:tc>
          <w:tcPr>
            <w:tcW w:w="729" w:type="pct"/>
            <w:gridSpan w:val="2"/>
            <w:tcBorders>
              <w:top w:val="nil"/>
              <w:left w:val="nil"/>
              <w:bottom w:val="nil"/>
              <w:right w:val="nil"/>
            </w:tcBorders>
            <w:shd w:val="clear" w:color="auto" w:fill="auto"/>
            <w:noWrap/>
            <w:vAlign w:val="bottom"/>
            <w:hideMark/>
          </w:tcPr>
          <w:p w14:paraId="63BFE1EC" w14:textId="6166A47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534AFD0A" w14:textId="39BFB827"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44,450</w:t>
            </w:r>
          </w:p>
        </w:tc>
        <w:tc>
          <w:tcPr>
            <w:tcW w:w="616" w:type="pct"/>
            <w:tcBorders>
              <w:top w:val="nil"/>
              <w:left w:val="nil"/>
              <w:bottom w:val="nil"/>
              <w:right w:val="nil"/>
            </w:tcBorders>
            <w:shd w:val="clear" w:color="auto" w:fill="auto"/>
            <w:noWrap/>
            <w:vAlign w:val="bottom"/>
            <w:hideMark/>
          </w:tcPr>
          <w:p w14:paraId="7EDA4E75" w14:textId="0B088AF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22,018</w:t>
            </w:r>
          </w:p>
        </w:tc>
        <w:tc>
          <w:tcPr>
            <w:tcW w:w="653" w:type="pct"/>
            <w:tcBorders>
              <w:top w:val="nil"/>
              <w:left w:val="nil"/>
              <w:bottom w:val="nil"/>
              <w:right w:val="nil"/>
            </w:tcBorders>
            <w:shd w:val="clear" w:color="auto" w:fill="auto"/>
            <w:noWrap/>
            <w:vAlign w:val="bottom"/>
            <w:hideMark/>
          </w:tcPr>
          <w:p w14:paraId="1800D8F1" w14:textId="61C89EB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738F4188" w14:textId="687DC305"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2F14565B"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65F6B174"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Consumer Representation Grants Program</w:t>
            </w:r>
          </w:p>
        </w:tc>
        <w:tc>
          <w:tcPr>
            <w:tcW w:w="729" w:type="pct"/>
            <w:gridSpan w:val="2"/>
            <w:tcBorders>
              <w:top w:val="nil"/>
              <w:left w:val="nil"/>
              <w:bottom w:val="nil"/>
              <w:right w:val="nil"/>
            </w:tcBorders>
            <w:shd w:val="clear" w:color="auto" w:fill="auto"/>
            <w:noWrap/>
            <w:vAlign w:val="bottom"/>
            <w:hideMark/>
          </w:tcPr>
          <w:p w14:paraId="44028C34" w14:textId="3BAF904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2,381</w:t>
            </w:r>
          </w:p>
        </w:tc>
        <w:tc>
          <w:tcPr>
            <w:tcW w:w="615" w:type="pct"/>
            <w:gridSpan w:val="2"/>
            <w:tcBorders>
              <w:top w:val="nil"/>
              <w:left w:val="nil"/>
              <w:bottom w:val="nil"/>
              <w:right w:val="nil"/>
            </w:tcBorders>
            <w:shd w:val="clear" w:color="auto" w:fill="E6E6E6"/>
            <w:noWrap/>
            <w:vAlign w:val="bottom"/>
            <w:hideMark/>
          </w:tcPr>
          <w:p w14:paraId="30C9714C" w14:textId="593EB820"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2,488</w:t>
            </w:r>
          </w:p>
        </w:tc>
        <w:tc>
          <w:tcPr>
            <w:tcW w:w="616" w:type="pct"/>
            <w:tcBorders>
              <w:top w:val="nil"/>
              <w:left w:val="nil"/>
              <w:bottom w:val="nil"/>
              <w:right w:val="nil"/>
            </w:tcBorders>
            <w:shd w:val="clear" w:color="auto" w:fill="auto"/>
            <w:noWrap/>
            <w:vAlign w:val="bottom"/>
            <w:hideMark/>
          </w:tcPr>
          <w:p w14:paraId="3B0C323F" w14:textId="562A96A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2,619</w:t>
            </w:r>
          </w:p>
        </w:tc>
        <w:tc>
          <w:tcPr>
            <w:tcW w:w="653" w:type="pct"/>
            <w:tcBorders>
              <w:top w:val="nil"/>
              <w:left w:val="nil"/>
              <w:bottom w:val="nil"/>
              <w:right w:val="nil"/>
            </w:tcBorders>
            <w:shd w:val="clear" w:color="auto" w:fill="auto"/>
            <w:noWrap/>
            <w:vAlign w:val="bottom"/>
            <w:hideMark/>
          </w:tcPr>
          <w:p w14:paraId="5DF07938" w14:textId="3AE1E47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2,693</w:t>
            </w:r>
          </w:p>
        </w:tc>
        <w:tc>
          <w:tcPr>
            <w:tcW w:w="595" w:type="pct"/>
            <w:gridSpan w:val="2"/>
            <w:tcBorders>
              <w:top w:val="nil"/>
              <w:left w:val="nil"/>
              <w:bottom w:val="nil"/>
              <w:right w:val="nil"/>
            </w:tcBorders>
            <w:shd w:val="clear" w:color="auto" w:fill="auto"/>
            <w:noWrap/>
            <w:vAlign w:val="bottom"/>
            <w:hideMark/>
          </w:tcPr>
          <w:p w14:paraId="6D674D7B" w14:textId="0705E59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2,748</w:t>
            </w:r>
          </w:p>
        </w:tc>
      </w:tr>
      <w:tr w:rsidR="00D320B9" w:rsidRPr="000331A7" w14:paraId="6C5D6C9B"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A419F79"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Intellectual Property</w:t>
            </w:r>
          </w:p>
        </w:tc>
        <w:tc>
          <w:tcPr>
            <w:tcW w:w="729" w:type="pct"/>
            <w:gridSpan w:val="2"/>
            <w:tcBorders>
              <w:top w:val="nil"/>
              <w:left w:val="nil"/>
              <w:bottom w:val="nil"/>
              <w:right w:val="nil"/>
            </w:tcBorders>
            <w:shd w:val="clear" w:color="auto" w:fill="auto"/>
            <w:noWrap/>
            <w:vAlign w:val="bottom"/>
            <w:hideMark/>
          </w:tcPr>
          <w:p w14:paraId="028FCA90" w14:textId="0844EB0F"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274</w:t>
            </w:r>
          </w:p>
        </w:tc>
        <w:tc>
          <w:tcPr>
            <w:tcW w:w="615" w:type="pct"/>
            <w:gridSpan w:val="2"/>
            <w:tcBorders>
              <w:top w:val="nil"/>
              <w:left w:val="nil"/>
              <w:bottom w:val="nil"/>
              <w:right w:val="nil"/>
            </w:tcBorders>
            <w:shd w:val="clear" w:color="auto" w:fill="E6E6E6"/>
            <w:noWrap/>
            <w:vAlign w:val="bottom"/>
            <w:hideMark/>
          </w:tcPr>
          <w:p w14:paraId="615AB57A" w14:textId="56FA49D5"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6FF0E7E1" w14:textId="5AEF50B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07FC9C6D" w14:textId="29F92CC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0109B47A" w14:textId="5737275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2024A1E6"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571C70AB"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International Organisation Contributions</w:t>
            </w:r>
          </w:p>
        </w:tc>
        <w:tc>
          <w:tcPr>
            <w:tcW w:w="729" w:type="pct"/>
            <w:gridSpan w:val="2"/>
            <w:tcBorders>
              <w:top w:val="nil"/>
              <w:left w:val="nil"/>
              <w:bottom w:val="nil"/>
              <w:right w:val="nil"/>
            </w:tcBorders>
            <w:shd w:val="clear" w:color="auto" w:fill="auto"/>
            <w:noWrap/>
            <w:vAlign w:val="bottom"/>
            <w:hideMark/>
          </w:tcPr>
          <w:p w14:paraId="791B26F6" w14:textId="79ECB055"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7,183</w:t>
            </w:r>
          </w:p>
        </w:tc>
        <w:tc>
          <w:tcPr>
            <w:tcW w:w="615" w:type="pct"/>
            <w:gridSpan w:val="2"/>
            <w:tcBorders>
              <w:top w:val="nil"/>
              <w:left w:val="nil"/>
              <w:bottom w:val="nil"/>
              <w:right w:val="nil"/>
            </w:tcBorders>
            <w:shd w:val="clear" w:color="auto" w:fill="E6E6E6"/>
            <w:noWrap/>
            <w:vAlign w:val="bottom"/>
            <w:hideMark/>
          </w:tcPr>
          <w:p w14:paraId="21B29937" w14:textId="08359F86"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7,178</w:t>
            </w:r>
          </w:p>
        </w:tc>
        <w:tc>
          <w:tcPr>
            <w:tcW w:w="616" w:type="pct"/>
            <w:tcBorders>
              <w:top w:val="nil"/>
              <w:left w:val="nil"/>
              <w:bottom w:val="nil"/>
              <w:right w:val="nil"/>
            </w:tcBorders>
            <w:shd w:val="clear" w:color="auto" w:fill="auto"/>
            <w:noWrap/>
            <w:vAlign w:val="bottom"/>
            <w:hideMark/>
          </w:tcPr>
          <w:p w14:paraId="5BAC918B" w14:textId="0C3587D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7,094</w:t>
            </w:r>
          </w:p>
        </w:tc>
        <w:tc>
          <w:tcPr>
            <w:tcW w:w="653" w:type="pct"/>
            <w:tcBorders>
              <w:top w:val="nil"/>
              <w:left w:val="nil"/>
              <w:bottom w:val="nil"/>
              <w:right w:val="nil"/>
            </w:tcBorders>
            <w:shd w:val="clear" w:color="auto" w:fill="auto"/>
            <w:noWrap/>
            <w:vAlign w:val="bottom"/>
            <w:hideMark/>
          </w:tcPr>
          <w:p w14:paraId="0658750A" w14:textId="7CA9D4E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7,094</w:t>
            </w:r>
          </w:p>
        </w:tc>
        <w:tc>
          <w:tcPr>
            <w:tcW w:w="595" w:type="pct"/>
            <w:gridSpan w:val="2"/>
            <w:tcBorders>
              <w:top w:val="nil"/>
              <w:left w:val="nil"/>
              <w:bottom w:val="nil"/>
              <w:right w:val="nil"/>
            </w:tcBorders>
            <w:shd w:val="clear" w:color="auto" w:fill="auto"/>
            <w:noWrap/>
            <w:vAlign w:val="bottom"/>
            <w:hideMark/>
          </w:tcPr>
          <w:p w14:paraId="0A8EB78F" w14:textId="1A592418"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7,094</w:t>
            </w:r>
          </w:p>
        </w:tc>
      </w:tr>
      <w:tr w:rsidR="00D320B9" w:rsidRPr="000331A7" w14:paraId="5C31D49A"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863A9D4"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Journalist (Cadetship and Training)</w:t>
            </w:r>
          </w:p>
        </w:tc>
        <w:tc>
          <w:tcPr>
            <w:tcW w:w="729" w:type="pct"/>
            <w:gridSpan w:val="2"/>
            <w:tcBorders>
              <w:top w:val="nil"/>
              <w:left w:val="nil"/>
              <w:bottom w:val="nil"/>
              <w:right w:val="nil"/>
            </w:tcBorders>
            <w:shd w:val="clear" w:color="auto" w:fill="auto"/>
            <w:noWrap/>
            <w:vAlign w:val="bottom"/>
            <w:hideMark/>
          </w:tcPr>
          <w:p w14:paraId="62770979" w14:textId="68CA6A88"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0BB35089" w14:textId="3865DDFD"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5,000</w:t>
            </w:r>
          </w:p>
        </w:tc>
        <w:tc>
          <w:tcPr>
            <w:tcW w:w="616" w:type="pct"/>
            <w:tcBorders>
              <w:top w:val="nil"/>
              <w:left w:val="nil"/>
              <w:bottom w:val="nil"/>
              <w:right w:val="nil"/>
            </w:tcBorders>
            <w:shd w:val="clear" w:color="auto" w:fill="auto"/>
            <w:noWrap/>
            <w:vAlign w:val="bottom"/>
            <w:hideMark/>
          </w:tcPr>
          <w:p w14:paraId="7925489F" w14:textId="3702130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265FE616" w14:textId="65A1688E"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480AAA3D" w14:textId="7C350E70"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661BAF42"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7EB60E1B"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Mobile Black Spot Program</w:t>
            </w:r>
          </w:p>
        </w:tc>
        <w:tc>
          <w:tcPr>
            <w:tcW w:w="729" w:type="pct"/>
            <w:gridSpan w:val="2"/>
            <w:tcBorders>
              <w:top w:val="nil"/>
              <w:left w:val="nil"/>
              <w:bottom w:val="nil"/>
              <w:right w:val="nil"/>
            </w:tcBorders>
            <w:shd w:val="clear" w:color="auto" w:fill="auto"/>
            <w:noWrap/>
            <w:vAlign w:val="bottom"/>
            <w:hideMark/>
          </w:tcPr>
          <w:p w14:paraId="29480CCF" w14:textId="1A77CC6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15,731</w:t>
            </w:r>
          </w:p>
        </w:tc>
        <w:tc>
          <w:tcPr>
            <w:tcW w:w="615" w:type="pct"/>
            <w:gridSpan w:val="2"/>
            <w:tcBorders>
              <w:top w:val="nil"/>
              <w:left w:val="nil"/>
              <w:bottom w:val="nil"/>
              <w:right w:val="nil"/>
            </w:tcBorders>
            <w:shd w:val="clear" w:color="auto" w:fill="E6E6E6"/>
            <w:noWrap/>
            <w:vAlign w:val="bottom"/>
            <w:hideMark/>
          </w:tcPr>
          <w:p w14:paraId="4C20235C" w14:textId="00E8A273"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60,728</w:t>
            </w:r>
          </w:p>
        </w:tc>
        <w:tc>
          <w:tcPr>
            <w:tcW w:w="616" w:type="pct"/>
            <w:tcBorders>
              <w:top w:val="nil"/>
              <w:left w:val="nil"/>
              <w:bottom w:val="nil"/>
              <w:right w:val="nil"/>
            </w:tcBorders>
            <w:shd w:val="clear" w:color="auto" w:fill="auto"/>
            <w:noWrap/>
            <w:vAlign w:val="bottom"/>
            <w:hideMark/>
          </w:tcPr>
          <w:p w14:paraId="07F9692D" w14:textId="77ACB6E5"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41,996</w:t>
            </w:r>
          </w:p>
        </w:tc>
        <w:tc>
          <w:tcPr>
            <w:tcW w:w="653" w:type="pct"/>
            <w:tcBorders>
              <w:top w:val="nil"/>
              <w:left w:val="nil"/>
              <w:bottom w:val="nil"/>
              <w:right w:val="nil"/>
            </w:tcBorders>
            <w:shd w:val="clear" w:color="auto" w:fill="auto"/>
            <w:noWrap/>
            <w:vAlign w:val="bottom"/>
            <w:hideMark/>
          </w:tcPr>
          <w:p w14:paraId="06449448" w14:textId="37F153F9"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17,000</w:t>
            </w:r>
          </w:p>
        </w:tc>
        <w:tc>
          <w:tcPr>
            <w:tcW w:w="595" w:type="pct"/>
            <w:gridSpan w:val="2"/>
            <w:tcBorders>
              <w:top w:val="nil"/>
              <w:left w:val="nil"/>
              <w:bottom w:val="nil"/>
              <w:right w:val="nil"/>
            </w:tcBorders>
            <w:shd w:val="clear" w:color="auto" w:fill="auto"/>
            <w:noWrap/>
            <w:vAlign w:val="bottom"/>
            <w:hideMark/>
          </w:tcPr>
          <w:p w14:paraId="0FF932B9" w14:textId="402F4250"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640F1F6B"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4F1F5ED4"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NBN - Fixed Wireless and Satellite Upgrade</w:t>
            </w:r>
          </w:p>
        </w:tc>
        <w:tc>
          <w:tcPr>
            <w:tcW w:w="729" w:type="pct"/>
            <w:gridSpan w:val="2"/>
            <w:tcBorders>
              <w:top w:val="nil"/>
              <w:left w:val="nil"/>
              <w:bottom w:val="nil"/>
              <w:right w:val="nil"/>
            </w:tcBorders>
            <w:shd w:val="clear" w:color="auto" w:fill="auto"/>
            <w:noWrap/>
            <w:vAlign w:val="bottom"/>
            <w:hideMark/>
          </w:tcPr>
          <w:p w14:paraId="0185BB6B" w14:textId="700FBC25"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480,000</w:t>
            </w:r>
          </w:p>
        </w:tc>
        <w:tc>
          <w:tcPr>
            <w:tcW w:w="615" w:type="pct"/>
            <w:gridSpan w:val="2"/>
            <w:tcBorders>
              <w:top w:val="nil"/>
              <w:left w:val="nil"/>
              <w:bottom w:val="nil"/>
              <w:right w:val="nil"/>
            </w:tcBorders>
            <w:shd w:val="clear" w:color="auto" w:fill="E6E6E6"/>
            <w:noWrap/>
            <w:vAlign w:val="bottom"/>
            <w:hideMark/>
          </w:tcPr>
          <w:p w14:paraId="0273A788" w14:textId="26B1C36A"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29EEAD9A" w14:textId="0CA2899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4486BDD4" w14:textId="5285DFD1"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002D4726" w14:textId="74E82CF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1B8D616F"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33548EE"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News Media Assistance Program</w:t>
            </w:r>
          </w:p>
        </w:tc>
        <w:tc>
          <w:tcPr>
            <w:tcW w:w="729" w:type="pct"/>
            <w:gridSpan w:val="2"/>
            <w:tcBorders>
              <w:top w:val="nil"/>
              <w:left w:val="nil"/>
              <w:bottom w:val="nil"/>
              <w:right w:val="nil"/>
            </w:tcBorders>
            <w:shd w:val="clear" w:color="auto" w:fill="auto"/>
            <w:noWrap/>
            <w:vAlign w:val="bottom"/>
            <w:hideMark/>
          </w:tcPr>
          <w:p w14:paraId="1E3B9A65" w14:textId="0A11E9FB" w:rsidR="00D320B9" w:rsidRPr="000331A7" w:rsidRDefault="00D320B9" w:rsidP="00D320B9">
            <w:pPr>
              <w:shd w:val="clear" w:color="auto" w:fill="FFFFFF" w:themeFill="background1"/>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6F9ED68D" w14:textId="6C4A0B89"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4,000</w:t>
            </w:r>
          </w:p>
        </w:tc>
        <w:tc>
          <w:tcPr>
            <w:tcW w:w="616" w:type="pct"/>
            <w:tcBorders>
              <w:top w:val="nil"/>
              <w:left w:val="nil"/>
              <w:bottom w:val="nil"/>
              <w:right w:val="nil"/>
            </w:tcBorders>
            <w:shd w:val="clear" w:color="auto" w:fill="auto"/>
            <w:noWrap/>
            <w:vAlign w:val="bottom"/>
            <w:hideMark/>
          </w:tcPr>
          <w:p w14:paraId="3B99D277" w14:textId="6FA9804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172BE0CC" w14:textId="54ABFBCA"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095BA31E" w14:textId="64E74AE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3B90D86F"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19DFA742"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Online Safety</w:t>
            </w:r>
          </w:p>
        </w:tc>
        <w:tc>
          <w:tcPr>
            <w:tcW w:w="729" w:type="pct"/>
            <w:gridSpan w:val="2"/>
            <w:tcBorders>
              <w:top w:val="nil"/>
              <w:left w:val="nil"/>
              <w:bottom w:val="nil"/>
              <w:right w:val="nil"/>
            </w:tcBorders>
            <w:shd w:val="clear" w:color="auto" w:fill="auto"/>
            <w:noWrap/>
            <w:vAlign w:val="bottom"/>
            <w:hideMark/>
          </w:tcPr>
          <w:p w14:paraId="342050D7" w14:textId="18323812"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3,936</w:t>
            </w:r>
          </w:p>
        </w:tc>
        <w:tc>
          <w:tcPr>
            <w:tcW w:w="615" w:type="pct"/>
            <w:gridSpan w:val="2"/>
            <w:tcBorders>
              <w:top w:val="nil"/>
              <w:left w:val="nil"/>
              <w:bottom w:val="nil"/>
              <w:right w:val="nil"/>
            </w:tcBorders>
            <w:shd w:val="clear" w:color="auto" w:fill="E6E6E6"/>
            <w:noWrap/>
            <w:vAlign w:val="bottom"/>
            <w:hideMark/>
          </w:tcPr>
          <w:p w14:paraId="56CA14FB" w14:textId="599DD970"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953</w:t>
            </w:r>
          </w:p>
        </w:tc>
        <w:tc>
          <w:tcPr>
            <w:tcW w:w="616" w:type="pct"/>
            <w:tcBorders>
              <w:top w:val="nil"/>
              <w:left w:val="nil"/>
              <w:bottom w:val="nil"/>
              <w:right w:val="nil"/>
            </w:tcBorders>
            <w:shd w:val="clear" w:color="auto" w:fill="auto"/>
            <w:noWrap/>
            <w:vAlign w:val="bottom"/>
            <w:hideMark/>
          </w:tcPr>
          <w:p w14:paraId="2193C8F6" w14:textId="17AB81C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810</w:t>
            </w:r>
          </w:p>
        </w:tc>
        <w:tc>
          <w:tcPr>
            <w:tcW w:w="653" w:type="pct"/>
            <w:tcBorders>
              <w:top w:val="nil"/>
              <w:left w:val="nil"/>
              <w:bottom w:val="nil"/>
              <w:right w:val="nil"/>
            </w:tcBorders>
            <w:shd w:val="clear" w:color="auto" w:fill="auto"/>
            <w:noWrap/>
            <w:vAlign w:val="bottom"/>
            <w:hideMark/>
          </w:tcPr>
          <w:p w14:paraId="3D914ECC" w14:textId="299F1600"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810</w:t>
            </w:r>
          </w:p>
        </w:tc>
        <w:tc>
          <w:tcPr>
            <w:tcW w:w="595" w:type="pct"/>
            <w:gridSpan w:val="2"/>
            <w:tcBorders>
              <w:top w:val="nil"/>
              <w:left w:val="nil"/>
              <w:bottom w:val="nil"/>
              <w:right w:val="nil"/>
            </w:tcBorders>
            <w:shd w:val="clear" w:color="auto" w:fill="auto"/>
            <w:noWrap/>
            <w:vAlign w:val="bottom"/>
            <w:hideMark/>
          </w:tcPr>
          <w:p w14:paraId="0A88C240" w14:textId="571BBBE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810</w:t>
            </w:r>
          </w:p>
        </w:tc>
      </w:tr>
      <w:tr w:rsidR="00D320B9" w:rsidRPr="000331A7" w14:paraId="2DA05D71"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ECBE33B"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Peri-Urban Mobile Program</w:t>
            </w:r>
          </w:p>
        </w:tc>
        <w:tc>
          <w:tcPr>
            <w:tcW w:w="729" w:type="pct"/>
            <w:gridSpan w:val="2"/>
            <w:tcBorders>
              <w:top w:val="nil"/>
              <w:left w:val="nil"/>
              <w:bottom w:val="nil"/>
              <w:right w:val="nil"/>
            </w:tcBorders>
            <w:shd w:val="clear" w:color="auto" w:fill="auto"/>
            <w:noWrap/>
            <w:vAlign w:val="bottom"/>
            <w:hideMark/>
          </w:tcPr>
          <w:p w14:paraId="2ED91E29" w14:textId="5E03F50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5A66C88F" w14:textId="58DB7677"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13,306</w:t>
            </w:r>
          </w:p>
        </w:tc>
        <w:tc>
          <w:tcPr>
            <w:tcW w:w="616" w:type="pct"/>
            <w:tcBorders>
              <w:top w:val="nil"/>
              <w:left w:val="nil"/>
              <w:bottom w:val="nil"/>
              <w:right w:val="nil"/>
            </w:tcBorders>
            <w:shd w:val="clear" w:color="auto" w:fill="auto"/>
            <w:noWrap/>
            <w:vAlign w:val="bottom"/>
            <w:hideMark/>
          </w:tcPr>
          <w:p w14:paraId="34290299" w14:textId="765C8F2A"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24,071</w:t>
            </w:r>
          </w:p>
        </w:tc>
        <w:tc>
          <w:tcPr>
            <w:tcW w:w="653" w:type="pct"/>
            <w:tcBorders>
              <w:top w:val="nil"/>
              <w:left w:val="nil"/>
              <w:bottom w:val="nil"/>
              <w:right w:val="nil"/>
            </w:tcBorders>
            <w:shd w:val="clear" w:color="auto" w:fill="auto"/>
            <w:noWrap/>
            <w:vAlign w:val="bottom"/>
            <w:hideMark/>
          </w:tcPr>
          <w:p w14:paraId="24556999" w14:textId="57ED399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11,520</w:t>
            </w:r>
          </w:p>
        </w:tc>
        <w:tc>
          <w:tcPr>
            <w:tcW w:w="595" w:type="pct"/>
            <w:gridSpan w:val="2"/>
            <w:tcBorders>
              <w:top w:val="nil"/>
              <w:left w:val="nil"/>
              <w:bottom w:val="nil"/>
              <w:right w:val="nil"/>
            </w:tcBorders>
            <w:shd w:val="clear" w:color="auto" w:fill="auto"/>
            <w:noWrap/>
            <w:vAlign w:val="bottom"/>
            <w:hideMark/>
          </w:tcPr>
          <w:p w14:paraId="7BC0C707" w14:textId="42C72F18"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8,007</w:t>
            </w:r>
          </w:p>
        </w:tc>
      </w:tr>
      <w:tr w:rsidR="00D320B9" w:rsidRPr="000331A7" w14:paraId="5DF56653"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7C2D824D"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Public Interest News Gathering</w:t>
            </w:r>
          </w:p>
        </w:tc>
        <w:tc>
          <w:tcPr>
            <w:tcW w:w="729" w:type="pct"/>
            <w:gridSpan w:val="2"/>
            <w:tcBorders>
              <w:top w:val="nil"/>
              <w:left w:val="nil"/>
              <w:bottom w:val="nil"/>
              <w:right w:val="nil"/>
            </w:tcBorders>
            <w:shd w:val="clear" w:color="auto" w:fill="auto"/>
            <w:noWrap/>
            <w:vAlign w:val="bottom"/>
            <w:hideMark/>
          </w:tcPr>
          <w:p w14:paraId="78ECC466" w14:textId="6E66925E"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7,275</w:t>
            </w:r>
          </w:p>
        </w:tc>
        <w:tc>
          <w:tcPr>
            <w:tcW w:w="615" w:type="pct"/>
            <w:gridSpan w:val="2"/>
            <w:tcBorders>
              <w:top w:val="nil"/>
              <w:left w:val="nil"/>
              <w:bottom w:val="nil"/>
              <w:right w:val="nil"/>
            </w:tcBorders>
            <w:shd w:val="clear" w:color="auto" w:fill="E6E6E6"/>
            <w:noWrap/>
            <w:vAlign w:val="bottom"/>
            <w:hideMark/>
          </w:tcPr>
          <w:p w14:paraId="2E3763C8" w14:textId="700A1A81"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1DFBCAB2" w14:textId="4EA7B88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5F9BDCBD" w14:textId="135F020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797022D6" w14:textId="3EDD074E"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08CA0D07"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2A635E49"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Regional Backbone Blackspots Program</w:t>
            </w:r>
          </w:p>
        </w:tc>
        <w:tc>
          <w:tcPr>
            <w:tcW w:w="729" w:type="pct"/>
            <w:gridSpan w:val="2"/>
            <w:tcBorders>
              <w:top w:val="nil"/>
              <w:left w:val="nil"/>
              <w:bottom w:val="nil"/>
              <w:right w:val="nil"/>
            </w:tcBorders>
            <w:shd w:val="clear" w:color="auto" w:fill="auto"/>
            <w:noWrap/>
            <w:vAlign w:val="bottom"/>
            <w:hideMark/>
          </w:tcPr>
          <w:p w14:paraId="4124F215" w14:textId="406E097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7,925</w:t>
            </w:r>
          </w:p>
        </w:tc>
        <w:tc>
          <w:tcPr>
            <w:tcW w:w="615" w:type="pct"/>
            <w:gridSpan w:val="2"/>
            <w:tcBorders>
              <w:top w:val="nil"/>
              <w:left w:val="nil"/>
              <w:bottom w:val="nil"/>
              <w:right w:val="nil"/>
            </w:tcBorders>
            <w:shd w:val="clear" w:color="auto" w:fill="E6E6E6"/>
            <w:noWrap/>
            <w:vAlign w:val="bottom"/>
            <w:hideMark/>
          </w:tcPr>
          <w:p w14:paraId="4167E81F" w14:textId="586EC531"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7,925</w:t>
            </w:r>
          </w:p>
        </w:tc>
        <w:tc>
          <w:tcPr>
            <w:tcW w:w="616" w:type="pct"/>
            <w:tcBorders>
              <w:top w:val="nil"/>
              <w:left w:val="nil"/>
              <w:bottom w:val="nil"/>
              <w:right w:val="nil"/>
            </w:tcBorders>
            <w:shd w:val="clear" w:color="auto" w:fill="auto"/>
            <w:noWrap/>
            <w:vAlign w:val="bottom"/>
            <w:hideMark/>
          </w:tcPr>
          <w:p w14:paraId="4A40B498" w14:textId="2C8FDF4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7,925</w:t>
            </w:r>
          </w:p>
        </w:tc>
        <w:tc>
          <w:tcPr>
            <w:tcW w:w="653" w:type="pct"/>
            <w:tcBorders>
              <w:top w:val="nil"/>
              <w:left w:val="nil"/>
              <w:bottom w:val="nil"/>
              <w:right w:val="nil"/>
            </w:tcBorders>
            <w:shd w:val="clear" w:color="auto" w:fill="auto"/>
            <w:noWrap/>
            <w:vAlign w:val="bottom"/>
            <w:hideMark/>
          </w:tcPr>
          <w:p w14:paraId="2F5D0210" w14:textId="2674EDD9"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7,925</w:t>
            </w:r>
          </w:p>
        </w:tc>
        <w:tc>
          <w:tcPr>
            <w:tcW w:w="595" w:type="pct"/>
            <w:gridSpan w:val="2"/>
            <w:tcBorders>
              <w:top w:val="nil"/>
              <w:left w:val="nil"/>
              <w:bottom w:val="nil"/>
              <w:right w:val="nil"/>
            </w:tcBorders>
            <w:shd w:val="clear" w:color="auto" w:fill="auto"/>
            <w:noWrap/>
            <w:vAlign w:val="bottom"/>
            <w:hideMark/>
          </w:tcPr>
          <w:p w14:paraId="1E24E74C" w14:textId="6ED575DF"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7,925</w:t>
            </w:r>
          </w:p>
        </w:tc>
      </w:tr>
      <w:tr w:rsidR="00D320B9" w:rsidRPr="000331A7" w14:paraId="375E2BE0"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4A6284C8"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Regional Broadband Scheme</w:t>
            </w:r>
          </w:p>
        </w:tc>
        <w:tc>
          <w:tcPr>
            <w:tcW w:w="729" w:type="pct"/>
            <w:gridSpan w:val="2"/>
            <w:tcBorders>
              <w:top w:val="nil"/>
              <w:left w:val="nil"/>
              <w:bottom w:val="nil"/>
              <w:right w:val="nil"/>
            </w:tcBorders>
            <w:shd w:val="clear" w:color="auto" w:fill="auto"/>
            <w:noWrap/>
            <w:vAlign w:val="bottom"/>
            <w:hideMark/>
          </w:tcPr>
          <w:p w14:paraId="408CD22F" w14:textId="0E17D64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731,869</w:t>
            </w:r>
          </w:p>
        </w:tc>
        <w:tc>
          <w:tcPr>
            <w:tcW w:w="615" w:type="pct"/>
            <w:gridSpan w:val="2"/>
            <w:tcBorders>
              <w:top w:val="nil"/>
              <w:left w:val="nil"/>
              <w:bottom w:val="nil"/>
              <w:right w:val="nil"/>
            </w:tcBorders>
            <w:shd w:val="clear" w:color="auto" w:fill="E6E6E6"/>
            <w:noWrap/>
            <w:vAlign w:val="bottom"/>
            <w:hideMark/>
          </w:tcPr>
          <w:p w14:paraId="756833A1" w14:textId="438391B2"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759,052</w:t>
            </w:r>
          </w:p>
        </w:tc>
        <w:tc>
          <w:tcPr>
            <w:tcW w:w="616" w:type="pct"/>
            <w:tcBorders>
              <w:top w:val="nil"/>
              <w:left w:val="nil"/>
              <w:bottom w:val="nil"/>
              <w:right w:val="nil"/>
            </w:tcBorders>
            <w:shd w:val="clear" w:color="auto" w:fill="auto"/>
            <w:noWrap/>
            <w:vAlign w:val="bottom"/>
            <w:hideMark/>
          </w:tcPr>
          <w:p w14:paraId="3991B088" w14:textId="29792CD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790,762</w:t>
            </w:r>
          </w:p>
        </w:tc>
        <w:tc>
          <w:tcPr>
            <w:tcW w:w="653" w:type="pct"/>
            <w:tcBorders>
              <w:top w:val="nil"/>
              <w:left w:val="nil"/>
              <w:bottom w:val="nil"/>
              <w:right w:val="nil"/>
            </w:tcBorders>
            <w:shd w:val="clear" w:color="auto" w:fill="auto"/>
            <w:noWrap/>
            <w:vAlign w:val="bottom"/>
            <w:hideMark/>
          </w:tcPr>
          <w:p w14:paraId="252E33CA" w14:textId="28B9D90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822,528</w:t>
            </w:r>
          </w:p>
        </w:tc>
        <w:tc>
          <w:tcPr>
            <w:tcW w:w="595" w:type="pct"/>
            <w:gridSpan w:val="2"/>
            <w:tcBorders>
              <w:top w:val="nil"/>
              <w:left w:val="nil"/>
              <w:bottom w:val="nil"/>
              <w:right w:val="nil"/>
            </w:tcBorders>
            <w:shd w:val="clear" w:color="auto" w:fill="auto"/>
            <w:noWrap/>
            <w:vAlign w:val="bottom"/>
            <w:hideMark/>
          </w:tcPr>
          <w:p w14:paraId="788592D0" w14:textId="7CC869E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879,895</w:t>
            </w:r>
          </w:p>
        </w:tc>
      </w:tr>
      <w:tr w:rsidR="00D320B9" w:rsidRPr="000331A7" w14:paraId="078DF8FF"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2C60306"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Regional Broadcasting</w:t>
            </w:r>
          </w:p>
        </w:tc>
        <w:tc>
          <w:tcPr>
            <w:tcW w:w="729" w:type="pct"/>
            <w:gridSpan w:val="2"/>
            <w:tcBorders>
              <w:top w:val="nil"/>
              <w:left w:val="nil"/>
              <w:bottom w:val="nil"/>
              <w:right w:val="nil"/>
            </w:tcBorders>
            <w:shd w:val="clear" w:color="auto" w:fill="auto"/>
            <w:noWrap/>
            <w:vAlign w:val="bottom"/>
            <w:hideMark/>
          </w:tcPr>
          <w:p w14:paraId="716EBE11" w14:textId="2F93231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13,623</w:t>
            </w:r>
          </w:p>
        </w:tc>
        <w:tc>
          <w:tcPr>
            <w:tcW w:w="615" w:type="pct"/>
            <w:gridSpan w:val="2"/>
            <w:tcBorders>
              <w:top w:val="nil"/>
              <w:left w:val="nil"/>
              <w:bottom w:val="nil"/>
              <w:right w:val="nil"/>
            </w:tcBorders>
            <w:shd w:val="clear" w:color="auto" w:fill="E6E6E6"/>
            <w:noWrap/>
            <w:vAlign w:val="bottom"/>
            <w:hideMark/>
          </w:tcPr>
          <w:p w14:paraId="407E778E" w14:textId="3AB56240"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14,610</w:t>
            </w:r>
          </w:p>
        </w:tc>
        <w:tc>
          <w:tcPr>
            <w:tcW w:w="616" w:type="pct"/>
            <w:tcBorders>
              <w:top w:val="nil"/>
              <w:left w:val="nil"/>
              <w:bottom w:val="nil"/>
              <w:right w:val="nil"/>
            </w:tcBorders>
            <w:shd w:val="clear" w:color="auto" w:fill="auto"/>
            <w:noWrap/>
            <w:vAlign w:val="bottom"/>
            <w:hideMark/>
          </w:tcPr>
          <w:p w14:paraId="4EBD5348" w14:textId="5B86FCA0"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15,724</w:t>
            </w:r>
          </w:p>
        </w:tc>
        <w:tc>
          <w:tcPr>
            <w:tcW w:w="653" w:type="pct"/>
            <w:tcBorders>
              <w:top w:val="nil"/>
              <w:left w:val="nil"/>
              <w:bottom w:val="nil"/>
              <w:right w:val="nil"/>
            </w:tcBorders>
            <w:shd w:val="clear" w:color="auto" w:fill="auto"/>
            <w:noWrap/>
            <w:vAlign w:val="bottom"/>
            <w:hideMark/>
          </w:tcPr>
          <w:p w14:paraId="5030E30C" w14:textId="64967BFC"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595</w:t>
            </w:r>
          </w:p>
        </w:tc>
        <w:tc>
          <w:tcPr>
            <w:tcW w:w="595" w:type="pct"/>
            <w:gridSpan w:val="2"/>
            <w:tcBorders>
              <w:top w:val="nil"/>
              <w:left w:val="nil"/>
              <w:bottom w:val="nil"/>
              <w:right w:val="nil"/>
            </w:tcBorders>
            <w:shd w:val="clear" w:color="auto" w:fill="auto"/>
            <w:noWrap/>
            <w:vAlign w:val="bottom"/>
            <w:hideMark/>
          </w:tcPr>
          <w:p w14:paraId="7E8320CB" w14:textId="7C1F6808"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07B46ED8"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6C95FBD1"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Regional Connectivity</w:t>
            </w:r>
          </w:p>
        </w:tc>
        <w:tc>
          <w:tcPr>
            <w:tcW w:w="729" w:type="pct"/>
            <w:gridSpan w:val="2"/>
            <w:tcBorders>
              <w:top w:val="nil"/>
              <w:left w:val="nil"/>
              <w:bottom w:val="nil"/>
              <w:right w:val="nil"/>
            </w:tcBorders>
            <w:shd w:val="clear" w:color="auto" w:fill="auto"/>
            <w:noWrap/>
            <w:vAlign w:val="bottom"/>
            <w:hideMark/>
          </w:tcPr>
          <w:p w14:paraId="50EA6F12" w14:textId="5BE6F3EA"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26,516</w:t>
            </w:r>
          </w:p>
        </w:tc>
        <w:tc>
          <w:tcPr>
            <w:tcW w:w="615" w:type="pct"/>
            <w:gridSpan w:val="2"/>
            <w:tcBorders>
              <w:top w:val="nil"/>
              <w:left w:val="nil"/>
              <w:bottom w:val="nil"/>
              <w:right w:val="nil"/>
            </w:tcBorders>
            <w:shd w:val="clear" w:color="auto" w:fill="E6E6E6"/>
            <w:noWrap/>
            <w:vAlign w:val="bottom"/>
            <w:hideMark/>
          </w:tcPr>
          <w:p w14:paraId="4CB3DFFA" w14:textId="46283F55"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111,141</w:t>
            </w:r>
          </w:p>
        </w:tc>
        <w:tc>
          <w:tcPr>
            <w:tcW w:w="616" w:type="pct"/>
            <w:tcBorders>
              <w:top w:val="nil"/>
              <w:left w:val="nil"/>
              <w:bottom w:val="nil"/>
              <w:right w:val="nil"/>
            </w:tcBorders>
            <w:shd w:val="clear" w:color="auto" w:fill="auto"/>
            <w:noWrap/>
            <w:vAlign w:val="bottom"/>
            <w:hideMark/>
          </w:tcPr>
          <w:p w14:paraId="2BA45CE1" w14:textId="11128C3A"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31,796</w:t>
            </w:r>
          </w:p>
        </w:tc>
        <w:tc>
          <w:tcPr>
            <w:tcW w:w="653" w:type="pct"/>
            <w:tcBorders>
              <w:top w:val="nil"/>
              <w:left w:val="nil"/>
              <w:bottom w:val="nil"/>
              <w:right w:val="nil"/>
            </w:tcBorders>
            <w:shd w:val="clear" w:color="auto" w:fill="auto"/>
            <w:noWrap/>
            <w:vAlign w:val="bottom"/>
            <w:hideMark/>
          </w:tcPr>
          <w:p w14:paraId="5B8BDC28" w14:textId="0F9A599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1F89E21E" w14:textId="2F6B215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778C132D"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300D150F"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 xml:space="preserve">Safe Kids are eSmart Kids </w:t>
            </w:r>
          </w:p>
        </w:tc>
        <w:tc>
          <w:tcPr>
            <w:tcW w:w="729" w:type="pct"/>
            <w:gridSpan w:val="2"/>
            <w:tcBorders>
              <w:top w:val="nil"/>
              <w:left w:val="nil"/>
              <w:bottom w:val="nil"/>
              <w:right w:val="nil"/>
            </w:tcBorders>
            <w:shd w:val="clear" w:color="auto" w:fill="auto"/>
            <w:noWrap/>
            <w:vAlign w:val="bottom"/>
            <w:hideMark/>
          </w:tcPr>
          <w:p w14:paraId="00EDA9F5" w14:textId="3BEABE47" w:rsidR="00D320B9" w:rsidRPr="000331A7" w:rsidRDefault="00D320B9" w:rsidP="00D320B9">
            <w:pPr>
              <w:shd w:val="clear" w:color="auto" w:fill="FFFFFF" w:themeFill="background1"/>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615" w:type="pct"/>
            <w:gridSpan w:val="2"/>
            <w:tcBorders>
              <w:top w:val="nil"/>
              <w:left w:val="nil"/>
              <w:bottom w:val="nil"/>
              <w:right w:val="nil"/>
            </w:tcBorders>
            <w:shd w:val="clear" w:color="auto" w:fill="E6E6E6"/>
            <w:noWrap/>
            <w:vAlign w:val="bottom"/>
            <w:hideMark/>
          </w:tcPr>
          <w:p w14:paraId="389DD6C0" w14:textId="3792820F"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1A4446D1" w14:textId="0A94523E"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1,883</w:t>
            </w:r>
          </w:p>
        </w:tc>
        <w:tc>
          <w:tcPr>
            <w:tcW w:w="653" w:type="pct"/>
            <w:tcBorders>
              <w:top w:val="nil"/>
              <w:left w:val="nil"/>
              <w:bottom w:val="nil"/>
              <w:right w:val="nil"/>
            </w:tcBorders>
            <w:shd w:val="clear" w:color="auto" w:fill="auto"/>
            <w:noWrap/>
            <w:vAlign w:val="bottom"/>
            <w:hideMark/>
          </w:tcPr>
          <w:p w14:paraId="485D6E4E" w14:textId="7723D15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2,078</w:t>
            </w:r>
          </w:p>
        </w:tc>
        <w:tc>
          <w:tcPr>
            <w:tcW w:w="595" w:type="pct"/>
            <w:gridSpan w:val="2"/>
            <w:tcBorders>
              <w:top w:val="nil"/>
              <w:left w:val="nil"/>
              <w:bottom w:val="nil"/>
              <w:right w:val="nil"/>
            </w:tcBorders>
            <w:shd w:val="clear" w:color="auto" w:fill="auto"/>
            <w:noWrap/>
            <w:vAlign w:val="bottom"/>
            <w:hideMark/>
          </w:tcPr>
          <w:p w14:paraId="435D90E2" w14:textId="3423C982"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2,039</w:t>
            </w:r>
          </w:p>
        </w:tc>
      </w:tr>
      <w:tr w:rsidR="00D320B9" w:rsidRPr="000331A7" w14:paraId="6B8F9CA4"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53C8A6D3"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Spectrum Pricing Transitional Support</w:t>
            </w:r>
          </w:p>
        </w:tc>
        <w:tc>
          <w:tcPr>
            <w:tcW w:w="729" w:type="pct"/>
            <w:gridSpan w:val="2"/>
            <w:tcBorders>
              <w:top w:val="nil"/>
              <w:left w:val="nil"/>
              <w:bottom w:val="nil"/>
              <w:right w:val="nil"/>
            </w:tcBorders>
            <w:shd w:val="clear" w:color="auto" w:fill="auto"/>
            <w:noWrap/>
            <w:vAlign w:val="bottom"/>
            <w:hideMark/>
          </w:tcPr>
          <w:p w14:paraId="53B4C1B2" w14:textId="5BF64948"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4,772</w:t>
            </w:r>
          </w:p>
        </w:tc>
        <w:tc>
          <w:tcPr>
            <w:tcW w:w="615" w:type="pct"/>
            <w:gridSpan w:val="2"/>
            <w:tcBorders>
              <w:top w:val="nil"/>
              <w:left w:val="nil"/>
              <w:bottom w:val="nil"/>
              <w:right w:val="nil"/>
            </w:tcBorders>
            <w:shd w:val="clear" w:color="auto" w:fill="E6E6E6"/>
            <w:noWrap/>
            <w:vAlign w:val="bottom"/>
            <w:hideMark/>
          </w:tcPr>
          <w:p w14:paraId="5877A9B9" w14:textId="12662CD2"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w:t>
            </w:r>
          </w:p>
        </w:tc>
        <w:tc>
          <w:tcPr>
            <w:tcW w:w="616" w:type="pct"/>
            <w:tcBorders>
              <w:top w:val="nil"/>
              <w:left w:val="nil"/>
              <w:bottom w:val="nil"/>
              <w:right w:val="nil"/>
            </w:tcBorders>
            <w:shd w:val="clear" w:color="auto" w:fill="auto"/>
            <w:noWrap/>
            <w:vAlign w:val="bottom"/>
            <w:hideMark/>
          </w:tcPr>
          <w:p w14:paraId="01B6F2CE" w14:textId="74D229B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628D7F15" w14:textId="3D971883"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695135F3" w14:textId="68943AEB"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6BA54C16" w14:textId="77777777" w:rsidTr="002F3AAF">
        <w:trPr>
          <w:gridAfter w:val="1"/>
          <w:wAfter w:w="12" w:type="pct"/>
          <w:trHeight w:val="204"/>
        </w:trPr>
        <w:tc>
          <w:tcPr>
            <w:tcW w:w="1780" w:type="pct"/>
            <w:tcBorders>
              <w:top w:val="nil"/>
              <w:left w:val="nil"/>
              <w:bottom w:val="nil"/>
              <w:right w:val="nil"/>
            </w:tcBorders>
            <w:shd w:val="clear" w:color="auto" w:fill="auto"/>
            <w:vAlign w:val="bottom"/>
            <w:hideMark/>
          </w:tcPr>
          <w:p w14:paraId="7F7938F5" w14:textId="77777777"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Strengthening Telecommunications Against Natural Disasters</w:t>
            </w:r>
          </w:p>
        </w:tc>
        <w:tc>
          <w:tcPr>
            <w:tcW w:w="729" w:type="pct"/>
            <w:gridSpan w:val="2"/>
            <w:tcBorders>
              <w:top w:val="nil"/>
              <w:left w:val="nil"/>
              <w:bottom w:val="nil"/>
              <w:right w:val="nil"/>
            </w:tcBorders>
            <w:shd w:val="clear" w:color="auto" w:fill="auto"/>
            <w:noWrap/>
            <w:vAlign w:val="bottom"/>
            <w:hideMark/>
          </w:tcPr>
          <w:p w14:paraId="688B1918" w14:textId="19A547B4"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10,721</w:t>
            </w:r>
          </w:p>
        </w:tc>
        <w:tc>
          <w:tcPr>
            <w:tcW w:w="615" w:type="pct"/>
            <w:gridSpan w:val="2"/>
            <w:tcBorders>
              <w:top w:val="nil"/>
              <w:left w:val="nil"/>
              <w:bottom w:val="nil"/>
              <w:right w:val="nil"/>
            </w:tcBorders>
            <w:shd w:val="clear" w:color="auto" w:fill="E6E6E6"/>
            <w:noWrap/>
            <w:vAlign w:val="bottom"/>
            <w:hideMark/>
          </w:tcPr>
          <w:p w14:paraId="3B4EA4EE" w14:textId="74BC814E"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14,318</w:t>
            </w:r>
          </w:p>
        </w:tc>
        <w:tc>
          <w:tcPr>
            <w:tcW w:w="616" w:type="pct"/>
            <w:tcBorders>
              <w:top w:val="nil"/>
              <w:left w:val="nil"/>
              <w:bottom w:val="nil"/>
              <w:right w:val="nil"/>
            </w:tcBorders>
            <w:shd w:val="clear" w:color="auto" w:fill="auto"/>
            <w:noWrap/>
            <w:vAlign w:val="bottom"/>
            <w:hideMark/>
          </w:tcPr>
          <w:p w14:paraId="531A17ED" w14:textId="7EB9810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2B14B44B" w14:textId="2D97AE67"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nil"/>
              <w:right w:val="nil"/>
            </w:tcBorders>
            <w:shd w:val="clear" w:color="auto" w:fill="auto"/>
            <w:noWrap/>
            <w:vAlign w:val="bottom"/>
            <w:hideMark/>
          </w:tcPr>
          <w:p w14:paraId="545568E0" w14:textId="2F0A7C90"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0331A7" w14:paraId="7CEC2233" w14:textId="77777777" w:rsidTr="002F3AAF">
        <w:trPr>
          <w:gridAfter w:val="1"/>
          <w:wAfter w:w="12" w:type="pct"/>
          <w:trHeight w:val="204"/>
        </w:trPr>
        <w:tc>
          <w:tcPr>
            <w:tcW w:w="1780" w:type="pct"/>
            <w:tcBorders>
              <w:top w:val="nil"/>
              <w:left w:val="nil"/>
              <w:right w:val="nil"/>
            </w:tcBorders>
            <w:shd w:val="clear" w:color="auto" w:fill="auto"/>
            <w:vAlign w:val="bottom"/>
            <w:hideMark/>
          </w:tcPr>
          <w:p w14:paraId="3F64EBB7" w14:textId="64D830C1" w:rsidR="00D320B9" w:rsidRPr="000331A7" w:rsidRDefault="00D320B9" w:rsidP="00D320B9">
            <w:pPr>
              <w:shd w:val="clear" w:color="auto" w:fill="FFFFFF" w:themeFill="background1"/>
              <w:spacing w:after="0" w:line="240" w:lineRule="auto"/>
              <w:ind w:left="113"/>
              <w:rPr>
                <w:rFonts w:ascii="Arial" w:hAnsi="Arial" w:cs="Arial"/>
                <w:sz w:val="16"/>
                <w:szCs w:val="16"/>
              </w:rPr>
            </w:pPr>
            <w:r w:rsidRPr="000331A7">
              <w:rPr>
                <w:rFonts w:ascii="Arial" w:hAnsi="Arial" w:cs="Arial"/>
                <w:sz w:val="16"/>
                <w:szCs w:val="16"/>
              </w:rPr>
              <w:t>Supporting Regional and Local Newspaper</w:t>
            </w:r>
            <w:r>
              <w:rPr>
                <w:rFonts w:ascii="Arial" w:hAnsi="Arial" w:cs="Arial"/>
                <w:sz w:val="16"/>
                <w:szCs w:val="16"/>
              </w:rPr>
              <w:t>s</w:t>
            </w:r>
          </w:p>
        </w:tc>
        <w:tc>
          <w:tcPr>
            <w:tcW w:w="729" w:type="pct"/>
            <w:gridSpan w:val="2"/>
            <w:tcBorders>
              <w:top w:val="nil"/>
              <w:left w:val="nil"/>
              <w:right w:val="nil"/>
            </w:tcBorders>
            <w:shd w:val="clear" w:color="auto" w:fill="auto"/>
            <w:noWrap/>
            <w:vAlign w:val="bottom"/>
            <w:hideMark/>
          </w:tcPr>
          <w:p w14:paraId="1DB3B1E9" w14:textId="40595D4E" w:rsidR="00D320B9" w:rsidRPr="000331A7" w:rsidRDefault="00D320B9" w:rsidP="00D320B9">
            <w:pPr>
              <w:shd w:val="clear" w:color="auto" w:fill="FFFFFF" w:themeFill="background1"/>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615" w:type="pct"/>
            <w:gridSpan w:val="2"/>
            <w:tcBorders>
              <w:top w:val="nil"/>
              <w:left w:val="nil"/>
              <w:right w:val="nil"/>
            </w:tcBorders>
            <w:shd w:val="clear" w:color="auto" w:fill="E6E6E6"/>
            <w:noWrap/>
            <w:vAlign w:val="bottom"/>
            <w:hideMark/>
          </w:tcPr>
          <w:p w14:paraId="11BCF6BD" w14:textId="3F5D4DA1"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15,000</w:t>
            </w:r>
          </w:p>
        </w:tc>
        <w:tc>
          <w:tcPr>
            <w:tcW w:w="616" w:type="pct"/>
            <w:tcBorders>
              <w:top w:val="nil"/>
              <w:left w:val="nil"/>
              <w:right w:val="nil"/>
            </w:tcBorders>
            <w:shd w:val="clear" w:color="auto" w:fill="auto"/>
            <w:noWrap/>
            <w:vAlign w:val="bottom"/>
            <w:hideMark/>
          </w:tcPr>
          <w:p w14:paraId="195261E4" w14:textId="79780096"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right w:val="nil"/>
            </w:tcBorders>
            <w:shd w:val="clear" w:color="auto" w:fill="auto"/>
            <w:noWrap/>
            <w:vAlign w:val="bottom"/>
            <w:hideMark/>
          </w:tcPr>
          <w:p w14:paraId="08822845" w14:textId="0BBB784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right w:val="nil"/>
            </w:tcBorders>
            <w:shd w:val="clear" w:color="auto" w:fill="auto"/>
            <w:noWrap/>
            <w:vAlign w:val="bottom"/>
            <w:hideMark/>
          </w:tcPr>
          <w:p w14:paraId="044F9AA3" w14:textId="3202D48D" w:rsidR="00D320B9" w:rsidRPr="000331A7" w:rsidRDefault="00D320B9" w:rsidP="00D320B9">
            <w:pPr>
              <w:shd w:val="clear" w:color="auto" w:fill="FFFFFF" w:themeFill="background1"/>
              <w:spacing w:after="0" w:line="240" w:lineRule="auto"/>
              <w:jc w:val="right"/>
              <w:rPr>
                <w:rFonts w:ascii="Arial" w:hAnsi="Arial" w:cs="Arial"/>
                <w:sz w:val="16"/>
                <w:szCs w:val="16"/>
              </w:rPr>
            </w:pPr>
            <w:r>
              <w:rPr>
                <w:rFonts w:ascii="Arial" w:hAnsi="Arial" w:cs="Arial"/>
                <w:sz w:val="16"/>
                <w:szCs w:val="16"/>
              </w:rPr>
              <w:t>-</w:t>
            </w:r>
          </w:p>
        </w:tc>
      </w:tr>
      <w:tr w:rsidR="00D320B9" w:rsidRPr="009541F4" w14:paraId="1EA56AEB" w14:textId="77777777" w:rsidTr="002F3AAF">
        <w:trPr>
          <w:gridAfter w:val="1"/>
          <w:wAfter w:w="12" w:type="pct"/>
          <w:trHeight w:val="204"/>
        </w:trPr>
        <w:tc>
          <w:tcPr>
            <w:tcW w:w="1780" w:type="pct"/>
            <w:tcBorders>
              <w:top w:val="nil"/>
              <w:left w:val="nil"/>
              <w:bottom w:val="single" w:sz="4" w:space="0" w:color="auto"/>
              <w:right w:val="nil"/>
            </w:tcBorders>
            <w:shd w:val="clear" w:color="auto" w:fill="auto"/>
            <w:vAlign w:val="bottom"/>
            <w:hideMark/>
          </w:tcPr>
          <w:p w14:paraId="09E8E735" w14:textId="77777777" w:rsidR="00D320B9" w:rsidRPr="000331A7" w:rsidRDefault="00D320B9" w:rsidP="00D320B9">
            <w:pPr>
              <w:shd w:val="clear" w:color="auto" w:fill="FFFFFF" w:themeFill="background1"/>
              <w:spacing w:after="60" w:line="240" w:lineRule="auto"/>
              <w:ind w:left="113"/>
              <w:rPr>
                <w:rFonts w:ascii="Arial" w:hAnsi="Arial" w:cs="Arial"/>
                <w:sz w:val="16"/>
                <w:szCs w:val="16"/>
              </w:rPr>
            </w:pPr>
            <w:r w:rsidRPr="000331A7">
              <w:rPr>
                <w:rFonts w:ascii="Arial" w:hAnsi="Arial" w:cs="Arial"/>
                <w:sz w:val="16"/>
                <w:szCs w:val="16"/>
              </w:rPr>
              <w:t>Supporting Underrepresented Sports</w:t>
            </w:r>
          </w:p>
        </w:tc>
        <w:tc>
          <w:tcPr>
            <w:tcW w:w="729" w:type="pct"/>
            <w:gridSpan w:val="2"/>
            <w:tcBorders>
              <w:top w:val="nil"/>
              <w:left w:val="nil"/>
              <w:bottom w:val="single" w:sz="4" w:space="0" w:color="auto"/>
              <w:right w:val="nil"/>
            </w:tcBorders>
            <w:shd w:val="clear" w:color="auto" w:fill="auto"/>
            <w:noWrap/>
            <w:vAlign w:val="bottom"/>
            <w:hideMark/>
          </w:tcPr>
          <w:p w14:paraId="46FA864A" w14:textId="31A0F001" w:rsidR="00D320B9" w:rsidRPr="000331A7" w:rsidRDefault="00D320B9" w:rsidP="00D320B9">
            <w:pPr>
              <w:shd w:val="clear" w:color="auto" w:fill="FFFFFF" w:themeFill="background1"/>
              <w:spacing w:after="60" w:line="240" w:lineRule="auto"/>
              <w:jc w:val="right"/>
              <w:rPr>
                <w:rFonts w:ascii="Arial" w:hAnsi="Arial" w:cs="Arial"/>
                <w:sz w:val="16"/>
                <w:szCs w:val="16"/>
              </w:rPr>
            </w:pPr>
            <w:r>
              <w:rPr>
                <w:rFonts w:ascii="Arial" w:hAnsi="Arial" w:cs="Arial"/>
                <w:sz w:val="16"/>
                <w:szCs w:val="16"/>
              </w:rPr>
              <w:t>3,000</w:t>
            </w:r>
          </w:p>
        </w:tc>
        <w:tc>
          <w:tcPr>
            <w:tcW w:w="615" w:type="pct"/>
            <w:gridSpan w:val="2"/>
            <w:tcBorders>
              <w:top w:val="nil"/>
              <w:left w:val="nil"/>
              <w:bottom w:val="single" w:sz="4" w:space="0" w:color="auto"/>
              <w:right w:val="nil"/>
            </w:tcBorders>
            <w:shd w:val="clear" w:color="auto" w:fill="E6E6E6"/>
            <w:noWrap/>
            <w:vAlign w:val="bottom"/>
            <w:hideMark/>
          </w:tcPr>
          <w:p w14:paraId="13FE9AE7" w14:textId="0624147C" w:rsidR="00D320B9" w:rsidRPr="000331A7" w:rsidRDefault="00D320B9" w:rsidP="00D320B9">
            <w:pPr>
              <w:spacing w:after="60" w:line="240" w:lineRule="auto"/>
              <w:jc w:val="right"/>
              <w:rPr>
                <w:rFonts w:ascii="Arial" w:hAnsi="Arial" w:cs="Arial"/>
                <w:sz w:val="16"/>
                <w:szCs w:val="15"/>
              </w:rPr>
            </w:pPr>
            <w:r>
              <w:rPr>
                <w:rFonts w:ascii="Arial" w:hAnsi="Arial" w:cs="Arial"/>
                <w:sz w:val="16"/>
                <w:szCs w:val="16"/>
              </w:rPr>
              <w:t>2,000</w:t>
            </w:r>
          </w:p>
        </w:tc>
        <w:tc>
          <w:tcPr>
            <w:tcW w:w="616" w:type="pct"/>
            <w:tcBorders>
              <w:top w:val="nil"/>
              <w:left w:val="nil"/>
              <w:bottom w:val="single" w:sz="4" w:space="0" w:color="auto"/>
              <w:right w:val="nil"/>
            </w:tcBorders>
            <w:shd w:val="clear" w:color="auto" w:fill="auto"/>
            <w:noWrap/>
            <w:vAlign w:val="bottom"/>
            <w:hideMark/>
          </w:tcPr>
          <w:p w14:paraId="2989577A" w14:textId="31327C6A" w:rsidR="00D320B9" w:rsidRPr="000331A7" w:rsidRDefault="00D320B9" w:rsidP="00D320B9">
            <w:pPr>
              <w:shd w:val="clear" w:color="auto" w:fill="FFFFFF" w:themeFill="background1"/>
              <w:spacing w:after="60" w:line="240" w:lineRule="auto"/>
              <w:jc w:val="right"/>
              <w:rPr>
                <w:rFonts w:ascii="Arial" w:hAnsi="Arial" w:cs="Arial"/>
                <w:sz w:val="16"/>
                <w:szCs w:val="16"/>
              </w:rPr>
            </w:pPr>
            <w:r>
              <w:rPr>
                <w:rFonts w:ascii="Arial" w:hAnsi="Arial" w:cs="Arial"/>
                <w:sz w:val="16"/>
                <w:szCs w:val="16"/>
              </w:rPr>
              <w:t>-</w:t>
            </w:r>
          </w:p>
        </w:tc>
        <w:tc>
          <w:tcPr>
            <w:tcW w:w="653" w:type="pct"/>
            <w:tcBorders>
              <w:top w:val="nil"/>
              <w:left w:val="nil"/>
              <w:bottom w:val="single" w:sz="4" w:space="0" w:color="auto"/>
              <w:right w:val="nil"/>
            </w:tcBorders>
            <w:shd w:val="clear" w:color="auto" w:fill="auto"/>
            <w:noWrap/>
            <w:vAlign w:val="bottom"/>
            <w:hideMark/>
          </w:tcPr>
          <w:p w14:paraId="14EDA8B5" w14:textId="78DBBE27" w:rsidR="00D320B9" w:rsidRPr="000331A7" w:rsidRDefault="00D320B9" w:rsidP="00D320B9">
            <w:pPr>
              <w:shd w:val="clear" w:color="auto" w:fill="FFFFFF" w:themeFill="background1"/>
              <w:spacing w:after="60" w:line="240" w:lineRule="auto"/>
              <w:jc w:val="right"/>
              <w:rPr>
                <w:rFonts w:ascii="Arial" w:hAnsi="Arial" w:cs="Arial"/>
                <w:sz w:val="16"/>
                <w:szCs w:val="16"/>
              </w:rPr>
            </w:pPr>
            <w:r>
              <w:rPr>
                <w:rFonts w:ascii="Arial" w:hAnsi="Arial" w:cs="Arial"/>
                <w:sz w:val="16"/>
                <w:szCs w:val="16"/>
              </w:rPr>
              <w:t>-</w:t>
            </w:r>
          </w:p>
        </w:tc>
        <w:tc>
          <w:tcPr>
            <w:tcW w:w="595" w:type="pct"/>
            <w:gridSpan w:val="2"/>
            <w:tcBorders>
              <w:top w:val="nil"/>
              <w:left w:val="nil"/>
              <w:bottom w:val="single" w:sz="4" w:space="0" w:color="auto"/>
              <w:right w:val="nil"/>
            </w:tcBorders>
            <w:shd w:val="clear" w:color="auto" w:fill="auto"/>
            <w:noWrap/>
            <w:vAlign w:val="bottom"/>
            <w:hideMark/>
          </w:tcPr>
          <w:p w14:paraId="7C6DE2DE" w14:textId="211AE198" w:rsidR="00D320B9" w:rsidRPr="000331A7" w:rsidRDefault="00D320B9" w:rsidP="00D320B9">
            <w:pPr>
              <w:shd w:val="clear" w:color="auto" w:fill="FFFFFF" w:themeFill="background1"/>
              <w:spacing w:after="60" w:line="240" w:lineRule="auto"/>
              <w:jc w:val="right"/>
              <w:rPr>
                <w:rFonts w:ascii="Arial" w:hAnsi="Arial" w:cs="Arial"/>
                <w:sz w:val="16"/>
                <w:szCs w:val="16"/>
              </w:rPr>
            </w:pPr>
            <w:r>
              <w:rPr>
                <w:rFonts w:ascii="Arial" w:hAnsi="Arial" w:cs="Arial"/>
                <w:sz w:val="16"/>
                <w:szCs w:val="16"/>
              </w:rPr>
              <w:t>-</w:t>
            </w:r>
          </w:p>
        </w:tc>
      </w:tr>
    </w:tbl>
    <w:p w14:paraId="4B036E0C" w14:textId="77777777" w:rsidR="00115843" w:rsidRDefault="00115843" w:rsidP="00115843">
      <w:r>
        <w:br w:type="page"/>
      </w:r>
    </w:p>
    <w:p w14:paraId="5DA1906F" w14:textId="77777777" w:rsidR="00115843" w:rsidRPr="001A5D57" w:rsidRDefault="00115843" w:rsidP="00115843">
      <w:pPr>
        <w:spacing w:after="0"/>
        <w:rPr>
          <w:rStyle w:val="TableHeadingChar"/>
          <w:lang w:val="en-GB"/>
        </w:rPr>
      </w:pPr>
      <w:r w:rsidRPr="001A5D57">
        <w:rPr>
          <w:rStyle w:val="TableHeadingChar"/>
        </w:rPr>
        <w:lastRenderedPageBreak/>
        <w:t>Table 2.</w:t>
      </w:r>
      <w:r w:rsidRPr="001A5D57">
        <w:rPr>
          <w:rStyle w:val="TableHeadingChar"/>
          <w:lang w:val="en-GB"/>
        </w:rPr>
        <w:t>5</w:t>
      </w:r>
      <w:r w:rsidRPr="001A5D57">
        <w:rPr>
          <w:rStyle w:val="TableHeadingChar"/>
        </w:rPr>
        <w:t xml:space="preserve">.2: Program components of Outcome </w:t>
      </w:r>
      <w:r w:rsidRPr="001A5D57">
        <w:rPr>
          <w:rStyle w:val="TableHeadingChar"/>
          <w:lang w:val="en-GB"/>
        </w:rPr>
        <w:t>5</w:t>
      </w:r>
      <w:r>
        <w:rPr>
          <w:rStyle w:val="TableHeadingChar"/>
          <w:lang w:val="en-GB"/>
        </w:rPr>
        <w:t xml:space="preserve"> (continued)</w:t>
      </w:r>
    </w:p>
    <w:tbl>
      <w:tblPr>
        <w:tblW w:w="5000" w:type="pct"/>
        <w:tblLook w:val="04A0" w:firstRow="1" w:lastRow="0" w:firstColumn="1" w:lastColumn="0" w:noHBand="0" w:noVBand="1"/>
      </w:tblPr>
      <w:tblGrid>
        <w:gridCol w:w="2817"/>
        <w:gridCol w:w="106"/>
        <w:gridCol w:w="956"/>
        <w:gridCol w:w="26"/>
        <w:gridCol w:w="921"/>
        <w:gridCol w:w="13"/>
        <w:gridCol w:w="924"/>
        <w:gridCol w:w="32"/>
        <w:gridCol w:w="953"/>
        <w:gridCol w:w="29"/>
        <w:gridCol w:w="933"/>
      </w:tblGrid>
      <w:tr w:rsidR="00115843" w:rsidRPr="000331A7" w14:paraId="234B8D9C" w14:textId="77777777" w:rsidTr="002F3AAF">
        <w:trPr>
          <w:trHeight w:val="204"/>
        </w:trPr>
        <w:tc>
          <w:tcPr>
            <w:tcW w:w="1896" w:type="pct"/>
            <w:gridSpan w:val="2"/>
            <w:tcBorders>
              <w:top w:val="single" w:sz="4" w:space="0" w:color="auto"/>
              <w:left w:val="nil"/>
              <w:bottom w:val="single" w:sz="4" w:space="0" w:color="auto"/>
              <w:right w:val="nil"/>
            </w:tcBorders>
            <w:shd w:val="clear" w:color="auto" w:fill="auto"/>
            <w:noWrap/>
            <w:vAlign w:val="bottom"/>
            <w:hideMark/>
          </w:tcPr>
          <w:p w14:paraId="1A2ED682" w14:textId="77777777" w:rsidR="00115843" w:rsidRPr="009541F4" w:rsidRDefault="00115843" w:rsidP="00FB0D02">
            <w:pPr>
              <w:spacing w:after="0" w:line="240" w:lineRule="auto"/>
              <w:rPr>
                <w:rFonts w:ascii="Arial" w:hAnsi="Arial" w:cs="Arial"/>
                <w:sz w:val="16"/>
                <w:szCs w:val="16"/>
              </w:rPr>
            </w:pPr>
            <w:r w:rsidRPr="009541F4">
              <w:rPr>
                <w:rFonts w:ascii="Arial" w:hAnsi="Arial" w:cs="Arial"/>
                <w:sz w:val="16"/>
                <w:szCs w:val="16"/>
              </w:rPr>
              <w:t> </w:t>
            </w:r>
          </w:p>
        </w:tc>
        <w:tc>
          <w:tcPr>
            <w:tcW w:w="620" w:type="pct"/>
            <w:tcBorders>
              <w:top w:val="single" w:sz="4" w:space="0" w:color="auto"/>
              <w:left w:val="nil"/>
              <w:bottom w:val="single" w:sz="4" w:space="0" w:color="auto"/>
              <w:right w:val="nil"/>
            </w:tcBorders>
            <w:shd w:val="clear" w:color="auto" w:fill="auto"/>
            <w:vAlign w:val="bottom"/>
            <w:hideMark/>
          </w:tcPr>
          <w:p w14:paraId="11E7E716"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2021-22</w:t>
            </w:r>
            <w:r w:rsidRPr="000331A7">
              <w:rPr>
                <w:rFonts w:ascii="Arial" w:hAnsi="Arial" w:cs="Arial"/>
                <w:sz w:val="16"/>
                <w:szCs w:val="16"/>
              </w:rPr>
              <w:br/>
              <w:t>Estimated  actual</w:t>
            </w:r>
            <w:r w:rsidRPr="000331A7">
              <w:rPr>
                <w:rFonts w:ascii="Arial" w:hAnsi="Arial" w:cs="Arial"/>
                <w:sz w:val="16"/>
                <w:szCs w:val="16"/>
              </w:rPr>
              <w:br/>
              <w:t>$'000</w:t>
            </w:r>
          </w:p>
        </w:tc>
        <w:tc>
          <w:tcPr>
            <w:tcW w:w="614" w:type="pct"/>
            <w:gridSpan w:val="2"/>
            <w:tcBorders>
              <w:top w:val="single" w:sz="4" w:space="0" w:color="auto"/>
              <w:left w:val="nil"/>
              <w:bottom w:val="single" w:sz="4" w:space="0" w:color="auto"/>
              <w:right w:val="nil"/>
            </w:tcBorders>
            <w:shd w:val="clear" w:color="auto" w:fill="E6E6E6"/>
            <w:vAlign w:val="bottom"/>
            <w:hideMark/>
          </w:tcPr>
          <w:p w14:paraId="0898F0C4"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2022-23</w:t>
            </w:r>
            <w:r w:rsidRPr="000331A7">
              <w:rPr>
                <w:rFonts w:ascii="Arial" w:hAnsi="Arial" w:cs="Arial"/>
                <w:sz w:val="16"/>
                <w:szCs w:val="16"/>
              </w:rPr>
              <w:br/>
              <w:t xml:space="preserve"> Budget</w:t>
            </w:r>
            <w:r w:rsidRPr="000331A7">
              <w:rPr>
                <w:rFonts w:ascii="Arial" w:hAnsi="Arial" w:cs="Arial"/>
                <w:sz w:val="16"/>
                <w:szCs w:val="16"/>
              </w:rPr>
              <w:br/>
              <w:t xml:space="preserve">                                      $'000</w:t>
            </w:r>
          </w:p>
        </w:tc>
        <w:tc>
          <w:tcPr>
            <w:tcW w:w="607" w:type="pct"/>
            <w:gridSpan w:val="2"/>
            <w:tcBorders>
              <w:top w:val="single" w:sz="4" w:space="0" w:color="auto"/>
              <w:left w:val="nil"/>
              <w:bottom w:val="single" w:sz="4" w:space="0" w:color="auto"/>
              <w:right w:val="nil"/>
            </w:tcBorders>
            <w:shd w:val="clear" w:color="auto" w:fill="auto"/>
            <w:vAlign w:val="bottom"/>
            <w:hideMark/>
          </w:tcPr>
          <w:p w14:paraId="6E594466"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2023-24</w:t>
            </w:r>
            <w:r w:rsidRPr="000331A7">
              <w:rPr>
                <w:rFonts w:ascii="Arial" w:hAnsi="Arial" w:cs="Arial"/>
                <w:sz w:val="16"/>
                <w:szCs w:val="16"/>
              </w:rPr>
              <w:br/>
              <w:t>Forward estimate</w:t>
            </w:r>
            <w:r w:rsidRPr="000331A7">
              <w:rPr>
                <w:rFonts w:ascii="Arial" w:hAnsi="Arial" w:cs="Arial"/>
                <w:sz w:val="16"/>
                <w:szCs w:val="16"/>
              </w:rPr>
              <w:br/>
              <w:t>$'000</w:t>
            </w:r>
          </w:p>
        </w:tc>
        <w:tc>
          <w:tcPr>
            <w:tcW w:w="639" w:type="pct"/>
            <w:gridSpan w:val="2"/>
            <w:tcBorders>
              <w:top w:val="single" w:sz="4" w:space="0" w:color="auto"/>
              <w:left w:val="nil"/>
              <w:bottom w:val="single" w:sz="4" w:space="0" w:color="auto"/>
              <w:right w:val="nil"/>
            </w:tcBorders>
            <w:shd w:val="clear" w:color="auto" w:fill="auto"/>
            <w:vAlign w:val="bottom"/>
            <w:hideMark/>
          </w:tcPr>
          <w:p w14:paraId="71A1FBE8"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2024-25</w:t>
            </w:r>
            <w:r w:rsidRPr="000331A7">
              <w:rPr>
                <w:rFonts w:ascii="Arial" w:hAnsi="Arial" w:cs="Arial"/>
                <w:sz w:val="16"/>
                <w:szCs w:val="16"/>
              </w:rPr>
              <w:br/>
              <w:t>Forward estimate</w:t>
            </w:r>
            <w:r w:rsidRPr="000331A7">
              <w:rPr>
                <w:rFonts w:ascii="Arial" w:hAnsi="Arial" w:cs="Arial"/>
                <w:sz w:val="16"/>
                <w:szCs w:val="16"/>
              </w:rPr>
              <w:br/>
              <w:t>$'000</w:t>
            </w:r>
          </w:p>
        </w:tc>
        <w:tc>
          <w:tcPr>
            <w:tcW w:w="624" w:type="pct"/>
            <w:gridSpan w:val="2"/>
            <w:tcBorders>
              <w:top w:val="single" w:sz="4" w:space="0" w:color="auto"/>
              <w:left w:val="nil"/>
              <w:bottom w:val="single" w:sz="4" w:space="0" w:color="auto"/>
              <w:right w:val="nil"/>
            </w:tcBorders>
            <w:shd w:val="clear" w:color="auto" w:fill="auto"/>
            <w:vAlign w:val="bottom"/>
            <w:hideMark/>
          </w:tcPr>
          <w:p w14:paraId="6E49E10C" w14:textId="77777777" w:rsidR="00115843" w:rsidRPr="000331A7" w:rsidRDefault="00115843" w:rsidP="00FB0D02">
            <w:pPr>
              <w:spacing w:after="0" w:line="240" w:lineRule="auto"/>
              <w:jc w:val="right"/>
              <w:rPr>
                <w:rFonts w:ascii="Arial" w:hAnsi="Arial" w:cs="Arial"/>
                <w:sz w:val="16"/>
                <w:szCs w:val="16"/>
              </w:rPr>
            </w:pPr>
            <w:r w:rsidRPr="000331A7">
              <w:rPr>
                <w:rFonts w:ascii="Arial" w:hAnsi="Arial" w:cs="Arial"/>
                <w:sz w:val="16"/>
                <w:szCs w:val="16"/>
              </w:rPr>
              <w:t>2025-26</w:t>
            </w:r>
            <w:r w:rsidRPr="000331A7">
              <w:rPr>
                <w:rFonts w:ascii="Arial" w:hAnsi="Arial" w:cs="Arial"/>
                <w:sz w:val="16"/>
                <w:szCs w:val="16"/>
              </w:rPr>
              <w:br/>
              <w:t>Forward estimate</w:t>
            </w:r>
            <w:r w:rsidRPr="000331A7">
              <w:rPr>
                <w:rFonts w:ascii="Arial" w:hAnsi="Arial" w:cs="Arial"/>
                <w:sz w:val="16"/>
                <w:szCs w:val="16"/>
              </w:rPr>
              <w:br/>
              <w:t>$'000</w:t>
            </w:r>
          </w:p>
        </w:tc>
      </w:tr>
      <w:tr w:rsidR="00115843" w:rsidRPr="000331A7" w14:paraId="060014E8" w14:textId="77777777" w:rsidTr="002F3AAF">
        <w:trPr>
          <w:trHeight w:val="204"/>
        </w:trPr>
        <w:tc>
          <w:tcPr>
            <w:tcW w:w="5000" w:type="pct"/>
            <w:gridSpan w:val="11"/>
            <w:tcBorders>
              <w:top w:val="nil"/>
              <w:left w:val="nil"/>
              <w:bottom w:val="single" w:sz="4" w:space="0" w:color="auto"/>
              <w:right w:val="nil"/>
            </w:tcBorders>
            <w:shd w:val="clear" w:color="auto" w:fill="E6E6E6"/>
            <w:noWrap/>
            <w:vAlign w:val="bottom"/>
            <w:hideMark/>
          </w:tcPr>
          <w:p w14:paraId="24846414" w14:textId="77777777" w:rsidR="00115843" w:rsidRPr="000331A7" w:rsidRDefault="00115843" w:rsidP="00FB0D02">
            <w:pPr>
              <w:spacing w:after="0" w:line="240" w:lineRule="auto"/>
              <w:rPr>
                <w:rFonts w:ascii="Arial" w:hAnsi="Arial" w:cs="Arial"/>
                <w:sz w:val="16"/>
                <w:szCs w:val="16"/>
              </w:rPr>
            </w:pPr>
            <w:r w:rsidRPr="000331A7">
              <w:rPr>
                <w:rFonts w:ascii="Arial" w:hAnsi="Arial" w:cs="Arial"/>
                <w:b/>
                <w:bCs/>
                <w:sz w:val="16"/>
                <w:szCs w:val="16"/>
              </w:rPr>
              <w:t>Components for Program 5.1: Digital Technologies and Communications Services</w:t>
            </w:r>
            <w:r w:rsidRPr="000331A7">
              <w:rPr>
                <w:rFonts w:ascii="Arial" w:hAnsi="Arial" w:cs="Arial"/>
                <w:sz w:val="16"/>
                <w:szCs w:val="16"/>
              </w:rPr>
              <w:t> </w:t>
            </w:r>
          </w:p>
        </w:tc>
      </w:tr>
      <w:tr w:rsidR="00115843" w:rsidRPr="000331A7" w14:paraId="119AE755" w14:textId="77777777" w:rsidTr="002F3AAF">
        <w:trPr>
          <w:trHeight w:val="204"/>
        </w:trPr>
        <w:tc>
          <w:tcPr>
            <w:tcW w:w="1827" w:type="pct"/>
            <w:tcBorders>
              <w:top w:val="nil"/>
              <w:left w:val="nil"/>
              <w:bottom w:val="nil"/>
              <w:right w:val="nil"/>
            </w:tcBorders>
            <w:shd w:val="clear" w:color="auto" w:fill="auto"/>
            <w:noWrap/>
            <w:vAlign w:val="bottom"/>
            <w:hideMark/>
          </w:tcPr>
          <w:p w14:paraId="4C2EC041" w14:textId="77777777" w:rsidR="00115843" w:rsidRPr="000331A7" w:rsidRDefault="00115843" w:rsidP="00FB0D02">
            <w:pPr>
              <w:spacing w:after="0" w:line="240" w:lineRule="auto"/>
              <w:rPr>
                <w:rFonts w:ascii="Arial" w:hAnsi="Arial" w:cs="Arial"/>
                <w:sz w:val="16"/>
                <w:szCs w:val="16"/>
              </w:rPr>
            </w:pPr>
            <w:r w:rsidRPr="000331A7">
              <w:rPr>
                <w:rFonts w:ascii="Arial" w:hAnsi="Arial" w:cs="Arial"/>
                <w:sz w:val="16"/>
                <w:szCs w:val="16"/>
              </w:rPr>
              <w:t>Special Accounts</w:t>
            </w:r>
          </w:p>
        </w:tc>
        <w:tc>
          <w:tcPr>
            <w:tcW w:w="706" w:type="pct"/>
            <w:gridSpan w:val="3"/>
            <w:tcBorders>
              <w:top w:val="nil"/>
              <w:left w:val="nil"/>
              <w:bottom w:val="nil"/>
              <w:right w:val="nil"/>
            </w:tcBorders>
            <w:shd w:val="clear" w:color="auto" w:fill="auto"/>
            <w:noWrap/>
            <w:vAlign w:val="bottom"/>
            <w:hideMark/>
          </w:tcPr>
          <w:p w14:paraId="38924B64" w14:textId="77777777" w:rsidR="00115843" w:rsidRPr="000331A7" w:rsidRDefault="00115843" w:rsidP="00FB0D02">
            <w:pPr>
              <w:spacing w:after="0" w:line="240" w:lineRule="auto"/>
              <w:ind w:firstLineChars="100" w:firstLine="160"/>
              <w:jc w:val="right"/>
              <w:rPr>
                <w:rFonts w:ascii="Arial" w:hAnsi="Arial" w:cs="Arial"/>
                <w:sz w:val="16"/>
                <w:szCs w:val="15"/>
              </w:rPr>
            </w:pPr>
          </w:p>
        </w:tc>
        <w:tc>
          <w:tcPr>
            <w:tcW w:w="605" w:type="pct"/>
            <w:gridSpan w:val="2"/>
            <w:tcBorders>
              <w:top w:val="nil"/>
              <w:left w:val="nil"/>
              <w:bottom w:val="nil"/>
              <w:right w:val="nil"/>
            </w:tcBorders>
            <w:shd w:val="clear" w:color="auto" w:fill="E6E6E6"/>
            <w:noWrap/>
            <w:vAlign w:val="bottom"/>
            <w:hideMark/>
          </w:tcPr>
          <w:p w14:paraId="5F6303A2" w14:textId="77777777" w:rsidR="00115843" w:rsidRPr="000331A7" w:rsidRDefault="00115843" w:rsidP="00FB0D02">
            <w:pPr>
              <w:spacing w:after="0" w:line="240" w:lineRule="auto"/>
              <w:jc w:val="right"/>
              <w:rPr>
                <w:rFonts w:ascii="Arial" w:hAnsi="Arial" w:cs="Arial"/>
                <w:sz w:val="16"/>
                <w:szCs w:val="15"/>
              </w:rPr>
            </w:pPr>
          </w:p>
        </w:tc>
        <w:tc>
          <w:tcPr>
            <w:tcW w:w="620" w:type="pct"/>
            <w:gridSpan w:val="2"/>
            <w:tcBorders>
              <w:top w:val="nil"/>
              <w:left w:val="nil"/>
              <w:bottom w:val="nil"/>
              <w:right w:val="nil"/>
            </w:tcBorders>
            <w:shd w:val="clear" w:color="auto" w:fill="auto"/>
            <w:noWrap/>
            <w:vAlign w:val="bottom"/>
            <w:hideMark/>
          </w:tcPr>
          <w:p w14:paraId="748F428D" w14:textId="77777777" w:rsidR="00115843" w:rsidRPr="000331A7" w:rsidRDefault="00115843" w:rsidP="00FB0D02">
            <w:pPr>
              <w:spacing w:after="0" w:line="240" w:lineRule="auto"/>
              <w:jc w:val="right"/>
              <w:rPr>
                <w:rFonts w:ascii="Arial" w:hAnsi="Arial" w:cs="Arial"/>
                <w:sz w:val="16"/>
                <w:szCs w:val="15"/>
              </w:rPr>
            </w:pPr>
          </w:p>
        </w:tc>
        <w:tc>
          <w:tcPr>
            <w:tcW w:w="637" w:type="pct"/>
            <w:gridSpan w:val="2"/>
            <w:tcBorders>
              <w:top w:val="nil"/>
              <w:left w:val="nil"/>
              <w:bottom w:val="nil"/>
              <w:right w:val="nil"/>
            </w:tcBorders>
            <w:shd w:val="clear" w:color="auto" w:fill="auto"/>
            <w:noWrap/>
            <w:vAlign w:val="bottom"/>
            <w:hideMark/>
          </w:tcPr>
          <w:p w14:paraId="36F92039" w14:textId="77777777" w:rsidR="00115843" w:rsidRPr="000331A7" w:rsidRDefault="00115843" w:rsidP="00FB0D02">
            <w:pPr>
              <w:spacing w:after="0" w:line="240" w:lineRule="auto"/>
              <w:jc w:val="right"/>
              <w:rPr>
                <w:rFonts w:ascii="Times New Roman" w:hAnsi="Times New Roman"/>
                <w:sz w:val="16"/>
                <w:szCs w:val="15"/>
              </w:rPr>
            </w:pPr>
          </w:p>
        </w:tc>
        <w:tc>
          <w:tcPr>
            <w:tcW w:w="606" w:type="pct"/>
            <w:tcBorders>
              <w:top w:val="nil"/>
              <w:left w:val="nil"/>
              <w:bottom w:val="nil"/>
              <w:right w:val="nil"/>
            </w:tcBorders>
            <w:shd w:val="clear" w:color="auto" w:fill="auto"/>
            <w:noWrap/>
            <w:vAlign w:val="bottom"/>
            <w:hideMark/>
          </w:tcPr>
          <w:p w14:paraId="0E55EE12" w14:textId="77777777" w:rsidR="00115843" w:rsidRPr="000331A7" w:rsidRDefault="00115843" w:rsidP="00FB0D02">
            <w:pPr>
              <w:spacing w:after="0" w:line="240" w:lineRule="auto"/>
              <w:jc w:val="right"/>
              <w:rPr>
                <w:rFonts w:ascii="Times New Roman" w:hAnsi="Times New Roman"/>
                <w:sz w:val="16"/>
                <w:szCs w:val="15"/>
              </w:rPr>
            </w:pPr>
          </w:p>
        </w:tc>
      </w:tr>
      <w:tr w:rsidR="00115843" w:rsidRPr="000331A7" w14:paraId="01C87520" w14:textId="77777777" w:rsidTr="002F3AAF">
        <w:trPr>
          <w:trHeight w:val="204"/>
        </w:trPr>
        <w:tc>
          <w:tcPr>
            <w:tcW w:w="1827" w:type="pct"/>
            <w:tcBorders>
              <w:top w:val="nil"/>
              <w:left w:val="nil"/>
              <w:bottom w:val="nil"/>
              <w:right w:val="nil"/>
            </w:tcBorders>
            <w:shd w:val="clear" w:color="auto" w:fill="auto"/>
            <w:vAlign w:val="bottom"/>
            <w:hideMark/>
          </w:tcPr>
          <w:p w14:paraId="7EA96398" w14:textId="77777777" w:rsidR="00115843" w:rsidRPr="000331A7" w:rsidRDefault="00115843" w:rsidP="00FB0D02">
            <w:pPr>
              <w:spacing w:after="0" w:line="240" w:lineRule="auto"/>
              <w:ind w:left="113"/>
              <w:rPr>
                <w:rFonts w:ascii="Arial" w:hAnsi="Arial" w:cs="Arial"/>
                <w:sz w:val="16"/>
                <w:szCs w:val="16"/>
              </w:rPr>
            </w:pPr>
            <w:r w:rsidRPr="000331A7">
              <w:rPr>
                <w:rFonts w:ascii="Arial" w:hAnsi="Arial" w:cs="Arial"/>
                <w:sz w:val="16"/>
                <w:szCs w:val="16"/>
              </w:rPr>
              <w:t>Public Interest Telecommunications Services Special Account</w:t>
            </w:r>
          </w:p>
        </w:tc>
        <w:tc>
          <w:tcPr>
            <w:tcW w:w="706" w:type="pct"/>
            <w:gridSpan w:val="3"/>
            <w:tcBorders>
              <w:top w:val="nil"/>
              <w:left w:val="nil"/>
              <w:bottom w:val="nil"/>
              <w:right w:val="nil"/>
            </w:tcBorders>
            <w:shd w:val="clear" w:color="auto" w:fill="auto"/>
            <w:noWrap/>
            <w:vAlign w:val="bottom"/>
          </w:tcPr>
          <w:p w14:paraId="435EB581" w14:textId="77777777" w:rsidR="00115843" w:rsidRPr="000331A7" w:rsidRDefault="00115843" w:rsidP="00FB0D02">
            <w:pPr>
              <w:spacing w:after="0" w:line="240" w:lineRule="auto"/>
              <w:ind w:firstLineChars="200" w:firstLine="320"/>
              <w:jc w:val="right"/>
              <w:rPr>
                <w:rFonts w:ascii="Arial" w:hAnsi="Arial" w:cs="Arial"/>
                <w:sz w:val="16"/>
                <w:szCs w:val="15"/>
              </w:rPr>
            </w:pPr>
          </w:p>
        </w:tc>
        <w:tc>
          <w:tcPr>
            <w:tcW w:w="605" w:type="pct"/>
            <w:gridSpan w:val="2"/>
            <w:tcBorders>
              <w:top w:val="nil"/>
              <w:left w:val="nil"/>
              <w:bottom w:val="nil"/>
              <w:right w:val="nil"/>
            </w:tcBorders>
            <w:shd w:val="clear" w:color="auto" w:fill="E6E6E6"/>
            <w:noWrap/>
            <w:vAlign w:val="bottom"/>
          </w:tcPr>
          <w:p w14:paraId="2365F64C" w14:textId="77777777" w:rsidR="00115843" w:rsidRPr="000331A7" w:rsidRDefault="00115843" w:rsidP="00FB0D02">
            <w:pPr>
              <w:spacing w:after="0" w:line="240" w:lineRule="auto"/>
              <w:jc w:val="right"/>
              <w:rPr>
                <w:rFonts w:ascii="Arial" w:hAnsi="Arial" w:cs="Arial"/>
                <w:sz w:val="16"/>
                <w:szCs w:val="15"/>
              </w:rPr>
            </w:pPr>
          </w:p>
        </w:tc>
        <w:tc>
          <w:tcPr>
            <w:tcW w:w="620" w:type="pct"/>
            <w:gridSpan w:val="2"/>
            <w:tcBorders>
              <w:top w:val="nil"/>
              <w:left w:val="nil"/>
              <w:bottom w:val="nil"/>
              <w:right w:val="nil"/>
            </w:tcBorders>
            <w:shd w:val="clear" w:color="auto" w:fill="auto"/>
            <w:noWrap/>
            <w:vAlign w:val="bottom"/>
          </w:tcPr>
          <w:p w14:paraId="19A692AF" w14:textId="77777777" w:rsidR="00115843" w:rsidRPr="000331A7" w:rsidRDefault="00115843" w:rsidP="00FB0D02">
            <w:pPr>
              <w:spacing w:after="0" w:line="240" w:lineRule="auto"/>
              <w:jc w:val="right"/>
              <w:rPr>
                <w:rFonts w:ascii="Arial" w:hAnsi="Arial" w:cs="Arial"/>
                <w:sz w:val="16"/>
                <w:szCs w:val="15"/>
              </w:rPr>
            </w:pPr>
          </w:p>
        </w:tc>
        <w:tc>
          <w:tcPr>
            <w:tcW w:w="637" w:type="pct"/>
            <w:gridSpan w:val="2"/>
            <w:tcBorders>
              <w:top w:val="nil"/>
              <w:left w:val="nil"/>
              <w:bottom w:val="nil"/>
              <w:right w:val="nil"/>
            </w:tcBorders>
            <w:shd w:val="clear" w:color="auto" w:fill="auto"/>
            <w:noWrap/>
            <w:vAlign w:val="bottom"/>
          </w:tcPr>
          <w:p w14:paraId="26560B95" w14:textId="77777777" w:rsidR="00115843" w:rsidRPr="000331A7" w:rsidRDefault="00115843" w:rsidP="00FB0D02">
            <w:pPr>
              <w:spacing w:after="0" w:line="240" w:lineRule="auto"/>
              <w:jc w:val="right"/>
              <w:rPr>
                <w:rFonts w:ascii="Times New Roman" w:hAnsi="Times New Roman"/>
                <w:sz w:val="16"/>
                <w:szCs w:val="15"/>
              </w:rPr>
            </w:pPr>
          </w:p>
        </w:tc>
        <w:tc>
          <w:tcPr>
            <w:tcW w:w="606" w:type="pct"/>
            <w:tcBorders>
              <w:top w:val="nil"/>
              <w:left w:val="nil"/>
              <w:bottom w:val="nil"/>
              <w:right w:val="nil"/>
            </w:tcBorders>
            <w:shd w:val="clear" w:color="auto" w:fill="auto"/>
            <w:noWrap/>
            <w:vAlign w:val="bottom"/>
          </w:tcPr>
          <w:p w14:paraId="4E071BF5" w14:textId="77777777" w:rsidR="00115843" w:rsidRPr="000331A7" w:rsidRDefault="00115843" w:rsidP="00FB0D02">
            <w:pPr>
              <w:spacing w:after="0" w:line="240" w:lineRule="auto"/>
              <w:jc w:val="right"/>
              <w:rPr>
                <w:rFonts w:ascii="Times New Roman" w:hAnsi="Times New Roman"/>
                <w:sz w:val="16"/>
                <w:szCs w:val="15"/>
              </w:rPr>
            </w:pPr>
          </w:p>
        </w:tc>
      </w:tr>
      <w:tr w:rsidR="00D320B9" w:rsidRPr="000331A7" w14:paraId="28317212" w14:textId="77777777" w:rsidTr="002F3AAF">
        <w:trPr>
          <w:trHeight w:val="204"/>
        </w:trPr>
        <w:tc>
          <w:tcPr>
            <w:tcW w:w="1827" w:type="pct"/>
            <w:tcBorders>
              <w:top w:val="nil"/>
              <w:left w:val="nil"/>
              <w:bottom w:val="nil"/>
              <w:right w:val="nil"/>
            </w:tcBorders>
            <w:shd w:val="clear" w:color="auto" w:fill="auto"/>
            <w:vAlign w:val="bottom"/>
            <w:hideMark/>
          </w:tcPr>
          <w:p w14:paraId="02420E6B" w14:textId="77777777" w:rsidR="00D320B9" w:rsidRPr="000331A7" w:rsidRDefault="00D320B9" w:rsidP="004B5F05">
            <w:pPr>
              <w:spacing w:after="0" w:line="240" w:lineRule="auto"/>
              <w:ind w:left="227"/>
              <w:rPr>
                <w:rFonts w:ascii="Arial" w:hAnsi="Arial" w:cs="Arial"/>
                <w:sz w:val="16"/>
                <w:szCs w:val="16"/>
              </w:rPr>
            </w:pPr>
            <w:r w:rsidRPr="000331A7">
              <w:rPr>
                <w:rFonts w:ascii="Arial" w:hAnsi="Arial" w:cs="Arial"/>
                <w:sz w:val="16"/>
                <w:szCs w:val="16"/>
              </w:rPr>
              <w:t>National Relay Service</w:t>
            </w:r>
          </w:p>
        </w:tc>
        <w:tc>
          <w:tcPr>
            <w:tcW w:w="706" w:type="pct"/>
            <w:gridSpan w:val="3"/>
            <w:tcBorders>
              <w:top w:val="nil"/>
              <w:left w:val="nil"/>
              <w:bottom w:val="nil"/>
              <w:right w:val="nil"/>
            </w:tcBorders>
            <w:shd w:val="clear" w:color="auto" w:fill="auto"/>
            <w:noWrap/>
            <w:vAlign w:val="bottom"/>
            <w:hideMark/>
          </w:tcPr>
          <w:p w14:paraId="3B2FBE6B" w14:textId="048BBB83"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20,184</w:t>
            </w:r>
          </w:p>
        </w:tc>
        <w:tc>
          <w:tcPr>
            <w:tcW w:w="605" w:type="pct"/>
            <w:gridSpan w:val="2"/>
            <w:tcBorders>
              <w:top w:val="nil"/>
              <w:left w:val="nil"/>
              <w:bottom w:val="nil"/>
              <w:right w:val="nil"/>
            </w:tcBorders>
            <w:shd w:val="clear" w:color="auto" w:fill="E6E6E6"/>
            <w:noWrap/>
            <w:vAlign w:val="bottom"/>
            <w:hideMark/>
          </w:tcPr>
          <w:p w14:paraId="31A8EB67" w14:textId="7FA548EF"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20,000</w:t>
            </w:r>
          </w:p>
        </w:tc>
        <w:tc>
          <w:tcPr>
            <w:tcW w:w="620" w:type="pct"/>
            <w:gridSpan w:val="2"/>
            <w:tcBorders>
              <w:top w:val="nil"/>
              <w:left w:val="nil"/>
              <w:bottom w:val="nil"/>
              <w:right w:val="nil"/>
            </w:tcBorders>
            <w:shd w:val="clear" w:color="auto" w:fill="auto"/>
            <w:noWrap/>
            <w:vAlign w:val="bottom"/>
            <w:hideMark/>
          </w:tcPr>
          <w:p w14:paraId="385BAD21" w14:textId="02EBE972"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20,000</w:t>
            </w:r>
          </w:p>
        </w:tc>
        <w:tc>
          <w:tcPr>
            <w:tcW w:w="637" w:type="pct"/>
            <w:gridSpan w:val="2"/>
            <w:tcBorders>
              <w:top w:val="nil"/>
              <w:left w:val="nil"/>
              <w:bottom w:val="nil"/>
              <w:right w:val="nil"/>
            </w:tcBorders>
            <w:shd w:val="clear" w:color="auto" w:fill="auto"/>
            <w:noWrap/>
            <w:vAlign w:val="bottom"/>
            <w:hideMark/>
          </w:tcPr>
          <w:p w14:paraId="300D953E" w14:textId="2F676E31"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20,000</w:t>
            </w:r>
          </w:p>
        </w:tc>
        <w:tc>
          <w:tcPr>
            <w:tcW w:w="606" w:type="pct"/>
            <w:tcBorders>
              <w:top w:val="nil"/>
              <w:left w:val="nil"/>
              <w:bottom w:val="nil"/>
              <w:right w:val="nil"/>
            </w:tcBorders>
            <w:shd w:val="clear" w:color="auto" w:fill="auto"/>
            <w:noWrap/>
            <w:vAlign w:val="bottom"/>
            <w:hideMark/>
          </w:tcPr>
          <w:p w14:paraId="14234597" w14:textId="2DFB14FD"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20,000</w:t>
            </w:r>
          </w:p>
        </w:tc>
      </w:tr>
      <w:tr w:rsidR="00D320B9" w:rsidRPr="000331A7" w14:paraId="042B8D4F" w14:textId="77777777" w:rsidTr="002F3AAF">
        <w:trPr>
          <w:trHeight w:val="204"/>
        </w:trPr>
        <w:tc>
          <w:tcPr>
            <w:tcW w:w="1827" w:type="pct"/>
            <w:tcBorders>
              <w:top w:val="nil"/>
              <w:left w:val="nil"/>
              <w:bottom w:val="nil"/>
              <w:right w:val="nil"/>
            </w:tcBorders>
            <w:shd w:val="clear" w:color="auto" w:fill="auto"/>
            <w:vAlign w:val="bottom"/>
            <w:hideMark/>
          </w:tcPr>
          <w:p w14:paraId="0BF1E992" w14:textId="77777777" w:rsidR="00D320B9" w:rsidRPr="000331A7" w:rsidRDefault="00D320B9" w:rsidP="004B5F05">
            <w:pPr>
              <w:spacing w:after="0" w:line="240" w:lineRule="auto"/>
              <w:ind w:left="227"/>
              <w:rPr>
                <w:rFonts w:ascii="Arial" w:hAnsi="Arial" w:cs="Arial"/>
                <w:sz w:val="16"/>
                <w:szCs w:val="16"/>
              </w:rPr>
            </w:pPr>
            <w:r w:rsidRPr="000331A7">
              <w:rPr>
                <w:rFonts w:ascii="Arial" w:hAnsi="Arial" w:cs="Arial"/>
                <w:sz w:val="16"/>
                <w:szCs w:val="16"/>
              </w:rPr>
              <w:t>Universal Service Obligation</w:t>
            </w:r>
          </w:p>
        </w:tc>
        <w:tc>
          <w:tcPr>
            <w:tcW w:w="706" w:type="pct"/>
            <w:gridSpan w:val="3"/>
            <w:tcBorders>
              <w:top w:val="nil"/>
              <w:left w:val="nil"/>
              <w:bottom w:val="nil"/>
              <w:right w:val="nil"/>
            </w:tcBorders>
            <w:shd w:val="clear" w:color="auto" w:fill="auto"/>
            <w:noWrap/>
            <w:vAlign w:val="bottom"/>
            <w:hideMark/>
          </w:tcPr>
          <w:p w14:paraId="5A9A2F06" w14:textId="1460E775"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270,000</w:t>
            </w:r>
          </w:p>
        </w:tc>
        <w:tc>
          <w:tcPr>
            <w:tcW w:w="605" w:type="pct"/>
            <w:gridSpan w:val="2"/>
            <w:tcBorders>
              <w:top w:val="nil"/>
              <w:left w:val="nil"/>
              <w:bottom w:val="nil"/>
              <w:right w:val="nil"/>
            </w:tcBorders>
            <w:shd w:val="clear" w:color="auto" w:fill="E6E6E6"/>
            <w:noWrap/>
            <w:vAlign w:val="bottom"/>
            <w:hideMark/>
          </w:tcPr>
          <w:p w14:paraId="680AE0BA" w14:textId="649C3A29"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270,000</w:t>
            </w:r>
          </w:p>
        </w:tc>
        <w:tc>
          <w:tcPr>
            <w:tcW w:w="620" w:type="pct"/>
            <w:gridSpan w:val="2"/>
            <w:tcBorders>
              <w:top w:val="nil"/>
              <w:left w:val="nil"/>
              <w:bottom w:val="nil"/>
              <w:right w:val="nil"/>
            </w:tcBorders>
            <w:shd w:val="clear" w:color="auto" w:fill="auto"/>
            <w:noWrap/>
            <w:vAlign w:val="bottom"/>
            <w:hideMark/>
          </w:tcPr>
          <w:p w14:paraId="045C40D3" w14:textId="58701BBF"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270,000</w:t>
            </w:r>
          </w:p>
        </w:tc>
        <w:tc>
          <w:tcPr>
            <w:tcW w:w="637" w:type="pct"/>
            <w:gridSpan w:val="2"/>
            <w:tcBorders>
              <w:top w:val="nil"/>
              <w:left w:val="nil"/>
              <w:bottom w:val="nil"/>
              <w:right w:val="nil"/>
            </w:tcBorders>
            <w:shd w:val="clear" w:color="auto" w:fill="auto"/>
            <w:noWrap/>
            <w:vAlign w:val="bottom"/>
            <w:hideMark/>
          </w:tcPr>
          <w:p w14:paraId="622F9ECA" w14:textId="5FE55AF5"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270,000</w:t>
            </w:r>
          </w:p>
        </w:tc>
        <w:tc>
          <w:tcPr>
            <w:tcW w:w="606" w:type="pct"/>
            <w:tcBorders>
              <w:top w:val="nil"/>
              <w:left w:val="nil"/>
              <w:bottom w:val="nil"/>
              <w:right w:val="nil"/>
            </w:tcBorders>
            <w:shd w:val="clear" w:color="auto" w:fill="auto"/>
            <w:noWrap/>
            <w:vAlign w:val="bottom"/>
            <w:hideMark/>
          </w:tcPr>
          <w:p w14:paraId="57EB97CE" w14:textId="7CDF4A68"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270,000</w:t>
            </w:r>
          </w:p>
        </w:tc>
      </w:tr>
      <w:tr w:rsidR="00D320B9" w:rsidRPr="000331A7" w14:paraId="43614322" w14:textId="77777777" w:rsidTr="002F3AAF">
        <w:trPr>
          <w:trHeight w:val="204"/>
        </w:trPr>
        <w:tc>
          <w:tcPr>
            <w:tcW w:w="1827" w:type="pct"/>
            <w:tcBorders>
              <w:top w:val="nil"/>
              <w:left w:val="nil"/>
              <w:bottom w:val="nil"/>
              <w:right w:val="nil"/>
            </w:tcBorders>
            <w:shd w:val="clear" w:color="auto" w:fill="auto"/>
            <w:vAlign w:val="bottom"/>
            <w:hideMark/>
          </w:tcPr>
          <w:p w14:paraId="15D8D084" w14:textId="77777777" w:rsidR="00D320B9" w:rsidRPr="000331A7" w:rsidRDefault="00D320B9" w:rsidP="000723E3">
            <w:pPr>
              <w:spacing w:after="0" w:line="240" w:lineRule="auto"/>
              <w:ind w:left="227"/>
              <w:rPr>
                <w:rFonts w:ascii="Arial" w:hAnsi="Arial" w:cs="Arial"/>
                <w:sz w:val="16"/>
                <w:szCs w:val="16"/>
              </w:rPr>
            </w:pPr>
            <w:r w:rsidRPr="000331A7">
              <w:rPr>
                <w:rFonts w:ascii="Arial" w:hAnsi="Arial" w:cs="Arial"/>
                <w:sz w:val="16"/>
                <w:szCs w:val="16"/>
              </w:rPr>
              <w:t>Other Public Interest Services</w:t>
            </w:r>
          </w:p>
        </w:tc>
        <w:tc>
          <w:tcPr>
            <w:tcW w:w="706" w:type="pct"/>
            <w:gridSpan w:val="3"/>
            <w:tcBorders>
              <w:top w:val="nil"/>
              <w:left w:val="nil"/>
              <w:bottom w:val="nil"/>
              <w:right w:val="nil"/>
            </w:tcBorders>
            <w:shd w:val="clear" w:color="auto" w:fill="auto"/>
            <w:noWrap/>
            <w:vAlign w:val="bottom"/>
            <w:hideMark/>
          </w:tcPr>
          <w:p w14:paraId="39C41000" w14:textId="1D367D15"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23,604</w:t>
            </w:r>
          </w:p>
        </w:tc>
        <w:tc>
          <w:tcPr>
            <w:tcW w:w="605" w:type="pct"/>
            <w:gridSpan w:val="2"/>
            <w:tcBorders>
              <w:top w:val="nil"/>
              <w:left w:val="nil"/>
              <w:bottom w:val="nil"/>
              <w:right w:val="nil"/>
            </w:tcBorders>
            <w:shd w:val="clear" w:color="auto" w:fill="E6E6E6"/>
            <w:noWrap/>
            <w:vAlign w:val="bottom"/>
            <w:hideMark/>
          </w:tcPr>
          <w:p w14:paraId="31A6A4BF" w14:textId="4E694780"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39,064</w:t>
            </w:r>
          </w:p>
        </w:tc>
        <w:tc>
          <w:tcPr>
            <w:tcW w:w="620" w:type="pct"/>
            <w:gridSpan w:val="2"/>
            <w:tcBorders>
              <w:top w:val="nil"/>
              <w:left w:val="nil"/>
              <w:bottom w:val="nil"/>
              <w:right w:val="nil"/>
            </w:tcBorders>
            <w:shd w:val="clear" w:color="auto" w:fill="auto"/>
            <w:noWrap/>
            <w:vAlign w:val="bottom"/>
            <w:hideMark/>
          </w:tcPr>
          <w:p w14:paraId="610AF792" w14:textId="37E8CE2B"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22,250</w:t>
            </w:r>
          </w:p>
        </w:tc>
        <w:tc>
          <w:tcPr>
            <w:tcW w:w="637" w:type="pct"/>
            <w:gridSpan w:val="2"/>
            <w:tcBorders>
              <w:top w:val="nil"/>
              <w:left w:val="nil"/>
              <w:bottom w:val="nil"/>
              <w:right w:val="nil"/>
            </w:tcBorders>
            <w:shd w:val="clear" w:color="auto" w:fill="auto"/>
            <w:noWrap/>
            <w:vAlign w:val="bottom"/>
            <w:hideMark/>
          </w:tcPr>
          <w:p w14:paraId="7CC8811D" w14:textId="793A2B33"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22,250</w:t>
            </w:r>
          </w:p>
        </w:tc>
        <w:tc>
          <w:tcPr>
            <w:tcW w:w="606" w:type="pct"/>
            <w:tcBorders>
              <w:top w:val="nil"/>
              <w:left w:val="nil"/>
              <w:bottom w:val="nil"/>
              <w:right w:val="nil"/>
            </w:tcBorders>
            <w:shd w:val="clear" w:color="auto" w:fill="auto"/>
            <w:noWrap/>
            <w:vAlign w:val="bottom"/>
            <w:hideMark/>
          </w:tcPr>
          <w:p w14:paraId="330E3703" w14:textId="47982CBA"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22,250</w:t>
            </w:r>
          </w:p>
        </w:tc>
      </w:tr>
      <w:tr w:rsidR="00D320B9" w:rsidRPr="000331A7" w14:paraId="37324ADA" w14:textId="77777777" w:rsidTr="002F3AAF">
        <w:trPr>
          <w:trHeight w:val="204"/>
        </w:trPr>
        <w:tc>
          <w:tcPr>
            <w:tcW w:w="1827" w:type="pct"/>
            <w:tcBorders>
              <w:top w:val="nil"/>
              <w:left w:val="nil"/>
              <w:bottom w:val="nil"/>
              <w:right w:val="nil"/>
            </w:tcBorders>
            <w:shd w:val="clear" w:color="auto" w:fill="auto"/>
            <w:vAlign w:val="bottom"/>
            <w:hideMark/>
          </w:tcPr>
          <w:p w14:paraId="05594F6A" w14:textId="1EFE64BD" w:rsidR="00D320B9" w:rsidRPr="000331A7" w:rsidRDefault="00D320B9" w:rsidP="00D320B9">
            <w:pPr>
              <w:spacing w:after="0" w:line="240" w:lineRule="auto"/>
              <w:rPr>
                <w:rFonts w:ascii="Arial" w:hAnsi="Arial" w:cs="Arial"/>
                <w:sz w:val="16"/>
                <w:szCs w:val="16"/>
              </w:rPr>
            </w:pPr>
            <w:r w:rsidRPr="000331A7">
              <w:rPr>
                <w:rFonts w:ascii="Arial" w:hAnsi="Arial" w:cs="Arial"/>
                <w:sz w:val="16"/>
                <w:szCs w:val="16"/>
              </w:rPr>
              <w:t>Payments to corporate entities </w:t>
            </w:r>
            <w:r w:rsidRPr="000331A7">
              <w:rPr>
                <w:rFonts w:ascii="Arial" w:hAnsi="Arial" w:cs="Arial"/>
                <w:sz w:val="16"/>
                <w:szCs w:val="16"/>
                <w:vertAlign w:val="superscript"/>
              </w:rPr>
              <w:t>(</w:t>
            </w:r>
            <w:r w:rsidR="000F0C9E">
              <w:rPr>
                <w:rFonts w:ascii="Arial" w:hAnsi="Arial" w:cs="Arial"/>
                <w:sz w:val="16"/>
                <w:szCs w:val="16"/>
                <w:vertAlign w:val="superscript"/>
              </w:rPr>
              <w:t>c</w:t>
            </w:r>
            <w:r w:rsidRPr="000331A7">
              <w:rPr>
                <w:rFonts w:ascii="Arial" w:hAnsi="Arial" w:cs="Arial"/>
                <w:sz w:val="16"/>
                <w:szCs w:val="16"/>
                <w:vertAlign w:val="superscript"/>
              </w:rPr>
              <w:t>)</w:t>
            </w:r>
          </w:p>
        </w:tc>
        <w:tc>
          <w:tcPr>
            <w:tcW w:w="706" w:type="pct"/>
            <w:gridSpan w:val="3"/>
            <w:tcBorders>
              <w:top w:val="nil"/>
              <w:left w:val="nil"/>
              <w:bottom w:val="nil"/>
              <w:right w:val="nil"/>
            </w:tcBorders>
            <w:shd w:val="clear" w:color="auto" w:fill="auto"/>
            <w:noWrap/>
            <w:vAlign w:val="bottom"/>
            <w:hideMark/>
          </w:tcPr>
          <w:p w14:paraId="4E4843BD" w14:textId="77777777" w:rsidR="00D320B9" w:rsidRPr="000331A7" w:rsidRDefault="00D320B9" w:rsidP="00D320B9">
            <w:pPr>
              <w:spacing w:after="0" w:line="240" w:lineRule="auto"/>
              <w:ind w:firstLineChars="100" w:firstLine="160"/>
              <w:jc w:val="right"/>
              <w:rPr>
                <w:rFonts w:ascii="Arial" w:hAnsi="Arial" w:cs="Arial"/>
                <w:sz w:val="16"/>
                <w:szCs w:val="15"/>
              </w:rPr>
            </w:pPr>
          </w:p>
        </w:tc>
        <w:tc>
          <w:tcPr>
            <w:tcW w:w="605" w:type="pct"/>
            <w:gridSpan w:val="2"/>
            <w:tcBorders>
              <w:top w:val="nil"/>
              <w:left w:val="nil"/>
              <w:bottom w:val="nil"/>
              <w:right w:val="nil"/>
            </w:tcBorders>
            <w:shd w:val="clear" w:color="auto" w:fill="E6E6E6"/>
            <w:noWrap/>
            <w:vAlign w:val="bottom"/>
            <w:hideMark/>
          </w:tcPr>
          <w:p w14:paraId="455B8646" w14:textId="33F8B64F" w:rsidR="00D320B9" w:rsidRPr="000331A7" w:rsidRDefault="00D320B9" w:rsidP="00D320B9">
            <w:pPr>
              <w:spacing w:after="0" w:line="240" w:lineRule="auto"/>
              <w:jc w:val="right"/>
              <w:rPr>
                <w:rFonts w:ascii="Arial" w:hAnsi="Arial" w:cs="Arial"/>
                <w:sz w:val="16"/>
                <w:szCs w:val="15"/>
              </w:rPr>
            </w:pPr>
          </w:p>
        </w:tc>
        <w:tc>
          <w:tcPr>
            <w:tcW w:w="620" w:type="pct"/>
            <w:gridSpan w:val="2"/>
            <w:tcBorders>
              <w:top w:val="nil"/>
              <w:left w:val="nil"/>
              <w:bottom w:val="nil"/>
              <w:right w:val="nil"/>
            </w:tcBorders>
            <w:shd w:val="clear" w:color="auto" w:fill="auto"/>
            <w:noWrap/>
            <w:vAlign w:val="bottom"/>
            <w:hideMark/>
          </w:tcPr>
          <w:p w14:paraId="633AF263" w14:textId="77777777" w:rsidR="00D320B9" w:rsidRPr="000331A7" w:rsidRDefault="00D320B9" w:rsidP="00D320B9">
            <w:pPr>
              <w:spacing w:after="0" w:line="240" w:lineRule="auto"/>
              <w:jc w:val="right"/>
              <w:rPr>
                <w:rFonts w:ascii="Arial" w:hAnsi="Arial" w:cs="Arial"/>
                <w:sz w:val="16"/>
                <w:szCs w:val="15"/>
              </w:rPr>
            </w:pPr>
          </w:p>
        </w:tc>
        <w:tc>
          <w:tcPr>
            <w:tcW w:w="637" w:type="pct"/>
            <w:gridSpan w:val="2"/>
            <w:tcBorders>
              <w:top w:val="nil"/>
              <w:left w:val="nil"/>
              <w:bottom w:val="nil"/>
              <w:right w:val="nil"/>
            </w:tcBorders>
            <w:shd w:val="clear" w:color="auto" w:fill="auto"/>
            <w:noWrap/>
            <w:vAlign w:val="bottom"/>
            <w:hideMark/>
          </w:tcPr>
          <w:p w14:paraId="67719A54" w14:textId="77777777" w:rsidR="00D320B9" w:rsidRPr="000331A7" w:rsidRDefault="00D320B9" w:rsidP="00D320B9">
            <w:pPr>
              <w:spacing w:after="0" w:line="240" w:lineRule="auto"/>
              <w:jc w:val="right"/>
              <w:rPr>
                <w:rFonts w:ascii="Times New Roman" w:hAnsi="Times New Roman"/>
                <w:sz w:val="16"/>
                <w:szCs w:val="15"/>
              </w:rPr>
            </w:pPr>
          </w:p>
        </w:tc>
        <w:tc>
          <w:tcPr>
            <w:tcW w:w="606" w:type="pct"/>
            <w:tcBorders>
              <w:top w:val="nil"/>
              <w:left w:val="nil"/>
              <w:bottom w:val="nil"/>
              <w:right w:val="nil"/>
            </w:tcBorders>
            <w:shd w:val="clear" w:color="auto" w:fill="auto"/>
            <w:noWrap/>
            <w:vAlign w:val="bottom"/>
            <w:hideMark/>
          </w:tcPr>
          <w:p w14:paraId="0C3A649B" w14:textId="77777777" w:rsidR="00D320B9" w:rsidRPr="000331A7" w:rsidRDefault="00D320B9" w:rsidP="00D320B9">
            <w:pPr>
              <w:spacing w:after="0" w:line="240" w:lineRule="auto"/>
              <w:jc w:val="right"/>
              <w:rPr>
                <w:rFonts w:ascii="Times New Roman" w:hAnsi="Times New Roman"/>
                <w:sz w:val="16"/>
                <w:szCs w:val="15"/>
              </w:rPr>
            </w:pPr>
          </w:p>
        </w:tc>
      </w:tr>
      <w:tr w:rsidR="00D320B9" w:rsidRPr="000331A7" w14:paraId="7345610D" w14:textId="77777777" w:rsidTr="002F3AAF">
        <w:trPr>
          <w:trHeight w:val="204"/>
        </w:trPr>
        <w:tc>
          <w:tcPr>
            <w:tcW w:w="1827" w:type="pct"/>
            <w:tcBorders>
              <w:top w:val="nil"/>
              <w:left w:val="nil"/>
              <w:bottom w:val="nil"/>
              <w:right w:val="nil"/>
            </w:tcBorders>
            <w:shd w:val="clear" w:color="auto" w:fill="auto"/>
            <w:vAlign w:val="bottom"/>
            <w:hideMark/>
          </w:tcPr>
          <w:p w14:paraId="1F6E5E0C" w14:textId="4DA51E99" w:rsidR="00D320B9" w:rsidRPr="000331A7" w:rsidRDefault="00D320B9" w:rsidP="004B5F05">
            <w:pPr>
              <w:pStyle w:val="ListParagraph"/>
              <w:numPr>
                <w:ilvl w:val="0"/>
                <w:numId w:val="256"/>
              </w:numPr>
              <w:spacing w:after="0" w:line="240" w:lineRule="auto"/>
              <w:ind w:left="302" w:hanging="189"/>
              <w:rPr>
                <w:rFonts w:ascii="Arial" w:hAnsi="Arial" w:cs="Arial"/>
                <w:sz w:val="16"/>
                <w:szCs w:val="16"/>
              </w:rPr>
            </w:pPr>
            <w:r w:rsidRPr="000331A7">
              <w:rPr>
                <w:rFonts w:ascii="Arial" w:hAnsi="Arial" w:cs="Arial"/>
                <w:sz w:val="16"/>
                <w:szCs w:val="16"/>
              </w:rPr>
              <w:t xml:space="preserve">Australian Broadcasting </w:t>
            </w:r>
            <w:r w:rsidR="004B5F05">
              <w:rPr>
                <w:rFonts w:ascii="Arial" w:hAnsi="Arial" w:cs="Arial"/>
                <w:sz w:val="16"/>
                <w:szCs w:val="16"/>
              </w:rPr>
              <w:t xml:space="preserve">     </w:t>
            </w:r>
            <w:r w:rsidRPr="000331A7">
              <w:rPr>
                <w:rFonts w:ascii="Arial" w:hAnsi="Arial" w:cs="Arial"/>
                <w:sz w:val="16"/>
                <w:szCs w:val="16"/>
              </w:rPr>
              <w:t>Corporation</w:t>
            </w:r>
          </w:p>
        </w:tc>
        <w:tc>
          <w:tcPr>
            <w:tcW w:w="706" w:type="pct"/>
            <w:gridSpan w:val="3"/>
            <w:tcBorders>
              <w:top w:val="nil"/>
              <w:left w:val="nil"/>
              <w:bottom w:val="nil"/>
              <w:right w:val="nil"/>
            </w:tcBorders>
            <w:shd w:val="clear" w:color="auto" w:fill="auto"/>
            <w:noWrap/>
            <w:vAlign w:val="bottom"/>
            <w:hideMark/>
          </w:tcPr>
          <w:p w14:paraId="681AA575" w14:textId="6776CD43"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1,070,097</w:t>
            </w:r>
          </w:p>
        </w:tc>
        <w:tc>
          <w:tcPr>
            <w:tcW w:w="605" w:type="pct"/>
            <w:gridSpan w:val="2"/>
            <w:tcBorders>
              <w:top w:val="nil"/>
              <w:left w:val="nil"/>
              <w:bottom w:val="nil"/>
              <w:right w:val="nil"/>
            </w:tcBorders>
            <w:shd w:val="clear" w:color="auto" w:fill="E6E6E6"/>
            <w:noWrap/>
            <w:vAlign w:val="bottom"/>
            <w:hideMark/>
          </w:tcPr>
          <w:p w14:paraId="614A750F" w14:textId="53AD7801"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1,107,158</w:t>
            </w:r>
          </w:p>
        </w:tc>
        <w:tc>
          <w:tcPr>
            <w:tcW w:w="620" w:type="pct"/>
            <w:gridSpan w:val="2"/>
            <w:tcBorders>
              <w:top w:val="nil"/>
              <w:left w:val="nil"/>
              <w:bottom w:val="nil"/>
              <w:right w:val="nil"/>
            </w:tcBorders>
            <w:shd w:val="clear" w:color="auto" w:fill="auto"/>
            <w:noWrap/>
            <w:vAlign w:val="bottom"/>
            <w:hideMark/>
          </w:tcPr>
          <w:p w14:paraId="0079AE73" w14:textId="40E19116"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1,131,794</w:t>
            </w:r>
          </w:p>
        </w:tc>
        <w:tc>
          <w:tcPr>
            <w:tcW w:w="637" w:type="pct"/>
            <w:gridSpan w:val="2"/>
            <w:tcBorders>
              <w:top w:val="nil"/>
              <w:left w:val="nil"/>
              <w:bottom w:val="nil"/>
              <w:right w:val="nil"/>
            </w:tcBorders>
            <w:shd w:val="clear" w:color="auto" w:fill="auto"/>
            <w:noWrap/>
            <w:vAlign w:val="bottom"/>
            <w:hideMark/>
          </w:tcPr>
          <w:p w14:paraId="572617C4" w14:textId="2887C0DA"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1,182,547</w:t>
            </w:r>
          </w:p>
        </w:tc>
        <w:tc>
          <w:tcPr>
            <w:tcW w:w="606" w:type="pct"/>
            <w:tcBorders>
              <w:top w:val="nil"/>
              <w:left w:val="nil"/>
              <w:bottom w:val="nil"/>
              <w:right w:val="nil"/>
            </w:tcBorders>
            <w:shd w:val="clear" w:color="auto" w:fill="auto"/>
            <w:noWrap/>
            <w:vAlign w:val="bottom"/>
            <w:hideMark/>
          </w:tcPr>
          <w:p w14:paraId="6B6A9790" w14:textId="7AFE2616"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1,192,208</w:t>
            </w:r>
          </w:p>
        </w:tc>
      </w:tr>
      <w:tr w:rsidR="00D320B9" w:rsidRPr="000331A7" w14:paraId="49CA744A" w14:textId="77777777" w:rsidTr="002F3AAF">
        <w:trPr>
          <w:trHeight w:val="204"/>
        </w:trPr>
        <w:tc>
          <w:tcPr>
            <w:tcW w:w="1827" w:type="pct"/>
            <w:tcBorders>
              <w:top w:val="nil"/>
              <w:left w:val="nil"/>
              <w:right w:val="nil"/>
            </w:tcBorders>
            <w:shd w:val="clear" w:color="auto" w:fill="auto"/>
            <w:vAlign w:val="bottom"/>
            <w:hideMark/>
          </w:tcPr>
          <w:p w14:paraId="47A925BC" w14:textId="57C3ABA7" w:rsidR="00D320B9" w:rsidRPr="000331A7" w:rsidRDefault="00D320B9" w:rsidP="004B5F05">
            <w:pPr>
              <w:pStyle w:val="ListParagraph"/>
              <w:numPr>
                <w:ilvl w:val="0"/>
                <w:numId w:val="256"/>
              </w:numPr>
              <w:spacing w:after="0" w:line="240" w:lineRule="auto"/>
              <w:ind w:left="302" w:hanging="189"/>
              <w:rPr>
                <w:rFonts w:ascii="Arial" w:hAnsi="Arial" w:cs="Arial"/>
                <w:sz w:val="16"/>
                <w:szCs w:val="16"/>
              </w:rPr>
            </w:pPr>
            <w:r w:rsidRPr="000331A7">
              <w:rPr>
                <w:rFonts w:ascii="Arial" w:hAnsi="Arial" w:cs="Arial"/>
                <w:sz w:val="16"/>
                <w:szCs w:val="16"/>
              </w:rPr>
              <w:t>Special Broadcasting Service Corporation</w:t>
            </w:r>
          </w:p>
        </w:tc>
        <w:tc>
          <w:tcPr>
            <w:tcW w:w="706" w:type="pct"/>
            <w:gridSpan w:val="3"/>
            <w:tcBorders>
              <w:top w:val="nil"/>
              <w:left w:val="nil"/>
              <w:bottom w:val="single" w:sz="4" w:space="0" w:color="auto"/>
              <w:right w:val="nil"/>
            </w:tcBorders>
            <w:shd w:val="clear" w:color="auto" w:fill="auto"/>
            <w:noWrap/>
            <w:vAlign w:val="bottom"/>
            <w:hideMark/>
          </w:tcPr>
          <w:p w14:paraId="3F197A6F" w14:textId="0308115B"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310,021</w:t>
            </w:r>
          </w:p>
        </w:tc>
        <w:tc>
          <w:tcPr>
            <w:tcW w:w="605" w:type="pct"/>
            <w:gridSpan w:val="2"/>
            <w:tcBorders>
              <w:top w:val="nil"/>
              <w:left w:val="nil"/>
              <w:bottom w:val="single" w:sz="4" w:space="0" w:color="auto"/>
              <w:right w:val="nil"/>
            </w:tcBorders>
            <w:shd w:val="clear" w:color="auto" w:fill="E6E6E6"/>
            <w:noWrap/>
            <w:vAlign w:val="bottom"/>
            <w:hideMark/>
          </w:tcPr>
          <w:p w14:paraId="4F7AC5B2" w14:textId="678E912B"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316,805</w:t>
            </w:r>
          </w:p>
        </w:tc>
        <w:tc>
          <w:tcPr>
            <w:tcW w:w="620" w:type="pct"/>
            <w:gridSpan w:val="2"/>
            <w:tcBorders>
              <w:top w:val="nil"/>
              <w:left w:val="nil"/>
              <w:bottom w:val="single" w:sz="4" w:space="0" w:color="auto"/>
              <w:right w:val="nil"/>
            </w:tcBorders>
            <w:shd w:val="clear" w:color="auto" w:fill="auto"/>
            <w:noWrap/>
            <w:vAlign w:val="bottom"/>
            <w:hideMark/>
          </w:tcPr>
          <w:p w14:paraId="33FF218B" w14:textId="636418E8"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333,986</w:t>
            </w:r>
          </w:p>
        </w:tc>
        <w:tc>
          <w:tcPr>
            <w:tcW w:w="637" w:type="pct"/>
            <w:gridSpan w:val="2"/>
            <w:tcBorders>
              <w:top w:val="nil"/>
              <w:left w:val="nil"/>
              <w:bottom w:val="single" w:sz="4" w:space="0" w:color="auto"/>
              <w:right w:val="nil"/>
            </w:tcBorders>
            <w:shd w:val="clear" w:color="auto" w:fill="auto"/>
            <w:noWrap/>
            <w:vAlign w:val="bottom"/>
            <w:hideMark/>
          </w:tcPr>
          <w:p w14:paraId="5DB6B034" w14:textId="121C578C"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332,590</w:t>
            </w:r>
          </w:p>
        </w:tc>
        <w:tc>
          <w:tcPr>
            <w:tcW w:w="606" w:type="pct"/>
            <w:tcBorders>
              <w:top w:val="nil"/>
              <w:left w:val="nil"/>
              <w:bottom w:val="single" w:sz="4" w:space="0" w:color="auto"/>
              <w:right w:val="nil"/>
            </w:tcBorders>
            <w:shd w:val="clear" w:color="auto" w:fill="auto"/>
            <w:noWrap/>
            <w:vAlign w:val="bottom"/>
            <w:hideMark/>
          </w:tcPr>
          <w:p w14:paraId="4492AB82" w14:textId="64575279" w:rsidR="00D320B9" w:rsidRPr="000331A7" w:rsidRDefault="00D320B9" w:rsidP="00D320B9">
            <w:pPr>
              <w:spacing w:after="0" w:line="240" w:lineRule="auto"/>
              <w:jc w:val="right"/>
              <w:rPr>
                <w:rFonts w:ascii="Arial" w:hAnsi="Arial" w:cs="Arial"/>
                <w:sz w:val="16"/>
                <w:szCs w:val="15"/>
              </w:rPr>
            </w:pPr>
            <w:r>
              <w:rPr>
                <w:rFonts w:ascii="Arial" w:hAnsi="Arial" w:cs="Arial"/>
                <w:sz w:val="16"/>
                <w:szCs w:val="16"/>
              </w:rPr>
              <w:t>338,512</w:t>
            </w:r>
          </w:p>
        </w:tc>
      </w:tr>
      <w:tr w:rsidR="00D320B9" w:rsidRPr="009541F4" w14:paraId="759EB2A9" w14:textId="77777777" w:rsidTr="002F3AAF">
        <w:trPr>
          <w:trHeight w:val="204"/>
        </w:trPr>
        <w:tc>
          <w:tcPr>
            <w:tcW w:w="1827" w:type="pct"/>
            <w:tcBorders>
              <w:top w:val="nil"/>
              <w:left w:val="nil"/>
              <w:bottom w:val="single" w:sz="4" w:space="0" w:color="auto"/>
              <w:right w:val="nil"/>
            </w:tcBorders>
            <w:shd w:val="clear" w:color="auto" w:fill="auto"/>
            <w:noWrap/>
            <w:vAlign w:val="bottom"/>
            <w:hideMark/>
          </w:tcPr>
          <w:p w14:paraId="76DC2175" w14:textId="77777777" w:rsidR="00D320B9" w:rsidRPr="000331A7" w:rsidRDefault="00D320B9" w:rsidP="00D320B9">
            <w:pPr>
              <w:spacing w:after="0" w:line="240" w:lineRule="auto"/>
              <w:rPr>
                <w:rFonts w:ascii="Arial" w:hAnsi="Arial" w:cs="Arial"/>
                <w:b/>
                <w:bCs/>
                <w:sz w:val="16"/>
                <w:szCs w:val="16"/>
              </w:rPr>
            </w:pPr>
            <w:r w:rsidRPr="000331A7">
              <w:rPr>
                <w:rFonts w:ascii="Arial" w:hAnsi="Arial" w:cs="Arial"/>
                <w:b/>
                <w:bCs/>
                <w:sz w:val="16"/>
                <w:szCs w:val="16"/>
              </w:rPr>
              <w:t>Total expenses for Program 5.1</w:t>
            </w:r>
          </w:p>
        </w:tc>
        <w:tc>
          <w:tcPr>
            <w:tcW w:w="706" w:type="pct"/>
            <w:gridSpan w:val="3"/>
            <w:tcBorders>
              <w:top w:val="single" w:sz="4" w:space="0" w:color="auto"/>
              <w:left w:val="nil"/>
              <w:bottom w:val="single" w:sz="4" w:space="0" w:color="auto"/>
              <w:right w:val="nil"/>
            </w:tcBorders>
            <w:shd w:val="clear" w:color="auto" w:fill="auto"/>
            <w:noWrap/>
            <w:vAlign w:val="bottom"/>
            <w:hideMark/>
          </w:tcPr>
          <w:p w14:paraId="75FC78E4" w14:textId="0503EA24" w:rsidR="00D320B9" w:rsidRPr="000331A7" w:rsidRDefault="00D320B9" w:rsidP="00D320B9">
            <w:pPr>
              <w:spacing w:after="0" w:line="240" w:lineRule="auto"/>
              <w:jc w:val="right"/>
              <w:rPr>
                <w:rFonts w:ascii="Arial" w:hAnsi="Arial" w:cs="Arial"/>
                <w:b/>
                <w:bCs/>
                <w:sz w:val="16"/>
                <w:szCs w:val="15"/>
              </w:rPr>
            </w:pPr>
            <w:r>
              <w:rPr>
                <w:rFonts w:ascii="Arial" w:hAnsi="Arial" w:cs="Arial"/>
                <w:b/>
                <w:bCs/>
                <w:sz w:val="16"/>
                <w:szCs w:val="16"/>
              </w:rPr>
              <w:t>3,049,926</w:t>
            </w:r>
          </w:p>
        </w:tc>
        <w:tc>
          <w:tcPr>
            <w:tcW w:w="605" w:type="pct"/>
            <w:gridSpan w:val="2"/>
            <w:tcBorders>
              <w:top w:val="single" w:sz="4" w:space="0" w:color="auto"/>
              <w:left w:val="nil"/>
              <w:bottom w:val="single" w:sz="4" w:space="0" w:color="auto"/>
              <w:right w:val="nil"/>
            </w:tcBorders>
            <w:shd w:val="clear" w:color="auto" w:fill="E6E6E6"/>
            <w:noWrap/>
            <w:vAlign w:val="bottom"/>
            <w:hideMark/>
          </w:tcPr>
          <w:p w14:paraId="71B6B88A" w14:textId="023A1610" w:rsidR="00D320B9" w:rsidRPr="000331A7" w:rsidRDefault="00D320B9" w:rsidP="00D320B9">
            <w:pPr>
              <w:spacing w:after="0" w:line="240" w:lineRule="auto"/>
              <w:jc w:val="right"/>
              <w:rPr>
                <w:rFonts w:ascii="Arial" w:hAnsi="Arial" w:cs="Arial"/>
                <w:b/>
                <w:bCs/>
                <w:sz w:val="16"/>
                <w:szCs w:val="15"/>
              </w:rPr>
            </w:pPr>
            <w:r>
              <w:rPr>
                <w:rFonts w:ascii="Arial" w:hAnsi="Arial" w:cs="Arial"/>
                <w:b/>
                <w:bCs/>
                <w:sz w:val="16"/>
                <w:szCs w:val="16"/>
              </w:rPr>
              <w:t>2,880,754</w:t>
            </w:r>
          </w:p>
        </w:tc>
        <w:tc>
          <w:tcPr>
            <w:tcW w:w="620" w:type="pct"/>
            <w:gridSpan w:val="2"/>
            <w:tcBorders>
              <w:top w:val="single" w:sz="4" w:space="0" w:color="auto"/>
              <w:left w:val="nil"/>
              <w:bottom w:val="single" w:sz="4" w:space="0" w:color="auto"/>
              <w:right w:val="nil"/>
            </w:tcBorders>
            <w:shd w:val="clear" w:color="auto" w:fill="auto"/>
            <w:noWrap/>
            <w:vAlign w:val="bottom"/>
            <w:hideMark/>
          </w:tcPr>
          <w:p w14:paraId="09D26DC3" w14:textId="096D1305" w:rsidR="00D320B9" w:rsidRPr="000331A7" w:rsidRDefault="00D320B9" w:rsidP="00D320B9">
            <w:pPr>
              <w:spacing w:after="0" w:line="240" w:lineRule="auto"/>
              <w:jc w:val="right"/>
              <w:rPr>
                <w:rFonts w:ascii="Arial" w:hAnsi="Arial" w:cs="Arial"/>
                <w:b/>
                <w:bCs/>
                <w:sz w:val="16"/>
                <w:szCs w:val="15"/>
              </w:rPr>
            </w:pPr>
            <w:r>
              <w:rPr>
                <w:rFonts w:ascii="Arial" w:hAnsi="Arial" w:cs="Arial"/>
                <w:b/>
                <w:bCs/>
                <w:sz w:val="16"/>
                <w:szCs w:val="16"/>
              </w:rPr>
              <w:t>2,936,584</w:t>
            </w:r>
          </w:p>
        </w:tc>
        <w:tc>
          <w:tcPr>
            <w:tcW w:w="637" w:type="pct"/>
            <w:gridSpan w:val="2"/>
            <w:tcBorders>
              <w:top w:val="single" w:sz="4" w:space="0" w:color="auto"/>
              <w:left w:val="nil"/>
              <w:bottom w:val="single" w:sz="4" w:space="0" w:color="auto"/>
              <w:right w:val="nil"/>
            </w:tcBorders>
            <w:shd w:val="clear" w:color="auto" w:fill="auto"/>
            <w:noWrap/>
            <w:vAlign w:val="bottom"/>
            <w:hideMark/>
          </w:tcPr>
          <w:p w14:paraId="68C98D68" w14:textId="387F6AEE" w:rsidR="00D320B9" w:rsidRPr="000331A7" w:rsidRDefault="00D320B9" w:rsidP="00D320B9">
            <w:pPr>
              <w:spacing w:after="0" w:line="240" w:lineRule="auto"/>
              <w:jc w:val="right"/>
              <w:rPr>
                <w:rFonts w:ascii="Arial" w:hAnsi="Arial" w:cs="Arial"/>
                <w:b/>
                <w:bCs/>
                <w:sz w:val="16"/>
                <w:szCs w:val="15"/>
              </w:rPr>
            </w:pPr>
            <w:r>
              <w:rPr>
                <w:rFonts w:ascii="Arial" w:hAnsi="Arial" w:cs="Arial"/>
                <w:b/>
                <w:bCs/>
                <w:sz w:val="16"/>
                <w:szCs w:val="16"/>
              </w:rPr>
              <w:t>2,919,993</w:t>
            </w:r>
          </w:p>
        </w:tc>
        <w:tc>
          <w:tcPr>
            <w:tcW w:w="606" w:type="pct"/>
            <w:tcBorders>
              <w:top w:val="single" w:sz="4" w:space="0" w:color="auto"/>
              <w:left w:val="nil"/>
              <w:bottom w:val="single" w:sz="4" w:space="0" w:color="auto"/>
              <w:right w:val="nil"/>
            </w:tcBorders>
            <w:shd w:val="clear" w:color="auto" w:fill="auto"/>
            <w:noWrap/>
            <w:vAlign w:val="bottom"/>
            <w:hideMark/>
          </w:tcPr>
          <w:p w14:paraId="1742B822" w14:textId="0B35FB34" w:rsidR="00D320B9" w:rsidRPr="009541F4" w:rsidRDefault="00D320B9" w:rsidP="00D320B9">
            <w:pPr>
              <w:spacing w:after="0" w:line="240" w:lineRule="auto"/>
              <w:jc w:val="right"/>
              <w:rPr>
                <w:rFonts w:ascii="Arial" w:hAnsi="Arial" w:cs="Arial"/>
                <w:b/>
                <w:bCs/>
                <w:sz w:val="16"/>
                <w:szCs w:val="15"/>
              </w:rPr>
            </w:pPr>
            <w:r>
              <w:rPr>
                <w:rFonts w:ascii="Arial" w:hAnsi="Arial" w:cs="Arial"/>
                <w:b/>
                <w:bCs/>
                <w:sz w:val="16"/>
                <w:szCs w:val="16"/>
              </w:rPr>
              <w:t>2,903,927</w:t>
            </w:r>
          </w:p>
        </w:tc>
      </w:tr>
    </w:tbl>
    <w:p w14:paraId="679D34D1" w14:textId="247E6436" w:rsidR="000F0C9E" w:rsidRDefault="000F0C9E" w:rsidP="00115843">
      <w:pPr>
        <w:pStyle w:val="ListParagraph"/>
        <w:numPr>
          <w:ilvl w:val="0"/>
          <w:numId w:val="222"/>
        </w:numPr>
        <w:spacing w:before="60" w:after="0" w:line="240" w:lineRule="auto"/>
        <w:ind w:left="426" w:hanging="426"/>
        <w:rPr>
          <w:rFonts w:ascii="Arial" w:hAnsi="Arial" w:cs="Arial"/>
          <w:sz w:val="16"/>
        </w:rPr>
      </w:pPr>
      <w:r>
        <w:rPr>
          <w:rFonts w:ascii="Arial" w:hAnsi="Arial" w:cs="Arial"/>
          <w:sz w:val="16"/>
        </w:rPr>
        <w:t xml:space="preserve">This line item includes funding for additional rounds of the Mobile Black Spot Program and the Regional Connectivity Program, improving communications resilience, on-farm connectivity, a national audit of mobile coverage, and extension of the Regional </w:t>
      </w:r>
      <w:r w:rsidR="00E0276C">
        <w:rPr>
          <w:rFonts w:ascii="Arial" w:hAnsi="Arial" w:cs="Arial"/>
          <w:sz w:val="16"/>
        </w:rPr>
        <w:t xml:space="preserve">Tech </w:t>
      </w:r>
      <w:r>
        <w:rPr>
          <w:rFonts w:ascii="Arial" w:hAnsi="Arial" w:cs="Arial"/>
          <w:sz w:val="16"/>
        </w:rPr>
        <w:t xml:space="preserve">Hub. </w:t>
      </w:r>
    </w:p>
    <w:p w14:paraId="6438F414" w14:textId="6683C158" w:rsidR="00115843" w:rsidRDefault="00115843" w:rsidP="00115843">
      <w:pPr>
        <w:pStyle w:val="ListParagraph"/>
        <w:numPr>
          <w:ilvl w:val="0"/>
          <w:numId w:val="222"/>
        </w:numPr>
        <w:spacing w:before="60" w:after="0" w:line="240" w:lineRule="auto"/>
        <w:ind w:left="426" w:hanging="426"/>
        <w:rPr>
          <w:rFonts w:ascii="Arial" w:hAnsi="Arial" w:cs="Arial"/>
          <w:sz w:val="16"/>
        </w:rPr>
      </w:pPr>
      <w:r w:rsidRPr="00DF30A2">
        <w:rPr>
          <w:rFonts w:ascii="Arial" w:hAnsi="Arial" w:cs="Arial"/>
          <w:sz w:val="16"/>
        </w:rPr>
        <w:t>‘nfp’ figures are not for publication due to commercial sensitivity, and are not included in totals</w:t>
      </w:r>
      <w:r>
        <w:rPr>
          <w:rFonts w:ascii="Arial" w:hAnsi="Arial" w:cs="Arial"/>
          <w:sz w:val="16"/>
        </w:rPr>
        <w:t>.</w:t>
      </w:r>
    </w:p>
    <w:p w14:paraId="77F898AD" w14:textId="44D7CBAE" w:rsidR="00115843" w:rsidRPr="009541F4" w:rsidRDefault="00115843" w:rsidP="00115843">
      <w:pPr>
        <w:pStyle w:val="ListParagraph"/>
        <w:numPr>
          <w:ilvl w:val="0"/>
          <w:numId w:val="222"/>
        </w:numPr>
        <w:spacing w:before="60" w:after="0" w:line="240" w:lineRule="auto"/>
        <w:ind w:left="426" w:hanging="426"/>
        <w:rPr>
          <w:rFonts w:ascii="Arial" w:hAnsi="Arial" w:cs="Arial"/>
          <w:sz w:val="16"/>
        </w:rPr>
      </w:pPr>
      <w:r w:rsidRPr="009541F4">
        <w:rPr>
          <w:rFonts w:ascii="Arial" w:hAnsi="Arial" w:cs="Arial"/>
          <w:sz w:val="16"/>
        </w:rPr>
        <w:t xml:space="preserve">Relates to appropriation for corporate entities that is provided through the </w:t>
      </w:r>
      <w:r w:rsidR="00111C4F">
        <w:rPr>
          <w:rFonts w:ascii="Arial" w:hAnsi="Arial" w:cs="Arial"/>
          <w:sz w:val="16"/>
        </w:rPr>
        <w:t>D</w:t>
      </w:r>
      <w:r w:rsidRPr="009541F4">
        <w:rPr>
          <w:rFonts w:ascii="Arial" w:hAnsi="Arial" w:cs="Arial"/>
          <w:sz w:val="16"/>
        </w:rPr>
        <w:t>epartment.</w:t>
      </w:r>
    </w:p>
    <w:p w14:paraId="170616E4"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5FA8EDFC" w14:textId="77777777" w:rsidR="00115843" w:rsidRPr="00F71634" w:rsidRDefault="00115843" w:rsidP="00115843">
      <w:pPr>
        <w:pStyle w:val="TableHeading"/>
      </w:pPr>
      <w:r w:rsidRPr="00F71634">
        <w:lastRenderedPageBreak/>
        <w:t>Table 2.</w:t>
      </w:r>
      <w:r>
        <w:rPr>
          <w:lang w:val="en-GB"/>
        </w:rPr>
        <w:t>5</w:t>
      </w:r>
      <w:r w:rsidRPr="00F71634">
        <w:t xml:space="preserve">.3: Performance </w:t>
      </w:r>
      <w:r>
        <w:t>measure</w:t>
      </w:r>
      <w:r w:rsidRPr="00F71634">
        <w:t xml:space="preserve"> for Outcome </w:t>
      </w:r>
      <w:r>
        <w:rPr>
          <w:lang w:val="en-GB"/>
        </w:rPr>
        <w:t>5</w:t>
      </w:r>
    </w:p>
    <w:p w14:paraId="6EBECF7C" w14:textId="77777777" w:rsidR="00115843" w:rsidRPr="00E37EAA" w:rsidRDefault="00115843" w:rsidP="00115843">
      <w:r w:rsidRPr="00E37EAA">
        <w:t>Table 2.5.3 details the performance measures for each program associated with Outcome 5.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0"/>
        <w:gridCol w:w="3667"/>
      </w:tblGrid>
      <w:tr w:rsidR="00115843" w:rsidRPr="001B2F81" w14:paraId="673A690D" w14:textId="77777777" w:rsidTr="002F3AAF">
        <w:trPr>
          <w:trHeight w:val="569"/>
        </w:trPr>
        <w:tc>
          <w:tcPr>
            <w:tcW w:w="5000" w:type="pct"/>
            <w:gridSpan w:val="3"/>
            <w:shd w:val="clear" w:color="auto" w:fill="E6E6E6"/>
          </w:tcPr>
          <w:p w14:paraId="292ABA50" w14:textId="451D0237" w:rsidR="00115843" w:rsidRPr="006D2076" w:rsidRDefault="00115843" w:rsidP="00FB0D02">
            <w:pPr>
              <w:spacing w:before="60" w:after="60" w:line="240" w:lineRule="auto"/>
              <w:rPr>
                <w:rFonts w:ascii="Arial" w:hAnsi="Arial" w:cs="Arial"/>
                <w:b/>
                <w:highlight w:val="yellow"/>
              </w:rPr>
            </w:pPr>
            <w:r w:rsidRPr="006D2076">
              <w:rPr>
                <w:rFonts w:ascii="Arial" w:eastAsia="Calibri" w:hAnsi="Arial" w:cs="Arial"/>
                <w:b/>
              </w:rPr>
              <w:t>Outcome 5</w:t>
            </w:r>
            <w:r w:rsidRPr="006D2076">
              <w:rPr>
                <w:rFonts w:ascii="Arial" w:hAnsi="Arial" w:cs="Arial"/>
              </w:rPr>
              <w:t xml:space="preserve"> – </w:t>
            </w:r>
            <w:r w:rsidRPr="006D2076">
              <w:rPr>
                <w:rFonts w:ascii="Arial" w:eastAsia="Calibri" w:hAnsi="Arial" w:cs="Arial"/>
              </w:rPr>
              <w:t>Promote an innovative and competitive communications sector</w:t>
            </w:r>
            <w:r w:rsidR="00111C4F">
              <w:rPr>
                <w:rFonts w:ascii="Arial" w:eastAsia="Calibri" w:hAnsi="Arial" w:cs="Arial"/>
              </w:rPr>
              <w:t>,</w:t>
            </w:r>
            <w:r w:rsidRPr="006D2076">
              <w:rPr>
                <w:rFonts w:ascii="Arial" w:eastAsia="Calibri" w:hAnsi="Arial" w:cs="Arial"/>
              </w:rPr>
              <w:t xml:space="preserve"> through policy development, advice and program delivery, so all Australians can realise the full potential of digital technologies and communications services</w:t>
            </w:r>
          </w:p>
        </w:tc>
      </w:tr>
      <w:tr w:rsidR="00115843" w:rsidRPr="00C13A37" w14:paraId="4D436084" w14:textId="77777777" w:rsidTr="002F3AAF">
        <w:trPr>
          <w:trHeight w:val="522"/>
        </w:trPr>
        <w:tc>
          <w:tcPr>
            <w:tcW w:w="5000" w:type="pct"/>
            <w:gridSpan w:val="3"/>
            <w:shd w:val="clear" w:color="auto" w:fill="E6E6E6"/>
          </w:tcPr>
          <w:p w14:paraId="46DCF755" w14:textId="77777777" w:rsidR="00115843" w:rsidRPr="00C13A37" w:rsidRDefault="00115843" w:rsidP="00FB0D02">
            <w:pPr>
              <w:spacing w:before="60" w:after="120" w:line="240" w:lineRule="auto"/>
              <w:rPr>
                <w:rFonts w:ascii="Arial" w:eastAsia="Calibri" w:hAnsi="Arial" w:cs="Arial"/>
                <w:b/>
                <w:sz w:val="18"/>
                <w:szCs w:val="18"/>
              </w:rPr>
            </w:pPr>
            <w:bookmarkStart w:id="35" w:name="DigitalTechnologiesCommsServices5_1"/>
            <w:r w:rsidRPr="00C13A37">
              <w:rPr>
                <w:rFonts w:ascii="Arial" w:eastAsia="Calibri" w:hAnsi="Arial" w:cs="Arial"/>
                <w:b/>
                <w:sz w:val="18"/>
                <w:szCs w:val="18"/>
              </w:rPr>
              <w:t>Program 5.1</w:t>
            </w:r>
            <w:r w:rsidRPr="00C13A37">
              <w:rPr>
                <w:rFonts w:ascii="Arial" w:eastAsia="Calibri" w:hAnsi="Arial" w:cs="Arial"/>
                <w:sz w:val="18"/>
                <w:szCs w:val="18"/>
              </w:rPr>
              <w:t xml:space="preserve"> </w:t>
            </w:r>
            <w:r w:rsidRPr="00C13A37">
              <w:rPr>
                <w:rFonts w:ascii="Arial" w:eastAsia="Calibri" w:hAnsi="Arial" w:cs="Arial"/>
                <w:b/>
                <w:sz w:val="18"/>
                <w:szCs w:val="18"/>
              </w:rPr>
              <w:t>– Digital Technologies and Communications Services</w:t>
            </w:r>
            <w:bookmarkEnd w:id="35"/>
          </w:p>
          <w:p w14:paraId="26094907" w14:textId="77777777" w:rsidR="00115843" w:rsidRPr="00C13A37" w:rsidRDefault="00115843" w:rsidP="00FB0D02">
            <w:pPr>
              <w:pStyle w:val="TableTextLeft"/>
              <w:rPr>
                <w:szCs w:val="18"/>
                <w:highlight w:val="yellow"/>
              </w:rPr>
            </w:pPr>
            <w:r w:rsidRPr="00C13A37">
              <w:rPr>
                <w:rFonts w:eastAsia="Calibri" w:cs="Arial"/>
                <w:szCs w:val="18"/>
                <w:lang w:eastAsia="en-US"/>
              </w:rPr>
              <w:t xml:space="preserve">To provide an environment in which all Australians can access and benefit from digital technologies and communications services, supporting inclusiveness and sustainable economic growth. </w:t>
            </w:r>
          </w:p>
        </w:tc>
      </w:tr>
      <w:tr w:rsidR="00115843" w:rsidRPr="001B2F81" w14:paraId="4452714C" w14:textId="77777777" w:rsidTr="00FB0D02">
        <w:trPr>
          <w:trHeight w:val="694"/>
        </w:trPr>
        <w:tc>
          <w:tcPr>
            <w:tcW w:w="918" w:type="pct"/>
            <w:tcBorders>
              <w:bottom w:val="double" w:sz="4" w:space="0" w:color="auto"/>
            </w:tcBorders>
          </w:tcPr>
          <w:p w14:paraId="2CDA9307" w14:textId="77777777" w:rsidR="00115843" w:rsidRPr="00160C23" w:rsidRDefault="00115843" w:rsidP="00FB0D02">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r w:rsidRPr="002656D3">
              <w:rPr>
                <w:rFonts w:ascii="Arial" w:eastAsia="Calibri" w:hAnsi="Arial" w:cs="Arial"/>
                <w:sz w:val="16"/>
                <w:szCs w:val="16"/>
                <w:vertAlign w:val="superscript"/>
              </w:rPr>
              <w:t>(a)</w:t>
            </w:r>
          </w:p>
        </w:tc>
        <w:tc>
          <w:tcPr>
            <w:tcW w:w="4082" w:type="pct"/>
            <w:gridSpan w:val="2"/>
            <w:tcBorders>
              <w:bottom w:val="double" w:sz="4" w:space="0" w:color="auto"/>
            </w:tcBorders>
          </w:tcPr>
          <w:p w14:paraId="58473CAC" w14:textId="77777777" w:rsidR="00115843" w:rsidRDefault="00115843" w:rsidP="00115843">
            <w:pPr>
              <w:numPr>
                <w:ilvl w:val="0"/>
                <w:numId w:val="13"/>
              </w:numPr>
              <w:spacing w:before="60" w:after="60" w:line="240" w:lineRule="auto"/>
              <w:ind w:left="179" w:hanging="227"/>
              <w:rPr>
                <w:rFonts w:ascii="Arial" w:hAnsi="Arial" w:cs="Arial"/>
                <w:sz w:val="16"/>
                <w:szCs w:val="16"/>
              </w:rPr>
            </w:pPr>
            <w:r>
              <w:rPr>
                <w:rFonts w:ascii="Arial" w:hAnsi="Arial" w:cs="Arial"/>
                <w:sz w:val="16"/>
                <w:szCs w:val="16"/>
              </w:rPr>
              <w:t xml:space="preserve">Implementing and administering programs that expand digital connectivity including the Mobile Black Spot program, Peri-Urban Mobile Program and Regional Connectivity Program </w:t>
            </w:r>
            <w:r w:rsidRPr="003D46F4">
              <w:rPr>
                <w:rFonts w:ascii="Arial" w:hAnsi="Arial" w:cs="Arial"/>
                <w:sz w:val="16"/>
                <w:szCs w:val="16"/>
                <w:vertAlign w:val="superscript"/>
              </w:rPr>
              <w:t>(</w:t>
            </w:r>
            <w:r>
              <w:rPr>
                <w:rFonts w:ascii="Arial" w:hAnsi="Arial" w:cs="Arial"/>
                <w:sz w:val="16"/>
                <w:szCs w:val="16"/>
                <w:vertAlign w:val="superscript"/>
              </w:rPr>
              <w:t>b</w:t>
            </w:r>
            <w:r w:rsidRPr="003D46F4">
              <w:rPr>
                <w:rFonts w:ascii="Arial" w:hAnsi="Arial" w:cs="Arial"/>
                <w:sz w:val="16"/>
                <w:szCs w:val="16"/>
                <w:vertAlign w:val="superscript"/>
              </w:rPr>
              <w:t>)</w:t>
            </w:r>
          </w:p>
          <w:p w14:paraId="3FEF771D" w14:textId="77777777" w:rsidR="00115843" w:rsidRPr="00F73512" w:rsidRDefault="00115843" w:rsidP="00115843">
            <w:pPr>
              <w:numPr>
                <w:ilvl w:val="0"/>
                <w:numId w:val="13"/>
              </w:numPr>
              <w:spacing w:before="60" w:after="60" w:line="240" w:lineRule="auto"/>
              <w:ind w:left="179" w:hanging="227"/>
              <w:rPr>
                <w:rFonts w:ascii="Arial" w:hAnsi="Arial" w:cs="Arial"/>
                <w:sz w:val="16"/>
                <w:szCs w:val="16"/>
              </w:rPr>
            </w:pPr>
            <w:r w:rsidRPr="00F73512">
              <w:rPr>
                <w:rFonts w:ascii="Arial" w:hAnsi="Arial" w:cs="Arial"/>
                <w:sz w:val="16"/>
                <w:szCs w:val="16"/>
              </w:rPr>
              <w:t>Provide advice to the government on communications policy and programs in</w:t>
            </w:r>
            <w:r>
              <w:rPr>
                <w:rFonts w:ascii="Arial" w:hAnsi="Arial" w:cs="Arial"/>
                <w:sz w:val="16"/>
                <w:szCs w:val="16"/>
              </w:rPr>
              <w:t>cluding</w:t>
            </w:r>
            <w:r w:rsidRPr="00F73512">
              <w:rPr>
                <w:rFonts w:ascii="Arial" w:hAnsi="Arial" w:cs="Arial"/>
                <w:sz w:val="16"/>
                <w:szCs w:val="16"/>
              </w:rPr>
              <w:t xml:space="preserve"> regional and remote Australia</w:t>
            </w:r>
          </w:p>
          <w:p w14:paraId="60B96B33" w14:textId="77777777" w:rsidR="00115843" w:rsidRPr="00F73512" w:rsidRDefault="00115843" w:rsidP="00115843">
            <w:pPr>
              <w:numPr>
                <w:ilvl w:val="0"/>
                <w:numId w:val="13"/>
              </w:numPr>
              <w:spacing w:before="60" w:after="60" w:line="240" w:lineRule="auto"/>
              <w:ind w:left="179" w:hanging="227"/>
              <w:rPr>
                <w:rFonts w:ascii="Arial" w:hAnsi="Arial" w:cs="Arial"/>
                <w:sz w:val="16"/>
                <w:szCs w:val="16"/>
              </w:rPr>
            </w:pPr>
            <w:r w:rsidRPr="00F73512">
              <w:rPr>
                <w:rFonts w:ascii="Arial" w:hAnsi="Arial" w:cs="Arial"/>
                <w:sz w:val="16"/>
                <w:szCs w:val="16"/>
              </w:rPr>
              <w:t>Provide policy advice and program delivery on the news and media industry</w:t>
            </w:r>
            <w:r>
              <w:rPr>
                <w:rFonts w:ascii="Arial" w:hAnsi="Arial" w:cs="Arial"/>
                <w:sz w:val="16"/>
                <w:szCs w:val="16"/>
              </w:rPr>
              <w:t xml:space="preserve"> </w:t>
            </w:r>
            <w:r w:rsidRPr="0016575D">
              <w:rPr>
                <w:rFonts w:ascii="Arial" w:hAnsi="Arial" w:cs="Arial"/>
                <w:sz w:val="16"/>
                <w:szCs w:val="16"/>
                <w:vertAlign w:val="superscript"/>
              </w:rPr>
              <w:t>(</w:t>
            </w:r>
            <w:r>
              <w:rPr>
                <w:rFonts w:ascii="Arial" w:hAnsi="Arial" w:cs="Arial"/>
                <w:sz w:val="16"/>
                <w:szCs w:val="16"/>
                <w:vertAlign w:val="superscript"/>
              </w:rPr>
              <w:t>c</w:t>
            </w:r>
            <w:r w:rsidRPr="0016575D">
              <w:rPr>
                <w:rFonts w:ascii="Arial" w:hAnsi="Arial" w:cs="Arial"/>
                <w:sz w:val="16"/>
                <w:szCs w:val="16"/>
                <w:vertAlign w:val="superscript"/>
              </w:rPr>
              <w:t>)</w:t>
            </w:r>
          </w:p>
        </w:tc>
      </w:tr>
      <w:tr w:rsidR="00115843" w:rsidRPr="001B2F81" w14:paraId="19032298" w14:textId="77777777" w:rsidTr="00FB0D02">
        <w:trPr>
          <w:trHeight w:val="258"/>
        </w:trPr>
        <w:tc>
          <w:tcPr>
            <w:tcW w:w="918" w:type="pct"/>
            <w:tcBorders>
              <w:top w:val="double" w:sz="4" w:space="0" w:color="auto"/>
              <w:bottom w:val="single" w:sz="4" w:space="0" w:color="auto"/>
              <w:right w:val="single" w:sz="4" w:space="0" w:color="auto"/>
            </w:tcBorders>
          </w:tcPr>
          <w:p w14:paraId="29D14E6C" w14:textId="77777777" w:rsidR="00115843" w:rsidRPr="00160C23" w:rsidRDefault="00115843" w:rsidP="00FB0D02">
            <w:pPr>
              <w:pStyle w:val="TableTextBase"/>
              <w:rPr>
                <w:b/>
                <w:szCs w:val="16"/>
              </w:rPr>
            </w:pPr>
            <w:r w:rsidRPr="00160C23">
              <w:rPr>
                <w:b/>
                <w:szCs w:val="16"/>
              </w:rPr>
              <w:t>Year</w:t>
            </w:r>
          </w:p>
        </w:tc>
        <w:tc>
          <w:tcPr>
            <w:tcW w:w="1701" w:type="pct"/>
            <w:tcBorders>
              <w:top w:val="double" w:sz="4" w:space="0" w:color="auto"/>
              <w:left w:val="single" w:sz="4" w:space="0" w:color="auto"/>
              <w:bottom w:val="single" w:sz="4" w:space="0" w:color="auto"/>
              <w:right w:val="single" w:sz="4" w:space="0" w:color="auto"/>
            </w:tcBorders>
          </w:tcPr>
          <w:p w14:paraId="5DBA4898" w14:textId="77777777" w:rsidR="00115843" w:rsidRPr="00160C23" w:rsidRDefault="00115843" w:rsidP="00FB0D02">
            <w:pPr>
              <w:pStyle w:val="TableTextBase"/>
              <w:rPr>
                <w:rFonts w:cs="Arial"/>
                <w:b/>
                <w:szCs w:val="16"/>
              </w:rPr>
            </w:pPr>
            <w:r w:rsidRPr="00160C23">
              <w:rPr>
                <w:rFonts w:cs="Arial"/>
                <w:b/>
                <w:szCs w:val="16"/>
              </w:rPr>
              <w:t>Performance measures</w:t>
            </w:r>
          </w:p>
        </w:tc>
        <w:tc>
          <w:tcPr>
            <w:tcW w:w="2381" w:type="pct"/>
            <w:tcBorders>
              <w:top w:val="double" w:sz="4" w:space="0" w:color="auto"/>
              <w:left w:val="single" w:sz="4" w:space="0" w:color="auto"/>
              <w:bottom w:val="single" w:sz="4" w:space="0" w:color="auto"/>
            </w:tcBorders>
          </w:tcPr>
          <w:p w14:paraId="4E7FD45F" w14:textId="77777777" w:rsidR="00115843" w:rsidRPr="00160C23" w:rsidRDefault="00115843" w:rsidP="00FB0D02">
            <w:pPr>
              <w:pStyle w:val="TableTextBase"/>
              <w:rPr>
                <w:rFonts w:cs="Arial"/>
                <w:b/>
                <w:szCs w:val="16"/>
              </w:rPr>
            </w:pPr>
            <w:r>
              <w:rPr>
                <w:rFonts w:cs="Arial"/>
                <w:b/>
                <w:szCs w:val="16"/>
              </w:rPr>
              <w:t>Expected Performance</w:t>
            </w:r>
            <w:r w:rsidRPr="00160C23">
              <w:rPr>
                <w:rFonts w:cs="Arial"/>
                <w:b/>
                <w:szCs w:val="16"/>
              </w:rPr>
              <w:t xml:space="preserve"> Results</w:t>
            </w:r>
          </w:p>
        </w:tc>
      </w:tr>
      <w:tr w:rsidR="00115843" w:rsidRPr="001B2F81" w14:paraId="340F6A55" w14:textId="77777777" w:rsidTr="00FB0D02">
        <w:trPr>
          <w:cantSplit/>
          <w:trHeight w:val="2080"/>
        </w:trPr>
        <w:tc>
          <w:tcPr>
            <w:tcW w:w="918" w:type="pct"/>
            <w:tcBorders>
              <w:top w:val="single" w:sz="4" w:space="0" w:color="auto"/>
              <w:bottom w:val="nil"/>
              <w:right w:val="single" w:sz="4" w:space="0" w:color="auto"/>
            </w:tcBorders>
          </w:tcPr>
          <w:p w14:paraId="2852F225"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w:t>
            </w:r>
          </w:p>
        </w:tc>
        <w:tc>
          <w:tcPr>
            <w:tcW w:w="1701" w:type="pct"/>
            <w:tcBorders>
              <w:top w:val="single" w:sz="4" w:space="0" w:color="auto"/>
              <w:left w:val="single" w:sz="4" w:space="0" w:color="auto"/>
              <w:bottom w:val="single" w:sz="4" w:space="0" w:color="auto"/>
              <w:right w:val="single" w:sz="4" w:space="0" w:color="auto"/>
            </w:tcBorders>
          </w:tcPr>
          <w:p w14:paraId="11202F84" w14:textId="77777777" w:rsidR="00115843" w:rsidRPr="00FD292C" w:rsidRDefault="00115843" w:rsidP="00FB0D02">
            <w:pPr>
              <w:pStyle w:val="TableTextBase"/>
              <w:rPr>
                <w:sz w:val="16"/>
                <w:szCs w:val="16"/>
              </w:rPr>
            </w:pPr>
            <w:r w:rsidRPr="00FD292C">
              <w:rPr>
                <w:rFonts w:eastAsia="Calibri" w:cs="Arial"/>
                <w:sz w:val="16"/>
                <w:szCs w:val="16"/>
                <w:lang w:eastAsia="en-US"/>
              </w:rPr>
              <w:t xml:space="preserve">Progress implementing the </w:t>
            </w:r>
            <w:r w:rsidRPr="00FD292C">
              <w:rPr>
                <w:rFonts w:eastAsia="Calibri" w:cs="Arial"/>
                <w:i/>
                <w:sz w:val="16"/>
                <w:szCs w:val="16"/>
                <w:lang w:eastAsia="en-US"/>
              </w:rPr>
              <w:t xml:space="preserve">Online Safety Act </w:t>
            </w:r>
            <w:r w:rsidRPr="00FD292C">
              <w:rPr>
                <w:rFonts w:eastAsia="Calibri" w:cs="Arial"/>
                <w:sz w:val="16"/>
                <w:szCs w:val="16"/>
                <w:vertAlign w:val="superscript"/>
                <w:lang w:eastAsia="en-US"/>
              </w:rPr>
              <w:t>(d)</w:t>
            </w:r>
            <w:r w:rsidRPr="00FD292C">
              <w:rPr>
                <w:rFonts w:asciiTheme="minorHAnsi" w:hAnsiTheme="minorHAnsi" w:cstheme="minorHAnsi"/>
                <w:b/>
                <w:color w:val="FFFFFF" w:themeColor="background1"/>
                <w:sz w:val="16"/>
                <w:szCs w:val="16"/>
                <w:shd w:val="clear" w:color="auto" w:fill="A8D08D" w:themeFill="accent6" w:themeFillTint="99"/>
                <w:lang w:val="en-US"/>
              </w:rPr>
              <w:t xml:space="preserve">                                                    </w:t>
            </w:r>
          </w:p>
        </w:tc>
        <w:tc>
          <w:tcPr>
            <w:tcW w:w="2381" w:type="pct"/>
            <w:tcBorders>
              <w:top w:val="single" w:sz="4" w:space="0" w:color="auto"/>
              <w:left w:val="single" w:sz="4" w:space="0" w:color="auto"/>
              <w:bottom w:val="single" w:sz="4" w:space="0" w:color="auto"/>
            </w:tcBorders>
          </w:tcPr>
          <w:p w14:paraId="1ACB85AA"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 xml:space="preserve">Target: Legislation and relevant legislative instruments are ready for commencement of the </w:t>
            </w:r>
            <w:r w:rsidRPr="00FD292C">
              <w:rPr>
                <w:rFonts w:ascii="Arial" w:eastAsia="Calibri" w:hAnsi="Arial" w:cs="Arial"/>
                <w:i/>
                <w:sz w:val="16"/>
                <w:szCs w:val="16"/>
              </w:rPr>
              <w:t>Online Safety Act</w:t>
            </w:r>
            <w:r w:rsidRPr="00FD292C">
              <w:rPr>
                <w:rFonts w:ascii="Arial" w:eastAsia="Calibri" w:hAnsi="Arial" w:cs="Arial"/>
                <w:sz w:val="16"/>
                <w:szCs w:val="16"/>
              </w:rPr>
              <w:t xml:space="preserve"> on 23 January 2022</w:t>
            </w:r>
          </w:p>
          <w:p w14:paraId="0CD392C4" w14:textId="77777777"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2BB23209" w14:textId="0656BE8C"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Actual: The </w:t>
            </w:r>
            <w:r w:rsidRPr="00FD292C">
              <w:rPr>
                <w:rFonts w:ascii="Arial" w:eastAsia="Calibri" w:hAnsi="Arial" w:cs="Arial"/>
                <w:i/>
                <w:sz w:val="16"/>
                <w:szCs w:val="16"/>
              </w:rPr>
              <w:t>Online Safety Act 2021</w:t>
            </w:r>
            <w:r w:rsidRPr="00FD292C">
              <w:rPr>
                <w:rFonts w:ascii="Arial" w:eastAsia="Calibri" w:hAnsi="Arial" w:cs="Arial"/>
                <w:sz w:val="16"/>
                <w:szCs w:val="16"/>
              </w:rPr>
              <w:t xml:space="preserve"> commenced on 23 January 2022</w:t>
            </w:r>
            <w:r w:rsidR="00111C4F">
              <w:rPr>
                <w:rFonts w:ascii="Arial" w:eastAsia="Calibri" w:hAnsi="Arial" w:cs="Arial"/>
                <w:sz w:val="16"/>
                <w:szCs w:val="16"/>
              </w:rPr>
              <w:t>.</w:t>
            </w:r>
          </w:p>
          <w:p w14:paraId="6E364C06" w14:textId="1E013764" w:rsidR="00115843" w:rsidRPr="00FD292C" w:rsidRDefault="00115843" w:rsidP="00FB0D02">
            <w:pPr>
              <w:tabs>
                <w:tab w:val="left" w:pos="204"/>
                <w:tab w:val="left" w:pos="396"/>
              </w:tabs>
              <w:spacing w:before="60" w:after="60" w:line="240" w:lineRule="auto"/>
              <w:rPr>
                <w:rFonts w:ascii="Arial" w:eastAsia="Calibri" w:hAnsi="Arial" w:cs="Arial"/>
                <w:sz w:val="16"/>
                <w:szCs w:val="16"/>
              </w:rPr>
            </w:pPr>
            <w:r w:rsidRPr="00FD292C">
              <w:rPr>
                <w:rFonts w:ascii="Arial" w:eastAsia="Calibri" w:hAnsi="Arial" w:cs="Arial"/>
                <w:sz w:val="16"/>
                <w:szCs w:val="16"/>
              </w:rPr>
              <w:t>The Online Safety (Basic Online Safety Expectations) Determination 2022 was made by the Minister for Communications, Urban Infrastructure, Cities and the Arts and commenced on 24 January 2022</w:t>
            </w:r>
            <w:r w:rsidR="00111C4F">
              <w:rPr>
                <w:rFonts w:ascii="Arial" w:eastAsia="Calibri" w:hAnsi="Arial" w:cs="Arial"/>
                <w:sz w:val="16"/>
                <w:szCs w:val="16"/>
              </w:rPr>
              <w:t>.</w:t>
            </w:r>
          </w:p>
        </w:tc>
      </w:tr>
      <w:tr w:rsidR="00115843" w:rsidRPr="001B2F81" w14:paraId="6BF7F80C" w14:textId="77777777" w:rsidTr="00FB0D02">
        <w:trPr>
          <w:cantSplit/>
          <w:trHeight w:val="642"/>
        </w:trPr>
        <w:tc>
          <w:tcPr>
            <w:tcW w:w="918" w:type="pct"/>
            <w:tcBorders>
              <w:top w:val="nil"/>
              <w:right w:val="single" w:sz="4" w:space="0" w:color="auto"/>
            </w:tcBorders>
          </w:tcPr>
          <w:p w14:paraId="4E6F04F0" w14:textId="77777777" w:rsidR="00115843" w:rsidRPr="00FD292C" w:rsidRDefault="00115843" w:rsidP="00FB0D02">
            <w:pPr>
              <w:pStyle w:val="TableTextBase"/>
              <w:rPr>
                <w:sz w:val="16"/>
                <w:szCs w:val="16"/>
              </w:rPr>
            </w:pPr>
          </w:p>
        </w:tc>
        <w:tc>
          <w:tcPr>
            <w:tcW w:w="1701" w:type="pct"/>
            <w:tcBorders>
              <w:top w:val="single" w:sz="4" w:space="0" w:color="auto"/>
              <w:left w:val="single" w:sz="4" w:space="0" w:color="auto"/>
              <w:bottom w:val="single" w:sz="4" w:space="0" w:color="auto"/>
              <w:right w:val="single" w:sz="4" w:space="0" w:color="auto"/>
            </w:tcBorders>
          </w:tcPr>
          <w:p w14:paraId="141D3EA9" w14:textId="77777777" w:rsidR="00115843" w:rsidRPr="00FD292C" w:rsidRDefault="00115843" w:rsidP="00FB0D02">
            <w:pPr>
              <w:pStyle w:val="TableTextBase"/>
              <w:rPr>
                <w:rFonts w:eastAsia="Calibri" w:cs="Arial"/>
                <w:sz w:val="16"/>
                <w:szCs w:val="16"/>
                <w:vertAlign w:val="superscript"/>
                <w:lang w:eastAsia="en-US"/>
              </w:rPr>
            </w:pPr>
            <w:r w:rsidRPr="00FD292C">
              <w:rPr>
                <w:rFonts w:eastAsia="Calibri" w:cs="Arial"/>
                <w:sz w:val="16"/>
                <w:szCs w:val="16"/>
                <w:lang w:eastAsia="en-US"/>
              </w:rPr>
              <w:t>Provide oversight of NBN Co</w:t>
            </w:r>
            <w:r w:rsidRPr="00FD292C">
              <w:rPr>
                <w:rFonts w:eastAsia="Calibri" w:cs="Arial"/>
                <w:sz w:val="16"/>
                <w:szCs w:val="16"/>
                <w:vertAlign w:val="superscript"/>
                <w:lang w:eastAsia="en-US"/>
              </w:rPr>
              <w:t>(d)</w:t>
            </w:r>
          </w:p>
        </w:tc>
        <w:tc>
          <w:tcPr>
            <w:tcW w:w="2381" w:type="pct"/>
            <w:tcBorders>
              <w:top w:val="single" w:sz="4" w:space="0" w:color="auto"/>
              <w:left w:val="single" w:sz="4" w:space="0" w:color="auto"/>
              <w:bottom w:val="single" w:sz="4" w:space="0" w:color="auto"/>
            </w:tcBorders>
          </w:tcPr>
          <w:p w14:paraId="40F99A35"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In each financial year, we assess NBN Co’s corporate plan and monitor the company to ensure it is acting consistently with policy objective outlined in the Statement of Expectations</w:t>
            </w:r>
          </w:p>
          <w:p w14:paraId="429DC1AA"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Target met</w:t>
            </w:r>
          </w:p>
          <w:p w14:paraId="391B6B81" w14:textId="0837EF9A" w:rsidR="00115843" w:rsidRPr="00FD292C" w:rsidRDefault="00115843" w:rsidP="00FB0D02">
            <w:pPr>
              <w:pStyle w:val="TableTextBase"/>
              <w:rPr>
                <w:sz w:val="16"/>
                <w:szCs w:val="16"/>
              </w:rPr>
            </w:pPr>
            <w:r w:rsidRPr="00FD292C">
              <w:rPr>
                <w:sz w:val="16"/>
                <w:szCs w:val="16"/>
              </w:rPr>
              <w:t>Actual: Oversight was effective in 2021–22</w:t>
            </w:r>
            <w:r w:rsidR="00111C4F">
              <w:rPr>
                <w:sz w:val="16"/>
                <w:szCs w:val="16"/>
              </w:rPr>
              <w:t>.</w:t>
            </w:r>
          </w:p>
        </w:tc>
      </w:tr>
    </w:tbl>
    <w:p w14:paraId="22F3C971"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48439CE3" w14:textId="77777777" w:rsidTr="00FB0D02">
        <w:trPr>
          <w:trHeight w:val="258"/>
        </w:trPr>
        <w:tc>
          <w:tcPr>
            <w:tcW w:w="873" w:type="pct"/>
            <w:tcBorders>
              <w:top w:val="double" w:sz="4" w:space="0" w:color="auto"/>
              <w:bottom w:val="single" w:sz="4" w:space="0" w:color="auto"/>
              <w:right w:val="single" w:sz="4" w:space="0" w:color="auto"/>
            </w:tcBorders>
          </w:tcPr>
          <w:p w14:paraId="7D83A8DF" w14:textId="77777777" w:rsidR="00115843" w:rsidRPr="00CD1CF1" w:rsidRDefault="00115843" w:rsidP="00FB0D02">
            <w:pPr>
              <w:pStyle w:val="TableTextBase"/>
              <w:rPr>
                <w:b/>
                <w:sz w:val="16"/>
                <w:szCs w:val="16"/>
              </w:rPr>
            </w:pPr>
            <w:r w:rsidRPr="00CD1CF1">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3EF27563"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768E32E6"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tr w:rsidR="00115843" w:rsidRPr="001B2F81" w14:paraId="0E7399DC" w14:textId="77777777" w:rsidTr="00FB0D02">
        <w:trPr>
          <w:cantSplit/>
          <w:trHeight w:val="642"/>
        </w:trPr>
        <w:tc>
          <w:tcPr>
            <w:tcW w:w="873" w:type="pct"/>
            <w:vMerge w:val="restart"/>
            <w:tcBorders>
              <w:right w:val="single" w:sz="4" w:space="0" w:color="auto"/>
            </w:tcBorders>
          </w:tcPr>
          <w:p w14:paraId="64E689B4" w14:textId="77777777" w:rsidR="00115843" w:rsidRPr="00FD292C" w:rsidRDefault="00115843" w:rsidP="00FB0D02">
            <w:pPr>
              <w:pStyle w:val="TableTextBase"/>
              <w:rPr>
                <w:sz w:val="16"/>
                <w:szCs w:val="16"/>
              </w:rPr>
            </w:pPr>
            <w:r w:rsidRPr="00FD292C">
              <w:rPr>
                <w:sz w:val="16"/>
                <w:szCs w:val="16"/>
              </w:rPr>
              <w:t xml:space="preserve">Prior year </w:t>
            </w:r>
            <w:r w:rsidRPr="00FD292C">
              <w:rPr>
                <w:sz w:val="16"/>
                <w:szCs w:val="16"/>
              </w:rPr>
              <w:br/>
              <w:t>2021–22 cont.</w:t>
            </w:r>
          </w:p>
        </w:tc>
        <w:tc>
          <w:tcPr>
            <w:tcW w:w="1746" w:type="pct"/>
            <w:tcBorders>
              <w:top w:val="single" w:sz="4" w:space="0" w:color="auto"/>
              <w:left w:val="single" w:sz="4" w:space="0" w:color="auto"/>
              <w:bottom w:val="single" w:sz="4" w:space="0" w:color="auto"/>
              <w:right w:val="single" w:sz="4" w:space="0" w:color="auto"/>
            </w:tcBorders>
          </w:tcPr>
          <w:p w14:paraId="7B3DA50A" w14:textId="5512CC92"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NBN Co Loan interest payments and principal repayments</w:t>
            </w:r>
            <w:r w:rsidR="0019217D">
              <w:rPr>
                <w:rFonts w:eastAsia="Calibri" w:cs="Arial"/>
                <w:sz w:val="16"/>
                <w:szCs w:val="16"/>
                <w:lang w:eastAsia="en-US"/>
              </w:rPr>
              <w:t xml:space="preserve"> </w:t>
            </w:r>
            <w:r w:rsidRPr="00FD292C">
              <w:rPr>
                <w:rFonts w:eastAsia="Calibri" w:cs="Arial"/>
                <w:sz w:val="16"/>
                <w:szCs w:val="16"/>
                <w:vertAlign w:val="superscript"/>
                <w:lang w:eastAsia="en-US"/>
              </w:rPr>
              <w:t xml:space="preserve">(d) </w:t>
            </w:r>
            <w:r w:rsidRPr="00FD292C">
              <w:rPr>
                <w:rFonts w:asciiTheme="minorHAnsi" w:hAnsiTheme="minorHAnsi" w:cstheme="minorHAnsi"/>
                <w:b/>
                <w:color w:val="FFFFFF" w:themeColor="background1"/>
                <w:sz w:val="16"/>
                <w:szCs w:val="16"/>
                <w:shd w:val="clear" w:color="auto" w:fill="9CC2E5"/>
                <w:lang w:val="en-US"/>
              </w:rPr>
              <w:t xml:space="preserve">                                                    </w:t>
            </w:r>
          </w:p>
        </w:tc>
        <w:tc>
          <w:tcPr>
            <w:tcW w:w="2381" w:type="pct"/>
            <w:tcBorders>
              <w:top w:val="single" w:sz="4" w:space="0" w:color="auto"/>
              <w:left w:val="single" w:sz="4" w:space="0" w:color="auto"/>
              <w:bottom w:val="single" w:sz="4" w:space="0" w:color="auto"/>
            </w:tcBorders>
          </w:tcPr>
          <w:p w14:paraId="06F16AFF" w14:textId="77777777" w:rsidR="00115843" w:rsidRPr="00FD292C" w:rsidRDefault="00115843" w:rsidP="00FB0D02">
            <w:pPr>
              <w:keepNext/>
              <w:keepLines/>
              <w:spacing w:before="60" w:after="60" w:line="240" w:lineRule="auto"/>
              <w:rPr>
                <w:rFonts w:ascii="Arial" w:eastAsia="Calibri" w:hAnsi="Arial" w:cs="Arial"/>
                <w:sz w:val="16"/>
                <w:szCs w:val="16"/>
              </w:rPr>
            </w:pPr>
            <w:r w:rsidRPr="00FD292C">
              <w:rPr>
                <w:rFonts w:ascii="Arial" w:eastAsia="Calibri" w:hAnsi="Arial" w:cs="Arial"/>
                <w:sz w:val="16"/>
                <w:szCs w:val="16"/>
              </w:rPr>
              <w:t>Target: In each financial year, NBN Co interest payments and principal repayments are made in accordance with the terms in the Loan Agreement</w:t>
            </w:r>
          </w:p>
          <w:p w14:paraId="76A25D93"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met</w:t>
            </w:r>
          </w:p>
          <w:p w14:paraId="4DECBF4C" w14:textId="00402BD9"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Actual: In 2021–22, NBN Co met all monthly interest payments due on the Commonwealth loan</w:t>
            </w:r>
            <w:r w:rsidR="00111C4F">
              <w:rPr>
                <w:rFonts w:ascii="Arial" w:eastAsia="Calibri" w:hAnsi="Arial" w:cs="Arial"/>
                <w:sz w:val="16"/>
                <w:szCs w:val="16"/>
              </w:rPr>
              <w:t>.</w:t>
            </w:r>
          </w:p>
        </w:tc>
      </w:tr>
      <w:tr w:rsidR="00115843" w:rsidRPr="001B2F81" w14:paraId="381AF5C1" w14:textId="77777777" w:rsidTr="00FB0D02">
        <w:trPr>
          <w:cantSplit/>
          <w:trHeight w:val="642"/>
        </w:trPr>
        <w:tc>
          <w:tcPr>
            <w:tcW w:w="873" w:type="pct"/>
            <w:vMerge/>
            <w:tcBorders>
              <w:right w:val="single" w:sz="4" w:space="0" w:color="auto"/>
            </w:tcBorders>
          </w:tcPr>
          <w:p w14:paraId="03E238D5"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8AB07CB" w14:textId="595E7BBC"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Funds administered as part of the Regional Broadband Scheme (RBS) are distributed</w:t>
            </w:r>
            <w:r w:rsidR="0019217D">
              <w:rPr>
                <w:rFonts w:eastAsia="Calibri" w:cs="Arial"/>
                <w:sz w:val="16"/>
                <w:szCs w:val="16"/>
                <w:lang w:eastAsia="en-US"/>
              </w:rPr>
              <w:t xml:space="preserve"> </w:t>
            </w:r>
            <w:r w:rsidRPr="00FD292C">
              <w:rPr>
                <w:rFonts w:eastAsia="Calibri" w:cs="Arial"/>
                <w:sz w:val="16"/>
                <w:szCs w:val="16"/>
                <w:vertAlign w:val="superscript"/>
                <w:lang w:eastAsia="en-US"/>
              </w:rPr>
              <w:t>(d)</w:t>
            </w:r>
            <w:r w:rsidRPr="00FD292C">
              <w:rPr>
                <w:rFonts w:eastAsia="Calibri" w:cs="Arial"/>
                <w:sz w:val="16"/>
                <w:szCs w:val="16"/>
                <w:lang w:eastAsia="en-US"/>
              </w:rPr>
              <w:t xml:space="preserve"> </w:t>
            </w:r>
            <w:r w:rsidRPr="00FD292C">
              <w:rPr>
                <w:rFonts w:asciiTheme="minorHAnsi" w:hAnsiTheme="minorHAnsi" w:cstheme="minorHAnsi"/>
                <w:b/>
                <w:sz w:val="16"/>
                <w:szCs w:val="16"/>
                <w:shd w:val="clear" w:color="auto" w:fill="9CC2E5"/>
                <w:lang w:val="en-US"/>
              </w:rPr>
              <w:t xml:space="preserve"> </w:t>
            </w:r>
            <w:r w:rsidRPr="00FD292C">
              <w:rPr>
                <w:rFonts w:asciiTheme="minorHAnsi" w:hAnsiTheme="minorHAnsi" w:cstheme="minorHAnsi"/>
                <w:b/>
                <w:color w:val="FFFFFF" w:themeColor="background1"/>
                <w:sz w:val="16"/>
                <w:szCs w:val="16"/>
                <w:shd w:val="clear" w:color="auto" w:fill="9CC2E5"/>
                <w:lang w:val="en-US"/>
              </w:rPr>
              <w:t xml:space="preserve">                                                    </w:t>
            </w:r>
          </w:p>
        </w:tc>
        <w:tc>
          <w:tcPr>
            <w:tcW w:w="2381" w:type="pct"/>
            <w:tcBorders>
              <w:top w:val="single" w:sz="4" w:space="0" w:color="auto"/>
              <w:left w:val="single" w:sz="4" w:space="0" w:color="auto"/>
              <w:bottom w:val="single" w:sz="4" w:space="0" w:color="auto"/>
            </w:tcBorders>
          </w:tcPr>
          <w:p w14:paraId="7456A400" w14:textId="02BFBC2B" w:rsidR="00115843" w:rsidRPr="00FD292C" w:rsidRDefault="00FD292C" w:rsidP="00FB0D02">
            <w:pPr>
              <w:keepNext/>
              <w:keepLines/>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00115843" w:rsidRPr="00FD292C">
              <w:rPr>
                <w:rFonts w:ascii="Arial" w:eastAsia="Calibri" w:hAnsi="Arial" w:cs="Arial"/>
                <w:sz w:val="16"/>
                <w:szCs w:val="16"/>
              </w:rPr>
              <w:t>In each financial year, funds are distributed in line with legislative requirements</w:t>
            </w:r>
          </w:p>
          <w:p w14:paraId="3ADE891D" w14:textId="77777777" w:rsidR="00115843" w:rsidRPr="00FD292C" w:rsidRDefault="00115843" w:rsidP="00FB0D02">
            <w:pPr>
              <w:keepNext/>
              <w:keepLines/>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063EF3C8" w14:textId="211547CF" w:rsidR="00115843" w:rsidRPr="00FD292C" w:rsidRDefault="00FD292C" w:rsidP="00FB0D02">
            <w:pPr>
              <w:keepNext/>
              <w:keepLines/>
              <w:spacing w:before="60" w:after="60" w:line="240" w:lineRule="auto"/>
              <w:rPr>
                <w:rFonts w:ascii="Arial" w:eastAsia="Calibri" w:hAnsi="Arial" w:cs="Arial"/>
                <w:sz w:val="16"/>
                <w:szCs w:val="16"/>
              </w:rPr>
            </w:pPr>
            <w:r>
              <w:rPr>
                <w:rFonts w:ascii="Arial" w:eastAsia="Calibri" w:hAnsi="Arial" w:cs="Arial"/>
                <w:sz w:val="16"/>
                <w:szCs w:val="16"/>
              </w:rPr>
              <w:t xml:space="preserve">Actual: </w:t>
            </w:r>
            <w:r w:rsidR="00115843" w:rsidRPr="00FD292C">
              <w:rPr>
                <w:rFonts w:ascii="Arial" w:eastAsia="Calibri" w:hAnsi="Arial" w:cs="Arial"/>
                <w:sz w:val="16"/>
                <w:szCs w:val="16"/>
              </w:rPr>
              <w:t>In June 2022, the Department distributed the funds administered under the Regional Broadband Scheme to NBN Co, in line with legislative requirements</w:t>
            </w:r>
            <w:r w:rsidR="00111C4F">
              <w:rPr>
                <w:rFonts w:ascii="Arial" w:eastAsia="Calibri" w:hAnsi="Arial" w:cs="Arial"/>
                <w:sz w:val="16"/>
                <w:szCs w:val="16"/>
              </w:rPr>
              <w:t>.</w:t>
            </w:r>
          </w:p>
        </w:tc>
      </w:tr>
      <w:tr w:rsidR="00115843" w:rsidRPr="001B2F81" w14:paraId="36C9F5BC" w14:textId="77777777" w:rsidTr="00FB0D02">
        <w:trPr>
          <w:cantSplit/>
          <w:trHeight w:val="642"/>
        </w:trPr>
        <w:tc>
          <w:tcPr>
            <w:tcW w:w="873" w:type="pct"/>
            <w:vMerge/>
            <w:tcBorders>
              <w:right w:val="single" w:sz="4" w:space="0" w:color="auto"/>
            </w:tcBorders>
          </w:tcPr>
          <w:p w14:paraId="7D52CC7E"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C7C06BD" w14:textId="3C309749" w:rsidR="00115843" w:rsidRPr="00FD292C" w:rsidRDefault="00115843" w:rsidP="00FB0D02">
            <w:pPr>
              <w:pStyle w:val="TableTextBase"/>
              <w:rPr>
                <w:rFonts w:eastAsia="Calibri" w:cs="Arial"/>
                <w:sz w:val="16"/>
                <w:szCs w:val="16"/>
                <w:vertAlign w:val="superscript"/>
                <w:lang w:eastAsia="en-US"/>
              </w:rPr>
            </w:pPr>
            <w:r w:rsidRPr="00FD292C">
              <w:rPr>
                <w:rFonts w:eastAsia="Calibri" w:cs="Arial"/>
                <w:sz w:val="16"/>
                <w:szCs w:val="16"/>
                <w:lang w:eastAsia="en-US"/>
              </w:rPr>
              <w:t>Effectiveness of international engagement on communications matters</w:t>
            </w:r>
            <w:r w:rsidR="0019217D">
              <w:rPr>
                <w:rFonts w:eastAsia="Calibri" w:cs="Arial"/>
                <w:sz w:val="16"/>
                <w:szCs w:val="16"/>
                <w:lang w:eastAsia="en-US"/>
              </w:rPr>
              <w:t xml:space="preserve"> </w:t>
            </w:r>
            <w:r w:rsidRPr="00FD292C">
              <w:rPr>
                <w:rFonts w:eastAsia="Calibri" w:cs="Arial"/>
                <w:sz w:val="16"/>
                <w:szCs w:val="16"/>
                <w:vertAlign w:val="superscript"/>
                <w:lang w:eastAsia="en-US"/>
              </w:rPr>
              <w:t xml:space="preserve">(d) </w:t>
            </w:r>
            <w:r w:rsidRPr="00FD292C">
              <w:rPr>
                <w:rFonts w:asciiTheme="minorHAnsi" w:hAnsiTheme="minorHAnsi" w:cstheme="minorHAnsi"/>
                <w:b/>
                <w:sz w:val="16"/>
                <w:szCs w:val="16"/>
                <w:shd w:val="clear" w:color="auto" w:fill="9CC2E5"/>
                <w:lang w:val="en-US"/>
              </w:rPr>
              <w:t xml:space="preserve"> </w:t>
            </w:r>
          </w:p>
        </w:tc>
        <w:tc>
          <w:tcPr>
            <w:tcW w:w="2381" w:type="pct"/>
            <w:tcBorders>
              <w:top w:val="single" w:sz="4" w:space="0" w:color="auto"/>
              <w:left w:val="single" w:sz="4" w:space="0" w:color="auto"/>
              <w:bottom w:val="single" w:sz="4" w:space="0" w:color="auto"/>
            </w:tcBorders>
          </w:tcPr>
          <w:p w14:paraId="6D1B825C" w14:textId="32D5807D"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00115843" w:rsidRPr="00FD292C">
              <w:rPr>
                <w:rFonts w:ascii="Arial" w:eastAsia="Calibri" w:hAnsi="Arial" w:cs="Arial"/>
                <w:sz w:val="16"/>
                <w:szCs w:val="16"/>
              </w:rPr>
              <w:t>In each financial year, outcomes achieved in line with the negotiation mandate agreed by the Australian Government</w:t>
            </w:r>
          </w:p>
          <w:p w14:paraId="5364ED72" w14:textId="77777777" w:rsidR="00115843" w:rsidRPr="00FD292C" w:rsidRDefault="00115843" w:rsidP="00FB0D02">
            <w:pPr>
              <w:keepNext/>
              <w:keepLines/>
              <w:spacing w:before="60" w:after="60" w:line="240" w:lineRule="auto"/>
              <w:rPr>
                <w:rFonts w:ascii="Arial" w:eastAsia="Calibri" w:hAnsi="Arial" w:cs="Arial"/>
                <w:sz w:val="16"/>
                <w:szCs w:val="16"/>
              </w:rPr>
            </w:pPr>
            <w:r w:rsidRPr="00FD292C">
              <w:rPr>
                <w:rFonts w:ascii="Arial" w:eastAsia="Calibri" w:hAnsi="Arial" w:cs="Arial"/>
                <w:sz w:val="16"/>
                <w:szCs w:val="16"/>
              </w:rPr>
              <w:t>Target met</w:t>
            </w:r>
          </w:p>
          <w:p w14:paraId="61F60927" w14:textId="68CB0728" w:rsidR="00115843" w:rsidRPr="00FD292C" w:rsidRDefault="00FD292C" w:rsidP="00FB0D02">
            <w:pPr>
              <w:keepNext/>
              <w:keepLines/>
              <w:spacing w:before="60" w:after="60" w:line="240" w:lineRule="auto"/>
              <w:rPr>
                <w:rFonts w:ascii="Arial" w:eastAsia="Calibri" w:hAnsi="Arial" w:cs="Arial"/>
                <w:sz w:val="16"/>
                <w:szCs w:val="16"/>
              </w:rPr>
            </w:pPr>
            <w:r>
              <w:rPr>
                <w:rFonts w:ascii="Arial" w:eastAsia="Calibri" w:hAnsi="Arial" w:cs="Arial"/>
                <w:sz w:val="16"/>
                <w:szCs w:val="16"/>
              </w:rPr>
              <w:t xml:space="preserve">Actual: </w:t>
            </w:r>
            <w:r w:rsidR="00115843" w:rsidRPr="00FD292C">
              <w:rPr>
                <w:rFonts w:ascii="Arial" w:eastAsia="Calibri" w:hAnsi="Arial" w:cs="Arial"/>
                <w:sz w:val="16"/>
                <w:szCs w:val="16"/>
              </w:rPr>
              <w:t>Outcomes were achieved in 2021–22</w:t>
            </w:r>
            <w:r w:rsidR="00111C4F">
              <w:rPr>
                <w:rFonts w:ascii="Arial" w:eastAsia="Calibri" w:hAnsi="Arial" w:cs="Arial"/>
                <w:sz w:val="16"/>
                <w:szCs w:val="16"/>
              </w:rPr>
              <w:t>.</w:t>
            </w:r>
          </w:p>
        </w:tc>
      </w:tr>
      <w:tr w:rsidR="00115843" w:rsidRPr="001B2F81" w14:paraId="4C2D6EB5" w14:textId="77777777" w:rsidTr="00FB0D02">
        <w:trPr>
          <w:cantSplit/>
          <w:trHeight w:val="642"/>
        </w:trPr>
        <w:tc>
          <w:tcPr>
            <w:tcW w:w="873" w:type="pct"/>
            <w:vMerge/>
            <w:tcBorders>
              <w:right w:val="single" w:sz="4" w:space="0" w:color="auto"/>
            </w:tcBorders>
          </w:tcPr>
          <w:p w14:paraId="7CE4FB98"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794EF4D"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 xml:space="preserve">Number and proportion of Australian community radio licence holders receiving Community Broadcasting Program funding </w:t>
            </w:r>
            <w:r w:rsidRPr="00FD292C">
              <w:rPr>
                <w:rFonts w:eastAsia="Calibri" w:cs="Arial"/>
                <w:sz w:val="16"/>
                <w:szCs w:val="16"/>
                <w:vertAlign w:val="superscript"/>
                <w:lang w:eastAsia="en-US"/>
              </w:rPr>
              <w:t>(c)</w:t>
            </w:r>
            <w:r w:rsidRPr="00FD292C">
              <w:rPr>
                <w:rFonts w:eastAsia="Calibri" w:cs="Arial"/>
                <w:sz w:val="16"/>
                <w:szCs w:val="16"/>
                <w:lang w:eastAsia="en-US"/>
              </w:rPr>
              <w:t xml:space="preserve">                                                          </w:t>
            </w:r>
          </w:p>
        </w:tc>
        <w:tc>
          <w:tcPr>
            <w:tcW w:w="2381" w:type="pct"/>
            <w:tcBorders>
              <w:top w:val="single" w:sz="4" w:space="0" w:color="auto"/>
              <w:left w:val="single" w:sz="4" w:space="0" w:color="auto"/>
              <w:bottom w:val="single" w:sz="4" w:space="0" w:color="auto"/>
              <w:right w:val="single" w:sz="4" w:space="0" w:color="auto"/>
            </w:tcBorders>
          </w:tcPr>
          <w:p w14:paraId="27AD4B32"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Number fluctuates depending on round structure and applications received</w:t>
            </w:r>
          </w:p>
          <w:p w14:paraId="3E2A7822"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No target</w:t>
            </w:r>
          </w:p>
          <w:p w14:paraId="7E4F8850"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There are 461 community broadcasting licences in Australia held by 332 organisations. 43% of these organisations are supported by grants from the Community Broadcasting Program distributed via the Community Broadcasting Foundation. The Program also funds sector organisations to deliver services and sector-wide development initiatives, as well as content producers.</w:t>
            </w:r>
          </w:p>
        </w:tc>
      </w:tr>
      <w:tr w:rsidR="00115843" w:rsidRPr="001B2F81" w14:paraId="754DE0EF" w14:textId="77777777" w:rsidTr="00FB0D02">
        <w:trPr>
          <w:cantSplit/>
          <w:trHeight w:val="642"/>
        </w:trPr>
        <w:tc>
          <w:tcPr>
            <w:tcW w:w="873" w:type="pct"/>
            <w:vMerge/>
            <w:tcBorders>
              <w:bottom w:val="single" w:sz="4" w:space="0" w:color="auto"/>
              <w:right w:val="single" w:sz="4" w:space="0" w:color="auto"/>
            </w:tcBorders>
          </w:tcPr>
          <w:p w14:paraId="05FCE329"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51A3415C" w14:textId="2D345B5D"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Percentage of Community Service Obligations (CSOs) met by Australia Post</w:t>
            </w:r>
            <w:r w:rsidR="0019217D">
              <w:rPr>
                <w:rFonts w:eastAsia="Calibri" w:cs="Arial"/>
                <w:sz w:val="16"/>
                <w:szCs w:val="16"/>
                <w:lang w:eastAsia="en-US"/>
              </w:rPr>
              <w:t xml:space="preserve"> </w:t>
            </w:r>
            <w:r w:rsidRPr="00FD292C">
              <w:rPr>
                <w:rFonts w:eastAsia="Calibri" w:cs="Arial"/>
                <w:sz w:val="16"/>
                <w:szCs w:val="16"/>
                <w:vertAlign w:val="superscript"/>
                <w:lang w:eastAsia="en-US"/>
              </w:rPr>
              <w:t>(d)</w:t>
            </w:r>
            <w:r w:rsidRPr="00FD292C">
              <w:rPr>
                <w:rFonts w:eastAsia="Calibri" w:cs="Arial"/>
                <w:sz w:val="16"/>
                <w:szCs w:val="16"/>
                <w:lang w:eastAsia="en-US"/>
              </w:rPr>
              <w:t xml:space="preserve">  </w:t>
            </w:r>
          </w:p>
        </w:tc>
        <w:tc>
          <w:tcPr>
            <w:tcW w:w="2381" w:type="pct"/>
            <w:tcBorders>
              <w:top w:val="single" w:sz="4" w:space="0" w:color="auto"/>
              <w:left w:val="single" w:sz="4" w:space="0" w:color="auto"/>
              <w:bottom w:val="single" w:sz="4" w:space="0" w:color="auto"/>
              <w:right w:val="single" w:sz="4" w:space="0" w:color="auto"/>
            </w:tcBorders>
          </w:tcPr>
          <w:p w14:paraId="7F0F395D"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Reporting in each financial year shows Australia Post met or exceeded all the Prescribed Performance Standards</w:t>
            </w:r>
          </w:p>
          <w:p w14:paraId="0618A7EA"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partially met</w:t>
            </w:r>
          </w:p>
          <w:p w14:paraId="277FC1FF" w14:textId="77777777" w:rsidR="00115843" w:rsidRPr="00FD292C" w:rsidRDefault="00115843" w:rsidP="0019217D">
            <w:pPr>
              <w:spacing w:before="120" w:after="60" w:line="240" w:lineRule="auto"/>
              <w:ind w:right="-12"/>
              <w:rPr>
                <w:rFonts w:ascii="Arial" w:eastAsia="Calibri" w:hAnsi="Arial" w:cs="Arial"/>
                <w:sz w:val="16"/>
                <w:szCs w:val="16"/>
              </w:rPr>
            </w:pPr>
            <w:r w:rsidRPr="00FD292C">
              <w:rPr>
                <w:rFonts w:ascii="Arial" w:eastAsia="Calibri" w:hAnsi="Arial" w:cs="Arial"/>
                <w:sz w:val="16"/>
                <w:szCs w:val="16"/>
              </w:rPr>
              <w:t>Australia Post exceeded all of its accessibility of services performance standards.</w:t>
            </w:r>
          </w:p>
          <w:p w14:paraId="6B422861"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Australia Post met some, but not all, of its letter delivery performance standards as a result of ongoing COVID 19 impacts:</w:t>
            </w:r>
          </w:p>
          <w:p w14:paraId="6413FBC9" w14:textId="77777777" w:rsidR="00115843" w:rsidRPr="00FD292C" w:rsidRDefault="00115843" w:rsidP="00115843">
            <w:pPr>
              <w:pStyle w:val="ListParagraph"/>
              <w:numPr>
                <w:ilvl w:val="0"/>
                <w:numId w:val="223"/>
              </w:numPr>
              <w:spacing w:before="60" w:after="60" w:line="240" w:lineRule="auto"/>
              <w:rPr>
                <w:rFonts w:ascii="Arial" w:hAnsi="Arial" w:cs="Arial"/>
                <w:sz w:val="16"/>
                <w:szCs w:val="16"/>
                <w:lang w:val="en-AU" w:eastAsia="en-AU"/>
              </w:rPr>
            </w:pPr>
            <w:r w:rsidRPr="00FD292C">
              <w:rPr>
                <w:rFonts w:ascii="Arial" w:hAnsi="Arial" w:cs="Arial"/>
                <w:sz w:val="16"/>
                <w:szCs w:val="16"/>
                <w:lang w:val="en-AU" w:eastAsia="en-AU"/>
              </w:rPr>
              <w:t>On-time letter delivery – Exceeded the standard for quarters 3 and 4. Was below the standard required over the full year (93.5% achieved — target is 94%)</w:t>
            </w:r>
          </w:p>
          <w:p w14:paraId="6DAF333F" w14:textId="6DAC7D92" w:rsidR="00115843" w:rsidRPr="00FD292C" w:rsidRDefault="00115843" w:rsidP="00115843">
            <w:pPr>
              <w:pStyle w:val="ListParagraph"/>
              <w:numPr>
                <w:ilvl w:val="0"/>
                <w:numId w:val="223"/>
              </w:numPr>
              <w:spacing w:before="60" w:after="60" w:line="240" w:lineRule="auto"/>
              <w:rPr>
                <w:rFonts w:ascii="Arial" w:hAnsi="Arial" w:cs="Arial"/>
                <w:sz w:val="16"/>
                <w:szCs w:val="16"/>
                <w:lang w:val="en-AU" w:eastAsia="en-AU"/>
              </w:rPr>
            </w:pPr>
            <w:r w:rsidRPr="00FD292C">
              <w:rPr>
                <w:rFonts w:ascii="Arial" w:hAnsi="Arial" w:cs="Arial"/>
                <w:sz w:val="16"/>
                <w:szCs w:val="16"/>
                <w:lang w:val="en-AU" w:eastAsia="en-AU"/>
              </w:rPr>
              <w:t>Every business day delivery frequency – Consistently exceeded the standard in quarter 4. Was below the standard over the full year (full year data not available)</w:t>
            </w:r>
            <w:r w:rsidR="00111C4F">
              <w:rPr>
                <w:rFonts w:ascii="Arial" w:hAnsi="Arial" w:cs="Arial"/>
                <w:sz w:val="16"/>
                <w:szCs w:val="16"/>
                <w:lang w:val="en-AU" w:eastAsia="en-AU"/>
              </w:rPr>
              <w:t>.</w:t>
            </w:r>
          </w:p>
        </w:tc>
      </w:tr>
    </w:tbl>
    <w:p w14:paraId="47BB2424"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B2F81" w14:paraId="5C8282F7" w14:textId="77777777" w:rsidTr="00FB0D02">
        <w:trPr>
          <w:cantSplit/>
          <w:trHeight w:val="297"/>
        </w:trPr>
        <w:tc>
          <w:tcPr>
            <w:tcW w:w="873" w:type="pct"/>
            <w:tcBorders>
              <w:top w:val="double" w:sz="4" w:space="0" w:color="auto"/>
              <w:left w:val="single" w:sz="4" w:space="0" w:color="auto"/>
              <w:bottom w:val="single" w:sz="4" w:space="0" w:color="auto"/>
              <w:right w:val="single" w:sz="4" w:space="0" w:color="auto"/>
            </w:tcBorders>
          </w:tcPr>
          <w:p w14:paraId="71664188" w14:textId="77777777" w:rsidR="00115843" w:rsidRPr="00CD1CF1" w:rsidRDefault="00115843" w:rsidP="00FB0D02">
            <w:pPr>
              <w:pStyle w:val="TableTextBase"/>
              <w:rPr>
                <w:b/>
                <w:sz w:val="16"/>
                <w:szCs w:val="16"/>
              </w:rPr>
            </w:pPr>
            <w:r w:rsidRPr="00CD1CF1">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7AECF10B" w14:textId="77777777" w:rsidR="00115843" w:rsidRPr="00CD1CF1" w:rsidRDefault="00115843" w:rsidP="00FB0D02">
            <w:pPr>
              <w:pStyle w:val="TableTextBase"/>
              <w:rPr>
                <w:rFonts w:eastAsia="Calibri" w:cs="Arial"/>
                <w:b/>
                <w:sz w:val="16"/>
                <w:szCs w:val="16"/>
                <w:lang w:eastAsia="en-US"/>
              </w:rPr>
            </w:pPr>
            <w:r w:rsidRPr="00CD1CF1">
              <w:rPr>
                <w:rFonts w:eastAsia="Calibri" w:cs="Arial"/>
                <w:b/>
                <w:sz w:val="16"/>
                <w:szCs w:val="16"/>
                <w:lang w:eastAsia="en-US"/>
              </w:rPr>
              <w:t>Performance measures</w:t>
            </w:r>
          </w:p>
        </w:tc>
        <w:tc>
          <w:tcPr>
            <w:tcW w:w="2381" w:type="pct"/>
            <w:tcBorders>
              <w:top w:val="double" w:sz="4" w:space="0" w:color="auto"/>
              <w:left w:val="single" w:sz="4" w:space="0" w:color="auto"/>
              <w:bottom w:val="single" w:sz="4" w:space="0" w:color="auto"/>
              <w:right w:val="single" w:sz="4" w:space="0" w:color="auto"/>
            </w:tcBorders>
          </w:tcPr>
          <w:p w14:paraId="6EE82FE6" w14:textId="77777777" w:rsidR="00115843" w:rsidRPr="00CD1CF1" w:rsidRDefault="00115843" w:rsidP="00FB0D02">
            <w:pPr>
              <w:spacing w:before="60" w:after="60" w:line="240" w:lineRule="auto"/>
              <w:ind w:right="-12"/>
              <w:rPr>
                <w:rFonts w:ascii="Arial" w:eastAsia="Calibri" w:hAnsi="Arial" w:cs="Arial"/>
                <w:b/>
                <w:sz w:val="16"/>
                <w:szCs w:val="16"/>
              </w:rPr>
            </w:pPr>
            <w:r w:rsidRPr="00CD1CF1">
              <w:rPr>
                <w:rFonts w:ascii="Arial" w:eastAsia="Calibri" w:hAnsi="Arial" w:cs="Arial"/>
                <w:b/>
                <w:sz w:val="16"/>
                <w:szCs w:val="16"/>
              </w:rPr>
              <w:t>Expected Performance Results</w:t>
            </w:r>
          </w:p>
        </w:tc>
      </w:tr>
      <w:tr w:rsidR="00115843" w:rsidRPr="001B2F81" w14:paraId="3C126809" w14:textId="77777777" w:rsidTr="00FB0D02">
        <w:trPr>
          <w:cantSplit/>
          <w:trHeight w:val="642"/>
        </w:trPr>
        <w:tc>
          <w:tcPr>
            <w:tcW w:w="873" w:type="pct"/>
            <w:vMerge w:val="restart"/>
            <w:tcBorders>
              <w:top w:val="single" w:sz="4" w:space="0" w:color="auto"/>
              <w:left w:val="single" w:sz="4" w:space="0" w:color="auto"/>
              <w:right w:val="single" w:sz="4" w:space="0" w:color="auto"/>
            </w:tcBorders>
          </w:tcPr>
          <w:p w14:paraId="15E713AD" w14:textId="77777777" w:rsidR="00115843" w:rsidRPr="00FD292C" w:rsidRDefault="00115843" w:rsidP="00FB0D02">
            <w:pPr>
              <w:pStyle w:val="TableTextBase"/>
              <w:rPr>
                <w:sz w:val="16"/>
                <w:szCs w:val="16"/>
              </w:rPr>
            </w:pPr>
            <w:r w:rsidRPr="00FD292C">
              <w:rPr>
                <w:sz w:val="16"/>
                <w:szCs w:val="16"/>
              </w:rPr>
              <w:t>Prior year 2021–22 cont.</w:t>
            </w:r>
          </w:p>
        </w:tc>
        <w:tc>
          <w:tcPr>
            <w:tcW w:w="1746" w:type="pct"/>
            <w:tcBorders>
              <w:top w:val="single" w:sz="4" w:space="0" w:color="auto"/>
              <w:left w:val="single" w:sz="4" w:space="0" w:color="auto"/>
              <w:bottom w:val="single" w:sz="4" w:space="0" w:color="auto"/>
              <w:right w:val="single" w:sz="4" w:space="0" w:color="auto"/>
            </w:tcBorders>
          </w:tcPr>
          <w:p w14:paraId="5CEA946F" w14:textId="520A55C5"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Percentage of telecommunications Universal Service Obligation (USO) targets met by Telstra</w:t>
            </w:r>
            <w:r w:rsidR="0019217D">
              <w:rPr>
                <w:rFonts w:eastAsia="Calibri" w:cs="Arial"/>
                <w:sz w:val="16"/>
                <w:szCs w:val="16"/>
                <w:lang w:eastAsia="en-US"/>
              </w:rPr>
              <w:t xml:space="preserve"> </w:t>
            </w:r>
            <w:r w:rsidRPr="00FD292C">
              <w:rPr>
                <w:rFonts w:eastAsia="Calibri" w:cs="Arial"/>
                <w:sz w:val="16"/>
                <w:szCs w:val="16"/>
                <w:vertAlign w:val="superscript"/>
                <w:lang w:eastAsia="en-US"/>
              </w:rPr>
              <w:t>(d)</w:t>
            </w:r>
          </w:p>
        </w:tc>
        <w:tc>
          <w:tcPr>
            <w:tcW w:w="2381" w:type="pct"/>
            <w:tcBorders>
              <w:top w:val="single" w:sz="4" w:space="0" w:color="auto"/>
              <w:left w:val="single" w:sz="4" w:space="0" w:color="auto"/>
              <w:bottom w:val="single" w:sz="4" w:space="0" w:color="auto"/>
              <w:right w:val="single" w:sz="4" w:space="0" w:color="auto"/>
            </w:tcBorders>
          </w:tcPr>
          <w:p w14:paraId="2E4D5632"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Reporting in each financial year shows 100% targets met and 100% contracted arrangements delivered</w:t>
            </w:r>
          </w:p>
          <w:p w14:paraId="67F076E8" w14:textId="77777777" w:rsidR="00115843" w:rsidRPr="00FD292C" w:rsidRDefault="00115843" w:rsidP="00FB0D02">
            <w:pPr>
              <w:spacing w:before="60" w:after="60"/>
              <w:ind w:right="-12"/>
              <w:rPr>
                <w:rFonts w:ascii="Arial" w:eastAsia="Calibri" w:hAnsi="Arial" w:cs="Arial"/>
                <w:sz w:val="16"/>
                <w:szCs w:val="16"/>
              </w:rPr>
            </w:pPr>
            <w:r w:rsidRPr="00FD292C">
              <w:rPr>
                <w:rFonts w:ascii="Arial" w:eastAsia="Calibri" w:hAnsi="Arial" w:cs="Arial"/>
                <w:sz w:val="16"/>
                <w:szCs w:val="16"/>
              </w:rPr>
              <w:t>Target met</w:t>
            </w:r>
          </w:p>
          <w:p w14:paraId="0F0E8BB5" w14:textId="5C048E93"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Our assessment of 2021–22 reporting determined that Telstra met 100% of its payment benchmarks under the contract performance obligations, which relate to it meeting connection and repair timeframes for telephone services and payphones</w:t>
            </w:r>
            <w:r w:rsidR="0019217D">
              <w:rPr>
                <w:rFonts w:ascii="Arial" w:eastAsia="Calibri" w:hAnsi="Arial" w:cs="Arial"/>
                <w:sz w:val="16"/>
                <w:szCs w:val="16"/>
              </w:rPr>
              <w:t>.</w:t>
            </w:r>
          </w:p>
        </w:tc>
      </w:tr>
      <w:tr w:rsidR="00115843" w:rsidRPr="001B2F81" w14:paraId="11AA6CF5" w14:textId="77777777" w:rsidTr="00FB0D02">
        <w:trPr>
          <w:cantSplit/>
          <w:trHeight w:val="642"/>
        </w:trPr>
        <w:tc>
          <w:tcPr>
            <w:tcW w:w="873" w:type="pct"/>
            <w:vMerge/>
            <w:tcBorders>
              <w:left w:val="single" w:sz="4" w:space="0" w:color="auto"/>
              <w:right w:val="single" w:sz="4" w:space="0" w:color="auto"/>
            </w:tcBorders>
          </w:tcPr>
          <w:p w14:paraId="292DED79"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1FC0A61" w14:textId="6CBE53CC"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Percentage of contractual arrangements for the Triple Zero Emergency Call Service delivered by Telstra</w:t>
            </w:r>
            <w:r w:rsidR="0019217D">
              <w:rPr>
                <w:rFonts w:eastAsia="Calibri" w:cs="Arial"/>
                <w:sz w:val="16"/>
                <w:szCs w:val="16"/>
                <w:lang w:eastAsia="en-US"/>
              </w:rPr>
              <w:t xml:space="preserve"> </w:t>
            </w:r>
            <w:r w:rsidRPr="00FD292C">
              <w:rPr>
                <w:rFonts w:eastAsia="Calibri" w:cs="Arial"/>
                <w:sz w:val="16"/>
                <w:szCs w:val="16"/>
                <w:vertAlign w:val="superscript"/>
                <w:lang w:eastAsia="en-US"/>
              </w:rPr>
              <w:t>(d)</w:t>
            </w:r>
          </w:p>
        </w:tc>
        <w:tc>
          <w:tcPr>
            <w:tcW w:w="2381" w:type="pct"/>
            <w:tcBorders>
              <w:top w:val="single" w:sz="4" w:space="0" w:color="auto"/>
              <w:left w:val="single" w:sz="4" w:space="0" w:color="auto"/>
              <w:bottom w:val="single" w:sz="4" w:space="0" w:color="auto"/>
              <w:right w:val="single" w:sz="4" w:space="0" w:color="auto"/>
            </w:tcBorders>
          </w:tcPr>
          <w:p w14:paraId="1D2719C3"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Reporting in each financial year shows 100% targets met and 100% contracted arrangements delivered</w:t>
            </w:r>
          </w:p>
          <w:p w14:paraId="0013FE3F"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met</w:t>
            </w:r>
          </w:p>
          <w:p w14:paraId="1A0D7767" w14:textId="785C787F"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Reporting in 2021—22 shows 100% delivered</w:t>
            </w:r>
            <w:r w:rsidR="0019217D">
              <w:rPr>
                <w:rFonts w:ascii="Arial" w:eastAsia="Calibri" w:hAnsi="Arial" w:cs="Arial"/>
                <w:sz w:val="16"/>
                <w:szCs w:val="16"/>
              </w:rPr>
              <w:t>.</w:t>
            </w:r>
          </w:p>
        </w:tc>
      </w:tr>
      <w:tr w:rsidR="00115843" w:rsidRPr="001B2F81" w14:paraId="62FE3EC3" w14:textId="77777777" w:rsidTr="00FB0D02">
        <w:trPr>
          <w:cantSplit/>
          <w:trHeight w:val="642"/>
        </w:trPr>
        <w:tc>
          <w:tcPr>
            <w:tcW w:w="873" w:type="pct"/>
            <w:vMerge/>
            <w:tcBorders>
              <w:left w:val="single" w:sz="4" w:space="0" w:color="auto"/>
              <w:right w:val="single" w:sz="4" w:space="0" w:color="auto"/>
            </w:tcBorders>
          </w:tcPr>
          <w:p w14:paraId="5222BF86"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A1A5B22"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Amount of new and improved mobile coverage delivered in regions under the Mobile Black Spot Program</w:t>
            </w:r>
          </w:p>
        </w:tc>
        <w:tc>
          <w:tcPr>
            <w:tcW w:w="2381" w:type="pct"/>
            <w:tcBorders>
              <w:top w:val="single" w:sz="4" w:space="0" w:color="auto"/>
              <w:left w:val="single" w:sz="4" w:space="0" w:color="auto"/>
              <w:bottom w:val="single" w:sz="4" w:space="0" w:color="auto"/>
              <w:right w:val="single" w:sz="4" w:space="0" w:color="auto"/>
            </w:tcBorders>
          </w:tcPr>
          <w:p w14:paraId="0026D463" w14:textId="209D41CC"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00115843" w:rsidRPr="00FD292C">
              <w:rPr>
                <w:rFonts w:ascii="Arial" w:eastAsia="Calibri" w:hAnsi="Arial" w:cs="Arial"/>
                <w:sz w:val="16"/>
                <w:szCs w:val="16"/>
              </w:rPr>
              <w:t>≥90% of total contracted (predictive) coverage is delivered through new assets, for which Asset Completion Reports (ACRs) are received in each financial year</w:t>
            </w:r>
          </w:p>
          <w:p w14:paraId="6CAE93CF"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met</w:t>
            </w:r>
          </w:p>
          <w:p w14:paraId="00694EBC" w14:textId="64528C62"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Actual: </w:t>
            </w:r>
            <w:r w:rsidR="00115843" w:rsidRPr="00FD292C">
              <w:rPr>
                <w:rFonts w:ascii="Arial" w:eastAsia="Calibri" w:hAnsi="Arial" w:cs="Arial"/>
                <w:sz w:val="16"/>
                <w:szCs w:val="16"/>
              </w:rPr>
              <w:t>Total new handheld coverage delivered exceeded the total contracted metric by 42% and the total number of premises to receive new mobile coverage exceeded the total contracted metric by 17%</w:t>
            </w:r>
            <w:r w:rsidR="0019217D">
              <w:rPr>
                <w:rFonts w:ascii="Arial" w:eastAsia="Calibri" w:hAnsi="Arial" w:cs="Arial"/>
                <w:sz w:val="16"/>
                <w:szCs w:val="16"/>
              </w:rPr>
              <w:t>.</w:t>
            </w:r>
          </w:p>
        </w:tc>
      </w:tr>
      <w:tr w:rsidR="00115843" w:rsidRPr="001B2F81" w14:paraId="4490C1F7" w14:textId="77777777" w:rsidTr="00FB0D02">
        <w:trPr>
          <w:cantSplit/>
          <w:trHeight w:val="642"/>
        </w:trPr>
        <w:tc>
          <w:tcPr>
            <w:tcW w:w="873" w:type="pct"/>
            <w:vMerge/>
            <w:tcBorders>
              <w:left w:val="single" w:sz="4" w:space="0" w:color="auto"/>
              <w:right w:val="single" w:sz="4" w:space="0" w:color="auto"/>
            </w:tcBorders>
          </w:tcPr>
          <w:p w14:paraId="4EBAAF15"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ADBA499"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Access to Viewer Access Satellite Television (VAST) for viewers in terrestrial blackspots, to receive direct-to-home free-to-air television safety net services</w:t>
            </w:r>
          </w:p>
        </w:tc>
        <w:tc>
          <w:tcPr>
            <w:tcW w:w="2381" w:type="pct"/>
            <w:tcBorders>
              <w:top w:val="single" w:sz="4" w:space="0" w:color="auto"/>
              <w:left w:val="single" w:sz="4" w:space="0" w:color="auto"/>
              <w:bottom w:val="single" w:sz="4" w:space="0" w:color="auto"/>
              <w:right w:val="single" w:sz="4" w:space="0" w:color="auto"/>
            </w:tcBorders>
          </w:tcPr>
          <w:p w14:paraId="074677F9" w14:textId="7EDBE267"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00115843" w:rsidRPr="00FD292C">
              <w:rPr>
                <w:rFonts w:ascii="Arial" w:eastAsia="Calibri" w:hAnsi="Arial" w:cs="Arial"/>
                <w:sz w:val="16"/>
                <w:szCs w:val="16"/>
              </w:rPr>
              <w:t>In each financial year, access maintained for ≥210,000 households</w:t>
            </w:r>
          </w:p>
          <w:p w14:paraId="35753EA2"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 xml:space="preserve">Target met </w:t>
            </w:r>
          </w:p>
          <w:p w14:paraId="6DF0A903" w14:textId="3D8806F2"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Actual: </w:t>
            </w:r>
            <w:r w:rsidR="00115843" w:rsidRPr="00FD292C">
              <w:rPr>
                <w:rFonts w:ascii="Arial" w:eastAsia="Calibri" w:hAnsi="Arial" w:cs="Arial"/>
                <w:sz w:val="16"/>
                <w:szCs w:val="16"/>
              </w:rPr>
              <w:t>At 30 June 2022, 252,644 households were registered for direct to home satellite television services through Viewer Access Satellite Television</w:t>
            </w:r>
            <w:r w:rsidR="0019217D">
              <w:rPr>
                <w:rFonts w:ascii="Arial" w:eastAsia="Calibri" w:hAnsi="Arial" w:cs="Arial"/>
                <w:sz w:val="16"/>
                <w:szCs w:val="16"/>
              </w:rPr>
              <w:t>.</w:t>
            </w:r>
          </w:p>
        </w:tc>
      </w:tr>
      <w:tr w:rsidR="00115843" w:rsidRPr="001B2F81" w14:paraId="203F0BF4" w14:textId="77777777" w:rsidTr="00FB0D02">
        <w:trPr>
          <w:cantSplit/>
          <w:trHeight w:val="642"/>
        </w:trPr>
        <w:tc>
          <w:tcPr>
            <w:tcW w:w="873" w:type="pct"/>
            <w:vMerge/>
            <w:tcBorders>
              <w:left w:val="single" w:sz="4" w:space="0" w:color="auto"/>
              <w:right w:val="single" w:sz="4" w:space="0" w:color="auto"/>
            </w:tcBorders>
          </w:tcPr>
          <w:p w14:paraId="006DED89"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43E5B37" w14:textId="09232465"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Number of online safety complaints by type, and percentage change</w:t>
            </w:r>
            <w:r w:rsidR="0019217D">
              <w:rPr>
                <w:rFonts w:eastAsia="Calibri" w:cs="Arial"/>
                <w:sz w:val="16"/>
                <w:szCs w:val="16"/>
                <w:lang w:eastAsia="en-US"/>
              </w:rPr>
              <w:t xml:space="preserve"> </w:t>
            </w:r>
            <w:r w:rsidRPr="00FD292C">
              <w:rPr>
                <w:rFonts w:eastAsia="Calibri" w:cs="Arial"/>
                <w:sz w:val="16"/>
                <w:szCs w:val="16"/>
                <w:vertAlign w:val="superscript"/>
                <w:lang w:eastAsia="en-US"/>
              </w:rPr>
              <w:t>(d)</w:t>
            </w:r>
          </w:p>
        </w:tc>
        <w:tc>
          <w:tcPr>
            <w:tcW w:w="2381" w:type="pct"/>
            <w:tcBorders>
              <w:top w:val="single" w:sz="4" w:space="0" w:color="auto"/>
              <w:left w:val="single" w:sz="4" w:space="0" w:color="auto"/>
              <w:bottom w:val="single" w:sz="4" w:space="0" w:color="auto"/>
              <w:right w:val="single" w:sz="4" w:space="0" w:color="auto"/>
            </w:tcBorders>
          </w:tcPr>
          <w:p w14:paraId="373E1A89"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Annual target setting is not appropriate as regulators respond to demand</w:t>
            </w:r>
          </w:p>
          <w:p w14:paraId="648CB8AC"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In 2021–22, eSafety received:</w:t>
            </w:r>
          </w:p>
          <w:p w14:paraId="059577CE" w14:textId="77777777" w:rsidR="00115843" w:rsidRPr="00FD292C" w:rsidRDefault="00115843" w:rsidP="00115843">
            <w:pPr>
              <w:pStyle w:val="ListParagraph"/>
              <w:numPr>
                <w:ilvl w:val="0"/>
                <w:numId w:val="224"/>
              </w:numPr>
              <w:spacing w:before="60" w:after="60" w:line="240" w:lineRule="auto"/>
              <w:ind w:right="-12"/>
              <w:rPr>
                <w:rFonts w:ascii="Arial" w:hAnsi="Arial" w:cs="Arial"/>
                <w:sz w:val="16"/>
                <w:szCs w:val="16"/>
                <w:lang w:val="en-AU" w:eastAsia="en-AU"/>
              </w:rPr>
            </w:pPr>
            <w:r w:rsidRPr="00FD292C">
              <w:rPr>
                <w:rFonts w:ascii="Arial" w:hAnsi="Arial" w:cs="Arial"/>
                <w:sz w:val="16"/>
                <w:szCs w:val="16"/>
                <w:lang w:val="en-AU" w:eastAsia="en-AU"/>
              </w:rPr>
              <w:t>1,542 cyber abuse complaints</w:t>
            </w:r>
          </w:p>
          <w:p w14:paraId="5221BABB" w14:textId="77777777" w:rsidR="00115843" w:rsidRPr="00FD292C" w:rsidRDefault="00115843" w:rsidP="00115843">
            <w:pPr>
              <w:pStyle w:val="ListParagraph"/>
              <w:numPr>
                <w:ilvl w:val="0"/>
                <w:numId w:val="224"/>
              </w:numPr>
              <w:spacing w:before="60" w:after="60" w:line="240" w:lineRule="auto"/>
              <w:ind w:right="-12"/>
              <w:rPr>
                <w:rFonts w:ascii="Arial" w:hAnsi="Arial" w:cs="Arial"/>
                <w:sz w:val="16"/>
                <w:szCs w:val="16"/>
                <w:lang w:val="en-AU" w:eastAsia="en-AU"/>
              </w:rPr>
            </w:pPr>
            <w:r w:rsidRPr="00FD292C">
              <w:rPr>
                <w:rFonts w:ascii="Arial" w:hAnsi="Arial" w:cs="Arial"/>
                <w:sz w:val="16"/>
                <w:szCs w:val="16"/>
                <w:lang w:val="en-AU" w:eastAsia="en-AU"/>
              </w:rPr>
              <w:t>4,169 image-based abuse complaints</w:t>
            </w:r>
          </w:p>
          <w:p w14:paraId="730567CE" w14:textId="77777777" w:rsidR="00115843" w:rsidRPr="00FD292C" w:rsidRDefault="00115843" w:rsidP="00115843">
            <w:pPr>
              <w:pStyle w:val="ListParagraph"/>
              <w:numPr>
                <w:ilvl w:val="0"/>
                <w:numId w:val="224"/>
              </w:numPr>
              <w:spacing w:before="60" w:after="60" w:line="240" w:lineRule="auto"/>
              <w:ind w:right="-12"/>
              <w:rPr>
                <w:rFonts w:ascii="Arial" w:hAnsi="Arial" w:cs="Arial"/>
                <w:sz w:val="16"/>
                <w:szCs w:val="16"/>
                <w:lang w:val="en-AU" w:eastAsia="en-AU"/>
              </w:rPr>
            </w:pPr>
            <w:r w:rsidRPr="00FD292C">
              <w:rPr>
                <w:rFonts w:ascii="Arial" w:hAnsi="Arial" w:cs="Arial"/>
                <w:sz w:val="16"/>
                <w:szCs w:val="16"/>
                <w:lang w:val="en-AU" w:eastAsia="en-AU"/>
              </w:rPr>
              <w:t>1,243 adult cyber abuse complaints</w:t>
            </w:r>
          </w:p>
          <w:p w14:paraId="316C3BCE" w14:textId="6DEF97A5" w:rsidR="00115843" w:rsidRPr="00FD292C" w:rsidRDefault="00115843" w:rsidP="00115843">
            <w:pPr>
              <w:pStyle w:val="ListParagraph"/>
              <w:numPr>
                <w:ilvl w:val="0"/>
                <w:numId w:val="224"/>
              </w:numPr>
              <w:spacing w:before="60" w:after="60" w:line="240" w:lineRule="auto"/>
              <w:ind w:right="-12"/>
              <w:rPr>
                <w:rFonts w:ascii="Arial" w:hAnsi="Arial" w:cs="Arial"/>
                <w:sz w:val="16"/>
                <w:szCs w:val="16"/>
                <w:lang w:val="en-AU" w:eastAsia="en-AU"/>
              </w:rPr>
            </w:pPr>
            <w:r w:rsidRPr="00FD292C">
              <w:rPr>
                <w:rFonts w:ascii="Arial" w:hAnsi="Arial" w:cs="Arial"/>
                <w:sz w:val="16"/>
                <w:szCs w:val="16"/>
                <w:lang w:val="en-AU" w:eastAsia="en-AU"/>
              </w:rPr>
              <w:t>6,978 reports about online content concerning 15,654 URLs</w:t>
            </w:r>
            <w:r w:rsidR="0019217D">
              <w:rPr>
                <w:rFonts w:ascii="Arial" w:hAnsi="Arial" w:cs="Arial"/>
                <w:sz w:val="16"/>
                <w:szCs w:val="16"/>
                <w:lang w:val="en-AU" w:eastAsia="en-AU"/>
              </w:rPr>
              <w:t>.</w:t>
            </w:r>
          </w:p>
        </w:tc>
      </w:tr>
      <w:tr w:rsidR="00115843" w:rsidRPr="001B2F81" w14:paraId="371DBEFE" w14:textId="77777777" w:rsidTr="00FB0D02">
        <w:trPr>
          <w:cantSplit/>
          <w:trHeight w:val="1934"/>
        </w:trPr>
        <w:tc>
          <w:tcPr>
            <w:tcW w:w="873" w:type="pct"/>
            <w:vMerge/>
            <w:tcBorders>
              <w:left w:val="single" w:sz="4" w:space="0" w:color="auto"/>
              <w:bottom w:val="single" w:sz="4" w:space="0" w:color="auto"/>
              <w:right w:val="single" w:sz="4" w:space="0" w:color="auto"/>
            </w:tcBorders>
          </w:tcPr>
          <w:p w14:paraId="2DBA595F" w14:textId="77777777" w:rsidR="00115843" w:rsidRPr="00FD292C"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1036129"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Affordability of telecommunications services (mobile and fixed) on offer</w:t>
            </w:r>
          </w:p>
        </w:tc>
        <w:tc>
          <w:tcPr>
            <w:tcW w:w="2381" w:type="pct"/>
            <w:tcBorders>
              <w:top w:val="single" w:sz="4" w:space="0" w:color="auto"/>
              <w:left w:val="single" w:sz="4" w:space="0" w:color="auto"/>
              <w:bottom w:val="single" w:sz="4" w:space="0" w:color="auto"/>
              <w:right w:val="single" w:sz="4" w:space="0" w:color="auto"/>
            </w:tcBorders>
          </w:tcPr>
          <w:p w14:paraId="59B33EF4" w14:textId="7CBB0388"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Target: </w:t>
            </w:r>
            <w:r w:rsidR="00115843" w:rsidRPr="00FD292C">
              <w:rPr>
                <w:rFonts w:ascii="Arial" w:eastAsia="Calibri" w:hAnsi="Arial" w:cs="Arial"/>
                <w:sz w:val="16"/>
                <w:szCs w:val="16"/>
              </w:rPr>
              <w:t>Reporting in each financial year indicates affordability is maintained or increased</w:t>
            </w:r>
          </w:p>
          <w:p w14:paraId="4C830768"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Target met</w:t>
            </w:r>
          </w:p>
          <w:p w14:paraId="59C008C8" w14:textId="3ACC9616" w:rsidR="00115843" w:rsidRPr="00FD292C" w:rsidRDefault="00FD292C" w:rsidP="00FB0D02">
            <w:pPr>
              <w:spacing w:before="60" w:after="60" w:line="240" w:lineRule="auto"/>
              <w:ind w:right="-12"/>
              <w:rPr>
                <w:rFonts w:ascii="Arial" w:eastAsia="Calibri" w:hAnsi="Arial" w:cs="Arial"/>
                <w:sz w:val="16"/>
                <w:szCs w:val="16"/>
              </w:rPr>
            </w:pPr>
            <w:r>
              <w:rPr>
                <w:rFonts w:ascii="Arial" w:eastAsia="Calibri" w:hAnsi="Arial" w:cs="Arial"/>
                <w:sz w:val="16"/>
                <w:szCs w:val="16"/>
              </w:rPr>
              <w:t xml:space="preserve">Actual: </w:t>
            </w:r>
            <w:r w:rsidR="00115843" w:rsidRPr="00FD292C">
              <w:rPr>
                <w:rFonts w:ascii="Arial" w:eastAsia="Calibri" w:hAnsi="Arial" w:cs="Arial"/>
                <w:sz w:val="16"/>
                <w:szCs w:val="16"/>
              </w:rPr>
              <w:t>Real price reductions to mobile and fixed-line plans have continued, albeit at a slower rate compared to previous years. Monitoring affordability of telecommunications remains important for ongoing awareness of digital inclusion, in particular for low income earners</w:t>
            </w:r>
            <w:r w:rsidR="0019217D">
              <w:rPr>
                <w:rFonts w:ascii="Arial" w:eastAsia="Calibri" w:hAnsi="Arial" w:cs="Arial"/>
                <w:sz w:val="16"/>
                <w:szCs w:val="16"/>
              </w:rPr>
              <w:t>.</w:t>
            </w:r>
          </w:p>
        </w:tc>
      </w:tr>
    </w:tbl>
    <w:p w14:paraId="0B34E40D" w14:textId="77777777" w:rsidR="00115843" w:rsidRDefault="00115843" w:rsidP="00115843">
      <w:pPr>
        <w:spacing w:after="0" w:line="240" w:lineRule="auto"/>
        <w:rPr>
          <w:rFonts w:ascii="Arial" w:hAnsi="Arial" w:cs="Arial"/>
          <w:sz w:val="16"/>
        </w:rPr>
      </w:pPr>
    </w:p>
    <w:p w14:paraId="071D8F08" w14:textId="77777777" w:rsidR="00115843" w:rsidRDefault="00115843" w:rsidP="00115843">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E1118D" w14:paraId="261977EB" w14:textId="77777777" w:rsidTr="00FB0D02">
        <w:trPr>
          <w:cantSplit/>
          <w:trHeight w:val="305"/>
        </w:trPr>
        <w:tc>
          <w:tcPr>
            <w:tcW w:w="873" w:type="pct"/>
            <w:tcBorders>
              <w:top w:val="double" w:sz="4" w:space="0" w:color="auto"/>
              <w:bottom w:val="single" w:sz="4" w:space="0" w:color="auto"/>
              <w:right w:val="single" w:sz="4" w:space="0" w:color="auto"/>
            </w:tcBorders>
          </w:tcPr>
          <w:p w14:paraId="1404E440" w14:textId="77777777" w:rsidR="00115843" w:rsidRPr="00CD1CF1" w:rsidRDefault="00115843" w:rsidP="00FB0D02">
            <w:pPr>
              <w:pStyle w:val="TableTextBase"/>
              <w:rPr>
                <w:sz w:val="16"/>
                <w:szCs w:val="16"/>
              </w:rPr>
            </w:pPr>
            <w:bookmarkStart w:id="36" w:name="_Hlk114146878"/>
            <w:r w:rsidRPr="00CD1CF1">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1AB52386" w14:textId="77777777" w:rsidR="00115843" w:rsidRPr="00CD1CF1" w:rsidRDefault="00115843" w:rsidP="00FB0D02">
            <w:pPr>
              <w:pStyle w:val="TableTextBase"/>
              <w:rPr>
                <w:rFonts w:eastAsia="Calibri" w:cs="Arial"/>
                <w:sz w:val="16"/>
                <w:szCs w:val="16"/>
                <w:lang w:eastAsia="en-US"/>
              </w:rPr>
            </w:pPr>
            <w:r w:rsidRPr="00CD1CF1">
              <w:rPr>
                <w:b/>
                <w:sz w:val="16"/>
                <w:szCs w:val="16"/>
              </w:rPr>
              <w:t>Performance measures</w:t>
            </w:r>
          </w:p>
        </w:tc>
        <w:tc>
          <w:tcPr>
            <w:tcW w:w="2381" w:type="pct"/>
            <w:tcBorders>
              <w:top w:val="double" w:sz="4" w:space="0" w:color="auto"/>
              <w:left w:val="single" w:sz="4" w:space="0" w:color="auto"/>
              <w:bottom w:val="single" w:sz="4" w:space="0" w:color="auto"/>
            </w:tcBorders>
          </w:tcPr>
          <w:p w14:paraId="32208EF7" w14:textId="77777777" w:rsidR="00115843" w:rsidRPr="00CD1CF1" w:rsidRDefault="00115843" w:rsidP="00FB0D02">
            <w:pPr>
              <w:spacing w:before="60" w:after="60" w:line="240" w:lineRule="auto"/>
              <w:ind w:right="-12"/>
              <w:rPr>
                <w:rFonts w:ascii="Arial" w:eastAsia="Calibri" w:hAnsi="Arial" w:cs="Arial"/>
                <w:sz w:val="16"/>
                <w:szCs w:val="16"/>
              </w:rPr>
            </w:pPr>
            <w:r w:rsidRPr="00CD1CF1">
              <w:rPr>
                <w:rFonts w:ascii="Arial" w:eastAsia="Calibri" w:hAnsi="Arial" w:cs="Arial"/>
                <w:b/>
                <w:sz w:val="16"/>
                <w:szCs w:val="16"/>
              </w:rPr>
              <w:t xml:space="preserve">Expected </w:t>
            </w:r>
            <w:r w:rsidRPr="00CD1CF1">
              <w:rPr>
                <w:rFonts w:ascii="Arial" w:hAnsi="Arial"/>
                <w:b/>
                <w:sz w:val="16"/>
                <w:szCs w:val="16"/>
              </w:rPr>
              <w:t>Performance Results</w:t>
            </w:r>
          </w:p>
        </w:tc>
      </w:tr>
      <w:tr w:rsidR="00115843" w:rsidRPr="00E1118D" w14:paraId="04197D8B" w14:textId="77777777" w:rsidTr="00FB0D02">
        <w:trPr>
          <w:cantSplit/>
          <w:trHeight w:val="305"/>
        </w:trPr>
        <w:tc>
          <w:tcPr>
            <w:tcW w:w="873" w:type="pct"/>
            <w:vMerge w:val="restart"/>
            <w:tcBorders>
              <w:top w:val="single" w:sz="4" w:space="0" w:color="auto"/>
              <w:left w:val="single" w:sz="4" w:space="0" w:color="auto"/>
              <w:right w:val="single" w:sz="4" w:space="0" w:color="auto"/>
            </w:tcBorders>
          </w:tcPr>
          <w:p w14:paraId="3A1A3236" w14:textId="77777777" w:rsidR="00115843" w:rsidRPr="00FD292C" w:rsidRDefault="00115843" w:rsidP="00FB0D02">
            <w:pPr>
              <w:pStyle w:val="TableTextBase"/>
              <w:rPr>
                <w:sz w:val="16"/>
                <w:szCs w:val="16"/>
              </w:rPr>
            </w:pPr>
            <w:bookmarkStart w:id="37" w:name="_Hlk115709989"/>
            <w:bookmarkEnd w:id="36"/>
            <w:r w:rsidRPr="00FD292C">
              <w:rPr>
                <w:sz w:val="16"/>
                <w:szCs w:val="16"/>
              </w:rPr>
              <w:t>Prior year</w:t>
            </w:r>
            <w:r w:rsidRPr="00FD292C">
              <w:rPr>
                <w:sz w:val="16"/>
                <w:szCs w:val="16"/>
              </w:rPr>
              <w:br/>
              <w:t>2021–22 cont.</w:t>
            </w:r>
          </w:p>
        </w:tc>
        <w:tc>
          <w:tcPr>
            <w:tcW w:w="1746" w:type="pct"/>
            <w:tcBorders>
              <w:top w:val="single" w:sz="4" w:space="0" w:color="auto"/>
              <w:left w:val="single" w:sz="4" w:space="0" w:color="auto"/>
              <w:bottom w:val="single" w:sz="4" w:space="0" w:color="auto"/>
              <w:right w:val="single" w:sz="4" w:space="0" w:color="auto"/>
            </w:tcBorders>
          </w:tcPr>
          <w:p w14:paraId="1A05122B" w14:textId="77777777" w:rsidR="00115843" w:rsidRPr="00FD292C" w:rsidRDefault="00115843" w:rsidP="00FB0D02">
            <w:pPr>
              <w:pStyle w:val="TableTextBase"/>
              <w:rPr>
                <w:sz w:val="16"/>
                <w:szCs w:val="16"/>
              </w:rPr>
            </w:pPr>
            <w:r w:rsidRPr="00FD292C">
              <w:rPr>
                <w:sz w:val="16"/>
                <w:szCs w:val="16"/>
              </w:rPr>
              <w:t xml:space="preserve">Access to communications for people with a disability, indicated through: </w:t>
            </w:r>
          </w:p>
          <w:p w14:paraId="4F96B936" w14:textId="77777777" w:rsidR="00115843" w:rsidRPr="00FD292C" w:rsidRDefault="00115843" w:rsidP="00115843">
            <w:pPr>
              <w:numPr>
                <w:ilvl w:val="0"/>
                <w:numId w:val="225"/>
              </w:numPr>
              <w:spacing w:before="60" w:after="60" w:line="240" w:lineRule="auto"/>
              <w:contextualSpacing/>
              <w:rPr>
                <w:rFonts w:ascii="Arial" w:hAnsi="Arial"/>
                <w:sz w:val="16"/>
                <w:szCs w:val="16"/>
              </w:rPr>
            </w:pPr>
            <w:r w:rsidRPr="00FD292C">
              <w:rPr>
                <w:rFonts w:ascii="Arial" w:hAnsi="Arial"/>
                <w:sz w:val="16"/>
                <w:szCs w:val="16"/>
              </w:rPr>
              <w:t>National Relay Service performance quarterly reports on user numbers</w:t>
            </w:r>
          </w:p>
          <w:p w14:paraId="644C324B" w14:textId="77777777" w:rsidR="00115843" w:rsidRPr="00FD292C" w:rsidRDefault="00115843" w:rsidP="00115843">
            <w:pPr>
              <w:numPr>
                <w:ilvl w:val="0"/>
                <w:numId w:val="225"/>
              </w:numPr>
              <w:spacing w:before="60" w:after="60" w:line="240" w:lineRule="auto"/>
              <w:contextualSpacing/>
              <w:rPr>
                <w:rFonts w:ascii="Arial" w:hAnsi="Arial"/>
                <w:sz w:val="16"/>
                <w:szCs w:val="16"/>
              </w:rPr>
            </w:pPr>
            <w:r w:rsidRPr="00FD292C">
              <w:rPr>
                <w:rFonts w:ascii="Arial" w:hAnsi="Arial"/>
                <w:sz w:val="16"/>
                <w:szCs w:val="16"/>
              </w:rPr>
              <w:t>audio description implementation by the national broadcasters</w:t>
            </w:r>
          </w:p>
          <w:p w14:paraId="5A3253BE" w14:textId="77777777" w:rsidR="00115843" w:rsidRPr="00FD292C" w:rsidRDefault="00115843" w:rsidP="00115843">
            <w:pPr>
              <w:numPr>
                <w:ilvl w:val="0"/>
                <w:numId w:val="225"/>
              </w:numPr>
              <w:spacing w:before="60" w:after="60" w:line="240" w:lineRule="auto"/>
              <w:contextualSpacing/>
              <w:rPr>
                <w:rFonts w:ascii="Arial" w:hAnsi="Arial"/>
                <w:sz w:val="16"/>
                <w:szCs w:val="16"/>
              </w:rPr>
            </w:pPr>
            <w:r w:rsidRPr="00FD292C">
              <w:rPr>
                <w:rFonts w:ascii="Arial" w:hAnsi="Arial"/>
                <w:sz w:val="16"/>
                <w:szCs w:val="16"/>
              </w:rPr>
              <w:t>broadcaster captioning compliance</w:t>
            </w:r>
          </w:p>
        </w:tc>
        <w:tc>
          <w:tcPr>
            <w:tcW w:w="2381" w:type="pct"/>
            <w:tcBorders>
              <w:top w:val="single" w:sz="4" w:space="0" w:color="auto"/>
              <w:left w:val="single" w:sz="4" w:space="0" w:color="auto"/>
              <w:bottom w:val="single" w:sz="4" w:space="0" w:color="auto"/>
              <w:right w:val="single" w:sz="4" w:space="0" w:color="auto"/>
            </w:tcBorders>
          </w:tcPr>
          <w:p w14:paraId="57C37A76" w14:textId="10AD4E94" w:rsidR="00115843" w:rsidRPr="00FD292C" w:rsidRDefault="00FD292C" w:rsidP="00FB0D02">
            <w:pPr>
              <w:spacing w:before="60" w:after="60" w:line="240" w:lineRule="auto"/>
              <w:ind w:right="-12"/>
              <w:rPr>
                <w:rFonts w:ascii="Arial" w:hAnsi="Arial"/>
                <w:sz w:val="16"/>
                <w:szCs w:val="16"/>
              </w:rPr>
            </w:pPr>
            <w:r>
              <w:rPr>
                <w:rFonts w:ascii="Arial" w:hAnsi="Arial"/>
                <w:sz w:val="16"/>
                <w:szCs w:val="16"/>
              </w:rPr>
              <w:t xml:space="preserve">Target: </w:t>
            </w:r>
            <w:r w:rsidR="00115843" w:rsidRPr="00FD292C">
              <w:rPr>
                <w:rFonts w:ascii="Arial" w:hAnsi="Arial"/>
                <w:sz w:val="16"/>
                <w:szCs w:val="16"/>
              </w:rPr>
              <w:t>Reporting in each financial year indicates access is maintained or increased</w:t>
            </w:r>
          </w:p>
          <w:p w14:paraId="013DE3ED"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Target met</w:t>
            </w:r>
          </w:p>
          <w:p w14:paraId="3E5DB385" w14:textId="3EA71E91" w:rsidR="00115843" w:rsidRPr="00FD292C" w:rsidRDefault="00FD292C" w:rsidP="00FB0D02">
            <w:pPr>
              <w:spacing w:before="60" w:after="60" w:line="240" w:lineRule="auto"/>
              <w:ind w:right="-12"/>
              <w:rPr>
                <w:rFonts w:ascii="Arial" w:hAnsi="Arial"/>
                <w:sz w:val="16"/>
                <w:szCs w:val="16"/>
              </w:rPr>
            </w:pPr>
            <w:r>
              <w:rPr>
                <w:rFonts w:ascii="Arial" w:hAnsi="Arial"/>
                <w:sz w:val="16"/>
                <w:szCs w:val="16"/>
              </w:rPr>
              <w:t xml:space="preserve">Actual: </w:t>
            </w:r>
            <w:r w:rsidR="00115843" w:rsidRPr="00FD292C">
              <w:rPr>
                <w:rFonts w:ascii="Arial" w:hAnsi="Arial"/>
                <w:sz w:val="16"/>
                <w:szCs w:val="16"/>
              </w:rPr>
              <w:t>We maintained the impact of our programs in 2021–22</w:t>
            </w:r>
            <w:r w:rsidR="0019217D">
              <w:rPr>
                <w:rFonts w:ascii="Arial" w:hAnsi="Arial"/>
                <w:sz w:val="16"/>
                <w:szCs w:val="16"/>
              </w:rPr>
              <w:t>.</w:t>
            </w:r>
          </w:p>
          <w:p w14:paraId="2BBCC68B" w14:textId="2A01DD5D"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The amount of audio description provided by the Australian Broadcasting Corporation (ABC) and Special Broadcasting Service (SBS) increased during 2021–22</w:t>
            </w:r>
            <w:r w:rsidR="0019217D">
              <w:rPr>
                <w:rFonts w:ascii="Arial" w:hAnsi="Arial"/>
                <w:sz w:val="16"/>
                <w:szCs w:val="16"/>
              </w:rPr>
              <w:t>.</w:t>
            </w:r>
          </w:p>
        </w:tc>
      </w:tr>
      <w:tr w:rsidR="00115843" w:rsidRPr="00E1118D" w14:paraId="07B6AD2A" w14:textId="77777777" w:rsidTr="00FB0D02">
        <w:trPr>
          <w:cantSplit/>
          <w:trHeight w:val="305"/>
        </w:trPr>
        <w:tc>
          <w:tcPr>
            <w:tcW w:w="873" w:type="pct"/>
            <w:vMerge/>
            <w:tcBorders>
              <w:left w:val="single" w:sz="4" w:space="0" w:color="auto"/>
              <w:right w:val="single" w:sz="4" w:space="0" w:color="auto"/>
            </w:tcBorders>
          </w:tcPr>
          <w:p w14:paraId="60F1F611"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D79C956" w14:textId="77777777" w:rsidR="00115843" w:rsidRPr="00FD292C" w:rsidRDefault="00115843" w:rsidP="00FB0D02">
            <w:pPr>
              <w:pStyle w:val="TableTextBase"/>
              <w:rPr>
                <w:sz w:val="16"/>
                <w:szCs w:val="16"/>
              </w:rPr>
            </w:pPr>
            <w:r w:rsidRPr="00FD292C">
              <w:rPr>
                <w:sz w:val="16"/>
                <w:szCs w:val="16"/>
              </w:rPr>
              <w:t>Complaints data: post</w:t>
            </w:r>
          </w:p>
        </w:tc>
        <w:tc>
          <w:tcPr>
            <w:tcW w:w="2381" w:type="pct"/>
            <w:tcBorders>
              <w:top w:val="single" w:sz="4" w:space="0" w:color="auto"/>
              <w:left w:val="single" w:sz="4" w:space="0" w:color="auto"/>
              <w:bottom w:val="single" w:sz="4" w:space="0" w:color="auto"/>
              <w:right w:val="single" w:sz="4" w:space="0" w:color="auto"/>
            </w:tcBorders>
          </w:tcPr>
          <w:p w14:paraId="042DB5F2"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Reporting in 2021–22 shows maintained or improved consumer experience</w:t>
            </w:r>
          </w:p>
          <w:p w14:paraId="68A9C640"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Data not available</w:t>
            </w:r>
          </w:p>
          <w:p w14:paraId="54276E13" w14:textId="3F6F3181"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Data was not available for quarter 4 at the time of reporting</w:t>
            </w:r>
            <w:r w:rsidR="0019217D">
              <w:rPr>
                <w:rFonts w:ascii="Arial" w:hAnsi="Arial"/>
                <w:sz w:val="16"/>
                <w:szCs w:val="16"/>
              </w:rPr>
              <w:t>.</w:t>
            </w:r>
          </w:p>
        </w:tc>
      </w:tr>
      <w:tr w:rsidR="00115843" w:rsidRPr="00E1118D" w14:paraId="4647EBA8" w14:textId="77777777" w:rsidTr="00FB0D02">
        <w:trPr>
          <w:cantSplit/>
          <w:trHeight w:val="305"/>
        </w:trPr>
        <w:tc>
          <w:tcPr>
            <w:tcW w:w="873" w:type="pct"/>
            <w:vMerge/>
            <w:tcBorders>
              <w:left w:val="single" w:sz="4" w:space="0" w:color="auto"/>
              <w:right w:val="single" w:sz="4" w:space="0" w:color="auto"/>
            </w:tcBorders>
          </w:tcPr>
          <w:p w14:paraId="061DEB12"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4CFB79A" w14:textId="77777777" w:rsidR="00115843" w:rsidRPr="00FD292C" w:rsidRDefault="00115843" w:rsidP="00FB0D02">
            <w:pPr>
              <w:pStyle w:val="TableTextBase"/>
              <w:rPr>
                <w:sz w:val="16"/>
                <w:szCs w:val="16"/>
              </w:rPr>
            </w:pPr>
            <w:r w:rsidRPr="00FD292C">
              <w:rPr>
                <w:sz w:val="16"/>
                <w:szCs w:val="16"/>
              </w:rPr>
              <w:t>Complaints data: telecommunications</w:t>
            </w:r>
          </w:p>
        </w:tc>
        <w:tc>
          <w:tcPr>
            <w:tcW w:w="2381" w:type="pct"/>
            <w:tcBorders>
              <w:top w:val="single" w:sz="4" w:space="0" w:color="auto"/>
              <w:left w:val="single" w:sz="4" w:space="0" w:color="auto"/>
              <w:bottom w:val="single" w:sz="4" w:space="0" w:color="auto"/>
              <w:right w:val="single" w:sz="4" w:space="0" w:color="auto"/>
            </w:tcBorders>
          </w:tcPr>
          <w:p w14:paraId="6FC37346"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Reporting in 2021–22 shows maintained or improved consumer experience</w:t>
            </w:r>
          </w:p>
          <w:p w14:paraId="382A2696" w14:textId="5B1B9ADF"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Data not available</w:t>
            </w:r>
          </w:p>
          <w:p w14:paraId="44172088" w14:textId="7DB1547C"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Data was not available for quarter 4 at the time of reporting. Complaints figures in quarter 1, quarter 2 and quarter 3 during 2021–22 were equal to or lower than the equivalent periods in 2020–21</w:t>
            </w:r>
            <w:r w:rsidR="0019217D">
              <w:rPr>
                <w:rFonts w:ascii="Arial" w:hAnsi="Arial"/>
                <w:sz w:val="16"/>
                <w:szCs w:val="16"/>
              </w:rPr>
              <w:t>.</w:t>
            </w:r>
          </w:p>
        </w:tc>
      </w:tr>
      <w:tr w:rsidR="00115843" w:rsidRPr="00E1118D" w14:paraId="376688BC" w14:textId="77777777" w:rsidTr="00FB0D02">
        <w:trPr>
          <w:cantSplit/>
          <w:trHeight w:val="305"/>
        </w:trPr>
        <w:tc>
          <w:tcPr>
            <w:tcW w:w="873" w:type="pct"/>
            <w:vMerge/>
            <w:tcBorders>
              <w:left w:val="single" w:sz="4" w:space="0" w:color="auto"/>
              <w:right w:val="single" w:sz="4" w:space="0" w:color="auto"/>
            </w:tcBorders>
          </w:tcPr>
          <w:p w14:paraId="5028553C"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5413583C" w14:textId="75A80AB6" w:rsidR="00115843" w:rsidRPr="00FD292C" w:rsidRDefault="00115843" w:rsidP="0019217D">
            <w:pPr>
              <w:pStyle w:val="TableTextBase"/>
              <w:rPr>
                <w:sz w:val="16"/>
                <w:szCs w:val="16"/>
              </w:rPr>
            </w:pPr>
            <w:r w:rsidRPr="00FD292C">
              <w:rPr>
                <w:sz w:val="16"/>
                <w:szCs w:val="16"/>
              </w:rPr>
              <w:t>NBN consumer experience</w:t>
            </w:r>
            <w:r w:rsidR="0019217D">
              <w:rPr>
                <w:sz w:val="16"/>
                <w:szCs w:val="16"/>
              </w:rPr>
              <w:t xml:space="preserve"> </w:t>
            </w:r>
            <w:r w:rsidRPr="00FD292C">
              <w:rPr>
                <w:sz w:val="16"/>
                <w:szCs w:val="16"/>
                <w:vertAlign w:val="superscript"/>
              </w:rPr>
              <w:t>(d)</w:t>
            </w:r>
          </w:p>
        </w:tc>
        <w:tc>
          <w:tcPr>
            <w:tcW w:w="2381" w:type="pct"/>
            <w:tcBorders>
              <w:top w:val="single" w:sz="4" w:space="0" w:color="auto"/>
              <w:left w:val="single" w:sz="4" w:space="0" w:color="auto"/>
              <w:bottom w:val="single" w:sz="4" w:space="0" w:color="auto"/>
              <w:right w:val="single" w:sz="4" w:space="0" w:color="auto"/>
            </w:tcBorders>
          </w:tcPr>
          <w:p w14:paraId="052CE3F2"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Reporting in each financial year shows positive consumer experience</w:t>
            </w:r>
          </w:p>
          <w:p w14:paraId="26316ED7"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Target met</w:t>
            </w:r>
          </w:p>
          <w:p w14:paraId="51760339" w14:textId="77172605"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Data shows that NBN consumer experience metrics met expected performance levels during 2021–22</w:t>
            </w:r>
            <w:r w:rsidR="0019217D">
              <w:rPr>
                <w:rFonts w:ascii="Arial" w:hAnsi="Arial"/>
                <w:sz w:val="16"/>
                <w:szCs w:val="16"/>
              </w:rPr>
              <w:t>.</w:t>
            </w:r>
          </w:p>
        </w:tc>
      </w:tr>
      <w:tr w:rsidR="00115843" w:rsidRPr="00E1118D" w14:paraId="3A834461" w14:textId="77777777" w:rsidTr="00FB0D02">
        <w:trPr>
          <w:cantSplit/>
          <w:trHeight w:val="305"/>
        </w:trPr>
        <w:tc>
          <w:tcPr>
            <w:tcW w:w="873" w:type="pct"/>
            <w:vMerge/>
            <w:tcBorders>
              <w:left w:val="single" w:sz="4" w:space="0" w:color="auto"/>
              <w:right w:val="single" w:sz="4" w:space="0" w:color="auto"/>
            </w:tcBorders>
          </w:tcPr>
          <w:p w14:paraId="739864C4"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385EB68E" w14:textId="7D8A2FF3" w:rsidR="00115843" w:rsidRPr="00FD292C" w:rsidRDefault="00115843" w:rsidP="00FB0D02">
            <w:pPr>
              <w:pStyle w:val="TableTextBase"/>
              <w:rPr>
                <w:sz w:val="16"/>
                <w:szCs w:val="16"/>
              </w:rPr>
            </w:pPr>
            <w:r w:rsidRPr="00FD292C">
              <w:rPr>
                <w:sz w:val="16"/>
                <w:szCs w:val="16"/>
              </w:rPr>
              <w:t>Percentage of premises in fixed line areas able to access gigabit speeds</w:t>
            </w:r>
            <w:r w:rsidR="0019217D">
              <w:rPr>
                <w:sz w:val="16"/>
                <w:szCs w:val="16"/>
              </w:rPr>
              <w:t xml:space="preserve"> </w:t>
            </w:r>
            <w:r w:rsidRPr="00FD292C">
              <w:rPr>
                <w:sz w:val="16"/>
                <w:szCs w:val="16"/>
                <w:vertAlign w:val="superscript"/>
              </w:rPr>
              <w:t>(d)</w:t>
            </w:r>
          </w:p>
        </w:tc>
        <w:tc>
          <w:tcPr>
            <w:tcW w:w="2381" w:type="pct"/>
            <w:tcBorders>
              <w:top w:val="single" w:sz="4" w:space="0" w:color="auto"/>
              <w:left w:val="single" w:sz="4" w:space="0" w:color="auto"/>
              <w:bottom w:val="single" w:sz="4" w:space="0" w:color="auto"/>
              <w:right w:val="single" w:sz="4" w:space="0" w:color="auto"/>
            </w:tcBorders>
          </w:tcPr>
          <w:p w14:paraId="248E2919" w14:textId="764F4C9F" w:rsidR="00115843" w:rsidRPr="00FD292C" w:rsidRDefault="00FD292C" w:rsidP="00FB0D02">
            <w:pPr>
              <w:spacing w:before="60" w:after="60" w:line="240" w:lineRule="auto"/>
              <w:ind w:right="-12"/>
              <w:rPr>
                <w:rFonts w:ascii="Arial" w:hAnsi="Arial"/>
                <w:sz w:val="16"/>
                <w:szCs w:val="16"/>
              </w:rPr>
            </w:pPr>
            <w:r>
              <w:rPr>
                <w:rFonts w:ascii="Arial" w:hAnsi="Arial"/>
                <w:sz w:val="16"/>
                <w:szCs w:val="16"/>
              </w:rPr>
              <w:t xml:space="preserve">Target: </w:t>
            </w:r>
            <w:r w:rsidR="00115843" w:rsidRPr="00FD292C">
              <w:rPr>
                <w:rFonts w:ascii="Arial" w:hAnsi="Arial"/>
                <w:sz w:val="16"/>
                <w:szCs w:val="16"/>
              </w:rPr>
              <w:t>75% of the fixed line NBN enabled for gigabit speeds by 2023</w:t>
            </w:r>
          </w:p>
          <w:p w14:paraId="7CCB70CE"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Target not met</w:t>
            </w:r>
          </w:p>
          <w:p w14:paraId="23B38F0A" w14:textId="7D2BFE97" w:rsidR="00115843" w:rsidRPr="00FD292C" w:rsidRDefault="00FD292C" w:rsidP="00FB0D02">
            <w:pPr>
              <w:spacing w:before="60" w:after="60" w:line="240" w:lineRule="auto"/>
              <w:ind w:right="-12"/>
              <w:rPr>
                <w:rFonts w:ascii="Arial" w:hAnsi="Arial"/>
                <w:sz w:val="16"/>
                <w:szCs w:val="16"/>
              </w:rPr>
            </w:pPr>
            <w:r>
              <w:rPr>
                <w:rFonts w:ascii="Arial" w:hAnsi="Arial"/>
                <w:sz w:val="16"/>
                <w:szCs w:val="16"/>
              </w:rPr>
              <w:t xml:space="preserve">Actual: </w:t>
            </w:r>
            <w:r w:rsidR="00115843" w:rsidRPr="00FD292C">
              <w:rPr>
                <w:rFonts w:ascii="Arial" w:hAnsi="Arial"/>
                <w:sz w:val="16"/>
                <w:szCs w:val="16"/>
              </w:rPr>
              <w:t>NBN Co reports that as at 30 June 2022, the number of premises in the fixed line footprint able to access gigabit speeds is 5.1 million, or approximately 48%.</w:t>
            </w:r>
          </w:p>
        </w:tc>
      </w:tr>
      <w:bookmarkEnd w:id="37"/>
      <w:tr w:rsidR="00115843" w:rsidRPr="00E1118D" w14:paraId="7904025A" w14:textId="77777777" w:rsidTr="00FB0D02">
        <w:trPr>
          <w:cantSplit/>
          <w:trHeight w:val="305"/>
        </w:trPr>
        <w:tc>
          <w:tcPr>
            <w:tcW w:w="873" w:type="pct"/>
            <w:vMerge/>
            <w:tcBorders>
              <w:left w:val="single" w:sz="4" w:space="0" w:color="auto"/>
              <w:bottom w:val="single" w:sz="4" w:space="0" w:color="auto"/>
              <w:right w:val="single" w:sz="4" w:space="0" w:color="auto"/>
            </w:tcBorders>
          </w:tcPr>
          <w:p w14:paraId="58E31D98"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5E056C10" w14:textId="79448212" w:rsidR="00115843" w:rsidRPr="00FD292C" w:rsidRDefault="00115843" w:rsidP="0019217D">
            <w:pPr>
              <w:pStyle w:val="TableTextBase"/>
              <w:rPr>
                <w:sz w:val="16"/>
                <w:szCs w:val="16"/>
              </w:rPr>
            </w:pPr>
            <w:r w:rsidRPr="00FD292C">
              <w:rPr>
                <w:sz w:val="16"/>
                <w:szCs w:val="16"/>
              </w:rPr>
              <w:t>NBN complex connection premises completed</w:t>
            </w:r>
            <w:r w:rsidR="0019217D">
              <w:rPr>
                <w:sz w:val="16"/>
                <w:szCs w:val="16"/>
              </w:rPr>
              <w:t xml:space="preserve"> </w:t>
            </w:r>
            <w:r w:rsidRPr="00FD292C">
              <w:rPr>
                <w:sz w:val="16"/>
                <w:szCs w:val="16"/>
                <w:vertAlign w:val="superscript"/>
              </w:rPr>
              <w:t>(d)</w:t>
            </w:r>
          </w:p>
        </w:tc>
        <w:tc>
          <w:tcPr>
            <w:tcW w:w="2381" w:type="pct"/>
            <w:tcBorders>
              <w:top w:val="single" w:sz="4" w:space="0" w:color="auto"/>
              <w:left w:val="single" w:sz="4" w:space="0" w:color="auto"/>
              <w:bottom w:val="single" w:sz="4" w:space="0" w:color="auto"/>
              <w:right w:val="single" w:sz="4" w:space="0" w:color="auto"/>
            </w:tcBorders>
          </w:tcPr>
          <w:p w14:paraId="110F90A2" w14:textId="4E3FE458" w:rsidR="00115843" w:rsidRPr="00FD292C" w:rsidRDefault="00FD292C" w:rsidP="00FB0D02">
            <w:pPr>
              <w:spacing w:before="60" w:after="60" w:line="240" w:lineRule="auto"/>
              <w:ind w:right="-12"/>
              <w:rPr>
                <w:rFonts w:ascii="Arial" w:hAnsi="Arial"/>
                <w:sz w:val="16"/>
                <w:szCs w:val="16"/>
              </w:rPr>
            </w:pPr>
            <w:r>
              <w:rPr>
                <w:rFonts w:ascii="Arial" w:hAnsi="Arial"/>
                <w:sz w:val="16"/>
                <w:szCs w:val="16"/>
              </w:rPr>
              <w:t xml:space="preserve">Target: </w:t>
            </w:r>
            <w:r w:rsidR="00115843" w:rsidRPr="00FD292C">
              <w:rPr>
                <w:rFonts w:ascii="Arial" w:hAnsi="Arial"/>
                <w:sz w:val="16"/>
                <w:szCs w:val="16"/>
              </w:rPr>
              <w:t>Reduction to zero of complex connections premises (Yet to Ready-to-Connect)</w:t>
            </w:r>
          </w:p>
          <w:p w14:paraId="1D2C6322"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Target partially met</w:t>
            </w:r>
          </w:p>
          <w:p w14:paraId="4AE3BF61" w14:textId="5671776B" w:rsidR="00115843" w:rsidRPr="00FD292C" w:rsidRDefault="00FD292C" w:rsidP="00FB0D02">
            <w:pPr>
              <w:spacing w:before="60" w:after="60" w:line="240" w:lineRule="auto"/>
              <w:ind w:right="-12"/>
              <w:rPr>
                <w:rFonts w:ascii="Arial" w:hAnsi="Arial"/>
                <w:sz w:val="16"/>
                <w:szCs w:val="16"/>
              </w:rPr>
            </w:pPr>
            <w:r>
              <w:rPr>
                <w:rFonts w:ascii="Arial" w:hAnsi="Arial"/>
                <w:sz w:val="16"/>
                <w:szCs w:val="16"/>
              </w:rPr>
              <w:t xml:space="preserve">Actual: </w:t>
            </w:r>
            <w:r w:rsidR="00115843" w:rsidRPr="00FD292C">
              <w:rPr>
                <w:rFonts w:ascii="Arial" w:hAnsi="Arial"/>
                <w:sz w:val="16"/>
                <w:szCs w:val="16"/>
              </w:rPr>
              <w:t>NBN Co had reduced complex connections from less than 12,000 at 30 June 2021 to around 5,600 at 30 June 2022</w:t>
            </w:r>
            <w:r w:rsidR="0019217D">
              <w:rPr>
                <w:rFonts w:ascii="Arial" w:hAnsi="Arial"/>
                <w:sz w:val="16"/>
                <w:szCs w:val="16"/>
              </w:rPr>
              <w:t>.</w:t>
            </w:r>
          </w:p>
          <w:p w14:paraId="1E31D6A4" w14:textId="3C57338F"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NBN Co completed over half of the remaining complex connections during 2021–22, but was not able to meet the target of reducing complex connections to zero due to delays in the rollout of fixed-line services in Parramatta (due to outstanding heritage approvals) and delays in fixed wireless towers going live</w:t>
            </w:r>
            <w:r w:rsidR="0019217D">
              <w:rPr>
                <w:rFonts w:ascii="Arial" w:hAnsi="Arial"/>
                <w:sz w:val="16"/>
                <w:szCs w:val="16"/>
              </w:rPr>
              <w:t>.</w:t>
            </w:r>
          </w:p>
        </w:tc>
      </w:tr>
    </w:tbl>
    <w:p w14:paraId="29DB406A"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E1118D" w14:paraId="2F8622BE" w14:textId="77777777" w:rsidTr="00FB0D02">
        <w:trPr>
          <w:cantSplit/>
          <w:trHeight w:val="305"/>
        </w:trPr>
        <w:tc>
          <w:tcPr>
            <w:tcW w:w="873" w:type="pct"/>
            <w:tcBorders>
              <w:top w:val="double" w:sz="4" w:space="0" w:color="auto"/>
              <w:bottom w:val="single" w:sz="4" w:space="0" w:color="auto"/>
              <w:right w:val="single" w:sz="4" w:space="0" w:color="auto"/>
            </w:tcBorders>
          </w:tcPr>
          <w:p w14:paraId="5B42F6F3" w14:textId="77777777" w:rsidR="00115843" w:rsidRPr="00CD1CF1" w:rsidRDefault="00115843" w:rsidP="00FB0D02">
            <w:pPr>
              <w:pStyle w:val="TableTextBase"/>
              <w:rPr>
                <w:sz w:val="16"/>
                <w:szCs w:val="16"/>
              </w:rPr>
            </w:pPr>
            <w:r w:rsidRPr="00CD1CF1">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3308BD51" w14:textId="77777777" w:rsidR="00115843" w:rsidRPr="00CD1CF1" w:rsidRDefault="00115843" w:rsidP="00FB0D02">
            <w:pPr>
              <w:pStyle w:val="TableTextBase"/>
              <w:rPr>
                <w:rFonts w:eastAsia="Calibri" w:cs="Arial"/>
                <w:sz w:val="16"/>
                <w:szCs w:val="16"/>
                <w:lang w:eastAsia="en-US"/>
              </w:rPr>
            </w:pPr>
            <w:r w:rsidRPr="00CD1CF1">
              <w:rPr>
                <w:b/>
                <w:sz w:val="16"/>
                <w:szCs w:val="16"/>
              </w:rPr>
              <w:t>Performance measures</w:t>
            </w:r>
          </w:p>
        </w:tc>
        <w:tc>
          <w:tcPr>
            <w:tcW w:w="2381" w:type="pct"/>
            <w:tcBorders>
              <w:top w:val="double" w:sz="4" w:space="0" w:color="auto"/>
              <w:left w:val="single" w:sz="4" w:space="0" w:color="auto"/>
              <w:bottom w:val="single" w:sz="4" w:space="0" w:color="auto"/>
            </w:tcBorders>
          </w:tcPr>
          <w:p w14:paraId="71539B9F" w14:textId="77777777" w:rsidR="00115843" w:rsidRPr="00E1118D" w:rsidRDefault="00115843" w:rsidP="00FB0D02">
            <w:pPr>
              <w:spacing w:before="60" w:after="60" w:line="240" w:lineRule="auto"/>
              <w:ind w:right="-12"/>
              <w:rPr>
                <w:rFonts w:ascii="Arial" w:eastAsia="Calibri" w:hAnsi="Arial" w:cs="Arial"/>
                <w:sz w:val="16"/>
                <w:szCs w:val="16"/>
              </w:rPr>
            </w:pPr>
            <w:r w:rsidRPr="00690280">
              <w:rPr>
                <w:rFonts w:ascii="Arial" w:eastAsia="Calibri" w:hAnsi="Arial" w:cs="Arial"/>
                <w:b/>
                <w:sz w:val="16"/>
                <w:szCs w:val="16"/>
              </w:rPr>
              <w:t xml:space="preserve">Expected </w:t>
            </w:r>
            <w:r>
              <w:rPr>
                <w:rFonts w:ascii="Arial" w:hAnsi="Arial"/>
                <w:b/>
                <w:sz w:val="16"/>
                <w:szCs w:val="16"/>
              </w:rPr>
              <w:t>Performance</w:t>
            </w:r>
            <w:r w:rsidRPr="00C50D45">
              <w:rPr>
                <w:rFonts w:ascii="Arial" w:hAnsi="Arial"/>
                <w:b/>
                <w:sz w:val="16"/>
                <w:szCs w:val="16"/>
              </w:rPr>
              <w:t xml:space="preserve"> Results</w:t>
            </w:r>
          </w:p>
        </w:tc>
      </w:tr>
      <w:tr w:rsidR="00115843" w:rsidRPr="00E1118D" w14:paraId="31367DA3" w14:textId="77777777" w:rsidTr="00FB0D02">
        <w:trPr>
          <w:cantSplit/>
          <w:trHeight w:val="305"/>
        </w:trPr>
        <w:tc>
          <w:tcPr>
            <w:tcW w:w="873" w:type="pct"/>
            <w:vMerge w:val="restart"/>
            <w:tcBorders>
              <w:top w:val="single" w:sz="4" w:space="0" w:color="auto"/>
              <w:left w:val="single" w:sz="4" w:space="0" w:color="auto"/>
              <w:right w:val="single" w:sz="4" w:space="0" w:color="auto"/>
            </w:tcBorders>
          </w:tcPr>
          <w:p w14:paraId="47EF8FCA" w14:textId="77777777" w:rsidR="00115843" w:rsidRPr="00FD292C" w:rsidRDefault="00115843" w:rsidP="00FB0D02">
            <w:pPr>
              <w:pStyle w:val="TableTextBase"/>
              <w:rPr>
                <w:sz w:val="16"/>
                <w:szCs w:val="16"/>
              </w:rPr>
            </w:pPr>
            <w:r w:rsidRPr="00FD292C">
              <w:rPr>
                <w:sz w:val="16"/>
                <w:szCs w:val="16"/>
              </w:rPr>
              <w:t>Prior year 2021–22 cont.</w:t>
            </w:r>
          </w:p>
        </w:tc>
        <w:tc>
          <w:tcPr>
            <w:tcW w:w="1746" w:type="pct"/>
            <w:tcBorders>
              <w:top w:val="single" w:sz="4" w:space="0" w:color="auto"/>
              <w:left w:val="single" w:sz="4" w:space="0" w:color="auto"/>
              <w:bottom w:val="single" w:sz="4" w:space="0" w:color="auto"/>
              <w:right w:val="single" w:sz="4" w:space="0" w:color="auto"/>
            </w:tcBorders>
          </w:tcPr>
          <w:p w14:paraId="4C6C1E23" w14:textId="77777777" w:rsidR="00115843" w:rsidRPr="00FD292C" w:rsidRDefault="00115843" w:rsidP="00FB0D02">
            <w:pPr>
              <w:pStyle w:val="TableTextBase"/>
              <w:rPr>
                <w:sz w:val="16"/>
                <w:szCs w:val="16"/>
              </w:rPr>
            </w:pPr>
            <w:r w:rsidRPr="00FD292C">
              <w:rPr>
                <w:sz w:val="16"/>
                <w:szCs w:val="16"/>
              </w:rPr>
              <w:t xml:space="preserve">Investment as a proportion of output in the communications sector </w:t>
            </w:r>
            <w:r w:rsidRPr="00FD292C">
              <w:rPr>
                <w:sz w:val="16"/>
                <w:szCs w:val="16"/>
                <w:vertAlign w:val="superscript"/>
              </w:rPr>
              <w:t>(d)</w:t>
            </w:r>
          </w:p>
        </w:tc>
        <w:tc>
          <w:tcPr>
            <w:tcW w:w="2381" w:type="pct"/>
            <w:tcBorders>
              <w:top w:val="single" w:sz="4" w:space="0" w:color="auto"/>
              <w:left w:val="single" w:sz="4" w:space="0" w:color="auto"/>
              <w:bottom w:val="single" w:sz="4" w:space="0" w:color="auto"/>
              <w:right w:val="single" w:sz="4" w:space="0" w:color="auto"/>
            </w:tcBorders>
          </w:tcPr>
          <w:p w14:paraId="6ACCF1D0"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No target</w:t>
            </w:r>
          </w:p>
          <w:p w14:paraId="5365B53E"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Sector investment decisions are on a commercial basis, affected by many factors including COVID-19, and are often made by entities not captured by the regulatory framework</w:t>
            </w:r>
          </w:p>
          <w:p w14:paraId="7FE6EEF3"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Analysis will show trends over coming years with the long-run average (June 1990 to June 2020) is around 35%</w:t>
            </w:r>
          </w:p>
          <w:p w14:paraId="5969E1E7"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No target</w:t>
            </w:r>
          </w:p>
          <w:p w14:paraId="4E0C3E0C" w14:textId="36075C0B"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The result was 34.9% in 2020–21</w:t>
            </w:r>
            <w:r w:rsidR="0019217D">
              <w:rPr>
                <w:rFonts w:ascii="Arial" w:hAnsi="Arial"/>
                <w:sz w:val="16"/>
                <w:szCs w:val="16"/>
              </w:rPr>
              <w:t>.</w:t>
            </w:r>
          </w:p>
          <w:p w14:paraId="46B5381D" w14:textId="165ABCBB"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This is the latest available data. Calculations are based on data available from end October 2021</w:t>
            </w:r>
            <w:r w:rsidR="0019217D">
              <w:rPr>
                <w:rFonts w:ascii="Arial" w:hAnsi="Arial"/>
                <w:sz w:val="16"/>
                <w:szCs w:val="16"/>
              </w:rPr>
              <w:t>.</w:t>
            </w:r>
          </w:p>
        </w:tc>
      </w:tr>
      <w:tr w:rsidR="00115843" w:rsidRPr="00E1118D" w14:paraId="72ACF15C" w14:textId="77777777" w:rsidTr="00FB0D02">
        <w:trPr>
          <w:cantSplit/>
          <w:trHeight w:val="305"/>
        </w:trPr>
        <w:tc>
          <w:tcPr>
            <w:tcW w:w="873" w:type="pct"/>
            <w:vMerge/>
            <w:tcBorders>
              <w:left w:val="single" w:sz="4" w:space="0" w:color="auto"/>
              <w:bottom w:val="double" w:sz="4" w:space="0" w:color="auto"/>
              <w:right w:val="single" w:sz="4" w:space="0" w:color="auto"/>
            </w:tcBorders>
          </w:tcPr>
          <w:p w14:paraId="127EAC89" w14:textId="77777777" w:rsidR="00115843" w:rsidRPr="00FD292C" w:rsidRDefault="00115843" w:rsidP="00FB0D02">
            <w:pPr>
              <w:pStyle w:val="TableTextBase"/>
              <w:rPr>
                <w:b/>
                <w:sz w:val="16"/>
                <w:szCs w:val="16"/>
              </w:rPr>
            </w:pPr>
          </w:p>
        </w:tc>
        <w:tc>
          <w:tcPr>
            <w:tcW w:w="1746" w:type="pct"/>
            <w:tcBorders>
              <w:top w:val="single" w:sz="4" w:space="0" w:color="auto"/>
              <w:left w:val="single" w:sz="4" w:space="0" w:color="auto"/>
              <w:bottom w:val="double" w:sz="4" w:space="0" w:color="auto"/>
              <w:right w:val="single" w:sz="4" w:space="0" w:color="auto"/>
            </w:tcBorders>
          </w:tcPr>
          <w:p w14:paraId="20ADC0D7" w14:textId="77777777" w:rsidR="00115843" w:rsidRPr="00FD292C" w:rsidRDefault="00115843" w:rsidP="00FB0D02">
            <w:pPr>
              <w:pStyle w:val="TableTextBase"/>
              <w:rPr>
                <w:sz w:val="16"/>
                <w:szCs w:val="16"/>
              </w:rPr>
            </w:pPr>
            <w:r w:rsidRPr="00FD292C">
              <w:rPr>
                <w:sz w:val="16"/>
                <w:szCs w:val="16"/>
              </w:rPr>
              <w:t xml:space="preserve">GDP contribution enabled by the communications sector </w:t>
            </w:r>
            <w:r w:rsidRPr="00FD292C">
              <w:rPr>
                <w:sz w:val="16"/>
                <w:szCs w:val="16"/>
                <w:vertAlign w:val="superscript"/>
              </w:rPr>
              <w:t>(d)</w:t>
            </w:r>
          </w:p>
        </w:tc>
        <w:tc>
          <w:tcPr>
            <w:tcW w:w="2381" w:type="pct"/>
            <w:tcBorders>
              <w:top w:val="single" w:sz="4" w:space="0" w:color="auto"/>
              <w:left w:val="single" w:sz="4" w:space="0" w:color="auto"/>
              <w:bottom w:val="double" w:sz="4" w:space="0" w:color="auto"/>
              <w:right w:val="single" w:sz="4" w:space="0" w:color="auto"/>
            </w:tcBorders>
          </w:tcPr>
          <w:p w14:paraId="44CBAD01"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Annual target setting not appropriate, results sought are long term. GDP contribution should generally be maintained or increased over time</w:t>
            </w:r>
          </w:p>
          <w:p w14:paraId="54B8E258" w14:textId="77777777"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$852.960 billion in 2019–20</w:t>
            </w:r>
          </w:p>
          <w:p w14:paraId="53D021C9" w14:textId="11C89FA2" w:rsidR="00115843" w:rsidRPr="00FD292C" w:rsidRDefault="00115843" w:rsidP="00FB0D02">
            <w:pPr>
              <w:spacing w:before="60" w:after="60" w:line="240" w:lineRule="auto"/>
              <w:ind w:right="-12"/>
              <w:rPr>
                <w:rFonts w:ascii="Arial" w:hAnsi="Arial"/>
                <w:sz w:val="16"/>
                <w:szCs w:val="16"/>
              </w:rPr>
            </w:pPr>
            <w:r w:rsidRPr="00FD292C">
              <w:rPr>
                <w:rFonts w:ascii="Arial" w:hAnsi="Arial"/>
                <w:sz w:val="16"/>
                <w:szCs w:val="16"/>
              </w:rPr>
              <w:t>This is the latest available data. Calculations are based on data available from end May 2022</w:t>
            </w:r>
            <w:r w:rsidR="0019217D">
              <w:rPr>
                <w:rFonts w:ascii="Arial" w:hAnsi="Arial"/>
                <w:sz w:val="16"/>
                <w:szCs w:val="16"/>
              </w:rPr>
              <w:t>.</w:t>
            </w:r>
          </w:p>
        </w:tc>
      </w:tr>
      <w:tr w:rsidR="00115843" w:rsidRPr="00E1118D" w14:paraId="6ED1C4E4" w14:textId="77777777" w:rsidTr="00FB0D02">
        <w:trPr>
          <w:cantSplit/>
          <w:trHeight w:val="305"/>
        </w:trPr>
        <w:tc>
          <w:tcPr>
            <w:tcW w:w="873" w:type="pct"/>
            <w:tcBorders>
              <w:top w:val="double" w:sz="4" w:space="0" w:color="auto"/>
              <w:bottom w:val="single" w:sz="4" w:space="0" w:color="auto"/>
              <w:right w:val="single" w:sz="4" w:space="0" w:color="auto"/>
            </w:tcBorders>
          </w:tcPr>
          <w:p w14:paraId="6FB4525A" w14:textId="77777777" w:rsidR="00115843" w:rsidRPr="00CD1CF1" w:rsidRDefault="00115843" w:rsidP="00FB0D02">
            <w:pPr>
              <w:pStyle w:val="TableTextBase"/>
              <w:rPr>
                <w:sz w:val="16"/>
                <w:szCs w:val="16"/>
              </w:rPr>
            </w:pPr>
            <w:r w:rsidRPr="00CD1CF1">
              <w:rPr>
                <w:b/>
                <w:sz w:val="16"/>
                <w:szCs w:val="16"/>
              </w:rPr>
              <w:t>Year</w:t>
            </w:r>
          </w:p>
        </w:tc>
        <w:tc>
          <w:tcPr>
            <w:tcW w:w="1746" w:type="pct"/>
            <w:tcBorders>
              <w:top w:val="double" w:sz="4" w:space="0" w:color="auto"/>
              <w:left w:val="single" w:sz="4" w:space="0" w:color="auto"/>
              <w:bottom w:val="single" w:sz="4" w:space="0" w:color="auto"/>
              <w:right w:val="single" w:sz="4" w:space="0" w:color="auto"/>
            </w:tcBorders>
          </w:tcPr>
          <w:p w14:paraId="73C83151" w14:textId="77777777" w:rsidR="00115843" w:rsidRPr="00CD1CF1" w:rsidRDefault="00115843" w:rsidP="00FB0D02">
            <w:pPr>
              <w:pStyle w:val="TableTextBase"/>
              <w:rPr>
                <w:rFonts w:eastAsia="Calibri" w:cs="Arial"/>
                <w:sz w:val="16"/>
                <w:szCs w:val="16"/>
                <w:lang w:eastAsia="en-US"/>
              </w:rPr>
            </w:pPr>
            <w:r w:rsidRPr="00CD1CF1">
              <w:rPr>
                <w:b/>
                <w:sz w:val="16"/>
                <w:szCs w:val="16"/>
              </w:rPr>
              <w:t>Performance measures</w:t>
            </w:r>
          </w:p>
        </w:tc>
        <w:tc>
          <w:tcPr>
            <w:tcW w:w="2381" w:type="pct"/>
            <w:tcBorders>
              <w:top w:val="double" w:sz="4" w:space="0" w:color="auto"/>
              <w:left w:val="single" w:sz="4" w:space="0" w:color="auto"/>
              <w:bottom w:val="single" w:sz="4" w:space="0" w:color="auto"/>
            </w:tcBorders>
          </w:tcPr>
          <w:p w14:paraId="6218DC8C" w14:textId="77777777" w:rsidR="00115843" w:rsidRPr="00E1118D" w:rsidRDefault="00115843" w:rsidP="00FB0D02">
            <w:pPr>
              <w:spacing w:before="60" w:after="60" w:line="240" w:lineRule="auto"/>
              <w:ind w:right="-12"/>
              <w:rPr>
                <w:rFonts w:ascii="Arial" w:eastAsia="Calibri" w:hAnsi="Arial" w:cs="Arial"/>
                <w:sz w:val="16"/>
                <w:szCs w:val="16"/>
              </w:rPr>
            </w:pPr>
            <w:r>
              <w:rPr>
                <w:rFonts w:ascii="Arial" w:eastAsia="Calibri" w:hAnsi="Arial" w:cs="Arial"/>
                <w:b/>
                <w:sz w:val="16"/>
                <w:szCs w:val="16"/>
              </w:rPr>
              <w:t>Planned</w:t>
            </w:r>
            <w:r w:rsidRPr="00690280">
              <w:rPr>
                <w:rFonts w:ascii="Arial" w:eastAsia="Calibri" w:hAnsi="Arial" w:cs="Arial"/>
                <w:b/>
                <w:sz w:val="16"/>
                <w:szCs w:val="16"/>
              </w:rPr>
              <w:t xml:space="preserve"> </w:t>
            </w:r>
            <w:r>
              <w:rPr>
                <w:rFonts w:ascii="Arial" w:hAnsi="Arial"/>
                <w:b/>
                <w:sz w:val="16"/>
                <w:szCs w:val="16"/>
              </w:rPr>
              <w:t>Performance</w:t>
            </w:r>
            <w:r w:rsidRPr="00C50D45">
              <w:rPr>
                <w:rFonts w:ascii="Arial" w:hAnsi="Arial"/>
                <w:b/>
                <w:sz w:val="16"/>
                <w:szCs w:val="16"/>
              </w:rPr>
              <w:t xml:space="preserve"> Results</w:t>
            </w:r>
          </w:p>
        </w:tc>
      </w:tr>
      <w:tr w:rsidR="00115843" w:rsidRPr="00E1118D" w14:paraId="05B6A1C9" w14:textId="77777777" w:rsidTr="00FB0D02">
        <w:trPr>
          <w:cantSplit/>
          <w:trHeight w:val="642"/>
        </w:trPr>
        <w:tc>
          <w:tcPr>
            <w:tcW w:w="873" w:type="pct"/>
            <w:vMerge w:val="restart"/>
            <w:tcBorders>
              <w:top w:val="single" w:sz="4" w:space="0" w:color="auto"/>
              <w:right w:val="single" w:sz="4" w:space="0" w:color="auto"/>
            </w:tcBorders>
          </w:tcPr>
          <w:p w14:paraId="007B5D76" w14:textId="77777777" w:rsidR="00115843" w:rsidRPr="00FD292C" w:rsidRDefault="00115843" w:rsidP="00FB0D02">
            <w:pPr>
              <w:spacing w:before="60" w:after="60" w:line="240" w:lineRule="auto"/>
              <w:rPr>
                <w:rFonts w:ascii="Arial" w:hAnsi="Arial" w:cs="Arial"/>
                <w:sz w:val="16"/>
                <w:szCs w:val="16"/>
              </w:rPr>
            </w:pPr>
            <w:r w:rsidRPr="00FD292C">
              <w:rPr>
                <w:rFonts w:ascii="Arial" w:eastAsia="Calibri" w:hAnsi="Arial" w:cs="Arial"/>
                <w:sz w:val="16"/>
                <w:szCs w:val="16"/>
              </w:rPr>
              <w:t>Budget year</w:t>
            </w:r>
            <w:r w:rsidRPr="00FD292C">
              <w:rPr>
                <w:rFonts w:ascii="Arial" w:eastAsia="Calibri" w:hAnsi="Arial" w:cs="Arial"/>
                <w:sz w:val="16"/>
                <w:szCs w:val="16"/>
              </w:rPr>
              <w:br/>
            </w:r>
            <w:r w:rsidRPr="00FD292C">
              <w:rPr>
                <w:rFonts w:ascii="Arial" w:eastAsia="Calibri" w:hAnsi="Arial" w:cs="Arial"/>
                <w:sz w:val="16"/>
                <w:szCs w:val="16"/>
                <w:lang w:eastAsia="en-US"/>
              </w:rPr>
              <w:t xml:space="preserve">2022–23 </w:t>
            </w:r>
          </w:p>
        </w:tc>
        <w:tc>
          <w:tcPr>
            <w:tcW w:w="1746" w:type="pct"/>
            <w:tcBorders>
              <w:top w:val="single" w:sz="4" w:space="0" w:color="auto"/>
              <w:left w:val="single" w:sz="4" w:space="0" w:color="auto"/>
              <w:bottom w:val="single" w:sz="4" w:space="0" w:color="auto"/>
              <w:right w:val="single" w:sz="4" w:space="0" w:color="auto"/>
            </w:tcBorders>
          </w:tcPr>
          <w:p w14:paraId="17BD2A72" w14:textId="77777777" w:rsidR="00115843" w:rsidRPr="00FD292C" w:rsidRDefault="00115843" w:rsidP="00FB0D02">
            <w:p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Amount of new and improved mobile coverage delivered in regions under the Mobile Black Spot Program</w:t>
            </w:r>
          </w:p>
        </w:tc>
        <w:tc>
          <w:tcPr>
            <w:tcW w:w="2381" w:type="pct"/>
            <w:tcBorders>
              <w:top w:val="single" w:sz="4" w:space="0" w:color="auto"/>
              <w:left w:val="single" w:sz="4" w:space="0" w:color="auto"/>
              <w:bottom w:val="single" w:sz="4" w:space="0" w:color="auto"/>
            </w:tcBorders>
          </w:tcPr>
          <w:p w14:paraId="4F122231" w14:textId="77777777" w:rsidR="00115843" w:rsidRPr="00FD292C" w:rsidRDefault="00115843" w:rsidP="00FB0D02">
            <w:pPr>
              <w:pStyle w:val="TableTextBase"/>
              <w:rPr>
                <w:rFonts w:eastAsia="Calibri" w:cs="Arial"/>
                <w:sz w:val="16"/>
                <w:szCs w:val="16"/>
                <w:highlight w:val="cyan"/>
                <w:lang w:eastAsia="en-US"/>
              </w:rPr>
            </w:pPr>
            <w:r w:rsidRPr="00FD292C">
              <w:rPr>
                <w:rFonts w:eastAsia="Calibri" w:cs="Arial"/>
                <w:sz w:val="16"/>
                <w:szCs w:val="16"/>
              </w:rPr>
              <w:t>≥90% of total contracted (predictive) coverage is delivered through new assets for which asset completion reports are received in the financial year</w:t>
            </w:r>
          </w:p>
        </w:tc>
      </w:tr>
      <w:tr w:rsidR="00115843" w:rsidRPr="00E1118D" w14:paraId="4B5A0D3A" w14:textId="77777777" w:rsidTr="00FB0D02">
        <w:trPr>
          <w:cantSplit/>
          <w:trHeight w:val="642"/>
        </w:trPr>
        <w:tc>
          <w:tcPr>
            <w:tcW w:w="873" w:type="pct"/>
            <w:vMerge/>
            <w:tcBorders>
              <w:right w:val="single" w:sz="4" w:space="0" w:color="auto"/>
            </w:tcBorders>
          </w:tcPr>
          <w:p w14:paraId="4A694E12"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4E4EF44" w14:textId="77777777" w:rsidR="00115843" w:rsidRPr="00FD292C" w:rsidRDefault="00115843" w:rsidP="00FB0D02">
            <w:pPr>
              <w:pStyle w:val="TableTextBase"/>
              <w:rPr>
                <w:rFonts w:eastAsia="Calibri" w:cs="Arial"/>
                <w:sz w:val="16"/>
                <w:szCs w:val="16"/>
              </w:rPr>
            </w:pPr>
            <w:r w:rsidRPr="00FD292C">
              <w:rPr>
                <w:rFonts w:eastAsia="Calibri" w:cs="Arial"/>
                <w:sz w:val="16"/>
                <w:szCs w:val="16"/>
              </w:rPr>
              <w:t>Access to Viewer Access Satellite Television (VAST), for viewers in terrestrial blackspots to receive direct-to-home free to air television safety net service</w:t>
            </w:r>
          </w:p>
        </w:tc>
        <w:tc>
          <w:tcPr>
            <w:tcW w:w="2381" w:type="pct"/>
            <w:tcBorders>
              <w:top w:val="single" w:sz="4" w:space="0" w:color="auto"/>
              <w:left w:val="single" w:sz="4" w:space="0" w:color="auto"/>
              <w:bottom w:val="single" w:sz="4" w:space="0" w:color="auto"/>
            </w:tcBorders>
          </w:tcPr>
          <w:p w14:paraId="1DBBDEAB" w14:textId="4F4FEBC8"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In each financial year, satellite free-to-air television services, including on-air availability requirements, maintained in accordance with the legislative and contractual arrangements</w:t>
            </w:r>
            <w:r w:rsidR="0019217D">
              <w:rPr>
                <w:rFonts w:eastAsia="Calibri" w:cs="Arial"/>
                <w:sz w:val="16"/>
                <w:szCs w:val="16"/>
                <w:lang w:eastAsia="en-US"/>
              </w:rPr>
              <w:t>.</w:t>
            </w:r>
          </w:p>
        </w:tc>
      </w:tr>
      <w:tr w:rsidR="00115843" w:rsidRPr="00E1118D" w14:paraId="78720E6E" w14:textId="77777777" w:rsidTr="00FB0D02">
        <w:trPr>
          <w:cantSplit/>
          <w:trHeight w:val="642"/>
        </w:trPr>
        <w:tc>
          <w:tcPr>
            <w:tcW w:w="873" w:type="pct"/>
            <w:vMerge/>
            <w:tcBorders>
              <w:right w:val="single" w:sz="4" w:space="0" w:color="auto"/>
            </w:tcBorders>
          </w:tcPr>
          <w:p w14:paraId="58BA525F"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EF6DA5A" w14:textId="77777777"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Affordability of telecommunications services (mobile and fixed) on offer</w:t>
            </w:r>
          </w:p>
        </w:tc>
        <w:tc>
          <w:tcPr>
            <w:tcW w:w="2381" w:type="pct"/>
            <w:tcBorders>
              <w:top w:val="single" w:sz="4" w:space="0" w:color="auto"/>
              <w:left w:val="single" w:sz="4" w:space="0" w:color="auto"/>
              <w:bottom w:val="single" w:sz="4" w:space="0" w:color="auto"/>
            </w:tcBorders>
          </w:tcPr>
          <w:p w14:paraId="5F23B8B6" w14:textId="47E0C0BA" w:rsidR="00115843" w:rsidRPr="00FD292C" w:rsidRDefault="00115843" w:rsidP="00FB0D02">
            <w:pPr>
              <w:pStyle w:val="TableTextBase"/>
              <w:rPr>
                <w:rFonts w:eastAsia="Calibri" w:cs="Arial"/>
                <w:b/>
                <w:sz w:val="16"/>
                <w:szCs w:val="16"/>
                <w:highlight w:val="green"/>
                <w:lang w:eastAsia="en-US"/>
              </w:rPr>
            </w:pPr>
            <w:r w:rsidRPr="00FD292C">
              <w:rPr>
                <w:rFonts w:eastAsia="Calibri" w:cs="Arial"/>
                <w:sz w:val="16"/>
                <w:szCs w:val="16"/>
                <w:lang w:eastAsia="en-US"/>
              </w:rPr>
              <w:t>Reporting in financial year indicates affordability is maintained or increased</w:t>
            </w:r>
            <w:r w:rsidR="0019217D">
              <w:rPr>
                <w:rFonts w:eastAsia="Calibri" w:cs="Arial"/>
                <w:sz w:val="16"/>
                <w:szCs w:val="16"/>
                <w:lang w:eastAsia="en-US"/>
              </w:rPr>
              <w:t>.</w:t>
            </w:r>
          </w:p>
        </w:tc>
      </w:tr>
      <w:tr w:rsidR="00115843" w:rsidRPr="00E1118D" w14:paraId="2CEB773C" w14:textId="77777777" w:rsidTr="00FB0D02">
        <w:trPr>
          <w:cantSplit/>
          <w:trHeight w:val="642"/>
        </w:trPr>
        <w:tc>
          <w:tcPr>
            <w:tcW w:w="873" w:type="pct"/>
            <w:vMerge/>
            <w:tcBorders>
              <w:right w:val="single" w:sz="4" w:space="0" w:color="auto"/>
            </w:tcBorders>
          </w:tcPr>
          <w:p w14:paraId="4AA09CE1"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0EAF3497" w14:textId="77777777" w:rsidR="00115843" w:rsidRPr="00FD292C" w:rsidRDefault="00115843" w:rsidP="00FB0D02">
            <w:pPr>
              <w:pStyle w:val="TableTextBase"/>
              <w:rPr>
                <w:rFonts w:eastAsia="Calibri" w:cs="Arial"/>
                <w:i/>
                <w:sz w:val="16"/>
                <w:szCs w:val="16"/>
              </w:rPr>
            </w:pPr>
            <w:r w:rsidRPr="00FD292C">
              <w:rPr>
                <w:rFonts w:eastAsia="Calibri" w:cs="Arial"/>
                <w:i/>
                <w:sz w:val="16"/>
                <w:szCs w:val="16"/>
              </w:rPr>
              <w:t>Effectiveness of support for sustainability of news and media industry</w:t>
            </w:r>
          </w:p>
        </w:tc>
        <w:tc>
          <w:tcPr>
            <w:tcW w:w="2381" w:type="pct"/>
            <w:tcBorders>
              <w:top w:val="single" w:sz="4" w:space="0" w:color="auto"/>
              <w:left w:val="single" w:sz="4" w:space="0" w:color="auto"/>
              <w:bottom w:val="single" w:sz="4" w:space="0" w:color="auto"/>
            </w:tcBorders>
          </w:tcPr>
          <w:p w14:paraId="728137F4" w14:textId="08737CE8"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100% of grant opportunities are published/announced and 100% of grant agreements executed are consistent with the program objectives</w:t>
            </w:r>
            <w:r w:rsidR="0019217D">
              <w:rPr>
                <w:rFonts w:ascii="Arial" w:eastAsia="Calibri" w:hAnsi="Arial" w:cs="Arial"/>
                <w:sz w:val="16"/>
                <w:szCs w:val="16"/>
              </w:rPr>
              <w:t>.</w:t>
            </w:r>
          </w:p>
          <w:p w14:paraId="624C8732" w14:textId="1146E1B8" w:rsidR="00115843" w:rsidRPr="00FD292C" w:rsidRDefault="00115843" w:rsidP="00FB0D02">
            <w:pPr>
              <w:pStyle w:val="TableTextBase"/>
              <w:rPr>
                <w:rFonts w:eastAsia="Calibri" w:cs="Arial"/>
                <w:sz w:val="16"/>
                <w:szCs w:val="16"/>
                <w:lang w:eastAsia="en-US"/>
              </w:rPr>
            </w:pPr>
            <w:r w:rsidRPr="00FD292C">
              <w:rPr>
                <w:rFonts w:eastAsia="Calibri" w:cs="Arial"/>
                <w:sz w:val="16"/>
                <w:szCs w:val="16"/>
                <w:lang w:eastAsia="en-US"/>
              </w:rPr>
              <w:t>95% of eligible applicants received funds within 4 weeks of decision</w:t>
            </w:r>
            <w:r w:rsidR="0019217D">
              <w:rPr>
                <w:rFonts w:eastAsia="Calibri" w:cs="Arial"/>
                <w:sz w:val="16"/>
                <w:szCs w:val="16"/>
                <w:lang w:eastAsia="en-US"/>
              </w:rPr>
              <w:t>.</w:t>
            </w:r>
          </w:p>
        </w:tc>
      </w:tr>
      <w:tr w:rsidR="00115843" w:rsidRPr="00E1118D" w14:paraId="0FE8C468" w14:textId="77777777" w:rsidTr="00FB0D02">
        <w:trPr>
          <w:cantSplit/>
          <w:trHeight w:val="642"/>
        </w:trPr>
        <w:tc>
          <w:tcPr>
            <w:tcW w:w="873" w:type="pct"/>
            <w:vMerge/>
            <w:tcBorders>
              <w:bottom w:val="single" w:sz="4" w:space="0" w:color="auto"/>
              <w:right w:val="single" w:sz="4" w:space="0" w:color="auto"/>
            </w:tcBorders>
          </w:tcPr>
          <w:p w14:paraId="604A0C1E" w14:textId="77777777" w:rsidR="00115843" w:rsidRPr="00FD292C" w:rsidRDefault="00115843" w:rsidP="00FB0D02">
            <w:pPr>
              <w:pStyle w:val="TableTextBase"/>
              <w:rPr>
                <w:rFonts w:cs="Arial"/>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3BFB424"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Access to communications for people with a disability, indicated through: </w:t>
            </w:r>
          </w:p>
          <w:p w14:paraId="3C6E895E" w14:textId="77777777" w:rsidR="00115843" w:rsidRPr="00FD292C" w:rsidRDefault="00115843" w:rsidP="00115843">
            <w:pPr>
              <w:numPr>
                <w:ilvl w:val="0"/>
                <w:numId w:val="226"/>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 xml:space="preserve">National Relay Service (NRS) performance </w:t>
            </w:r>
          </w:p>
          <w:p w14:paraId="7798AF24" w14:textId="77777777" w:rsidR="00115843" w:rsidRPr="00FD292C" w:rsidRDefault="00115843" w:rsidP="00115843">
            <w:pPr>
              <w:numPr>
                <w:ilvl w:val="0"/>
                <w:numId w:val="226"/>
              </w:numPr>
              <w:spacing w:before="60" w:after="60" w:line="240" w:lineRule="auto"/>
              <w:contextualSpacing/>
              <w:rPr>
                <w:rFonts w:ascii="Arial" w:hAnsi="Arial" w:cs="Arial"/>
                <w:sz w:val="16"/>
                <w:szCs w:val="16"/>
              </w:rPr>
            </w:pPr>
            <w:r w:rsidRPr="00FD292C">
              <w:rPr>
                <w:rFonts w:ascii="Arial" w:eastAsia="Calibri" w:hAnsi="Arial" w:cs="Arial"/>
                <w:sz w:val="16"/>
                <w:szCs w:val="16"/>
              </w:rPr>
              <w:t>audio description implementation by the national broadcasters</w:t>
            </w:r>
          </w:p>
          <w:p w14:paraId="3783E9AC" w14:textId="77777777" w:rsidR="00115843" w:rsidRPr="00FD292C" w:rsidRDefault="00115843" w:rsidP="00115843">
            <w:pPr>
              <w:numPr>
                <w:ilvl w:val="0"/>
                <w:numId w:val="226"/>
              </w:numPr>
              <w:spacing w:before="60" w:after="60" w:line="240" w:lineRule="auto"/>
              <w:contextualSpacing/>
              <w:rPr>
                <w:rFonts w:ascii="Arial" w:hAnsi="Arial" w:cs="Arial"/>
                <w:sz w:val="16"/>
                <w:szCs w:val="16"/>
              </w:rPr>
            </w:pPr>
            <w:r w:rsidRPr="00FD292C">
              <w:rPr>
                <w:rFonts w:ascii="Arial" w:eastAsia="Calibri" w:hAnsi="Arial" w:cs="Arial"/>
                <w:sz w:val="16"/>
                <w:szCs w:val="16"/>
              </w:rPr>
              <w:t>broadcaster captioning compliance</w:t>
            </w:r>
          </w:p>
        </w:tc>
        <w:tc>
          <w:tcPr>
            <w:tcW w:w="2381" w:type="pct"/>
            <w:tcBorders>
              <w:top w:val="single" w:sz="4" w:space="0" w:color="auto"/>
              <w:left w:val="single" w:sz="4" w:space="0" w:color="auto"/>
              <w:bottom w:val="single" w:sz="4" w:space="0" w:color="auto"/>
            </w:tcBorders>
          </w:tcPr>
          <w:p w14:paraId="5AA82D0C" w14:textId="57F445A9" w:rsidR="00115843" w:rsidRPr="00FD292C" w:rsidRDefault="00115843" w:rsidP="00FB0D02">
            <w:pPr>
              <w:pStyle w:val="TableTextBase"/>
              <w:rPr>
                <w:rFonts w:cs="Arial"/>
                <w:sz w:val="16"/>
                <w:szCs w:val="16"/>
              </w:rPr>
            </w:pPr>
            <w:r w:rsidRPr="00FD292C">
              <w:rPr>
                <w:rFonts w:eastAsia="Calibri" w:cs="Arial"/>
                <w:sz w:val="16"/>
                <w:szCs w:val="16"/>
                <w:lang w:eastAsia="en-US"/>
              </w:rPr>
              <w:t>R</w:t>
            </w:r>
            <w:r w:rsidRPr="00FD292C">
              <w:rPr>
                <w:rFonts w:cs="Arial"/>
                <w:sz w:val="16"/>
                <w:szCs w:val="16"/>
              </w:rPr>
              <w:t>eporting in each financial year indicates access is maintained or improved</w:t>
            </w:r>
            <w:r w:rsidR="0019217D">
              <w:rPr>
                <w:rFonts w:cs="Arial"/>
                <w:sz w:val="16"/>
                <w:szCs w:val="16"/>
              </w:rPr>
              <w:t>.</w:t>
            </w:r>
          </w:p>
          <w:p w14:paraId="00D4FCBB" w14:textId="6CC7916E" w:rsidR="00115843" w:rsidRPr="00FD292C" w:rsidRDefault="00115843" w:rsidP="00FB0D02">
            <w:pPr>
              <w:pStyle w:val="TableTextBase"/>
              <w:rPr>
                <w:rFonts w:cs="Arial"/>
                <w:sz w:val="16"/>
                <w:szCs w:val="16"/>
              </w:rPr>
            </w:pPr>
            <w:r w:rsidRPr="00FD292C">
              <w:rPr>
                <w:rFonts w:cs="Arial"/>
                <w:sz w:val="16"/>
                <w:szCs w:val="16"/>
              </w:rPr>
              <w:t>NRS: Provider meets or exceeds contractual service levels</w:t>
            </w:r>
            <w:r w:rsidR="0019217D">
              <w:rPr>
                <w:rFonts w:cs="Arial"/>
                <w:sz w:val="16"/>
                <w:szCs w:val="16"/>
              </w:rPr>
              <w:t>.</w:t>
            </w:r>
          </w:p>
          <w:p w14:paraId="05F03D79" w14:textId="117360C5" w:rsidR="00115843" w:rsidRPr="00FD292C" w:rsidRDefault="00115843" w:rsidP="00FB0D02">
            <w:pPr>
              <w:pStyle w:val="TableTextBase"/>
              <w:rPr>
                <w:rFonts w:cs="Arial"/>
                <w:sz w:val="16"/>
                <w:szCs w:val="16"/>
              </w:rPr>
            </w:pPr>
            <w:r w:rsidRPr="00FD292C">
              <w:rPr>
                <w:rFonts w:cs="Arial"/>
                <w:sz w:val="16"/>
                <w:szCs w:val="16"/>
              </w:rPr>
              <w:t>Audio description: National broadcasters provide no less than 14 hours per week, on average, of audio described content</w:t>
            </w:r>
            <w:r w:rsidR="0019217D">
              <w:rPr>
                <w:rFonts w:cs="Arial"/>
                <w:sz w:val="16"/>
                <w:szCs w:val="16"/>
              </w:rPr>
              <w:t>.</w:t>
            </w:r>
          </w:p>
          <w:p w14:paraId="6C72EC86" w14:textId="6DEE7F64" w:rsidR="00115843" w:rsidRPr="00FD292C" w:rsidRDefault="00115843" w:rsidP="00FB0D02">
            <w:pPr>
              <w:pStyle w:val="TableTextBase"/>
              <w:rPr>
                <w:rFonts w:eastAsia="Calibri" w:cs="Arial"/>
                <w:b/>
                <w:sz w:val="16"/>
                <w:szCs w:val="16"/>
                <w:lang w:eastAsia="en-US"/>
              </w:rPr>
            </w:pPr>
            <w:r w:rsidRPr="00FD292C">
              <w:rPr>
                <w:rFonts w:cs="Arial"/>
                <w:sz w:val="16"/>
                <w:szCs w:val="16"/>
              </w:rPr>
              <w:t>Captioning: Broadcasters meet or exceed statutory captioning obligations</w:t>
            </w:r>
            <w:r w:rsidR="0019217D">
              <w:rPr>
                <w:rFonts w:cs="Arial"/>
                <w:sz w:val="16"/>
                <w:szCs w:val="16"/>
              </w:rPr>
              <w:t>.</w:t>
            </w:r>
          </w:p>
        </w:tc>
      </w:tr>
    </w:tbl>
    <w:p w14:paraId="38C8E8BD" w14:textId="77777777" w:rsidR="00115843" w:rsidRDefault="00115843" w:rsidP="00115843">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3"/>
        <w:gridCol w:w="3593"/>
      </w:tblGrid>
      <w:tr w:rsidR="00115843" w:rsidRPr="00E1118D" w14:paraId="3B070068" w14:textId="77777777" w:rsidTr="000723E3">
        <w:trPr>
          <w:cantSplit/>
          <w:trHeight w:val="305"/>
        </w:trPr>
        <w:tc>
          <w:tcPr>
            <w:tcW w:w="873" w:type="pct"/>
            <w:tcBorders>
              <w:top w:val="double" w:sz="4" w:space="0" w:color="auto"/>
              <w:bottom w:val="single" w:sz="4" w:space="0" w:color="auto"/>
              <w:right w:val="single" w:sz="4" w:space="0" w:color="auto"/>
            </w:tcBorders>
          </w:tcPr>
          <w:p w14:paraId="0E955C3A" w14:textId="77777777" w:rsidR="00115843" w:rsidRPr="00CD1CF1" w:rsidRDefault="00115843" w:rsidP="00FB0D02">
            <w:pPr>
              <w:pStyle w:val="TableTextBase"/>
              <w:rPr>
                <w:sz w:val="16"/>
                <w:szCs w:val="16"/>
              </w:rPr>
            </w:pPr>
            <w:bookmarkStart w:id="38" w:name="_Hlk117348445"/>
            <w:r w:rsidRPr="00CD1CF1">
              <w:rPr>
                <w:b/>
                <w:sz w:val="16"/>
                <w:szCs w:val="16"/>
              </w:rPr>
              <w:lastRenderedPageBreak/>
              <w:t>Year</w:t>
            </w:r>
          </w:p>
        </w:tc>
        <w:tc>
          <w:tcPr>
            <w:tcW w:w="1794" w:type="pct"/>
            <w:tcBorders>
              <w:top w:val="double" w:sz="4" w:space="0" w:color="auto"/>
              <w:left w:val="single" w:sz="4" w:space="0" w:color="auto"/>
              <w:bottom w:val="single" w:sz="4" w:space="0" w:color="auto"/>
              <w:right w:val="single" w:sz="4" w:space="0" w:color="auto"/>
            </w:tcBorders>
          </w:tcPr>
          <w:p w14:paraId="12FFCE14" w14:textId="77777777" w:rsidR="00115843" w:rsidRPr="00CD1CF1" w:rsidRDefault="00115843" w:rsidP="00FB0D02">
            <w:pPr>
              <w:pStyle w:val="TableTextBase"/>
              <w:rPr>
                <w:rFonts w:eastAsia="Calibri" w:cs="Arial"/>
                <w:sz w:val="16"/>
                <w:szCs w:val="16"/>
                <w:lang w:eastAsia="en-US"/>
              </w:rPr>
            </w:pPr>
            <w:r w:rsidRPr="00CD1CF1">
              <w:rPr>
                <w:b/>
                <w:sz w:val="16"/>
                <w:szCs w:val="16"/>
              </w:rPr>
              <w:t>Performance measures</w:t>
            </w:r>
          </w:p>
        </w:tc>
        <w:tc>
          <w:tcPr>
            <w:tcW w:w="2333" w:type="pct"/>
            <w:tcBorders>
              <w:top w:val="double" w:sz="4" w:space="0" w:color="auto"/>
              <w:left w:val="single" w:sz="4" w:space="0" w:color="auto"/>
              <w:bottom w:val="single" w:sz="4" w:space="0" w:color="auto"/>
            </w:tcBorders>
          </w:tcPr>
          <w:p w14:paraId="7A9180CC" w14:textId="77777777" w:rsidR="00115843" w:rsidRPr="00E1118D" w:rsidRDefault="00115843" w:rsidP="00FB0D02">
            <w:pPr>
              <w:spacing w:before="60" w:after="60" w:line="240" w:lineRule="auto"/>
              <w:ind w:right="-12"/>
              <w:rPr>
                <w:rFonts w:ascii="Arial" w:eastAsia="Calibri" w:hAnsi="Arial" w:cs="Arial"/>
                <w:sz w:val="16"/>
                <w:szCs w:val="16"/>
              </w:rPr>
            </w:pPr>
            <w:r>
              <w:rPr>
                <w:rFonts w:ascii="Arial" w:eastAsia="Calibri" w:hAnsi="Arial" w:cs="Arial"/>
                <w:b/>
                <w:sz w:val="16"/>
                <w:szCs w:val="16"/>
              </w:rPr>
              <w:t>Planned</w:t>
            </w:r>
            <w:r w:rsidRPr="00690280">
              <w:rPr>
                <w:rFonts w:ascii="Arial" w:eastAsia="Calibri" w:hAnsi="Arial" w:cs="Arial"/>
                <w:b/>
                <w:sz w:val="16"/>
                <w:szCs w:val="16"/>
              </w:rPr>
              <w:t xml:space="preserve"> </w:t>
            </w:r>
            <w:r>
              <w:rPr>
                <w:rFonts w:ascii="Arial" w:hAnsi="Arial"/>
                <w:b/>
                <w:sz w:val="16"/>
                <w:szCs w:val="16"/>
              </w:rPr>
              <w:t>Performance</w:t>
            </w:r>
            <w:r w:rsidRPr="00C50D45">
              <w:rPr>
                <w:rFonts w:ascii="Arial" w:hAnsi="Arial"/>
                <w:b/>
                <w:sz w:val="16"/>
                <w:szCs w:val="16"/>
              </w:rPr>
              <w:t xml:space="preserve"> Results</w:t>
            </w:r>
          </w:p>
        </w:tc>
      </w:tr>
      <w:bookmarkEnd w:id="38"/>
      <w:tr w:rsidR="00115843" w:rsidRPr="00E1118D" w14:paraId="6B4F60D1" w14:textId="77777777" w:rsidTr="000723E3">
        <w:trPr>
          <w:trHeight w:val="258"/>
          <w:tblHeader/>
        </w:trPr>
        <w:tc>
          <w:tcPr>
            <w:tcW w:w="873" w:type="pct"/>
            <w:vMerge w:val="restart"/>
            <w:tcBorders>
              <w:right w:val="single" w:sz="4" w:space="0" w:color="auto"/>
            </w:tcBorders>
          </w:tcPr>
          <w:p w14:paraId="16A757A5" w14:textId="77777777" w:rsidR="00115843" w:rsidRPr="00FD292C" w:rsidRDefault="00115843" w:rsidP="00FB0D02">
            <w:pPr>
              <w:pStyle w:val="TableTextBase"/>
              <w:rPr>
                <w:rFonts w:cs="Arial"/>
                <w:b/>
                <w:sz w:val="16"/>
                <w:szCs w:val="16"/>
              </w:rPr>
            </w:pPr>
            <w:r w:rsidRPr="00FD292C">
              <w:rPr>
                <w:rFonts w:eastAsia="Calibri" w:cs="Arial"/>
                <w:sz w:val="16"/>
                <w:szCs w:val="16"/>
              </w:rPr>
              <w:t>Budget year</w:t>
            </w:r>
            <w:r w:rsidRPr="00FD292C">
              <w:rPr>
                <w:rFonts w:eastAsia="Calibri" w:cs="Arial"/>
                <w:sz w:val="16"/>
                <w:szCs w:val="16"/>
              </w:rPr>
              <w:br/>
            </w:r>
            <w:r w:rsidRPr="00FD292C">
              <w:rPr>
                <w:rFonts w:eastAsia="Calibri" w:cs="Arial"/>
                <w:sz w:val="16"/>
                <w:szCs w:val="16"/>
                <w:lang w:eastAsia="en-US"/>
              </w:rPr>
              <w:t>2022–23 cont.</w:t>
            </w:r>
          </w:p>
        </w:tc>
        <w:tc>
          <w:tcPr>
            <w:tcW w:w="1794" w:type="pct"/>
            <w:tcBorders>
              <w:top w:val="single" w:sz="4" w:space="0" w:color="auto"/>
              <w:left w:val="single" w:sz="4" w:space="0" w:color="auto"/>
              <w:bottom w:val="single" w:sz="4" w:space="0" w:color="auto"/>
              <w:right w:val="single" w:sz="4" w:space="0" w:color="auto"/>
            </w:tcBorders>
          </w:tcPr>
          <w:p w14:paraId="2CDA21D2" w14:textId="77777777" w:rsidR="00115843" w:rsidRPr="00FD292C" w:rsidRDefault="00115843" w:rsidP="00FB0D02">
            <w:pPr>
              <w:spacing w:before="60" w:after="60" w:line="240" w:lineRule="auto"/>
              <w:rPr>
                <w:rFonts w:ascii="Arial" w:eastAsia="Calibri" w:hAnsi="Arial" w:cs="Arial"/>
                <w:i/>
                <w:sz w:val="16"/>
                <w:szCs w:val="16"/>
                <w:vertAlign w:val="superscript"/>
              </w:rPr>
            </w:pPr>
            <w:r w:rsidRPr="00FD292C">
              <w:rPr>
                <w:rFonts w:ascii="Arial" w:eastAsia="Calibri" w:hAnsi="Arial" w:cs="Arial"/>
                <w:i/>
                <w:sz w:val="16"/>
                <w:szCs w:val="16"/>
              </w:rPr>
              <w:t xml:space="preserve">Levels of consumer complaint in telecommunications and post sectors </w:t>
            </w:r>
            <w:r w:rsidRPr="00FD292C">
              <w:rPr>
                <w:rFonts w:ascii="Arial" w:eastAsia="Calibri" w:hAnsi="Arial" w:cs="Arial"/>
                <w:sz w:val="16"/>
                <w:szCs w:val="16"/>
                <w:vertAlign w:val="superscript"/>
              </w:rPr>
              <w:t>(e)</w:t>
            </w:r>
          </w:p>
        </w:tc>
        <w:tc>
          <w:tcPr>
            <w:tcW w:w="2333" w:type="pct"/>
            <w:tcBorders>
              <w:top w:val="single" w:sz="4" w:space="0" w:color="auto"/>
              <w:left w:val="single" w:sz="4" w:space="0" w:color="auto"/>
              <w:bottom w:val="single" w:sz="4" w:space="0" w:color="auto"/>
            </w:tcBorders>
          </w:tcPr>
          <w:p w14:paraId="475036B4" w14:textId="20A4AD8B" w:rsidR="00115843" w:rsidRPr="00FD292C" w:rsidRDefault="00115843" w:rsidP="00FB0D02">
            <w:pPr>
              <w:pStyle w:val="TableTextBase"/>
              <w:rPr>
                <w:rFonts w:eastAsia="Calibri" w:cs="Arial"/>
                <w:b/>
                <w:sz w:val="16"/>
                <w:szCs w:val="16"/>
                <w:lang w:eastAsia="en-US"/>
              </w:rPr>
            </w:pPr>
            <w:r w:rsidRPr="00FD292C">
              <w:rPr>
                <w:rFonts w:eastAsia="Calibri" w:cs="Arial"/>
                <w:sz w:val="16"/>
                <w:szCs w:val="16"/>
                <w:lang w:eastAsia="en-US"/>
              </w:rPr>
              <w:t>Twelve month reporting shows maintained or improved consumer experience</w:t>
            </w:r>
            <w:r w:rsidR="0019217D">
              <w:rPr>
                <w:rFonts w:eastAsia="Calibri" w:cs="Arial"/>
                <w:sz w:val="16"/>
                <w:szCs w:val="16"/>
                <w:lang w:eastAsia="en-US"/>
              </w:rPr>
              <w:t>.</w:t>
            </w:r>
          </w:p>
        </w:tc>
      </w:tr>
      <w:tr w:rsidR="00115843" w:rsidRPr="00E1118D" w14:paraId="461C7C8D" w14:textId="77777777" w:rsidTr="000723E3">
        <w:trPr>
          <w:cantSplit/>
          <w:trHeight w:val="2396"/>
        </w:trPr>
        <w:tc>
          <w:tcPr>
            <w:tcW w:w="873" w:type="pct"/>
            <w:vMerge/>
            <w:tcBorders>
              <w:bottom w:val="single" w:sz="4" w:space="0" w:color="auto"/>
              <w:right w:val="single" w:sz="4" w:space="0" w:color="auto"/>
            </w:tcBorders>
          </w:tcPr>
          <w:p w14:paraId="5F42326D" w14:textId="77777777" w:rsidR="00115843" w:rsidRPr="00FD292C" w:rsidRDefault="00115843" w:rsidP="00FB0D02">
            <w:pPr>
              <w:pStyle w:val="TableTextBase"/>
              <w:rPr>
                <w:rFonts w:cs="Arial"/>
                <w:sz w:val="16"/>
                <w:szCs w:val="16"/>
              </w:rPr>
            </w:pPr>
          </w:p>
        </w:tc>
        <w:tc>
          <w:tcPr>
            <w:tcW w:w="1794" w:type="pct"/>
            <w:tcBorders>
              <w:top w:val="single" w:sz="4" w:space="0" w:color="auto"/>
              <w:left w:val="single" w:sz="4" w:space="0" w:color="auto"/>
              <w:bottom w:val="single" w:sz="4" w:space="0" w:color="auto"/>
              <w:right w:val="single" w:sz="4" w:space="0" w:color="auto"/>
            </w:tcBorders>
          </w:tcPr>
          <w:p w14:paraId="09956D39" w14:textId="77777777" w:rsidR="00115843" w:rsidRPr="00FD292C" w:rsidRDefault="00115843" w:rsidP="00FB0D02">
            <w:pPr>
              <w:spacing w:before="60" w:after="60" w:line="240" w:lineRule="auto"/>
              <w:rPr>
                <w:rFonts w:ascii="Arial" w:eastAsia="Calibri" w:hAnsi="Arial" w:cs="Arial"/>
                <w:i/>
                <w:sz w:val="16"/>
                <w:szCs w:val="16"/>
                <w:vertAlign w:val="superscript"/>
              </w:rPr>
            </w:pPr>
            <w:r w:rsidRPr="00FD292C">
              <w:rPr>
                <w:rFonts w:ascii="Arial" w:eastAsia="Calibri" w:hAnsi="Arial" w:cs="Arial"/>
                <w:i/>
                <w:sz w:val="16"/>
                <w:szCs w:val="16"/>
              </w:rPr>
              <w:t xml:space="preserve">Effectiveness of the current Australian content and classification frameworks </w:t>
            </w:r>
            <w:r w:rsidRPr="00FD292C">
              <w:rPr>
                <w:rFonts w:ascii="Arial" w:eastAsia="Calibri" w:hAnsi="Arial" w:cs="Arial"/>
                <w:sz w:val="16"/>
                <w:szCs w:val="16"/>
                <w:vertAlign w:val="superscript"/>
              </w:rPr>
              <w:t>(e)(f)</w:t>
            </w:r>
            <w:r w:rsidRPr="00FD292C">
              <w:rPr>
                <w:rFonts w:ascii="Arial" w:eastAsia="Calibri" w:hAnsi="Arial" w:cs="Arial"/>
                <w:i/>
                <w:sz w:val="16"/>
                <w:szCs w:val="16"/>
                <w:vertAlign w:val="superscript"/>
              </w:rPr>
              <w:t xml:space="preserve"> </w:t>
            </w:r>
          </w:p>
        </w:tc>
        <w:tc>
          <w:tcPr>
            <w:tcW w:w="2333" w:type="pct"/>
            <w:tcBorders>
              <w:top w:val="single" w:sz="4" w:space="0" w:color="auto"/>
              <w:left w:val="single" w:sz="4" w:space="0" w:color="auto"/>
              <w:bottom w:val="single" w:sz="4" w:space="0" w:color="auto"/>
            </w:tcBorders>
          </w:tcPr>
          <w:p w14:paraId="448BCD38"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Reporting in each financial year shows organisations are meeting or exceeding statutory obligations:</w:t>
            </w:r>
          </w:p>
          <w:p w14:paraId="424CA8F2" w14:textId="77777777" w:rsidR="00115843" w:rsidRPr="00FD292C" w:rsidRDefault="00115843" w:rsidP="00115843">
            <w:pPr>
              <w:numPr>
                <w:ilvl w:val="0"/>
                <w:numId w:val="227"/>
              </w:numPr>
              <w:spacing w:before="60" w:after="60" w:line="240" w:lineRule="auto"/>
              <w:ind w:left="461" w:right="-12"/>
              <w:contextualSpacing/>
              <w:rPr>
                <w:rFonts w:ascii="Arial" w:eastAsia="Calibri" w:hAnsi="Arial" w:cs="Arial"/>
                <w:sz w:val="16"/>
                <w:szCs w:val="16"/>
              </w:rPr>
            </w:pPr>
            <w:r w:rsidRPr="00FD292C">
              <w:rPr>
                <w:rFonts w:ascii="Arial" w:eastAsia="Calibri" w:hAnsi="Arial" w:cs="Arial"/>
                <w:sz w:val="16"/>
                <w:szCs w:val="16"/>
              </w:rPr>
              <w:t>Australian content quota compliance and the existence of public data on Australian content available on streaming video on demand services</w:t>
            </w:r>
          </w:p>
          <w:p w14:paraId="11FA3052" w14:textId="365C7821" w:rsidR="00115843" w:rsidRPr="00FD292C" w:rsidRDefault="00115843" w:rsidP="00115843">
            <w:pPr>
              <w:numPr>
                <w:ilvl w:val="0"/>
                <w:numId w:val="227"/>
              </w:numPr>
              <w:spacing w:before="60" w:after="60" w:line="240" w:lineRule="auto"/>
              <w:ind w:left="461" w:right="-12"/>
              <w:contextualSpacing/>
              <w:rPr>
                <w:rFonts w:eastAsia="Calibri" w:cs="Arial"/>
                <w:sz w:val="16"/>
                <w:szCs w:val="16"/>
              </w:rPr>
            </w:pPr>
            <w:r w:rsidRPr="00FD292C">
              <w:rPr>
                <w:rFonts w:ascii="Arial" w:eastAsia="Calibri" w:hAnsi="Arial" w:cs="Arial"/>
                <w:sz w:val="16"/>
                <w:szCs w:val="16"/>
              </w:rPr>
              <w:t>100% of Classification decisions by the Classification Board and Classification Review Board made and published on the National Classification Database within statutory timeframes</w:t>
            </w:r>
            <w:r w:rsidR="0019217D">
              <w:rPr>
                <w:rFonts w:ascii="Arial" w:eastAsia="Calibri" w:hAnsi="Arial" w:cs="Arial"/>
                <w:sz w:val="16"/>
                <w:szCs w:val="16"/>
              </w:rPr>
              <w:t>.</w:t>
            </w:r>
          </w:p>
        </w:tc>
      </w:tr>
      <w:tr w:rsidR="00115843" w:rsidRPr="00E1118D" w14:paraId="402B7E7D" w14:textId="77777777" w:rsidTr="000723E3">
        <w:trPr>
          <w:cantSplit/>
          <w:trHeight w:val="1126"/>
        </w:trPr>
        <w:tc>
          <w:tcPr>
            <w:tcW w:w="873" w:type="pct"/>
            <w:tcBorders>
              <w:bottom w:val="nil"/>
              <w:right w:val="single" w:sz="4" w:space="0" w:color="auto"/>
            </w:tcBorders>
          </w:tcPr>
          <w:p w14:paraId="4DE300FE" w14:textId="77777777" w:rsidR="00115843" w:rsidRPr="00FD292C" w:rsidRDefault="00115843" w:rsidP="00FB0D02">
            <w:pPr>
              <w:pStyle w:val="TableTextBase"/>
              <w:rPr>
                <w:rFonts w:cs="Arial"/>
                <w:sz w:val="16"/>
                <w:szCs w:val="16"/>
              </w:rPr>
            </w:pPr>
            <w:r w:rsidRPr="00FD292C">
              <w:rPr>
                <w:rFonts w:eastAsia="Calibri" w:cs="Arial"/>
                <w:sz w:val="16"/>
                <w:szCs w:val="16"/>
              </w:rPr>
              <w:t>Forward Estimates</w:t>
            </w:r>
            <w:r w:rsidRPr="00FD292C">
              <w:rPr>
                <w:rFonts w:eastAsia="Calibri" w:cs="Arial"/>
                <w:sz w:val="16"/>
                <w:szCs w:val="16"/>
              </w:rPr>
              <w:br/>
              <w:t xml:space="preserve">2023–26 </w:t>
            </w:r>
          </w:p>
        </w:tc>
        <w:tc>
          <w:tcPr>
            <w:tcW w:w="1794" w:type="pct"/>
            <w:tcBorders>
              <w:top w:val="single" w:sz="4" w:space="0" w:color="auto"/>
              <w:left w:val="single" w:sz="4" w:space="0" w:color="auto"/>
              <w:bottom w:val="single" w:sz="4" w:space="0" w:color="auto"/>
              <w:right w:val="single" w:sz="4" w:space="0" w:color="auto"/>
            </w:tcBorders>
          </w:tcPr>
          <w:p w14:paraId="18A9ECF6"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Amount of new and improved mobile coverage delivered in regions under the Mobile Black Spot Program</w:t>
            </w:r>
          </w:p>
        </w:tc>
        <w:tc>
          <w:tcPr>
            <w:tcW w:w="2333" w:type="pct"/>
            <w:tcBorders>
              <w:top w:val="single" w:sz="4" w:space="0" w:color="auto"/>
              <w:left w:val="single" w:sz="4" w:space="0" w:color="auto"/>
              <w:bottom w:val="single" w:sz="4" w:space="0" w:color="auto"/>
            </w:tcBorders>
          </w:tcPr>
          <w:p w14:paraId="49F4674B" w14:textId="548BE9C6" w:rsidR="00115843" w:rsidRPr="00FD292C" w:rsidRDefault="00115843" w:rsidP="00FB0D02">
            <w:pPr>
              <w:pStyle w:val="TableTextBase"/>
              <w:rPr>
                <w:rFonts w:eastAsia="Calibri" w:cs="Arial"/>
                <w:b/>
                <w:sz w:val="16"/>
                <w:szCs w:val="16"/>
                <w:highlight w:val="yellow"/>
              </w:rPr>
            </w:pPr>
            <w:r w:rsidRPr="00FD292C">
              <w:rPr>
                <w:rFonts w:eastAsia="Calibri" w:cs="Arial"/>
                <w:sz w:val="16"/>
                <w:szCs w:val="16"/>
              </w:rPr>
              <w:t>≥90% of total contracted (predictive) coverage is delivered through new assets for which asset completion reports are received in the financial year</w:t>
            </w:r>
            <w:r w:rsidR="0019217D">
              <w:rPr>
                <w:rFonts w:eastAsia="Calibri" w:cs="Arial"/>
                <w:sz w:val="16"/>
                <w:szCs w:val="16"/>
              </w:rPr>
              <w:t>.</w:t>
            </w:r>
          </w:p>
        </w:tc>
      </w:tr>
      <w:tr w:rsidR="00115843" w:rsidRPr="00E1118D" w14:paraId="2CD5929A" w14:textId="77777777" w:rsidTr="000723E3">
        <w:trPr>
          <w:cantSplit/>
          <w:trHeight w:val="642"/>
        </w:trPr>
        <w:tc>
          <w:tcPr>
            <w:tcW w:w="873" w:type="pct"/>
            <w:tcBorders>
              <w:top w:val="nil"/>
              <w:bottom w:val="nil"/>
              <w:right w:val="single" w:sz="4" w:space="0" w:color="auto"/>
            </w:tcBorders>
          </w:tcPr>
          <w:p w14:paraId="534E94FB" w14:textId="2DC4C8F9" w:rsidR="00115843" w:rsidRPr="00FD292C" w:rsidRDefault="00115843" w:rsidP="00FB0D02">
            <w:pPr>
              <w:pStyle w:val="TableTextBase"/>
              <w:rPr>
                <w:rFonts w:cs="Arial"/>
                <w:sz w:val="16"/>
                <w:szCs w:val="16"/>
              </w:rPr>
            </w:pPr>
          </w:p>
        </w:tc>
        <w:tc>
          <w:tcPr>
            <w:tcW w:w="1794" w:type="pct"/>
            <w:tcBorders>
              <w:top w:val="single" w:sz="4" w:space="0" w:color="auto"/>
              <w:left w:val="single" w:sz="4" w:space="0" w:color="auto"/>
              <w:bottom w:val="single" w:sz="4" w:space="0" w:color="auto"/>
              <w:right w:val="single" w:sz="4" w:space="0" w:color="auto"/>
            </w:tcBorders>
          </w:tcPr>
          <w:p w14:paraId="08B636E8"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Access to Viewer Access Satellite Television (VAST), for viewers in terrestrial blackspots to receive direct-to-home free to air television safety net service</w:t>
            </w:r>
          </w:p>
        </w:tc>
        <w:tc>
          <w:tcPr>
            <w:tcW w:w="2333" w:type="pct"/>
            <w:tcBorders>
              <w:top w:val="single" w:sz="4" w:space="0" w:color="auto"/>
              <w:left w:val="single" w:sz="4" w:space="0" w:color="auto"/>
              <w:bottom w:val="single" w:sz="4" w:space="0" w:color="auto"/>
            </w:tcBorders>
          </w:tcPr>
          <w:p w14:paraId="51650DF7" w14:textId="660CED0D" w:rsidR="00115843" w:rsidRPr="00FD292C" w:rsidRDefault="00115843" w:rsidP="00FB0D02">
            <w:pPr>
              <w:pStyle w:val="TableTextBase"/>
              <w:rPr>
                <w:rFonts w:eastAsia="Calibri" w:cs="Arial"/>
                <w:b/>
                <w:sz w:val="16"/>
                <w:szCs w:val="16"/>
                <w:highlight w:val="yellow"/>
              </w:rPr>
            </w:pPr>
            <w:r w:rsidRPr="00FD292C">
              <w:rPr>
                <w:rFonts w:eastAsia="Calibri" w:cs="Arial"/>
                <w:sz w:val="16"/>
                <w:szCs w:val="16"/>
                <w:lang w:eastAsia="en-US"/>
              </w:rPr>
              <w:t>In each financial year, satellite free-to-air television services, including on-air availability requirements, maintained in accordance with the legislative and contractual arrangements</w:t>
            </w:r>
            <w:r w:rsidR="0019217D">
              <w:rPr>
                <w:rFonts w:eastAsia="Calibri" w:cs="Arial"/>
                <w:sz w:val="16"/>
                <w:szCs w:val="16"/>
                <w:lang w:eastAsia="en-US"/>
              </w:rPr>
              <w:t>.</w:t>
            </w:r>
          </w:p>
        </w:tc>
      </w:tr>
      <w:tr w:rsidR="00115843" w:rsidRPr="00E1118D" w14:paraId="163C6357" w14:textId="77777777" w:rsidTr="000723E3">
        <w:trPr>
          <w:cantSplit/>
          <w:trHeight w:val="642"/>
        </w:trPr>
        <w:tc>
          <w:tcPr>
            <w:tcW w:w="873" w:type="pct"/>
            <w:tcBorders>
              <w:top w:val="nil"/>
              <w:bottom w:val="nil"/>
              <w:right w:val="single" w:sz="4" w:space="0" w:color="auto"/>
            </w:tcBorders>
          </w:tcPr>
          <w:p w14:paraId="1865D791" w14:textId="77777777" w:rsidR="00115843" w:rsidRPr="00FD292C" w:rsidRDefault="00115843" w:rsidP="00FB0D02">
            <w:pPr>
              <w:pStyle w:val="TableTextBase"/>
              <w:rPr>
                <w:rFonts w:cs="Arial"/>
                <w:sz w:val="16"/>
                <w:szCs w:val="16"/>
              </w:rPr>
            </w:pPr>
          </w:p>
        </w:tc>
        <w:tc>
          <w:tcPr>
            <w:tcW w:w="1794" w:type="pct"/>
            <w:tcBorders>
              <w:top w:val="single" w:sz="4" w:space="0" w:color="auto"/>
              <w:left w:val="single" w:sz="4" w:space="0" w:color="auto"/>
              <w:bottom w:val="single" w:sz="4" w:space="0" w:color="auto"/>
              <w:right w:val="single" w:sz="4" w:space="0" w:color="auto"/>
            </w:tcBorders>
          </w:tcPr>
          <w:p w14:paraId="160BA34E"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Affordability of telecommunications services (mobile and fixed) on offer</w:t>
            </w:r>
          </w:p>
        </w:tc>
        <w:tc>
          <w:tcPr>
            <w:tcW w:w="2333" w:type="pct"/>
            <w:tcBorders>
              <w:top w:val="single" w:sz="4" w:space="0" w:color="auto"/>
              <w:left w:val="single" w:sz="4" w:space="0" w:color="auto"/>
              <w:bottom w:val="single" w:sz="4" w:space="0" w:color="auto"/>
            </w:tcBorders>
          </w:tcPr>
          <w:p w14:paraId="5784A1B4" w14:textId="52462B1A" w:rsidR="00115843" w:rsidRPr="00FD292C" w:rsidRDefault="00115843" w:rsidP="00FB0D02">
            <w:pPr>
              <w:pStyle w:val="TableTextBase"/>
              <w:rPr>
                <w:rFonts w:eastAsia="Calibri" w:cs="Arial"/>
                <w:b/>
                <w:sz w:val="16"/>
                <w:szCs w:val="16"/>
                <w:highlight w:val="yellow"/>
              </w:rPr>
            </w:pPr>
            <w:r w:rsidRPr="00FD292C">
              <w:rPr>
                <w:rFonts w:eastAsia="Calibri" w:cs="Arial"/>
                <w:sz w:val="16"/>
                <w:szCs w:val="16"/>
                <w:lang w:eastAsia="en-US"/>
              </w:rPr>
              <w:t>Reporting in financial year indicates affordability is maintained or increased</w:t>
            </w:r>
            <w:r w:rsidR="0019217D">
              <w:rPr>
                <w:rFonts w:eastAsia="Calibri" w:cs="Arial"/>
                <w:sz w:val="16"/>
                <w:szCs w:val="16"/>
                <w:lang w:eastAsia="en-US"/>
              </w:rPr>
              <w:t>.</w:t>
            </w:r>
          </w:p>
        </w:tc>
      </w:tr>
      <w:tr w:rsidR="00115843" w:rsidRPr="00E1118D" w14:paraId="5F1434C4" w14:textId="77777777" w:rsidTr="000723E3">
        <w:trPr>
          <w:cantSplit/>
          <w:trHeight w:val="642"/>
        </w:trPr>
        <w:tc>
          <w:tcPr>
            <w:tcW w:w="873" w:type="pct"/>
            <w:tcBorders>
              <w:top w:val="nil"/>
              <w:bottom w:val="nil"/>
              <w:right w:val="single" w:sz="4" w:space="0" w:color="auto"/>
            </w:tcBorders>
          </w:tcPr>
          <w:p w14:paraId="25BBB821" w14:textId="77777777" w:rsidR="00115843" w:rsidRPr="00FD292C" w:rsidRDefault="00115843" w:rsidP="00FB0D02">
            <w:pPr>
              <w:pStyle w:val="TableTextBase"/>
              <w:rPr>
                <w:rFonts w:cs="Arial"/>
                <w:sz w:val="16"/>
                <w:szCs w:val="16"/>
              </w:rPr>
            </w:pPr>
          </w:p>
        </w:tc>
        <w:tc>
          <w:tcPr>
            <w:tcW w:w="1794" w:type="pct"/>
            <w:tcBorders>
              <w:top w:val="single" w:sz="4" w:space="0" w:color="auto"/>
              <w:left w:val="single" w:sz="4" w:space="0" w:color="auto"/>
              <w:bottom w:val="single" w:sz="4" w:space="0" w:color="auto"/>
              <w:right w:val="single" w:sz="4" w:space="0" w:color="auto"/>
            </w:tcBorders>
          </w:tcPr>
          <w:p w14:paraId="2D939452" w14:textId="77777777" w:rsidR="00115843" w:rsidRPr="00FD292C" w:rsidRDefault="00115843" w:rsidP="00FB0D02">
            <w:pPr>
              <w:spacing w:before="60" w:after="60" w:line="240" w:lineRule="auto"/>
              <w:rPr>
                <w:rFonts w:ascii="Arial" w:eastAsia="Calibri" w:hAnsi="Arial" w:cs="Arial"/>
                <w:i/>
                <w:sz w:val="16"/>
                <w:szCs w:val="16"/>
              </w:rPr>
            </w:pPr>
            <w:r w:rsidRPr="00FD292C">
              <w:rPr>
                <w:rFonts w:ascii="Arial" w:eastAsia="Calibri" w:hAnsi="Arial" w:cs="Arial"/>
                <w:i/>
                <w:sz w:val="16"/>
                <w:szCs w:val="16"/>
              </w:rPr>
              <w:t>Effectiveness of support for sustainability of news and media industry</w:t>
            </w:r>
          </w:p>
        </w:tc>
        <w:tc>
          <w:tcPr>
            <w:tcW w:w="2333" w:type="pct"/>
            <w:tcBorders>
              <w:top w:val="single" w:sz="4" w:space="0" w:color="auto"/>
              <w:left w:val="single" w:sz="4" w:space="0" w:color="auto"/>
              <w:bottom w:val="single" w:sz="4" w:space="0" w:color="auto"/>
            </w:tcBorders>
          </w:tcPr>
          <w:p w14:paraId="11ADC876" w14:textId="66E7EB80"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Sustainability of the news and media industry improves</w:t>
            </w:r>
            <w:r w:rsidR="0019217D">
              <w:rPr>
                <w:rFonts w:ascii="Arial" w:eastAsia="Calibri" w:hAnsi="Arial" w:cs="Arial"/>
                <w:sz w:val="16"/>
                <w:szCs w:val="16"/>
              </w:rPr>
              <w:t>.</w:t>
            </w:r>
          </w:p>
          <w:p w14:paraId="52F012F5" w14:textId="00150628" w:rsidR="00115843" w:rsidRPr="00FD292C" w:rsidRDefault="00115843" w:rsidP="00FB0D02">
            <w:pPr>
              <w:pStyle w:val="TableTextBase"/>
              <w:rPr>
                <w:rFonts w:eastAsia="Calibri" w:cs="Arial"/>
                <w:b/>
                <w:sz w:val="16"/>
                <w:szCs w:val="16"/>
                <w:highlight w:val="yellow"/>
              </w:rPr>
            </w:pPr>
            <w:r w:rsidRPr="00FD292C">
              <w:rPr>
                <w:rFonts w:eastAsia="Calibri" w:cs="Arial"/>
                <w:sz w:val="16"/>
                <w:szCs w:val="16"/>
                <w:lang w:eastAsia="en-US"/>
              </w:rPr>
              <w:t>Number of media organisations receiving grant funding and outcomes achieved from that funding</w:t>
            </w:r>
            <w:r w:rsidR="0019217D">
              <w:rPr>
                <w:rFonts w:eastAsia="Calibri" w:cs="Arial"/>
                <w:sz w:val="16"/>
                <w:szCs w:val="16"/>
                <w:lang w:eastAsia="en-US"/>
              </w:rPr>
              <w:t>.</w:t>
            </w:r>
          </w:p>
        </w:tc>
      </w:tr>
      <w:tr w:rsidR="00115843" w:rsidRPr="00E1118D" w14:paraId="520EC084" w14:textId="77777777" w:rsidTr="000723E3">
        <w:trPr>
          <w:cantSplit/>
          <w:trHeight w:val="642"/>
        </w:trPr>
        <w:tc>
          <w:tcPr>
            <w:tcW w:w="873" w:type="pct"/>
            <w:tcBorders>
              <w:top w:val="nil"/>
              <w:bottom w:val="nil"/>
              <w:right w:val="single" w:sz="4" w:space="0" w:color="auto"/>
            </w:tcBorders>
          </w:tcPr>
          <w:p w14:paraId="25393565" w14:textId="77777777" w:rsidR="00115843" w:rsidRPr="00FD292C" w:rsidRDefault="00115843" w:rsidP="00FB0D02">
            <w:pPr>
              <w:pStyle w:val="TableTextBase"/>
              <w:rPr>
                <w:rFonts w:cs="Arial"/>
                <w:sz w:val="16"/>
                <w:szCs w:val="16"/>
              </w:rPr>
            </w:pPr>
          </w:p>
        </w:tc>
        <w:tc>
          <w:tcPr>
            <w:tcW w:w="1794" w:type="pct"/>
            <w:tcBorders>
              <w:top w:val="single" w:sz="4" w:space="0" w:color="auto"/>
              <w:left w:val="single" w:sz="4" w:space="0" w:color="auto"/>
              <w:bottom w:val="single" w:sz="4" w:space="0" w:color="auto"/>
              <w:right w:val="single" w:sz="4" w:space="0" w:color="auto"/>
            </w:tcBorders>
          </w:tcPr>
          <w:p w14:paraId="1EC236A4" w14:textId="77777777" w:rsidR="00115843" w:rsidRPr="00FD292C" w:rsidRDefault="00115843" w:rsidP="00FB0D02">
            <w:pPr>
              <w:spacing w:before="60" w:after="60" w:line="240" w:lineRule="auto"/>
              <w:rPr>
                <w:rFonts w:ascii="Arial" w:eastAsia="Calibri" w:hAnsi="Arial" w:cs="Arial"/>
                <w:sz w:val="16"/>
                <w:szCs w:val="16"/>
              </w:rPr>
            </w:pPr>
            <w:r w:rsidRPr="00FD292C">
              <w:rPr>
                <w:rFonts w:ascii="Arial" w:eastAsia="Calibri" w:hAnsi="Arial" w:cs="Arial"/>
                <w:sz w:val="16"/>
                <w:szCs w:val="16"/>
              </w:rPr>
              <w:t xml:space="preserve">Access to communications for people with a disability, indicated through: </w:t>
            </w:r>
          </w:p>
          <w:p w14:paraId="1BB6E7FB" w14:textId="77777777" w:rsidR="00115843" w:rsidRPr="00FD292C" w:rsidRDefault="00115843" w:rsidP="00115843">
            <w:pPr>
              <w:numPr>
                <w:ilvl w:val="0"/>
                <w:numId w:val="229"/>
              </w:numPr>
              <w:spacing w:before="60" w:after="60" w:line="240" w:lineRule="auto"/>
              <w:contextualSpacing/>
              <w:rPr>
                <w:rFonts w:ascii="Arial" w:eastAsia="Calibri" w:hAnsi="Arial" w:cs="Arial"/>
                <w:sz w:val="16"/>
                <w:szCs w:val="16"/>
              </w:rPr>
            </w:pPr>
            <w:r w:rsidRPr="00FD292C">
              <w:rPr>
                <w:rFonts w:ascii="Arial" w:eastAsia="Calibri" w:hAnsi="Arial" w:cs="Arial"/>
                <w:sz w:val="16"/>
                <w:szCs w:val="16"/>
              </w:rPr>
              <w:t xml:space="preserve">National Relay Service (NRS) performance </w:t>
            </w:r>
          </w:p>
          <w:p w14:paraId="52EE36B7" w14:textId="77777777" w:rsidR="00115843" w:rsidRPr="00FD292C" w:rsidRDefault="00115843" w:rsidP="00115843">
            <w:pPr>
              <w:numPr>
                <w:ilvl w:val="0"/>
                <w:numId w:val="229"/>
              </w:numPr>
              <w:spacing w:before="60" w:after="60" w:line="240" w:lineRule="auto"/>
              <w:contextualSpacing/>
              <w:rPr>
                <w:rFonts w:ascii="Arial" w:hAnsi="Arial" w:cs="Arial"/>
                <w:sz w:val="16"/>
                <w:szCs w:val="16"/>
              </w:rPr>
            </w:pPr>
            <w:r w:rsidRPr="00FD292C">
              <w:rPr>
                <w:rFonts w:ascii="Arial" w:eastAsia="Calibri" w:hAnsi="Arial" w:cs="Arial"/>
                <w:sz w:val="16"/>
                <w:szCs w:val="16"/>
              </w:rPr>
              <w:t>audio description implementation by the national broadcasters</w:t>
            </w:r>
          </w:p>
          <w:p w14:paraId="17B5DC9B" w14:textId="77777777" w:rsidR="00115843" w:rsidRPr="00FD292C" w:rsidRDefault="00115843" w:rsidP="00115843">
            <w:pPr>
              <w:numPr>
                <w:ilvl w:val="0"/>
                <w:numId w:val="229"/>
              </w:numPr>
              <w:spacing w:before="60" w:after="60" w:line="240" w:lineRule="auto"/>
              <w:contextualSpacing/>
              <w:rPr>
                <w:rFonts w:ascii="Arial" w:hAnsi="Arial" w:cs="Arial"/>
                <w:sz w:val="16"/>
                <w:szCs w:val="16"/>
              </w:rPr>
            </w:pPr>
            <w:r w:rsidRPr="00FD292C">
              <w:rPr>
                <w:rFonts w:ascii="Arial" w:eastAsia="Calibri" w:hAnsi="Arial" w:cs="Arial"/>
                <w:sz w:val="16"/>
                <w:szCs w:val="16"/>
              </w:rPr>
              <w:t>broadcaster captioning compliance</w:t>
            </w:r>
          </w:p>
        </w:tc>
        <w:tc>
          <w:tcPr>
            <w:tcW w:w="2333" w:type="pct"/>
            <w:tcBorders>
              <w:top w:val="single" w:sz="4" w:space="0" w:color="auto"/>
              <w:left w:val="single" w:sz="4" w:space="0" w:color="auto"/>
              <w:bottom w:val="single" w:sz="4" w:space="0" w:color="auto"/>
            </w:tcBorders>
          </w:tcPr>
          <w:p w14:paraId="36DCDCC8" w14:textId="5A059B53" w:rsidR="00115843" w:rsidRPr="00FD292C" w:rsidRDefault="00115843" w:rsidP="00FB0D02">
            <w:pPr>
              <w:pStyle w:val="TableTextBase"/>
              <w:rPr>
                <w:rFonts w:eastAsia="Calibri" w:cs="Arial"/>
                <w:b/>
                <w:sz w:val="16"/>
                <w:szCs w:val="16"/>
                <w:highlight w:val="yellow"/>
              </w:rPr>
            </w:pPr>
            <w:r w:rsidRPr="00FD292C">
              <w:rPr>
                <w:rFonts w:eastAsia="Calibri" w:cs="Arial"/>
                <w:sz w:val="16"/>
                <w:szCs w:val="16"/>
                <w:lang w:eastAsia="en-US"/>
              </w:rPr>
              <w:t>Reporting in each financial year indicates access is maintained or increased</w:t>
            </w:r>
            <w:r w:rsidR="0019217D">
              <w:rPr>
                <w:rFonts w:eastAsia="Calibri" w:cs="Arial"/>
                <w:sz w:val="16"/>
                <w:szCs w:val="16"/>
                <w:lang w:eastAsia="en-US"/>
              </w:rPr>
              <w:t>.</w:t>
            </w:r>
          </w:p>
        </w:tc>
      </w:tr>
      <w:tr w:rsidR="00115843" w:rsidRPr="00E1118D" w14:paraId="3759A458" w14:textId="77777777" w:rsidTr="000723E3">
        <w:trPr>
          <w:cantSplit/>
          <w:trHeight w:val="642"/>
        </w:trPr>
        <w:tc>
          <w:tcPr>
            <w:tcW w:w="873" w:type="pct"/>
            <w:tcBorders>
              <w:top w:val="nil"/>
              <w:right w:val="single" w:sz="4" w:space="0" w:color="auto"/>
            </w:tcBorders>
          </w:tcPr>
          <w:p w14:paraId="1AFC7C52" w14:textId="77777777" w:rsidR="00115843" w:rsidRPr="00FD292C" w:rsidRDefault="00115843" w:rsidP="00FB0D02">
            <w:pPr>
              <w:pStyle w:val="TableTextBase"/>
              <w:rPr>
                <w:rFonts w:cs="Arial"/>
                <w:sz w:val="16"/>
                <w:szCs w:val="16"/>
              </w:rPr>
            </w:pPr>
          </w:p>
        </w:tc>
        <w:tc>
          <w:tcPr>
            <w:tcW w:w="1794" w:type="pct"/>
            <w:tcBorders>
              <w:top w:val="single" w:sz="4" w:space="0" w:color="auto"/>
              <w:left w:val="single" w:sz="4" w:space="0" w:color="auto"/>
              <w:bottom w:val="single" w:sz="4" w:space="0" w:color="auto"/>
              <w:right w:val="single" w:sz="4" w:space="0" w:color="auto"/>
            </w:tcBorders>
          </w:tcPr>
          <w:p w14:paraId="633A0CA2" w14:textId="3465551A" w:rsidR="00115843" w:rsidRPr="00FD292C" w:rsidRDefault="00115843" w:rsidP="00FB0D02">
            <w:pPr>
              <w:spacing w:before="60" w:after="60" w:line="240" w:lineRule="auto"/>
              <w:rPr>
                <w:rFonts w:ascii="Arial" w:eastAsia="Calibri" w:hAnsi="Arial" w:cs="Arial"/>
                <w:i/>
                <w:sz w:val="16"/>
                <w:szCs w:val="16"/>
                <w:vertAlign w:val="superscript"/>
              </w:rPr>
            </w:pPr>
            <w:r w:rsidRPr="00FD292C">
              <w:rPr>
                <w:rFonts w:ascii="Arial" w:eastAsia="Calibri" w:hAnsi="Arial" w:cs="Arial"/>
                <w:i/>
                <w:sz w:val="16"/>
                <w:szCs w:val="16"/>
              </w:rPr>
              <w:t>Levels of consumer complaint in telecommunications and post sectors</w:t>
            </w:r>
            <w:r w:rsidR="0019217D">
              <w:rPr>
                <w:rFonts w:ascii="Arial" w:eastAsia="Calibri" w:hAnsi="Arial" w:cs="Arial"/>
                <w:i/>
                <w:sz w:val="16"/>
                <w:szCs w:val="16"/>
              </w:rPr>
              <w:t> </w:t>
            </w:r>
            <w:r w:rsidRPr="00FD292C">
              <w:rPr>
                <w:rFonts w:ascii="Arial" w:eastAsia="Calibri" w:hAnsi="Arial" w:cs="Arial"/>
                <w:sz w:val="16"/>
                <w:szCs w:val="16"/>
                <w:vertAlign w:val="superscript"/>
              </w:rPr>
              <w:t>(e)</w:t>
            </w:r>
          </w:p>
        </w:tc>
        <w:tc>
          <w:tcPr>
            <w:tcW w:w="2333" w:type="pct"/>
            <w:tcBorders>
              <w:top w:val="single" w:sz="4" w:space="0" w:color="auto"/>
              <w:left w:val="single" w:sz="4" w:space="0" w:color="auto"/>
              <w:bottom w:val="single" w:sz="4" w:space="0" w:color="auto"/>
            </w:tcBorders>
          </w:tcPr>
          <w:p w14:paraId="4503A18E" w14:textId="48CC1618" w:rsidR="00115843" w:rsidRPr="00FD292C" w:rsidRDefault="00115843" w:rsidP="00FB0D02">
            <w:pPr>
              <w:pStyle w:val="TableTextBase"/>
              <w:rPr>
                <w:rFonts w:eastAsia="Calibri" w:cs="Arial"/>
                <w:b/>
                <w:sz w:val="16"/>
                <w:szCs w:val="16"/>
                <w:highlight w:val="yellow"/>
              </w:rPr>
            </w:pPr>
            <w:r w:rsidRPr="00FD292C">
              <w:rPr>
                <w:rFonts w:eastAsia="Calibri" w:cs="Arial"/>
                <w:sz w:val="16"/>
                <w:szCs w:val="16"/>
                <w:lang w:eastAsia="en-US"/>
              </w:rPr>
              <w:t>Twelve month reporting shows maintained or improved consumer experience</w:t>
            </w:r>
            <w:r w:rsidR="0019217D">
              <w:rPr>
                <w:rFonts w:eastAsia="Calibri" w:cs="Arial"/>
                <w:sz w:val="16"/>
                <w:szCs w:val="16"/>
                <w:lang w:eastAsia="en-US"/>
              </w:rPr>
              <w:t>.</w:t>
            </w:r>
          </w:p>
        </w:tc>
      </w:tr>
    </w:tbl>
    <w:p w14:paraId="04FB3CFF" w14:textId="77777777" w:rsidR="000723E3" w:rsidRDefault="000723E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3"/>
        <w:gridCol w:w="3593"/>
      </w:tblGrid>
      <w:tr w:rsidR="000723E3" w:rsidRPr="00E1118D" w14:paraId="137F0673" w14:textId="77777777" w:rsidTr="00103015">
        <w:trPr>
          <w:cantSplit/>
          <w:trHeight w:val="305"/>
        </w:trPr>
        <w:tc>
          <w:tcPr>
            <w:tcW w:w="873" w:type="pct"/>
            <w:tcBorders>
              <w:top w:val="double" w:sz="4" w:space="0" w:color="auto"/>
              <w:bottom w:val="single" w:sz="4" w:space="0" w:color="auto"/>
              <w:right w:val="single" w:sz="4" w:space="0" w:color="auto"/>
            </w:tcBorders>
          </w:tcPr>
          <w:p w14:paraId="7D326DA0" w14:textId="77777777" w:rsidR="000723E3" w:rsidRPr="00CD1CF1" w:rsidRDefault="000723E3" w:rsidP="00103015">
            <w:pPr>
              <w:pStyle w:val="TableTextBase"/>
              <w:rPr>
                <w:sz w:val="16"/>
                <w:szCs w:val="16"/>
              </w:rPr>
            </w:pPr>
            <w:r w:rsidRPr="00CD1CF1">
              <w:rPr>
                <w:b/>
                <w:sz w:val="16"/>
                <w:szCs w:val="16"/>
              </w:rPr>
              <w:lastRenderedPageBreak/>
              <w:t>Year</w:t>
            </w:r>
          </w:p>
        </w:tc>
        <w:tc>
          <w:tcPr>
            <w:tcW w:w="1794" w:type="pct"/>
            <w:tcBorders>
              <w:top w:val="double" w:sz="4" w:space="0" w:color="auto"/>
              <w:left w:val="single" w:sz="4" w:space="0" w:color="auto"/>
              <w:bottom w:val="single" w:sz="4" w:space="0" w:color="auto"/>
              <w:right w:val="single" w:sz="4" w:space="0" w:color="auto"/>
            </w:tcBorders>
          </w:tcPr>
          <w:p w14:paraId="12A48D56" w14:textId="77777777" w:rsidR="000723E3" w:rsidRPr="00CD1CF1" w:rsidRDefault="000723E3" w:rsidP="00103015">
            <w:pPr>
              <w:pStyle w:val="TableTextBase"/>
              <w:rPr>
                <w:rFonts w:eastAsia="Calibri" w:cs="Arial"/>
                <w:sz w:val="16"/>
                <w:szCs w:val="16"/>
                <w:lang w:eastAsia="en-US"/>
              </w:rPr>
            </w:pPr>
            <w:r w:rsidRPr="00CD1CF1">
              <w:rPr>
                <w:b/>
                <w:sz w:val="16"/>
                <w:szCs w:val="16"/>
              </w:rPr>
              <w:t>Performance measures</w:t>
            </w:r>
          </w:p>
        </w:tc>
        <w:tc>
          <w:tcPr>
            <w:tcW w:w="2333" w:type="pct"/>
            <w:tcBorders>
              <w:top w:val="double" w:sz="4" w:space="0" w:color="auto"/>
              <w:left w:val="single" w:sz="4" w:space="0" w:color="auto"/>
              <w:bottom w:val="single" w:sz="4" w:space="0" w:color="auto"/>
            </w:tcBorders>
          </w:tcPr>
          <w:p w14:paraId="4DCED99C" w14:textId="77777777" w:rsidR="000723E3" w:rsidRPr="00E1118D" w:rsidRDefault="000723E3" w:rsidP="00103015">
            <w:pPr>
              <w:spacing w:before="60" w:after="60" w:line="240" w:lineRule="auto"/>
              <w:ind w:right="-12"/>
              <w:rPr>
                <w:rFonts w:ascii="Arial" w:eastAsia="Calibri" w:hAnsi="Arial" w:cs="Arial"/>
                <w:sz w:val="16"/>
                <w:szCs w:val="16"/>
              </w:rPr>
            </w:pPr>
            <w:r>
              <w:rPr>
                <w:rFonts w:ascii="Arial" w:eastAsia="Calibri" w:hAnsi="Arial" w:cs="Arial"/>
                <w:b/>
                <w:sz w:val="16"/>
                <w:szCs w:val="16"/>
              </w:rPr>
              <w:t>Planned</w:t>
            </w:r>
            <w:r w:rsidRPr="00690280">
              <w:rPr>
                <w:rFonts w:ascii="Arial" w:eastAsia="Calibri" w:hAnsi="Arial" w:cs="Arial"/>
                <w:b/>
                <w:sz w:val="16"/>
                <w:szCs w:val="16"/>
              </w:rPr>
              <w:t xml:space="preserve"> </w:t>
            </w:r>
            <w:r>
              <w:rPr>
                <w:rFonts w:ascii="Arial" w:hAnsi="Arial"/>
                <w:b/>
                <w:sz w:val="16"/>
                <w:szCs w:val="16"/>
              </w:rPr>
              <w:t>Performance</w:t>
            </w:r>
            <w:r w:rsidRPr="00C50D45">
              <w:rPr>
                <w:rFonts w:ascii="Arial" w:hAnsi="Arial"/>
                <w:b/>
                <w:sz w:val="16"/>
                <w:szCs w:val="16"/>
              </w:rPr>
              <w:t xml:space="preserve"> Results</w:t>
            </w:r>
          </w:p>
        </w:tc>
      </w:tr>
      <w:tr w:rsidR="00115843" w:rsidRPr="00E1118D" w14:paraId="0A545D19" w14:textId="77777777" w:rsidTr="000723E3">
        <w:trPr>
          <w:cantSplit/>
          <w:trHeight w:val="2395"/>
        </w:trPr>
        <w:tc>
          <w:tcPr>
            <w:tcW w:w="873" w:type="pct"/>
            <w:tcBorders>
              <w:right w:val="single" w:sz="4" w:space="0" w:color="auto"/>
            </w:tcBorders>
          </w:tcPr>
          <w:p w14:paraId="0502A30F" w14:textId="61864A0A" w:rsidR="00115843" w:rsidRPr="00FD292C" w:rsidRDefault="000723E3" w:rsidP="00FB0D02">
            <w:pPr>
              <w:pStyle w:val="TableTextBase"/>
              <w:rPr>
                <w:rFonts w:cs="Arial"/>
                <w:sz w:val="16"/>
                <w:szCs w:val="16"/>
              </w:rPr>
            </w:pPr>
            <w:r w:rsidRPr="00FD292C">
              <w:rPr>
                <w:rFonts w:eastAsia="Calibri" w:cs="Arial"/>
                <w:sz w:val="16"/>
                <w:szCs w:val="16"/>
              </w:rPr>
              <w:t>Forward Estimates</w:t>
            </w:r>
            <w:r w:rsidRPr="00FD292C">
              <w:rPr>
                <w:rFonts w:eastAsia="Calibri" w:cs="Arial"/>
                <w:sz w:val="16"/>
                <w:szCs w:val="16"/>
              </w:rPr>
              <w:br/>
              <w:t>2023–26 cont.</w:t>
            </w:r>
          </w:p>
        </w:tc>
        <w:tc>
          <w:tcPr>
            <w:tcW w:w="1794" w:type="pct"/>
            <w:tcBorders>
              <w:top w:val="single" w:sz="4" w:space="0" w:color="auto"/>
              <w:left w:val="single" w:sz="4" w:space="0" w:color="auto"/>
              <w:bottom w:val="single" w:sz="4" w:space="0" w:color="auto"/>
              <w:right w:val="single" w:sz="4" w:space="0" w:color="auto"/>
            </w:tcBorders>
          </w:tcPr>
          <w:p w14:paraId="513616D1" w14:textId="76C813EB" w:rsidR="00115843" w:rsidRPr="00FD292C" w:rsidRDefault="00115843" w:rsidP="00FB0D02">
            <w:pPr>
              <w:spacing w:before="60" w:after="60" w:line="240" w:lineRule="auto"/>
              <w:rPr>
                <w:rFonts w:ascii="Arial" w:eastAsia="Calibri" w:hAnsi="Arial" w:cs="Arial"/>
                <w:i/>
                <w:sz w:val="16"/>
                <w:szCs w:val="16"/>
                <w:vertAlign w:val="superscript"/>
              </w:rPr>
            </w:pPr>
            <w:r w:rsidRPr="00FD292C">
              <w:rPr>
                <w:rFonts w:ascii="Arial" w:eastAsia="Calibri" w:hAnsi="Arial" w:cs="Arial"/>
                <w:i/>
                <w:sz w:val="16"/>
                <w:szCs w:val="16"/>
              </w:rPr>
              <w:t>Effectiveness of the current Australian content and classification frameworks</w:t>
            </w:r>
            <w:r w:rsidR="0019217D">
              <w:rPr>
                <w:rFonts w:ascii="Arial" w:eastAsia="Calibri" w:hAnsi="Arial" w:cs="Arial"/>
                <w:i/>
                <w:sz w:val="16"/>
                <w:szCs w:val="16"/>
              </w:rPr>
              <w:t xml:space="preserve"> </w:t>
            </w:r>
            <w:r w:rsidRPr="00FD292C">
              <w:rPr>
                <w:rFonts w:ascii="Arial" w:eastAsia="Calibri" w:hAnsi="Arial" w:cs="Arial"/>
                <w:sz w:val="16"/>
                <w:szCs w:val="16"/>
                <w:vertAlign w:val="superscript"/>
              </w:rPr>
              <w:t>(e)(f)</w:t>
            </w:r>
            <w:r w:rsidRPr="00FD292C">
              <w:rPr>
                <w:rFonts w:ascii="Arial" w:eastAsia="Calibri" w:hAnsi="Arial" w:cs="Arial"/>
                <w:i/>
                <w:sz w:val="16"/>
                <w:szCs w:val="16"/>
                <w:vertAlign w:val="superscript"/>
              </w:rPr>
              <w:t xml:space="preserve">  </w:t>
            </w:r>
          </w:p>
        </w:tc>
        <w:tc>
          <w:tcPr>
            <w:tcW w:w="2333" w:type="pct"/>
            <w:tcBorders>
              <w:top w:val="single" w:sz="4" w:space="0" w:color="auto"/>
              <w:left w:val="single" w:sz="4" w:space="0" w:color="auto"/>
              <w:bottom w:val="single" w:sz="4" w:space="0" w:color="auto"/>
            </w:tcBorders>
          </w:tcPr>
          <w:p w14:paraId="23163BC0" w14:textId="77777777" w:rsidR="00115843" w:rsidRPr="00FD292C" w:rsidRDefault="00115843" w:rsidP="00FB0D02">
            <w:pPr>
              <w:spacing w:before="60" w:after="60" w:line="240" w:lineRule="auto"/>
              <w:ind w:right="-12"/>
              <w:rPr>
                <w:rFonts w:ascii="Arial" w:eastAsia="Calibri" w:hAnsi="Arial" w:cs="Arial"/>
                <w:sz w:val="16"/>
                <w:szCs w:val="16"/>
              </w:rPr>
            </w:pPr>
            <w:r w:rsidRPr="00FD292C">
              <w:rPr>
                <w:rFonts w:ascii="Arial" w:eastAsia="Calibri" w:hAnsi="Arial" w:cs="Arial"/>
                <w:sz w:val="16"/>
                <w:szCs w:val="16"/>
              </w:rPr>
              <w:t>Reporting in each financial year shows organisations are meeting or exceeding statutory obligations:</w:t>
            </w:r>
          </w:p>
          <w:p w14:paraId="26FEF6D7" w14:textId="77777777" w:rsidR="00115843" w:rsidRPr="00FD292C" w:rsidRDefault="00115843" w:rsidP="00115843">
            <w:pPr>
              <w:numPr>
                <w:ilvl w:val="0"/>
                <w:numId w:val="228"/>
              </w:numPr>
              <w:spacing w:before="60" w:after="60" w:line="240" w:lineRule="auto"/>
              <w:ind w:right="-12"/>
              <w:contextualSpacing/>
              <w:rPr>
                <w:rFonts w:ascii="Arial" w:eastAsia="Calibri" w:hAnsi="Arial" w:cs="Arial"/>
                <w:sz w:val="16"/>
                <w:szCs w:val="16"/>
              </w:rPr>
            </w:pPr>
            <w:r w:rsidRPr="00FD292C">
              <w:rPr>
                <w:rFonts w:ascii="Arial" w:eastAsia="Calibri" w:hAnsi="Arial" w:cs="Arial"/>
                <w:sz w:val="16"/>
                <w:szCs w:val="16"/>
              </w:rPr>
              <w:t>Australian content quota compliance and the existence of public data on Australian content available on streaming video on demand services</w:t>
            </w:r>
          </w:p>
          <w:p w14:paraId="1E505187" w14:textId="2F8FAAD2" w:rsidR="00115843" w:rsidRPr="00FD292C" w:rsidRDefault="00115843" w:rsidP="00115843">
            <w:pPr>
              <w:numPr>
                <w:ilvl w:val="0"/>
                <w:numId w:val="228"/>
              </w:numPr>
              <w:spacing w:before="60" w:after="60" w:line="240" w:lineRule="auto"/>
              <w:ind w:right="-12"/>
              <w:contextualSpacing/>
              <w:rPr>
                <w:rFonts w:eastAsia="Calibri" w:cs="Arial"/>
                <w:sz w:val="16"/>
                <w:szCs w:val="16"/>
              </w:rPr>
            </w:pPr>
            <w:r w:rsidRPr="00FD292C">
              <w:rPr>
                <w:rFonts w:ascii="Arial" w:eastAsia="Calibri" w:hAnsi="Arial" w:cs="Arial"/>
                <w:sz w:val="16"/>
                <w:szCs w:val="16"/>
              </w:rPr>
              <w:t>100% of Classification decisions by the Classification Board and Classification Review Board made and published on the National Classification Database within statutory timeframes</w:t>
            </w:r>
            <w:r w:rsidR="0019217D">
              <w:rPr>
                <w:rFonts w:ascii="Arial" w:eastAsia="Calibri" w:hAnsi="Arial" w:cs="Arial"/>
                <w:sz w:val="16"/>
                <w:szCs w:val="16"/>
              </w:rPr>
              <w:t>.</w:t>
            </w:r>
          </w:p>
        </w:tc>
      </w:tr>
    </w:tbl>
    <w:p w14:paraId="61842C45" w14:textId="77777777" w:rsidR="00115843" w:rsidRPr="002D19CA" w:rsidRDefault="00115843" w:rsidP="00115843">
      <w:pPr>
        <w:spacing w:before="60" w:after="0" w:line="240" w:lineRule="auto"/>
        <w:rPr>
          <w:rFonts w:ascii="Arial" w:hAnsi="Arial" w:cs="Arial"/>
          <w:sz w:val="16"/>
        </w:rPr>
      </w:pPr>
      <w:r w:rsidRPr="00A5765A">
        <w:rPr>
          <w:rFonts w:ascii="Arial" w:hAnsi="Arial" w:cs="Arial"/>
          <w:sz w:val="16"/>
        </w:rPr>
        <w:t xml:space="preserve">New or modified performance measures that reflect new or materially changed programs are shown in </w:t>
      </w:r>
      <w:r w:rsidRPr="00A5765A">
        <w:rPr>
          <w:rFonts w:ascii="Arial" w:hAnsi="Arial" w:cs="Arial"/>
          <w:i/>
          <w:sz w:val="16"/>
        </w:rPr>
        <w:t>italics.</w:t>
      </w:r>
      <w:r w:rsidRPr="002D19CA">
        <w:rPr>
          <w:rFonts w:ascii="Arial" w:hAnsi="Arial" w:cs="Arial"/>
          <w:sz w:val="16"/>
        </w:rPr>
        <w:t xml:space="preserve"> </w:t>
      </w:r>
    </w:p>
    <w:p w14:paraId="26A34901" w14:textId="77777777" w:rsidR="00115843" w:rsidRDefault="00115843" w:rsidP="00115843">
      <w:pPr>
        <w:pStyle w:val="ListParagraph"/>
        <w:numPr>
          <w:ilvl w:val="0"/>
          <w:numId w:val="230"/>
        </w:numPr>
        <w:spacing w:after="0" w:line="240" w:lineRule="auto"/>
        <w:rPr>
          <w:rFonts w:ascii="Arial" w:hAnsi="Arial" w:cs="Arial"/>
          <w:sz w:val="16"/>
          <w:szCs w:val="16"/>
        </w:rPr>
      </w:pPr>
      <w:r>
        <w:rPr>
          <w:rFonts w:ascii="Arial" w:hAnsi="Arial" w:cs="Arial"/>
          <w:sz w:val="16"/>
          <w:szCs w:val="16"/>
        </w:rPr>
        <w:t>The following key activities referenced in the 2021–22 Corporate Plan have been removed:</w:t>
      </w:r>
    </w:p>
    <w:p w14:paraId="61348174" w14:textId="77777777" w:rsidR="00115843" w:rsidRDefault="00115843" w:rsidP="0019217D">
      <w:pPr>
        <w:pStyle w:val="ListParagraph"/>
        <w:numPr>
          <w:ilvl w:val="0"/>
          <w:numId w:val="231"/>
        </w:numPr>
        <w:spacing w:after="0" w:line="240" w:lineRule="auto"/>
        <w:ind w:left="709" w:hanging="283"/>
        <w:rPr>
          <w:rFonts w:ascii="Arial" w:hAnsi="Arial" w:cs="Arial"/>
          <w:sz w:val="16"/>
          <w:szCs w:val="16"/>
        </w:rPr>
      </w:pPr>
      <w:r>
        <w:rPr>
          <w:rFonts w:ascii="Arial" w:hAnsi="Arial" w:cs="Arial"/>
          <w:sz w:val="16"/>
          <w:szCs w:val="16"/>
        </w:rPr>
        <w:t>Provide policy advice and operational support to the classification regulatory framework</w:t>
      </w:r>
    </w:p>
    <w:p w14:paraId="36573408" w14:textId="77777777" w:rsidR="00115843" w:rsidRDefault="00115843" w:rsidP="0019217D">
      <w:pPr>
        <w:pStyle w:val="ListParagraph"/>
        <w:numPr>
          <w:ilvl w:val="0"/>
          <w:numId w:val="231"/>
        </w:numPr>
        <w:spacing w:after="0" w:line="240" w:lineRule="auto"/>
        <w:ind w:left="709" w:hanging="283"/>
        <w:rPr>
          <w:rFonts w:ascii="Arial" w:hAnsi="Arial" w:cs="Arial"/>
          <w:sz w:val="16"/>
          <w:szCs w:val="16"/>
        </w:rPr>
      </w:pPr>
      <w:r>
        <w:rPr>
          <w:rFonts w:ascii="Arial" w:hAnsi="Arial" w:cs="Arial"/>
          <w:sz w:val="16"/>
          <w:szCs w:val="16"/>
        </w:rPr>
        <w:t>Support and advocate Australia’s interests in international telecommunications, internet governance and postal forums</w:t>
      </w:r>
    </w:p>
    <w:p w14:paraId="4A73D82B" w14:textId="77777777" w:rsidR="00115843" w:rsidRDefault="00115843" w:rsidP="0019217D">
      <w:pPr>
        <w:pStyle w:val="ListParagraph"/>
        <w:numPr>
          <w:ilvl w:val="0"/>
          <w:numId w:val="231"/>
        </w:numPr>
        <w:spacing w:after="0" w:line="240" w:lineRule="auto"/>
        <w:ind w:left="709" w:hanging="283"/>
        <w:rPr>
          <w:rFonts w:ascii="Arial" w:hAnsi="Arial" w:cs="Arial"/>
          <w:sz w:val="16"/>
          <w:szCs w:val="16"/>
        </w:rPr>
      </w:pPr>
      <w:r>
        <w:rPr>
          <w:rFonts w:ascii="Arial" w:hAnsi="Arial" w:cs="Arial"/>
          <w:sz w:val="16"/>
          <w:szCs w:val="16"/>
        </w:rPr>
        <w:t>Advise on postal sector policy, including Australia Post governance and performance</w:t>
      </w:r>
    </w:p>
    <w:p w14:paraId="5938CB7A" w14:textId="77777777" w:rsidR="00115843" w:rsidRDefault="00115843" w:rsidP="0019217D">
      <w:pPr>
        <w:pStyle w:val="ListParagraph"/>
        <w:numPr>
          <w:ilvl w:val="0"/>
          <w:numId w:val="231"/>
        </w:numPr>
        <w:spacing w:after="0" w:line="240" w:lineRule="auto"/>
        <w:ind w:left="709" w:hanging="283"/>
        <w:rPr>
          <w:rFonts w:ascii="Arial" w:hAnsi="Arial" w:cs="Arial"/>
          <w:sz w:val="16"/>
          <w:szCs w:val="16"/>
        </w:rPr>
      </w:pPr>
      <w:r>
        <w:rPr>
          <w:rFonts w:ascii="Arial" w:hAnsi="Arial" w:cs="Arial"/>
          <w:sz w:val="16"/>
          <w:szCs w:val="16"/>
        </w:rPr>
        <w:t>Provide policy advice for inclusive telecommunications access, including the modernization of consumer safeguards, and oversee the performance of public interest services</w:t>
      </w:r>
    </w:p>
    <w:p w14:paraId="72E2E9B3" w14:textId="66F25AF8" w:rsidR="00115843" w:rsidRPr="003D46F4" w:rsidRDefault="00115843" w:rsidP="0019217D">
      <w:pPr>
        <w:pStyle w:val="ListParagraph"/>
        <w:numPr>
          <w:ilvl w:val="0"/>
          <w:numId w:val="231"/>
        </w:numPr>
        <w:spacing w:after="0" w:line="240" w:lineRule="auto"/>
        <w:ind w:left="709" w:hanging="283"/>
        <w:rPr>
          <w:rFonts w:ascii="Arial" w:hAnsi="Arial" w:cs="Arial"/>
          <w:sz w:val="16"/>
          <w:szCs w:val="16"/>
        </w:rPr>
      </w:pPr>
      <w:r w:rsidRPr="008073B3">
        <w:rPr>
          <w:rFonts w:ascii="Arial" w:hAnsi="Arial" w:cs="Arial"/>
          <w:sz w:val="16"/>
          <w:szCs w:val="16"/>
        </w:rPr>
        <w:t>Advise on and deliver policy and programs that enable the telecommunications industry to provide services that meet the needs of people and businesses in Australia</w:t>
      </w:r>
      <w:r w:rsidR="00D7504F">
        <w:rPr>
          <w:rFonts w:ascii="Arial" w:hAnsi="Arial" w:cs="Arial"/>
          <w:sz w:val="16"/>
          <w:szCs w:val="16"/>
        </w:rPr>
        <w:t>.</w:t>
      </w:r>
    </w:p>
    <w:p w14:paraId="062C64D4" w14:textId="77777777" w:rsidR="00115843" w:rsidRDefault="00115843" w:rsidP="00115843">
      <w:pPr>
        <w:pStyle w:val="ListParagraph"/>
        <w:numPr>
          <w:ilvl w:val="0"/>
          <w:numId w:val="230"/>
        </w:numPr>
        <w:spacing w:after="0" w:line="240" w:lineRule="auto"/>
        <w:rPr>
          <w:rFonts w:ascii="Arial" w:hAnsi="Arial" w:cs="Arial"/>
          <w:sz w:val="16"/>
        </w:rPr>
      </w:pPr>
      <w:r>
        <w:rPr>
          <w:rFonts w:ascii="Arial" w:hAnsi="Arial" w:cs="Arial"/>
          <w:sz w:val="16"/>
        </w:rPr>
        <w:t xml:space="preserve">New </w:t>
      </w:r>
      <w:r w:rsidRPr="0016575D">
        <w:rPr>
          <w:rFonts w:ascii="Arial" w:hAnsi="Arial" w:cs="Arial"/>
          <w:sz w:val="16"/>
        </w:rPr>
        <w:t>key activity that is reflected in the 2022–23 Corporate Plan</w:t>
      </w:r>
      <w:r>
        <w:rPr>
          <w:rFonts w:ascii="Arial" w:hAnsi="Arial" w:cs="Arial"/>
          <w:sz w:val="16"/>
        </w:rPr>
        <w:t>.</w:t>
      </w:r>
    </w:p>
    <w:p w14:paraId="7024C299" w14:textId="77777777" w:rsidR="00115843" w:rsidRDefault="00115843" w:rsidP="00115843">
      <w:pPr>
        <w:pStyle w:val="ListParagraph"/>
        <w:numPr>
          <w:ilvl w:val="0"/>
          <w:numId w:val="230"/>
        </w:numPr>
        <w:spacing w:after="0" w:line="240" w:lineRule="auto"/>
        <w:rPr>
          <w:rFonts w:ascii="Arial" w:hAnsi="Arial" w:cs="Arial"/>
          <w:sz w:val="16"/>
        </w:rPr>
      </w:pPr>
      <w:r w:rsidRPr="0016575D">
        <w:rPr>
          <w:rFonts w:ascii="Arial" w:hAnsi="Arial" w:cs="Arial"/>
          <w:sz w:val="16"/>
        </w:rPr>
        <w:t>Refer</w:t>
      </w:r>
      <w:r w:rsidRPr="00D36C35">
        <w:rPr>
          <w:rFonts w:ascii="Arial" w:hAnsi="Arial" w:cs="Arial"/>
          <w:sz w:val="16"/>
        </w:rPr>
        <w:t>s</w:t>
      </w:r>
      <w:r w:rsidRPr="0016575D">
        <w:rPr>
          <w:rFonts w:ascii="Arial" w:hAnsi="Arial" w:cs="Arial"/>
          <w:sz w:val="16"/>
        </w:rPr>
        <w:t xml:space="preserve"> to updated key activity that is reflected in the 2022–23 Corporate Plan.</w:t>
      </w:r>
    </w:p>
    <w:p w14:paraId="4D4A6084" w14:textId="77777777" w:rsidR="00115843" w:rsidRDefault="00115843" w:rsidP="00115843">
      <w:pPr>
        <w:pStyle w:val="ListParagraph"/>
        <w:numPr>
          <w:ilvl w:val="0"/>
          <w:numId w:val="230"/>
        </w:numPr>
        <w:spacing w:after="0" w:line="240" w:lineRule="auto"/>
        <w:rPr>
          <w:rFonts w:ascii="Arial" w:hAnsi="Arial" w:cs="Arial"/>
          <w:sz w:val="16"/>
        </w:rPr>
      </w:pPr>
      <w:r>
        <w:rPr>
          <w:rFonts w:ascii="Arial" w:hAnsi="Arial" w:cs="Arial"/>
          <w:sz w:val="16"/>
        </w:rPr>
        <w:t>Final reporting period for this measure. Further details are included in the 2022–23 Corporate Plan</w:t>
      </w:r>
    </w:p>
    <w:p w14:paraId="39658863" w14:textId="1561A646" w:rsidR="00115843" w:rsidRPr="0016575D" w:rsidRDefault="00115843" w:rsidP="00115843">
      <w:pPr>
        <w:pStyle w:val="ListParagraph"/>
        <w:numPr>
          <w:ilvl w:val="0"/>
          <w:numId w:val="230"/>
        </w:numPr>
        <w:spacing w:after="0" w:line="240" w:lineRule="auto"/>
        <w:rPr>
          <w:rFonts w:ascii="Arial" w:hAnsi="Arial" w:cs="Arial"/>
          <w:sz w:val="16"/>
        </w:rPr>
      </w:pPr>
      <w:r>
        <w:rPr>
          <w:rFonts w:ascii="Arial" w:hAnsi="Arial" w:cs="Arial"/>
          <w:sz w:val="16"/>
        </w:rPr>
        <w:t>This 2022–23 measure combines two 2021</w:t>
      </w:r>
      <w:r w:rsidR="00D7504F">
        <w:rPr>
          <w:rFonts w:ascii="Arial" w:hAnsi="Arial" w:cs="Arial"/>
          <w:sz w:val="16"/>
        </w:rPr>
        <w:t>—</w:t>
      </w:r>
      <w:r>
        <w:rPr>
          <w:rFonts w:ascii="Arial" w:hAnsi="Arial" w:cs="Arial"/>
          <w:sz w:val="16"/>
        </w:rPr>
        <w:t>22 measures</w:t>
      </w:r>
      <w:r w:rsidR="00D7504F">
        <w:rPr>
          <w:rFonts w:ascii="Arial" w:hAnsi="Arial" w:cs="Arial"/>
          <w:sz w:val="16"/>
        </w:rPr>
        <w:t>.</w:t>
      </w:r>
    </w:p>
    <w:p w14:paraId="072E0F0B" w14:textId="77777777" w:rsidR="00115843" w:rsidRPr="005C11A1" w:rsidRDefault="00115843" w:rsidP="00115843">
      <w:pPr>
        <w:pStyle w:val="ListParagraph"/>
        <w:numPr>
          <w:ilvl w:val="0"/>
          <w:numId w:val="230"/>
        </w:numPr>
        <w:spacing w:after="0" w:line="240" w:lineRule="auto"/>
        <w:rPr>
          <w:rFonts w:ascii="Arial Bold" w:hAnsi="Arial Bold"/>
          <w:b/>
        </w:rPr>
      </w:pPr>
      <w:r w:rsidRPr="005C11A1">
        <w:rPr>
          <w:rFonts w:ascii="Arial" w:hAnsi="Arial" w:cs="Arial"/>
          <w:sz w:val="16"/>
          <w:szCs w:val="16"/>
        </w:rPr>
        <w:t>This measure is linked to Program 5.1 Digital Technologies and Communications Services and Program 6.1 Arts and Cultural Development.</w:t>
      </w:r>
      <w:bookmarkStart w:id="39" w:name="_Toc99295953"/>
      <w:r>
        <w:br w:type="page"/>
      </w:r>
    </w:p>
    <w:p w14:paraId="0D03BAA4" w14:textId="77777777" w:rsidR="00115843" w:rsidRPr="00C000B8" w:rsidRDefault="00115843" w:rsidP="00115843">
      <w:pPr>
        <w:pStyle w:val="Heading3-ITRDCA"/>
      </w:pPr>
      <w:bookmarkStart w:id="40" w:name="_Toc117242352"/>
      <w:r w:rsidRPr="00C000B8">
        <w:lastRenderedPageBreak/>
        <w:t xml:space="preserve">2.6 </w:t>
      </w:r>
      <w:r w:rsidRPr="00C000B8">
        <w:tab/>
        <w:t>Budgeted expenses and performance for Outcome 6</w:t>
      </w:r>
      <w:bookmarkEnd w:id="39"/>
      <w:bookmarkEnd w:id="4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15843" w:rsidRPr="00C13A37" w14:paraId="4195FAE6" w14:textId="77777777" w:rsidTr="00FB0D02">
        <w:tc>
          <w:tcPr>
            <w:tcW w:w="5000" w:type="pct"/>
            <w:shd w:val="clear" w:color="auto" w:fill="E6E6E6"/>
          </w:tcPr>
          <w:p w14:paraId="631BEE68" w14:textId="77777777" w:rsidR="00115843" w:rsidRPr="00C13A37" w:rsidRDefault="00115843" w:rsidP="00FB0D02">
            <w:pPr>
              <w:pStyle w:val="TableColumnHeadingLeft"/>
            </w:pPr>
            <w:r w:rsidRPr="00C13A37">
              <w:t>Outcome 6</w:t>
            </w:r>
            <w:r w:rsidRPr="00CD1CF1">
              <w:t>: Participation in, and access to, Australia’s arts and culture through developing and supporting cultural expression</w:t>
            </w:r>
          </w:p>
        </w:tc>
      </w:tr>
    </w:tbl>
    <w:p w14:paraId="31C731B5" w14:textId="77777777" w:rsidR="00115843" w:rsidRPr="005E6F2B" w:rsidRDefault="00115843" w:rsidP="00115843">
      <w:pPr>
        <w:pStyle w:val="NoSpacing"/>
      </w:pPr>
    </w:p>
    <w:p w14:paraId="41CAB2AA" w14:textId="77777777" w:rsidR="00115843" w:rsidRPr="0019217D" w:rsidRDefault="00115843" w:rsidP="00115843">
      <w:pPr>
        <w:pStyle w:val="Heading5"/>
        <w:rPr>
          <w:b/>
        </w:rPr>
      </w:pPr>
      <w:r w:rsidRPr="0019217D">
        <w:rPr>
          <w:b/>
        </w:rPr>
        <w:t>Budgeted expenses for Outcome 6</w:t>
      </w:r>
    </w:p>
    <w:p w14:paraId="1834E94B" w14:textId="77777777" w:rsidR="00115843" w:rsidRPr="00C13A37" w:rsidRDefault="00115843" w:rsidP="00115843">
      <w:r w:rsidRPr="00C13A37">
        <w:t>This table shows how much the Department intends to spend (on an accrual basis) on achieving the outcome, broken down by program, as well as by administered and departmental funding sources.</w:t>
      </w:r>
    </w:p>
    <w:p w14:paraId="40E6AB4D" w14:textId="77777777" w:rsidR="00115843" w:rsidRPr="00302493" w:rsidRDefault="00115843" w:rsidP="00115843">
      <w:pPr>
        <w:spacing w:after="0"/>
        <w:rPr>
          <w:rFonts w:ascii="Arial" w:hAnsi="Arial" w:cs="Arial"/>
          <w:b/>
        </w:rPr>
      </w:pPr>
      <w:r w:rsidRPr="00302493">
        <w:rPr>
          <w:rFonts w:ascii="Arial" w:hAnsi="Arial" w:cs="Arial"/>
          <w:b/>
        </w:rPr>
        <w:t>Table 2.6.1: Budgeted expenses for Outcome 6</w:t>
      </w:r>
    </w:p>
    <w:tbl>
      <w:tblPr>
        <w:tblW w:w="5079" w:type="pct"/>
        <w:tblLook w:val="04A0" w:firstRow="1" w:lastRow="0" w:firstColumn="1" w:lastColumn="0" w:noHBand="0" w:noVBand="1"/>
      </w:tblPr>
      <w:tblGrid>
        <w:gridCol w:w="3586"/>
        <w:gridCol w:w="44"/>
        <w:gridCol w:w="884"/>
        <w:gridCol w:w="21"/>
        <w:gridCol w:w="815"/>
        <w:gridCol w:w="14"/>
        <w:gridCol w:w="802"/>
        <w:gridCol w:w="20"/>
        <w:gridCol w:w="797"/>
        <w:gridCol w:w="25"/>
        <w:gridCol w:w="791"/>
        <w:gridCol w:w="33"/>
      </w:tblGrid>
      <w:tr w:rsidR="00115843" w:rsidRPr="00C13A37" w14:paraId="4AD1EDCE" w14:textId="77777777" w:rsidTr="002F3AAF">
        <w:trPr>
          <w:trHeight w:val="204"/>
        </w:trPr>
        <w:tc>
          <w:tcPr>
            <w:tcW w:w="2289" w:type="pct"/>
            <w:tcBorders>
              <w:top w:val="single" w:sz="4" w:space="0" w:color="auto"/>
              <w:left w:val="nil"/>
              <w:bottom w:val="single" w:sz="4" w:space="0" w:color="auto"/>
              <w:right w:val="nil"/>
            </w:tcBorders>
            <w:shd w:val="clear" w:color="auto" w:fill="auto"/>
            <w:noWrap/>
            <w:vAlign w:val="bottom"/>
            <w:hideMark/>
          </w:tcPr>
          <w:p w14:paraId="6C4686A1" w14:textId="77777777" w:rsidR="00115843" w:rsidRPr="00C13A37" w:rsidRDefault="00115843" w:rsidP="00FB0D02">
            <w:pPr>
              <w:spacing w:after="0" w:line="240" w:lineRule="auto"/>
              <w:rPr>
                <w:rFonts w:ascii="Arial" w:hAnsi="Arial" w:cs="Arial"/>
                <w:sz w:val="16"/>
                <w:szCs w:val="16"/>
              </w:rPr>
            </w:pPr>
            <w:r w:rsidRPr="00C13A37">
              <w:rPr>
                <w:rFonts w:ascii="Arial" w:hAnsi="Arial" w:cs="Arial"/>
                <w:sz w:val="16"/>
                <w:szCs w:val="16"/>
              </w:rPr>
              <w:t> </w:t>
            </w:r>
          </w:p>
        </w:tc>
        <w:tc>
          <w:tcPr>
            <w:tcW w:w="592" w:type="pct"/>
            <w:gridSpan w:val="2"/>
            <w:tcBorders>
              <w:top w:val="single" w:sz="4" w:space="0" w:color="auto"/>
              <w:left w:val="nil"/>
              <w:bottom w:val="single" w:sz="4" w:space="0" w:color="auto"/>
              <w:right w:val="nil"/>
            </w:tcBorders>
            <w:shd w:val="clear" w:color="auto" w:fill="auto"/>
            <w:vAlign w:val="bottom"/>
            <w:hideMark/>
          </w:tcPr>
          <w:p w14:paraId="68A7D0A3"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2021-22</w:t>
            </w:r>
            <w:r w:rsidRPr="00C13A37">
              <w:rPr>
                <w:rFonts w:ascii="Arial" w:hAnsi="Arial" w:cs="Arial"/>
                <w:sz w:val="16"/>
                <w:szCs w:val="16"/>
              </w:rPr>
              <w:br/>
              <w:t>Estimated  actual</w:t>
            </w:r>
            <w:r w:rsidRPr="00C13A37">
              <w:rPr>
                <w:rFonts w:ascii="Arial" w:hAnsi="Arial" w:cs="Arial"/>
                <w:sz w:val="16"/>
                <w:szCs w:val="16"/>
              </w:rPr>
              <w:br/>
              <w:t>$'000</w:t>
            </w:r>
          </w:p>
        </w:tc>
        <w:tc>
          <w:tcPr>
            <w:tcW w:w="543" w:type="pct"/>
            <w:gridSpan w:val="3"/>
            <w:tcBorders>
              <w:top w:val="single" w:sz="4" w:space="0" w:color="auto"/>
              <w:left w:val="nil"/>
              <w:bottom w:val="single" w:sz="4" w:space="0" w:color="auto"/>
              <w:right w:val="nil"/>
            </w:tcBorders>
            <w:shd w:val="clear" w:color="auto" w:fill="E6E6E6"/>
            <w:vAlign w:val="bottom"/>
            <w:hideMark/>
          </w:tcPr>
          <w:p w14:paraId="08FBEAB0"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2022-23</w:t>
            </w:r>
            <w:r w:rsidRPr="00C13A37">
              <w:rPr>
                <w:rFonts w:ascii="Arial" w:hAnsi="Arial" w:cs="Arial"/>
                <w:sz w:val="16"/>
                <w:szCs w:val="16"/>
              </w:rPr>
              <w:br/>
              <w:t xml:space="preserve"> Budget</w:t>
            </w:r>
            <w:r w:rsidRPr="00C13A37">
              <w:rPr>
                <w:rFonts w:ascii="Arial" w:hAnsi="Arial" w:cs="Arial"/>
                <w:sz w:val="16"/>
                <w:szCs w:val="16"/>
              </w:rPr>
              <w:br/>
              <w:t xml:space="preserve">                                      $'000</w:t>
            </w:r>
          </w:p>
        </w:tc>
        <w:tc>
          <w:tcPr>
            <w:tcW w:w="525" w:type="pct"/>
            <w:gridSpan w:val="2"/>
            <w:tcBorders>
              <w:top w:val="single" w:sz="4" w:space="0" w:color="auto"/>
              <w:left w:val="nil"/>
              <w:bottom w:val="single" w:sz="4" w:space="0" w:color="auto"/>
              <w:right w:val="nil"/>
            </w:tcBorders>
            <w:shd w:val="clear" w:color="auto" w:fill="auto"/>
            <w:vAlign w:val="bottom"/>
            <w:hideMark/>
          </w:tcPr>
          <w:p w14:paraId="436723E0"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2023-24</w:t>
            </w:r>
            <w:r w:rsidRPr="00C13A37">
              <w:rPr>
                <w:rFonts w:ascii="Arial" w:hAnsi="Arial" w:cs="Arial"/>
                <w:sz w:val="16"/>
                <w:szCs w:val="16"/>
              </w:rPr>
              <w:br/>
              <w:t>Forward estimate</w:t>
            </w:r>
            <w:r w:rsidRPr="00C13A37">
              <w:rPr>
                <w:rFonts w:ascii="Arial" w:hAnsi="Arial" w:cs="Arial"/>
                <w:sz w:val="16"/>
                <w:szCs w:val="16"/>
              </w:rPr>
              <w:br/>
              <w:t>$'000</w:t>
            </w:r>
          </w:p>
        </w:tc>
        <w:tc>
          <w:tcPr>
            <w:tcW w:w="525" w:type="pct"/>
            <w:gridSpan w:val="2"/>
            <w:tcBorders>
              <w:top w:val="single" w:sz="4" w:space="0" w:color="auto"/>
              <w:left w:val="nil"/>
              <w:bottom w:val="single" w:sz="4" w:space="0" w:color="auto"/>
              <w:right w:val="nil"/>
            </w:tcBorders>
            <w:shd w:val="clear" w:color="auto" w:fill="auto"/>
            <w:vAlign w:val="bottom"/>
            <w:hideMark/>
          </w:tcPr>
          <w:p w14:paraId="66D81C38"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2024-25</w:t>
            </w:r>
            <w:r w:rsidRPr="00C13A37">
              <w:rPr>
                <w:rFonts w:ascii="Arial" w:hAnsi="Arial" w:cs="Arial"/>
                <w:sz w:val="16"/>
                <w:szCs w:val="16"/>
              </w:rPr>
              <w:br/>
              <w:t>Forward estimate</w:t>
            </w:r>
            <w:r w:rsidRPr="00C13A37">
              <w:rPr>
                <w:rFonts w:ascii="Arial" w:hAnsi="Arial" w:cs="Arial"/>
                <w:sz w:val="16"/>
                <w:szCs w:val="16"/>
              </w:rPr>
              <w:br/>
              <w:t>$'000</w:t>
            </w:r>
          </w:p>
        </w:tc>
        <w:tc>
          <w:tcPr>
            <w:tcW w:w="526" w:type="pct"/>
            <w:gridSpan w:val="2"/>
            <w:tcBorders>
              <w:top w:val="single" w:sz="4" w:space="0" w:color="auto"/>
              <w:left w:val="nil"/>
              <w:bottom w:val="single" w:sz="4" w:space="0" w:color="auto"/>
              <w:right w:val="nil"/>
            </w:tcBorders>
            <w:shd w:val="clear" w:color="auto" w:fill="auto"/>
            <w:vAlign w:val="bottom"/>
            <w:hideMark/>
          </w:tcPr>
          <w:p w14:paraId="0BBF7400"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2025-26</w:t>
            </w:r>
            <w:r w:rsidRPr="00C13A37">
              <w:rPr>
                <w:rFonts w:ascii="Arial" w:hAnsi="Arial" w:cs="Arial"/>
                <w:sz w:val="16"/>
                <w:szCs w:val="16"/>
              </w:rPr>
              <w:br/>
              <w:t>Forward estimate</w:t>
            </w:r>
            <w:r w:rsidRPr="00C13A37">
              <w:rPr>
                <w:rFonts w:ascii="Arial" w:hAnsi="Arial" w:cs="Arial"/>
                <w:sz w:val="16"/>
                <w:szCs w:val="16"/>
              </w:rPr>
              <w:br/>
              <w:t>$'000</w:t>
            </w:r>
          </w:p>
        </w:tc>
      </w:tr>
      <w:tr w:rsidR="00115843" w:rsidRPr="00C13A37" w14:paraId="6C8882BC" w14:textId="77777777" w:rsidTr="002F3AAF">
        <w:trPr>
          <w:trHeight w:val="204"/>
        </w:trPr>
        <w:tc>
          <w:tcPr>
            <w:tcW w:w="2289" w:type="pct"/>
            <w:tcBorders>
              <w:top w:val="nil"/>
              <w:left w:val="nil"/>
              <w:bottom w:val="single" w:sz="4" w:space="0" w:color="auto"/>
              <w:right w:val="nil"/>
            </w:tcBorders>
            <w:shd w:val="clear" w:color="auto" w:fill="E6E6E6"/>
            <w:noWrap/>
            <w:vAlign w:val="bottom"/>
            <w:hideMark/>
          </w:tcPr>
          <w:p w14:paraId="729CCE73" w14:textId="77777777" w:rsidR="00115843" w:rsidRPr="00C13A37" w:rsidRDefault="00115843" w:rsidP="00FB0D02">
            <w:pPr>
              <w:spacing w:after="0" w:line="240" w:lineRule="auto"/>
              <w:rPr>
                <w:rFonts w:ascii="Arial" w:hAnsi="Arial" w:cs="Arial"/>
                <w:b/>
                <w:bCs/>
                <w:sz w:val="16"/>
                <w:szCs w:val="16"/>
              </w:rPr>
            </w:pPr>
            <w:r w:rsidRPr="00C13A37">
              <w:rPr>
                <w:rFonts w:ascii="Arial" w:hAnsi="Arial" w:cs="Arial"/>
                <w:b/>
                <w:bCs/>
                <w:sz w:val="16"/>
                <w:szCs w:val="16"/>
              </w:rPr>
              <w:t>Program 6.1: Arts and Cultural Development</w:t>
            </w:r>
          </w:p>
        </w:tc>
        <w:tc>
          <w:tcPr>
            <w:tcW w:w="592" w:type="pct"/>
            <w:gridSpan w:val="2"/>
            <w:tcBorders>
              <w:top w:val="nil"/>
              <w:left w:val="nil"/>
              <w:bottom w:val="single" w:sz="4" w:space="0" w:color="auto"/>
              <w:right w:val="nil"/>
            </w:tcBorders>
            <w:shd w:val="clear" w:color="auto" w:fill="E6E6E6"/>
            <w:noWrap/>
            <w:vAlign w:val="bottom"/>
            <w:hideMark/>
          </w:tcPr>
          <w:p w14:paraId="04A91116" w14:textId="77777777" w:rsidR="00115843" w:rsidRPr="00C13A37" w:rsidRDefault="00115843" w:rsidP="00FB0D02">
            <w:pPr>
              <w:spacing w:after="0" w:line="240" w:lineRule="auto"/>
              <w:jc w:val="right"/>
              <w:rPr>
                <w:rFonts w:ascii="Arial" w:hAnsi="Arial" w:cs="Arial"/>
                <w:sz w:val="16"/>
                <w:szCs w:val="16"/>
              </w:rPr>
            </w:pPr>
          </w:p>
        </w:tc>
        <w:tc>
          <w:tcPr>
            <w:tcW w:w="543" w:type="pct"/>
            <w:gridSpan w:val="3"/>
            <w:tcBorders>
              <w:top w:val="nil"/>
              <w:left w:val="nil"/>
              <w:bottom w:val="single" w:sz="4" w:space="0" w:color="auto"/>
              <w:right w:val="nil"/>
            </w:tcBorders>
            <w:shd w:val="clear" w:color="auto" w:fill="E6E6E6"/>
            <w:noWrap/>
            <w:vAlign w:val="bottom"/>
            <w:hideMark/>
          </w:tcPr>
          <w:p w14:paraId="65011D7B" w14:textId="77777777" w:rsidR="00115843" w:rsidRPr="00C13A37" w:rsidRDefault="00115843" w:rsidP="00FB0D02">
            <w:pPr>
              <w:spacing w:after="0" w:line="240" w:lineRule="auto"/>
              <w:jc w:val="right"/>
              <w:rPr>
                <w:rFonts w:ascii="Arial" w:hAnsi="Arial" w:cs="Arial"/>
                <w:sz w:val="16"/>
                <w:szCs w:val="16"/>
              </w:rPr>
            </w:pPr>
          </w:p>
        </w:tc>
        <w:tc>
          <w:tcPr>
            <w:tcW w:w="525" w:type="pct"/>
            <w:gridSpan w:val="2"/>
            <w:tcBorders>
              <w:top w:val="nil"/>
              <w:left w:val="nil"/>
              <w:bottom w:val="single" w:sz="4" w:space="0" w:color="auto"/>
              <w:right w:val="nil"/>
            </w:tcBorders>
            <w:shd w:val="clear" w:color="auto" w:fill="E6E6E6"/>
            <w:noWrap/>
            <w:vAlign w:val="bottom"/>
            <w:hideMark/>
          </w:tcPr>
          <w:p w14:paraId="76D4E321" w14:textId="77777777" w:rsidR="00115843" w:rsidRPr="00C13A37" w:rsidRDefault="00115843" w:rsidP="00FB0D02">
            <w:pPr>
              <w:spacing w:after="0" w:line="240" w:lineRule="auto"/>
              <w:jc w:val="right"/>
              <w:rPr>
                <w:rFonts w:ascii="Arial" w:hAnsi="Arial" w:cs="Arial"/>
                <w:sz w:val="16"/>
                <w:szCs w:val="16"/>
              </w:rPr>
            </w:pPr>
          </w:p>
        </w:tc>
        <w:tc>
          <w:tcPr>
            <w:tcW w:w="525" w:type="pct"/>
            <w:gridSpan w:val="2"/>
            <w:tcBorders>
              <w:top w:val="nil"/>
              <w:left w:val="nil"/>
              <w:bottom w:val="single" w:sz="4" w:space="0" w:color="auto"/>
              <w:right w:val="nil"/>
            </w:tcBorders>
            <w:shd w:val="clear" w:color="auto" w:fill="E6E6E6"/>
            <w:noWrap/>
            <w:vAlign w:val="bottom"/>
            <w:hideMark/>
          </w:tcPr>
          <w:p w14:paraId="601A54F5" w14:textId="77777777" w:rsidR="00115843" w:rsidRPr="00C13A37" w:rsidRDefault="00115843" w:rsidP="00FB0D02">
            <w:pPr>
              <w:spacing w:after="0" w:line="240" w:lineRule="auto"/>
              <w:jc w:val="right"/>
              <w:rPr>
                <w:rFonts w:ascii="Arial" w:hAnsi="Arial" w:cs="Arial"/>
                <w:sz w:val="16"/>
                <w:szCs w:val="16"/>
              </w:rPr>
            </w:pPr>
          </w:p>
        </w:tc>
        <w:tc>
          <w:tcPr>
            <w:tcW w:w="526" w:type="pct"/>
            <w:gridSpan w:val="2"/>
            <w:tcBorders>
              <w:top w:val="nil"/>
              <w:left w:val="nil"/>
              <w:bottom w:val="single" w:sz="4" w:space="0" w:color="auto"/>
              <w:right w:val="nil"/>
            </w:tcBorders>
            <w:shd w:val="clear" w:color="auto" w:fill="E6E6E6"/>
            <w:noWrap/>
            <w:vAlign w:val="bottom"/>
            <w:hideMark/>
          </w:tcPr>
          <w:p w14:paraId="6D3A3177" w14:textId="77777777" w:rsidR="00115843" w:rsidRPr="00C13A37" w:rsidRDefault="00115843" w:rsidP="00FB0D02">
            <w:pPr>
              <w:spacing w:after="0" w:line="240" w:lineRule="auto"/>
              <w:jc w:val="right"/>
              <w:rPr>
                <w:rFonts w:ascii="Arial" w:hAnsi="Arial" w:cs="Arial"/>
                <w:sz w:val="16"/>
                <w:szCs w:val="16"/>
              </w:rPr>
            </w:pPr>
          </w:p>
        </w:tc>
      </w:tr>
      <w:tr w:rsidR="00115843" w:rsidRPr="00713029" w14:paraId="2B4549F2" w14:textId="77777777" w:rsidTr="005334F2">
        <w:trPr>
          <w:trHeight w:val="204"/>
        </w:trPr>
        <w:tc>
          <w:tcPr>
            <w:tcW w:w="2289" w:type="pct"/>
            <w:tcBorders>
              <w:top w:val="nil"/>
              <w:left w:val="nil"/>
              <w:bottom w:val="nil"/>
              <w:right w:val="nil"/>
            </w:tcBorders>
            <w:shd w:val="clear" w:color="auto" w:fill="auto"/>
            <w:vAlign w:val="bottom"/>
            <w:hideMark/>
          </w:tcPr>
          <w:p w14:paraId="4C0C64B3" w14:textId="77777777" w:rsidR="00115843" w:rsidRPr="00713029" w:rsidRDefault="00115843" w:rsidP="00FB0D02">
            <w:pPr>
              <w:spacing w:after="0" w:line="240" w:lineRule="auto"/>
              <w:rPr>
                <w:rFonts w:ascii="Arial" w:hAnsi="Arial" w:cs="Arial"/>
                <w:sz w:val="16"/>
                <w:szCs w:val="16"/>
              </w:rPr>
            </w:pPr>
            <w:r w:rsidRPr="00713029">
              <w:rPr>
                <w:rFonts w:ascii="Arial" w:hAnsi="Arial" w:cs="Arial"/>
                <w:sz w:val="16"/>
                <w:szCs w:val="16"/>
              </w:rPr>
              <w:t>Administered expenses</w:t>
            </w:r>
          </w:p>
        </w:tc>
        <w:tc>
          <w:tcPr>
            <w:tcW w:w="592" w:type="pct"/>
            <w:gridSpan w:val="2"/>
            <w:tcBorders>
              <w:top w:val="nil"/>
              <w:left w:val="nil"/>
              <w:bottom w:val="nil"/>
              <w:right w:val="nil"/>
            </w:tcBorders>
            <w:shd w:val="clear" w:color="auto" w:fill="auto"/>
            <w:noWrap/>
            <w:vAlign w:val="bottom"/>
            <w:hideMark/>
          </w:tcPr>
          <w:p w14:paraId="1280115B" w14:textId="77777777" w:rsidR="00115843" w:rsidRPr="00713029" w:rsidRDefault="00115843" w:rsidP="00FB0D02">
            <w:pPr>
              <w:spacing w:after="0" w:line="240" w:lineRule="auto"/>
              <w:jc w:val="right"/>
              <w:rPr>
                <w:rFonts w:ascii="Arial" w:hAnsi="Arial" w:cs="Arial"/>
                <w:sz w:val="16"/>
                <w:szCs w:val="16"/>
              </w:rPr>
            </w:pPr>
          </w:p>
        </w:tc>
        <w:tc>
          <w:tcPr>
            <w:tcW w:w="543" w:type="pct"/>
            <w:gridSpan w:val="3"/>
            <w:tcBorders>
              <w:top w:val="nil"/>
              <w:left w:val="nil"/>
              <w:bottom w:val="nil"/>
              <w:right w:val="nil"/>
            </w:tcBorders>
            <w:shd w:val="clear" w:color="auto" w:fill="E6E6E6"/>
            <w:noWrap/>
            <w:vAlign w:val="bottom"/>
            <w:hideMark/>
          </w:tcPr>
          <w:p w14:paraId="562679DE" w14:textId="77777777" w:rsidR="00115843" w:rsidRPr="00713029" w:rsidRDefault="00115843" w:rsidP="00FB0D02">
            <w:pPr>
              <w:spacing w:after="0" w:line="240" w:lineRule="auto"/>
              <w:jc w:val="right"/>
              <w:rPr>
                <w:rFonts w:ascii="Arial" w:hAnsi="Arial" w:cs="Arial"/>
                <w:sz w:val="16"/>
                <w:szCs w:val="16"/>
              </w:rPr>
            </w:pPr>
          </w:p>
        </w:tc>
        <w:tc>
          <w:tcPr>
            <w:tcW w:w="525" w:type="pct"/>
            <w:gridSpan w:val="2"/>
            <w:tcBorders>
              <w:top w:val="nil"/>
              <w:left w:val="nil"/>
              <w:bottom w:val="nil"/>
              <w:right w:val="nil"/>
            </w:tcBorders>
            <w:shd w:val="clear" w:color="auto" w:fill="auto"/>
            <w:noWrap/>
            <w:vAlign w:val="bottom"/>
            <w:hideMark/>
          </w:tcPr>
          <w:p w14:paraId="1D1E2120" w14:textId="77777777" w:rsidR="00115843" w:rsidRPr="00713029" w:rsidRDefault="00115843" w:rsidP="00FB0D02">
            <w:pPr>
              <w:spacing w:after="0" w:line="240" w:lineRule="auto"/>
              <w:jc w:val="right"/>
              <w:rPr>
                <w:rFonts w:ascii="Arial" w:hAnsi="Arial" w:cs="Arial"/>
                <w:sz w:val="16"/>
                <w:szCs w:val="16"/>
              </w:rPr>
            </w:pPr>
          </w:p>
        </w:tc>
        <w:tc>
          <w:tcPr>
            <w:tcW w:w="525" w:type="pct"/>
            <w:gridSpan w:val="2"/>
            <w:tcBorders>
              <w:top w:val="nil"/>
              <w:left w:val="nil"/>
              <w:bottom w:val="nil"/>
              <w:right w:val="nil"/>
            </w:tcBorders>
            <w:shd w:val="clear" w:color="auto" w:fill="auto"/>
            <w:noWrap/>
            <w:vAlign w:val="bottom"/>
            <w:hideMark/>
          </w:tcPr>
          <w:p w14:paraId="27E99C8C" w14:textId="77777777" w:rsidR="00115843" w:rsidRPr="00713029" w:rsidRDefault="00115843" w:rsidP="00FB0D02">
            <w:pPr>
              <w:spacing w:after="0" w:line="240" w:lineRule="auto"/>
              <w:jc w:val="right"/>
              <w:rPr>
                <w:rFonts w:ascii="Times New Roman" w:hAnsi="Times New Roman"/>
                <w:sz w:val="16"/>
                <w:szCs w:val="16"/>
              </w:rPr>
            </w:pPr>
          </w:p>
        </w:tc>
        <w:tc>
          <w:tcPr>
            <w:tcW w:w="526" w:type="pct"/>
            <w:gridSpan w:val="2"/>
            <w:tcBorders>
              <w:top w:val="nil"/>
              <w:left w:val="nil"/>
              <w:bottom w:val="nil"/>
              <w:right w:val="nil"/>
            </w:tcBorders>
            <w:shd w:val="clear" w:color="auto" w:fill="auto"/>
            <w:noWrap/>
            <w:vAlign w:val="bottom"/>
            <w:hideMark/>
          </w:tcPr>
          <w:p w14:paraId="48276B1E" w14:textId="77777777" w:rsidR="00115843" w:rsidRPr="00713029" w:rsidRDefault="00115843" w:rsidP="00FB0D02">
            <w:pPr>
              <w:spacing w:after="0" w:line="240" w:lineRule="auto"/>
              <w:jc w:val="right"/>
              <w:rPr>
                <w:rFonts w:ascii="Times New Roman" w:hAnsi="Times New Roman"/>
                <w:sz w:val="16"/>
                <w:szCs w:val="16"/>
              </w:rPr>
            </w:pPr>
          </w:p>
        </w:tc>
      </w:tr>
      <w:tr w:rsidR="00662504" w:rsidRPr="00713029" w14:paraId="2632373A" w14:textId="77777777" w:rsidTr="005334F2">
        <w:trPr>
          <w:trHeight w:val="204"/>
        </w:trPr>
        <w:tc>
          <w:tcPr>
            <w:tcW w:w="2289" w:type="pct"/>
            <w:tcBorders>
              <w:top w:val="nil"/>
              <w:left w:val="nil"/>
              <w:bottom w:val="nil"/>
              <w:right w:val="nil"/>
            </w:tcBorders>
            <w:shd w:val="clear" w:color="auto" w:fill="auto"/>
            <w:vAlign w:val="bottom"/>
            <w:hideMark/>
          </w:tcPr>
          <w:p w14:paraId="1C329FE9" w14:textId="77777777" w:rsidR="00662504" w:rsidRPr="00713029" w:rsidRDefault="00662504" w:rsidP="00662504">
            <w:pPr>
              <w:spacing w:after="0" w:line="240" w:lineRule="auto"/>
              <w:ind w:left="113"/>
              <w:rPr>
                <w:rFonts w:ascii="Arial" w:hAnsi="Arial" w:cs="Arial"/>
                <w:sz w:val="16"/>
                <w:szCs w:val="16"/>
              </w:rPr>
            </w:pPr>
            <w:r w:rsidRPr="00713029">
              <w:rPr>
                <w:rFonts w:ascii="Arial" w:hAnsi="Arial" w:cs="Arial"/>
                <w:sz w:val="16"/>
                <w:szCs w:val="16"/>
              </w:rPr>
              <w:t>Ordinary Annual Services (Appropriation Act No. 1 and Bill No. 3)</w:t>
            </w:r>
          </w:p>
        </w:tc>
        <w:tc>
          <w:tcPr>
            <w:tcW w:w="592" w:type="pct"/>
            <w:gridSpan w:val="2"/>
            <w:tcBorders>
              <w:top w:val="nil"/>
              <w:left w:val="nil"/>
              <w:bottom w:val="nil"/>
              <w:right w:val="nil"/>
            </w:tcBorders>
            <w:shd w:val="clear" w:color="auto" w:fill="auto"/>
            <w:noWrap/>
            <w:vAlign w:val="bottom"/>
            <w:hideMark/>
          </w:tcPr>
          <w:p w14:paraId="5D2D5CB3" w14:textId="1CFE08AF"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479,011</w:t>
            </w:r>
          </w:p>
        </w:tc>
        <w:tc>
          <w:tcPr>
            <w:tcW w:w="543" w:type="pct"/>
            <w:gridSpan w:val="3"/>
            <w:tcBorders>
              <w:top w:val="nil"/>
              <w:left w:val="nil"/>
              <w:bottom w:val="nil"/>
              <w:right w:val="nil"/>
            </w:tcBorders>
            <w:shd w:val="clear" w:color="auto" w:fill="E6E6E6"/>
            <w:noWrap/>
            <w:vAlign w:val="bottom"/>
            <w:hideMark/>
          </w:tcPr>
          <w:p w14:paraId="304A1B91" w14:textId="589FE54F"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346,850</w:t>
            </w:r>
          </w:p>
        </w:tc>
        <w:tc>
          <w:tcPr>
            <w:tcW w:w="525" w:type="pct"/>
            <w:gridSpan w:val="2"/>
            <w:tcBorders>
              <w:top w:val="nil"/>
              <w:left w:val="nil"/>
              <w:bottom w:val="nil"/>
              <w:right w:val="nil"/>
            </w:tcBorders>
            <w:shd w:val="clear" w:color="auto" w:fill="auto"/>
            <w:noWrap/>
            <w:vAlign w:val="bottom"/>
            <w:hideMark/>
          </w:tcPr>
          <w:p w14:paraId="261049AB" w14:textId="092CE956"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285,810</w:t>
            </w:r>
          </w:p>
        </w:tc>
        <w:tc>
          <w:tcPr>
            <w:tcW w:w="525" w:type="pct"/>
            <w:gridSpan w:val="2"/>
            <w:tcBorders>
              <w:top w:val="nil"/>
              <w:left w:val="nil"/>
              <w:bottom w:val="nil"/>
              <w:right w:val="nil"/>
            </w:tcBorders>
            <w:shd w:val="clear" w:color="auto" w:fill="auto"/>
            <w:noWrap/>
            <w:vAlign w:val="bottom"/>
            <w:hideMark/>
          </w:tcPr>
          <w:p w14:paraId="59E6DD3E" w14:textId="1B002F5B"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281,675</w:t>
            </w:r>
          </w:p>
        </w:tc>
        <w:tc>
          <w:tcPr>
            <w:tcW w:w="526" w:type="pct"/>
            <w:gridSpan w:val="2"/>
            <w:tcBorders>
              <w:top w:val="nil"/>
              <w:left w:val="nil"/>
              <w:bottom w:val="nil"/>
              <w:right w:val="nil"/>
            </w:tcBorders>
            <w:shd w:val="clear" w:color="auto" w:fill="auto"/>
            <w:noWrap/>
            <w:vAlign w:val="bottom"/>
            <w:hideMark/>
          </w:tcPr>
          <w:p w14:paraId="08C26F3D" w14:textId="712588DA"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284,197</w:t>
            </w:r>
          </w:p>
        </w:tc>
      </w:tr>
      <w:tr w:rsidR="00662504" w:rsidRPr="00713029" w14:paraId="2CA04C3B" w14:textId="77777777" w:rsidTr="005334F2">
        <w:trPr>
          <w:trHeight w:val="204"/>
        </w:trPr>
        <w:tc>
          <w:tcPr>
            <w:tcW w:w="2289" w:type="pct"/>
            <w:tcBorders>
              <w:top w:val="nil"/>
              <w:left w:val="nil"/>
              <w:bottom w:val="nil"/>
              <w:right w:val="nil"/>
            </w:tcBorders>
            <w:shd w:val="clear" w:color="auto" w:fill="auto"/>
            <w:vAlign w:val="bottom"/>
            <w:hideMark/>
          </w:tcPr>
          <w:p w14:paraId="6F7D6B28" w14:textId="77777777" w:rsidR="00662504" w:rsidRPr="00713029" w:rsidRDefault="00662504" w:rsidP="00662504">
            <w:pPr>
              <w:spacing w:after="0" w:line="240" w:lineRule="auto"/>
              <w:ind w:left="113"/>
              <w:rPr>
                <w:rFonts w:ascii="Arial" w:hAnsi="Arial" w:cs="Arial"/>
                <w:sz w:val="16"/>
                <w:szCs w:val="16"/>
              </w:rPr>
            </w:pPr>
            <w:r w:rsidRPr="00713029">
              <w:rPr>
                <w:rFonts w:ascii="Arial" w:hAnsi="Arial" w:cs="Arial"/>
                <w:sz w:val="16"/>
                <w:szCs w:val="16"/>
              </w:rPr>
              <w:t>Special accounts</w:t>
            </w:r>
          </w:p>
        </w:tc>
        <w:tc>
          <w:tcPr>
            <w:tcW w:w="592" w:type="pct"/>
            <w:gridSpan w:val="2"/>
            <w:tcBorders>
              <w:top w:val="nil"/>
              <w:left w:val="nil"/>
              <w:bottom w:val="nil"/>
              <w:right w:val="nil"/>
            </w:tcBorders>
            <w:shd w:val="clear" w:color="auto" w:fill="auto"/>
            <w:noWrap/>
            <w:vAlign w:val="bottom"/>
            <w:hideMark/>
          </w:tcPr>
          <w:p w14:paraId="3984DB7D" w14:textId="77777777" w:rsidR="00662504" w:rsidRPr="00713029" w:rsidRDefault="00662504" w:rsidP="00662504">
            <w:pPr>
              <w:spacing w:after="0" w:line="240" w:lineRule="auto"/>
              <w:ind w:firstLineChars="100" w:firstLine="160"/>
              <w:jc w:val="right"/>
              <w:rPr>
                <w:rFonts w:ascii="Arial" w:hAnsi="Arial" w:cs="Arial"/>
                <w:sz w:val="16"/>
                <w:szCs w:val="16"/>
              </w:rPr>
            </w:pPr>
          </w:p>
        </w:tc>
        <w:tc>
          <w:tcPr>
            <w:tcW w:w="543" w:type="pct"/>
            <w:gridSpan w:val="3"/>
            <w:tcBorders>
              <w:top w:val="nil"/>
              <w:left w:val="nil"/>
              <w:bottom w:val="nil"/>
              <w:right w:val="nil"/>
            </w:tcBorders>
            <w:shd w:val="clear" w:color="auto" w:fill="E6E6E6"/>
            <w:noWrap/>
            <w:vAlign w:val="bottom"/>
            <w:hideMark/>
          </w:tcPr>
          <w:p w14:paraId="38E50AED" w14:textId="48000862" w:rsidR="00662504" w:rsidRPr="00713029" w:rsidRDefault="00662504" w:rsidP="00662504">
            <w:pPr>
              <w:spacing w:after="0" w:line="240" w:lineRule="auto"/>
              <w:jc w:val="right"/>
              <w:rPr>
                <w:rFonts w:ascii="Arial" w:hAnsi="Arial" w:cs="Arial"/>
                <w:sz w:val="16"/>
                <w:szCs w:val="16"/>
              </w:rPr>
            </w:pPr>
          </w:p>
        </w:tc>
        <w:tc>
          <w:tcPr>
            <w:tcW w:w="525" w:type="pct"/>
            <w:gridSpan w:val="2"/>
            <w:tcBorders>
              <w:top w:val="nil"/>
              <w:left w:val="nil"/>
              <w:bottom w:val="nil"/>
              <w:right w:val="nil"/>
            </w:tcBorders>
            <w:shd w:val="clear" w:color="auto" w:fill="auto"/>
            <w:noWrap/>
            <w:vAlign w:val="bottom"/>
            <w:hideMark/>
          </w:tcPr>
          <w:p w14:paraId="45E0E8A2" w14:textId="77777777" w:rsidR="00662504" w:rsidRPr="00713029" w:rsidRDefault="00662504" w:rsidP="00662504">
            <w:pPr>
              <w:spacing w:after="0" w:line="240" w:lineRule="auto"/>
              <w:jc w:val="right"/>
              <w:rPr>
                <w:rFonts w:ascii="Arial" w:hAnsi="Arial" w:cs="Arial"/>
                <w:sz w:val="16"/>
                <w:szCs w:val="16"/>
              </w:rPr>
            </w:pPr>
          </w:p>
        </w:tc>
        <w:tc>
          <w:tcPr>
            <w:tcW w:w="525" w:type="pct"/>
            <w:gridSpan w:val="2"/>
            <w:tcBorders>
              <w:top w:val="nil"/>
              <w:left w:val="nil"/>
              <w:bottom w:val="nil"/>
              <w:right w:val="nil"/>
            </w:tcBorders>
            <w:shd w:val="clear" w:color="auto" w:fill="auto"/>
            <w:noWrap/>
            <w:vAlign w:val="bottom"/>
            <w:hideMark/>
          </w:tcPr>
          <w:p w14:paraId="60497414" w14:textId="77777777" w:rsidR="00662504" w:rsidRPr="00713029" w:rsidRDefault="00662504" w:rsidP="00662504">
            <w:pPr>
              <w:spacing w:after="0" w:line="240" w:lineRule="auto"/>
              <w:jc w:val="right"/>
              <w:rPr>
                <w:rFonts w:ascii="Times New Roman" w:hAnsi="Times New Roman"/>
                <w:sz w:val="16"/>
                <w:szCs w:val="16"/>
              </w:rPr>
            </w:pPr>
          </w:p>
        </w:tc>
        <w:tc>
          <w:tcPr>
            <w:tcW w:w="526" w:type="pct"/>
            <w:gridSpan w:val="2"/>
            <w:tcBorders>
              <w:top w:val="nil"/>
              <w:left w:val="nil"/>
              <w:bottom w:val="nil"/>
              <w:right w:val="nil"/>
            </w:tcBorders>
            <w:shd w:val="clear" w:color="auto" w:fill="auto"/>
            <w:noWrap/>
            <w:vAlign w:val="bottom"/>
            <w:hideMark/>
          </w:tcPr>
          <w:p w14:paraId="7CF70C50" w14:textId="77777777" w:rsidR="00662504" w:rsidRPr="00713029" w:rsidRDefault="00662504" w:rsidP="00662504">
            <w:pPr>
              <w:spacing w:after="0" w:line="240" w:lineRule="auto"/>
              <w:jc w:val="right"/>
              <w:rPr>
                <w:rFonts w:ascii="Times New Roman" w:hAnsi="Times New Roman"/>
                <w:sz w:val="16"/>
                <w:szCs w:val="16"/>
              </w:rPr>
            </w:pPr>
          </w:p>
        </w:tc>
      </w:tr>
      <w:tr w:rsidR="00662504" w:rsidRPr="00713029" w14:paraId="579D874C" w14:textId="77777777" w:rsidTr="005334F2">
        <w:trPr>
          <w:trHeight w:val="204"/>
        </w:trPr>
        <w:tc>
          <w:tcPr>
            <w:tcW w:w="2289" w:type="pct"/>
            <w:tcBorders>
              <w:top w:val="nil"/>
              <w:left w:val="nil"/>
              <w:bottom w:val="nil"/>
              <w:right w:val="nil"/>
            </w:tcBorders>
            <w:shd w:val="clear" w:color="auto" w:fill="auto"/>
            <w:vAlign w:val="bottom"/>
            <w:hideMark/>
          </w:tcPr>
          <w:p w14:paraId="1C992DF5" w14:textId="77777777" w:rsidR="00662504" w:rsidRPr="00713029" w:rsidRDefault="00662504" w:rsidP="00662504">
            <w:pPr>
              <w:spacing w:after="0" w:line="240" w:lineRule="auto"/>
              <w:ind w:left="227"/>
              <w:rPr>
                <w:rFonts w:ascii="Arial" w:hAnsi="Arial" w:cs="Arial"/>
                <w:sz w:val="16"/>
                <w:szCs w:val="16"/>
              </w:rPr>
            </w:pPr>
            <w:r w:rsidRPr="00713029">
              <w:rPr>
                <w:rFonts w:ascii="Arial" w:hAnsi="Arial" w:cs="Arial"/>
                <w:sz w:val="16"/>
                <w:szCs w:val="16"/>
              </w:rPr>
              <w:t>National Cultural Heritage Account</w:t>
            </w:r>
          </w:p>
        </w:tc>
        <w:tc>
          <w:tcPr>
            <w:tcW w:w="592" w:type="pct"/>
            <w:gridSpan w:val="2"/>
            <w:tcBorders>
              <w:top w:val="nil"/>
              <w:left w:val="nil"/>
              <w:bottom w:val="nil"/>
              <w:right w:val="nil"/>
            </w:tcBorders>
            <w:shd w:val="clear" w:color="auto" w:fill="auto"/>
            <w:noWrap/>
            <w:vAlign w:val="bottom"/>
            <w:hideMark/>
          </w:tcPr>
          <w:p w14:paraId="3B84BE29" w14:textId="444E74BD"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500</w:t>
            </w:r>
          </w:p>
        </w:tc>
        <w:tc>
          <w:tcPr>
            <w:tcW w:w="543" w:type="pct"/>
            <w:gridSpan w:val="3"/>
            <w:tcBorders>
              <w:top w:val="nil"/>
              <w:left w:val="nil"/>
              <w:bottom w:val="nil"/>
              <w:right w:val="nil"/>
            </w:tcBorders>
            <w:shd w:val="clear" w:color="auto" w:fill="E6E6E6"/>
            <w:noWrap/>
            <w:vAlign w:val="bottom"/>
            <w:hideMark/>
          </w:tcPr>
          <w:p w14:paraId="6E800089" w14:textId="10E14809"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500</w:t>
            </w:r>
          </w:p>
        </w:tc>
        <w:tc>
          <w:tcPr>
            <w:tcW w:w="525" w:type="pct"/>
            <w:gridSpan w:val="2"/>
            <w:tcBorders>
              <w:top w:val="nil"/>
              <w:left w:val="nil"/>
              <w:bottom w:val="nil"/>
              <w:right w:val="nil"/>
            </w:tcBorders>
            <w:shd w:val="clear" w:color="auto" w:fill="auto"/>
            <w:noWrap/>
            <w:vAlign w:val="bottom"/>
            <w:hideMark/>
          </w:tcPr>
          <w:p w14:paraId="3FA17936" w14:textId="2D953ECA"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500</w:t>
            </w:r>
          </w:p>
        </w:tc>
        <w:tc>
          <w:tcPr>
            <w:tcW w:w="525" w:type="pct"/>
            <w:gridSpan w:val="2"/>
            <w:tcBorders>
              <w:top w:val="nil"/>
              <w:left w:val="nil"/>
              <w:bottom w:val="nil"/>
              <w:right w:val="nil"/>
            </w:tcBorders>
            <w:shd w:val="clear" w:color="auto" w:fill="auto"/>
            <w:noWrap/>
            <w:vAlign w:val="bottom"/>
            <w:hideMark/>
          </w:tcPr>
          <w:p w14:paraId="30B3E6C2" w14:textId="519683BA"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500</w:t>
            </w:r>
          </w:p>
        </w:tc>
        <w:tc>
          <w:tcPr>
            <w:tcW w:w="526" w:type="pct"/>
            <w:gridSpan w:val="2"/>
            <w:tcBorders>
              <w:top w:val="nil"/>
              <w:left w:val="nil"/>
              <w:bottom w:val="nil"/>
              <w:right w:val="nil"/>
            </w:tcBorders>
            <w:shd w:val="clear" w:color="auto" w:fill="auto"/>
            <w:noWrap/>
            <w:vAlign w:val="bottom"/>
            <w:hideMark/>
          </w:tcPr>
          <w:p w14:paraId="00A867AA" w14:textId="16486731"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500</w:t>
            </w:r>
          </w:p>
        </w:tc>
      </w:tr>
      <w:tr w:rsidR="00662504" w:rsidRPr="00713029" w14:paraId="671F8264" w14:textId="77777777" w:rsidTr="005334F2">
        <w:trPr>
          <w:trHeight w:val="204"/>
        </w:trPr>
        <w:tc>
          <w:tcPr>
            <w:tcW w:w="2289" w:type="pct"/>
            <w:tcBorders>
              <w:top w:val="nil"/>
              <w:left w:val="nil"/>
              <w:bottom w:val="nil"/>
              <w:right w:val="nil"/>
            </w:tcBorders>
            <w:shd w:val="clear" w:color="auto" w:fill="auto"/>
            <w:vAlign w:val="bottom"/>
            <w:hideMark/>
          </w:tcPr>
          <w:p w14:paraId="515C64B2" w14:textId="77777777" w:rsidR="00662504" w:rsidRPr="00713029" w:rsidRDefault="00662504" w:rsidP="00662504">
            <w:pPr>
              <w:spacing w:after="0" w:line="240" w:lineRule="auto"/>
              <w:ind w:left="113"/>
              <w:rPr>
                <w:rFonts w:ascii="Arial" w:hAnsi="Arial" w:cs="Arial"/>
                <w:sz w:val="16"/>
                <w:szCs w:val="16"/>
              </w:rPr>
            </w:pPr>
            <w:r w:rsidRPr="00713029">
              <w:rPr>
                <w:rFonts w:ascii="Arial" w:hAnsi="Arial" w:cs="Arial"/>
                <w:sz w:val="16"/>
                <w:szCs w:val="16"/>
              </w:rPr>
              <w:t xml:space="preserve">Payments to corporate entities </w:t>
            </w:r>
            <w:r w:rsidRPr="00713029">
              <w:rPr>
                <w:rFonts w:ascii="Arial" w:hAnsi="Arial" w:cs="Arial"/>
                <w:sz w:val="16"/>
                <w:szCs w:val="16"/>
                <w:vertAlign w:val="superscript"/>
              </w:rPr>
              <w:t>(a)</w:t>
            </w:r>
          </w:p>
        </w:tc>
        <w:tc>
          <w:tcPr>
            <w:tcW w:w="592" w:type="pct"/>
            <w:gridSpan w:val="2"/>
            <w:tcBorders>
              <w:top w:val="nil"/>
              <w:left w:val="nil"/>
              <w:bottom w:val="nil"/>
              <w:right w:val="nil"/>
            </w:tcBorders>
            <w:shd w:val="clear" w:color="auto" w:fill="auto"/>
            <w:noWrap/>
            <w:vAlign w:val="bottom"/>
            <w:hideMark/>
          </w:tcPr>
          <w:p w14:paraId="608FF028" w14:textId="72AB7680"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495,092</w:t>
            </w:r>
          </w:p>
        </w:tc>
        <w:tc>
          <w:tcPr>
            <w:tcW w:w="543" w:type="pct"/>
            <w:gridSpan w:val="3"/>
            <w:tcBorders>
              <w:top w:val="nil"/>
              <w:left w:val="nil"/>
              <w:bottom w:val="nil"/>
              <w:right w:val="nil"/>
            </w:tcBorders>
            <w:shd w:val="clear" w:color="auto" w:fill="E6E6E6"/>
            <w:noWrap/>
            <w:vAlign w:val="bottom"/>
            <w:hideMark/>
          </w:tcPr>
          <w:p w14:paraId="0CFD132A" w14:textId="36EDF314"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512,612</w:t>
            </w:r>
          </w:p>
        </w:tc>
        <w:tc>
          <w:tcPr>
            <w:tcW w:w="525" w:type="pct"/>
            <w:gridSpan w:val="2"/>
            <w:tcBorders>
              <w:top w:val="nil"/>
              <w:left w:val="nil"/>
              <w:bottom w:val="nil"/>
              <w:right w:val="nil"/>
            </w:tcBorders>
            <w:shd w:val="clear" w:color="auto" w:fill="auto"/>
            <w:noWrap/>
            <w:vAlign w:val="bottom"/>
            <w:hideMark/>
          </w:tcPr>
          <w:p w14:paraId="63D4E38F" w14:textId="6193135D"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485,206</w:t>
            </w:r>
          </w:p>
        </w:tc>
        <w:tc>
          <w:tcPr>
            <w:tcW w:w="525" w:type="pct"/>
            <w:gridSpan w:val="2"/>
            <w:tcBorders>
              <w:top w:val="nil"/>
              <w:left w:val="nil"/>
              <w:bottom w:val="nil"/>
              <w:right w:val="nil"/>
            </w:tcBorders>
            <w:shd w:val="clear" w:color="auto" w:fill="auto"/>
            <w:noWrap/>
            <w:vAlign w:val="bottom"/>
            <w:hideMark/>
          </w:tcPr>
          <w:p w14:paraId="792AD2B7" w14:textId="625AD377"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492,926</w:t>
            </w:r>
          </w:p>
        </w:tc>
        <w:tc>
          <w:tcPr>
            <w:tcW w:w="526" w:type="pct"/>
            <w:gridSpan w:val="2"/>
            <w:tcBorders>
              <w:top w:val="nil"/>
              <w:left w:val="nil"/>
              <w:bottom w:val="nil"/>
              <w:right w:val="nil"/>
            </w:tcBorders>
            <w:shd w:val="clear" w:color="auto" w:fill="auto"/>
            <w:noWrap/>
            <w:vAlign w:val="bottom"/>
            <w:hideMark/>
          </w:tcPr>
          <w:p w14:paraId="7AE2BAA7" w14:textId="516F5FA9"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499,030</w:t>
            </w:r>
          </w:p>
        </w:tc>
      </w:tr>
      <w:tr w:rsidR="00662504" w:rsidRPr="00713029" w14:paraId="3AEAA3EC" w14:textId="77777777" w:rsidTr="005334F2">
        <w:trPr>
          <w:trHeight w:val="204"/>
        </w:trPr>
        <w:tc>
          <w:tcPr>
            <w:tcW w:w="2289" w:type="pct"/>
            <w:tcBorders>
              <w:top w:val="nil"/>
              <w:left w:val="nil"/>
              <w:bottom w:val="nil"/>
              <w:right w:val="nil"/>
            </w:tcBorders>
            <w:shd w:val="clear" w:color="auto" w:fill="auto"/>
            <w:vAlign w:val="bottom"/>
            <w:hideMark/>
          </w:tcPr>
          <w:p w14:paraId="3EDA1B8F" w14:textId="77777777" w:rsidR="00662504" w:rsidRPr="00713029" w:rsidRDefault="00662504" w:rsidP="00662504">
            <w:pPr>
              <w:spacing w:after="0" w:line="240" w:lineRule="auto"/>
              <w:ind w:left="113"/>
              <w:rPr>
                <w:rFonts w:ascii="Arial" w:hAnsi="Arial" w:cs="Arial"/>
                <w:sz w:val="16"/>
                <w:szCs w:val="16"/>
              </w:rPr>
            </w:pPr>
            <w:r w:rsidRPr="00713029">
              <w:rPr>
                <w:rFonts w:ascii="Arial" w:hAnsi="Arial" w:cs="Arial"/>
                <w:sz w:val="16"/>
                <w:szCs w:val="16"/>
              </w:rPr>
              <w:t xml:space="preserve">Expenses not requiring appropriation in the Budget year </w:t>
            </w:r>
            <w:r w:rsidRPr="00713029">
              <w:rPr>
                <w:rFonts w:ascii="Arial" w:hAnsi="Arial" w:cs="Arial"/>
                <w:sz w:val="16"/>
                <w:szCs w:val="16"/>
                <w:vertAlign w:val="superscript"/>
              </w:rPr>
              <w:t>(b)</w:t>
            </w:r>
          </w:p>
        </w:tc>
        <w:tc>
          <w:tcPr>
            <w:tcW w:w="592" w:type="pct"/>
            <w:gridSpan w:val="2"/>
            <w:tcBorders>
              <w:top w:val="nil"/>
              <w:left w:val="nil"/>
              <w:bottom w:val="nil"/>
              <w:right w:val="nil"/>
            </w:tcBorders>
            <w:shd w:val="clear" w:color="auto" w:fill="auto"/>
            <w:noWrap/>
            <w:vAlign w:val="bottom"/>
            <w:hideMark/>
          </w:tcPr>
          <w:p w14:paraId="505FFFA2" w14:textId="32628C47"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(34,763)</w:t>
            </w:r>
          </w:p>
        </w:tc>
        <w:tc>
          <w:tcPr>
            <w:tcW w:w="543" w:type="pct"/>
            <w:gridSpan w:val="3"/>
            <w:tcBorders>
              <w:top w:val="nil"/>
              <w:left w:val="nil"/>
              <w:bottom w:val="nil"/>
              <w:right w:val="nil"/>
            </w:tcBorders>
            <w:shd w:val="clear" w:color="auto" w:fill="E6E6E6"/>
            <w:noWrap/>
            <w:vAlign w:val="bottom"/>
            <w:hideMark/>
          </w:tcPr>
          <w:p w14:paraId="0DDEDD05" w14:textId="38B5B1A8"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w:t>
            </w:r>
          </w:p>
        </w:tc>
        <w:tc>
          <w:tcPr>
            <w:tcW w:w="525" w:type="pct"/>
            <w:gridSpan w:val="2"/>
            <w:tcBorders>
              <w:top w:val="nil"/>
              <w:left w:val="nil"/>
              <w:bottom w:val="nil"/>
              <w:right w:val="nil"/>
            </w:tcBorders>
            <w:shd w:val="clear" w:color="auto" w:fill="auto"/>
            <w:noWrap/>
            <w:vAlign w:val="bottom"/>
            <w:hideMark/>
          </w:tcPr>
          <w:p w14:paraId="39D1C343" w14:textId="2D6D5D03"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w:t>
            </w:r>
          </w:p>
        </w:tc>
        <w:tc>
          <w:tcPr>
            <w:tcW w:w="525" w:type="pct"/>
            <w:gridSpan w:val="2"/>
            <w:tcBorders>
              <w:top w:val="nil"/>
              <w:left w:val="nil"/>
              <w:bottom w:val="nil"/>
              <w:right w:val="nil"/>
            </w:tcBorders>
            <w:shd w:val="clear" w:color="auto" w:fill="auto"/>
            <w:noWrap/>
            <w:vAlign w:val="bottom"/>
            <w:hideMark/>
          </w:tcPr>
          <w:p w14:paraId="3F3CAEE4" w14:textId="579613E8"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w:t>
            </w:r>
          </w:p>
        </w:tc>
        <w:tc>
          <w:tcPr>
            <w:tcW w:w="526" w:type="pct"/>
            <w:gridSpan w:val="2"/>
            <w:tcBorders>
              <w:top w:val="nil"/>
              <w:left w:val="nil"/>
              <w:bottom w:val="nil"/>
              <w:right w:val="nil"/>
            </w:tcBorders>
            <w:shd w:val="clear" w:color="auto" w:fill="auto"/>
            <w:noWrap/>
            <w:vAlign w:val="bottom"/>
            <w:hideMark/>
          </w:tcPr>
          <w:p w14:paraId="160E3A98" w14:textId="338680A0" w:rsidR="00662504" w:rsidRPr="00713029" w:rsidRDefault="00662504" w:rsidP="00662504">
            <w:pPr>
              <w:spacing w:after="0" w:line="240" w:lineRule="auto"/>
              <w:jc w:val="right"/>
              <w:rPr>
                <w:rFonts w:ascii="Arial" w:hAnsi="Arial" w:cs="Arial"/>
                <w:sz w:val="16"/>
                <w:szCs w:val="16"/>
              </w:rPr>
            </w:pPr>
            <w:r>
              <w:rPr>
                <w:rFonts w:ascii="Arial" w:hAnsi="Arial" w:cs="Arial"/>
                <w:sz w:val="16"/>
                <w:szCs w:val="16"/>
              </w:rPr>
              <w:t>-</w:t>
            </w:r>
          </w:p>
        </w:tc>
      </w:tr>
      <w:tr w:rsidR="00662504" w:rsidRPr="00713029" w14:paraId="50940C2B" w14:textId="77777777" w:rsidTr="005334F2">
        <w:trPr>
          <w:trHeight w:val="204"/>
        </w:trPr>
        <w:tc>
          <w:tcPr>
            <w:tcW w:w="2289" w:type="pct"/>
            <w:tcBorders>
              <w:top w:val="nil"/>
              <w:left w:val="nil"/>
              <w:bottom w:val="nil"/>
              <w:right w:val="nil"/>
            </w:tcBorders>
            <w:shd w:val="clear" w:color="auto" w:fill="auto"/>
            <w:noWrap/>
            <w:vAlign w:val="bottom"/>
            <w:hideMark/>
          </w:tcPr>
          <w:p w14:paraId="569F723E" w14:textId="77777777" w:rsidR="00662504" w:rsidRPr="00713029" w:rsidRDefault="00662504" w:rsidP="00662504">
            <w:pPr>
              <w:spacing w:after="0" w:line="240" w:lineRule="auto"/>
              <w:rPr>
                <w:rFonts w:ascii="Arial" w:hAnsi="Arial" w:cs="Arial"/>
                <w:b/>
                <w:bCs/>
                <w:sz w:val="16"/>
                <w:szCs w:val="16"/>
              </w:rPr>
            </w:pPr>
            <w:r w:rsidRPr="00713029">
              <w:rPr>
                <w:rFonts w:ascii="Arial" w:hAnsi="Arial" w:cs="Arial"/>
                <w:b/>
                <w:bCs/>
                <w:sz w:val="16"/>
                <w:szCs w:val="16"/>
              </w:rPr>
              <w:t>Total expenses for Program 6.1</w:t>
            </w:r>
          </w:p>
        </w:tc>
        <w:tc>
          <w:tcPr>
            <w:tcW w:w="592" w:type="pct"/>
            <w:gridSpan w:val="2"/>
            <w:tcBorders>
              <w:top w:val="single" w:sz="4" w:space="0" w:color="auto"/>
              <w:left w:val="nil"/>
              <w:bottom w:val="single" w:sz="4" w:space="0" w:color="auto"/>
              <w:right w:val="nil"/>
            </w:tcBorders>
            <w:shd w:val="clear" w:color="auto" w:fill="auto"/>
            <w:noWrap/>
            <w:vAlign w:val="bottom"/>
            <w:hideMark/>
          </w:tcPr>
          <w:p w14:paraId="3DEEA8BD" w14:textId="4A014FB1" w:rsidR="00662504" w:rsidRPr="00713029" w:rsidRDefault="00662504" w:rsidP="00662504">
            <w:pPr>
              <w:spacing w:after="0" w:line="240" w:lineRule="auto"/>
              <w:jc w:val="right"/>
              <w:rPr>
                <w:rFonts w:ascii="Arial" w:hAnsi="Arial" w:cs="Arial"/>
                <w:b/>
                <w:bCs/>
                <w:sz w:val="16"/>
                <w:szCs w:val="16"/>
              </w:rPr>
            </w:pPr>
            <w:r>
              <w:rPr>
                <w:rFonts w:ascii="Arial" w:hAnsi="Arial" w:cs="Arial"/>
                <w:b/>
                <w:bCs/>
                <w:sz w:val="16"/>
                <w:szCs w:val="16"/>
              </w:rPr>
              <w:t>939,840</w:t>
            </w:r>
          </w:p>
        </w:tc>
        <w:tc>
          <w:tcPr>
            <w:tcW w:w="543" w:type="pct"/>
            <w:gridSpan w:val="3"/>
            <w:tcBorders>
              <w:top w:val="single" w:sz="4" w:space="0" w:color="auto"/>
              <w:left w:val="nil"/>
              <w:bottom w:val="single" w:sz="4" w:space="0" w:color="auto"/>
              <w:right w:val="nil"/>
            </w:tcBorders>
            <w:shd w:val="clear" w:color="auto" w:fill="E6E6E6"/>
            <w:noWrap/>
            <w:vAlign w:val="bottom"/>
            <w:hideMark/>
          </w:tcPr>
          <w:p w14:paraId="07CC29F0" w14:textId="2F5B23C6" w:rsidR="00662504" w:rsidRPr="00713029" w:rsidRDefault="00662504" w:rsidP="00662504">
            <w:pPr>
              <w:spacing w:after="0" w:line="240" w:lineRule="auto"/>
              <w:jc w:val="right"/>
              <w:rPr>
                <w:rFonts w:ascii="Arial" w:hAnsi="Arial" w:cs="Arial"/>
                <w:b/>
                <w:bCs/>
                <w:sz w:val="16"/>
                <w:szCs w:val="16"/>
              </w:rPr>
            </w:pPr>
            <w:r>
              <w:rPr>
                <w:rFonts w:ascii="Arial" w:hAnsi="Arial" w:cs="Arial"/>
                <w:b/>
                <w:bCs/>
                <w:sz w:val="16"/>
                <w:szCs w:val="16"/>
              </w:rPr>
              <w:t>859,962</w:t>
            </w:r>
          </w:p>
        </w:tc>
        <w:tc>
          <w:tcPr>
            <w:tcW w:w="525" w:type="pct"/>
            <w:gridSpan w:val="2"/>
            <w:tcBorders>
              <w:top w:val="single" w:sz="4" w:space="0" w:color="auto"/>
              <w:left w:val="nil"/>
              <w:bottom w:val="single" w:sz="4" w:space="0" w:color="auto"/>
              <w:right w:val="nil"/>
            </w:tcBorders>
            <w:shd w:val="clear" w:color="auto" w:fill="auto"/>
            <w:noWrap/>
            <w:vAlign w:val="bottom"/>
            <w:hideMark/>
          </w:tcPr>
          <w:p w14:paraId="3E719668" w14:textId="5678410A" w:rsidR="00662504" w:rsidRPr="00713029" w:rsidRDefault="00662504" w:rsidP="00662504">
            <w:pPr>
              <w:spacing w:after="0" w:line="240" w:lineRule="auto"/>
              <w:jc w:val="right"/>
              <w:rPr>
                <w:rFonts w:ascii="Arial" w:hAnsi="Arial" w:cs="Arial"/>
                <w:b/>
                <w:bCs/>
                <w:sz w:val="16"/>
                <w:szCs w:val="16"/>
              </w:rPr>
            </w:pPr>
            <w:r>
              <w:rPr>
                <w:rFonts w:ascii="Arial" w:hAnsi="Arial" w:cs="Arial"/>
                <w:b/>
                <w:bCs/>
                <w:sz w:val="16"/>
                <w:szCs w:val="16"/>
              </w:rPr>
              <w:t>771,516</w:t>
            </w:r>
          </w:p>
        </w:tc>
        <w:tc>
          <w:tcPr>
            <w:tcW w:w="525" w:type="pct"/>
            <w:gridSpan w:val="2"/>
            <w:tcBorders>
              <w:top w:val="single" w:sz="4" w:space="0" w:color="auto"/>
              <w:left w:val="nil"/>
              <w:bottom w:val="single" w:sz="4" w:space="0" w:color="auto"/>
              <w:right w:val="nil"/>
            </w:tcBorders>
            <w:shd w:val="clear" w:color="auto" w:fill="auto"/>
            <w:noWrap/>
            <w:vAlign w:val="bottom"/>
            <w:hideMark/>
          </w:tcPr>
          <w:p w14:paraId="26A3F2CB" w14:textId="5E63FBDD" w:rsidR="00662504" w:rsidRPr="00713029" w:rsidRDefault="00662504" w:rsidP="00662504">
            <w:pPr>
              <w:spacing w:after="0" w:line="240" w:lineRule="auto"/>
              <w:jc w:val="right"/>
              <w:rPr>
                <w:rFonts w:ascii="Arial" w:hAnsi="Arial" w:cs="Arial"/>
                <w:b/>
                <w:bCs/>
                <w:sz w:val="16"/>
                <w:szCs w:val="16"/>
              </w:rPr>
            </w:pPr>
            <w:r>
              <w:rPr>
                <w:rFonts w:ascii="Arial" w:hAnsi="Arial" w:cs="Arial"/>
                <w:b/>
                <w:bCs/>
                <w:sz w:val="16"/>
                <w:szCs w:val="16"/>
              </w:rPr>
              <w:t>775,101</w:t>
            </w:r>
          </w:p>
        </w:tc>
        <w:tc>
          <w:tcPr>
            <w:tcW w:w="526" w:type="pct"/>
            <w:gridSpan w:val="2"/>
            <w:tcBorders>
              <w:top w:val="single" w:sz="4" w:space="0" w:color="auto"/>
              <w:left w:val="nil"/>
              <w:bottom w:val="single" w:sz="4" w:space="0" w:color="auto"/>
              <w:right w:val="nil"/>
            </w:tcBorders>
            <w:shd w:val="clear" w:color="auto" w:fill="auto"/>
            <w:noWrap/>
            <w:vAlign w:val="bottom"/>
            <w:hideMark/>
          </w:tcPr>
          <w:p w14:paraId="7AA61582" w14:textId="3CC24851" w:rsidR="00662504" w:rsidRPr="00713029" w:rsidRDefault="00662504" w:rsidP="00662504">
            <w:pPr>
              <w:spacing w:after="0" w:line="240" w:lineRule="auto"/>
              <w:jc w:val="right"/>
              <w:rPr>
                <w:rFonts w:ascii="Arial" w:hAnsi="Arial" w:cs="Arial"/>
                <w:b/>
                <w:bCs/>
                <w:sz w:val="16"/>
                <w:szCs w:val="16"/>
              </w:rPr>
            </w:pPr>
            <w:r>
              <w:rPr>
                <w:rFonts w:ascii="Arial" w:hAnsi="Arial" w:cs="Arial"/>
                <w:b/>
                <w:bCs/>
                <w:sz w:val="16"/>
                <w:szCs w:val="16"/>
              </w:rPr>
              <w:t>783,727</w:t>
            </w:r>
          </w:p>
        </w:tc>
      </w:tr>
      <w:tr w:rsidR="00115843" w:rsidRPr="00C13A37" w14:paraId="55BF404B" w14:textId="77777777" w:rsidTr="005334F2">
        <w:trPr>
          <w:gridAfter w:val="1"/>
          <w:wAfter w:w="21" w:type="pct"/>
          <w:trHeight w:val="204"/>
        </w:trPr>
        <w:tc>
          <w:tcPr>
            <w:tcW w:w="2317" w:type="pct"/>
            <w:gridSpan w:val="2"/>
            <w:tcBorders>
              <w:top w:val="single" w:sz="4" w:space="0" w:color="auto"/>
              <w:left w:val="nil"/>
              <w:bottom w:val="single" w:sz="4" w:space="0" w:color="auto"/>
              <w:right w:val="nil"/>
            </w:tcBorders>
            <w:shd w:val="clear" w:color="auto" w:fill="E6E6E6"/>
            <w:noWrap/>
            <w:vAlign w:val="bottom"/>
            <w:hideMark/>
          </w:tcPr>
          <w:p w14:paraId="5AA3B5D8" w14:textId="77777777" w:rsidR="00115843" w:rsidRPr="00C13A37" w:rsidRDefault="00115843" w:rsidP="00FB0D02">
            <w:pPr>
              <w:spacing w:after="0" w:line="240" w:lineRule="auto"/>
              <w:rPr>
                <w:rFonts w:ascii="Arial" w:hAnsi="Arial" w:cs="Arial"/>
                <w:b/>
                <w:bCs/>
                <w:sz w:val="16"/>
                <w:szCs w:val="16"/>
              </w:rPr>
            </w:pPr>
            <w:r w:rsidRPr="00C13A37">
              <w:rPr>
                <w:rFonts w:ascii="Arial" w:hAnsi="Arial" w:cs="Arial"/>
                <w:b/>
                <w:bCs/>
                <w:sz w:val="16"/>
                <w:szCs w:val="16"/>
              </w:rPr>
              <w:t>Program 6.2 Program Support for Outcome 6</w:t>
            </w:r>
          </w:p>
        </w:tc>
        <w:tc>
          <w:tcPr>
            <w:tcW w:w="578" w:type="pct"/>
            <w:gridSpan w:val="2"/>
            <w:tcBorders>
              <w:top w:val="single" w:sz="4" w:space="0" w:color="auto"/>
              <w:left w:val="nil"/>
              <w:bottom w:val="single" w:sz="4" w:space="0" w:color="auto"/>
              <w:right w:val="nil"/>
            </w:tcBorders>
            <w:shd w:val="clear" w:color="auto" w:fill="E6E6E6"/>
            <w:noWrap/>
            <w:vAlign w:val="bottom"/>
            <w:hideMark/>
          </w:tcPr>
          <w:p w14:paraId="558412B5"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 </w:t>
            </w:r>
          </w:p>
        </w:tc>
        <w:tc>
          <w:tcPr>
            <w:tcW w:w="520" w:type="pct"/>
            <w:tcBorders>
              <w:top w:val="single" w:sz="4" w:space="0" w:color="auto"/>
              <w:left w:val="nil"/>
              <w:bottom w:val="single" w:sz="4" w:space="0" w:color="auto"/>
              <w:right w:val="nil"/>
            </w:tcBorders>
            <w:shd w:val="clear" w:color="auto" w:fill="E6E6E6"/>
            <w:noWrap/>
            <w:vAlign w:val="bottom"/>
            <w:hideMark/>
          </w:tcPr>
          <w:p w14:paraId="46CE9188"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 </w:t>
            </w:r>
          </w:p>
        </w:tc>
        <w:tc>
          <w:tcPr>
            <w:tcW w:w="521" w:type="pct"/>
            <w:gridSpan w:val="2"/>
            <w:tcBorders>
              <w:top w:val="single" w:sz="4" w:space="0" w:color="auto"/>
              <w:left w:val="nil"/>
              <w:bottom w:val="single" w:sz="4" w:space="0" w:color="auto"/>
              <w:right w:val="nil"/>
            </w:tcBorders>
            <w:shd w:val="clear" w:color="auto" w:fill="E6E6E6"/>
            <w:noWrap/>
            <w:vAlign w:val="bottom"/>
            <w:hideMark/>
          </w:tcPr>
          <w:p w14:paraId="7DB1D7D5"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 </w:t>
            </w:r>
          </w:p>
        </w:tc>
        <w:tc>
          <w:tcPr>
            <w:tcW w:w="522" w:type="pct"/>
            <w:gridSpan w:val="2"/>
            <w:tcBorders>
              <w:top w:val="single" w:sz="4" w:space="0" w:color="auto"/>
              <w:left w:val="nil"/>
              <w:bottom w:val="single" w:sz="4" w:space="0" w:color="auto"/>
              <w:right w:val="nil"/>
            </w:tcBorders>
            <w:shd w:val="clear" w:color="auto" w:fill="E6E6E6"/>
            <w:noWrap/>
            <w:vAlign w:val="bottom"/>
            <w:hideMark/>
          </w:tcPr>
          <w:p w14:paraId="2AB206E2"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 </w:t>
            </w:r>
          </w:p>
        </w:tc>
        <w:tc>
          <w:tcPr>
            <w:tcW w:w="521" w:type="pct"/>
            <w:gridSpan w:val="2"/>
            <w:tcBorders>
              <w:top w:val="single" w:sz="4" w:space="0" w:color="auto"/>
              <w:left w:val="nil"/>
              <w:bottom w:val="single" w:sz="4" w:space="0" w:color="auto"/>
              <w:right w:val="nil"/>
            </w:tcBorders>
            <w:shd w:val="clear" w:color="auto" w:fill="E6E6E6"/>
            <w:noWrap/>
            <w:vAlign w:val="bottom"/>
            <w:hideMark/>
          </w:tcPr>
          <w:p w14:paraId="0ABED35D"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 </w:t>
            </w:r>
          </w:p>
        </w:tc>
      </w:tr>
      <w:tr w:rsidR="00115843" w:rsidRPr="00C13A37" w14:paraId="47E71B21" w14:textId="77777777" w:rsidTr="005334F2">
        <w:trPr>
          <w:gridAfter w:val="1"/>
          <w:wAfter w:w="21" w:type="pct"/>
          <w:trHeight w:val="204"/>
        </w:trPr>
        <w:tc>
          <w:tcPr>
            <w:tcW w:w="2317" w:type="pct"/>
            <w:gridSpan w:val="2"/>
            <w:tcBorders>
              <w:top w:val="nil"/>
              <w:left w:val="nil"/>
              <w:bottom w:val="nil"/>
              <w:right w:val="nil"/>
            </w:tcBorders>
            <w:shd w:val="clear" w:color="auto" w:fill="auto"/>
            <w:noWrap/>
            <w:vAlign w:val="bottom"/>
            <w:hideMark/>
          </w:tcPr>
          <w:p w14:paraId="25126F37" w14:textId="77777777" w:rsidR="00115843" w:rsidRPr="00766B32" w:rsidRDefault="00115843" w:rsidP="00FB0D02">
            <w:pPr>
              <w:spacing w:after="0" w:line="240" w:lineRule="auto"/>
              <w:rPr>
                <w:rFonts w:ascii="Arial" w:hAnsi="Arial" w:cs="Arial"/>
                <w:sz w:val="16"/>
                <w:szCs w:val="16"/>
              </w:rPr>
            </w:pPr>
            <w:r w:rsidRPr="00766B32">
              <w:rPr>
                <w:rFonts w:ascii="Arial" w:hAnsi="Arial" w:cs="Arial"/>
                <w:sz w:val="16"/>
                <w:szCs w:val="16"/>
              </w:rPr>
              <w:t>Departmental expenses</w:t>
            </w:r>
          </w:p>
        </w:tc>
        <w:tc>
          <w:tcPr>
            <w:tcW w:w="578" w:type="pct"/>
            <w:gridSpan w:val="2"/>
            <w:tcBorders>
              <w:top w:val="nil"/>
              <w:left w:val="nil"/>
              <w:bottom w:val="nil"/>
              <w:right w:val="nil"/>
            </w:tcBorders>
            <w:shd w:val="clear" w:color="auto" w:fill="auto"/>
            <w:noWrap/>
            <w:vAlign w:val="bottom"/>
            <w:hideMark/>
          </w:tcPr>
          <w:p w14:paraId="4F414F05" w14:textId="77777777" w:rsidR="00115843" w:rsidRPr="00C13A37" w:rsidRDefault="00115843" w:rsidP="00FB0D02">
            <w:pPr>
              <w:spacing w:after="0" w:line="240" w:lineRule="auto"/>
              <w:jc w:val="right"/>
              <w:rPr>
                <w:rFonts w:ascii="Arial" w:hAnsi="Arial" w:cs="Arial"/>
                <w:sz w:val="16"/>
                <w:szCs w:val="16"/>
              </w:rPr>
            </w:pPr>
          </w:p>
        </w:tc>
        <w:tc>
          <w:tcPr>
            <w:tcW w:w="520" w:type="pct"/>
            <w:tcBorders>
              <w:top w:val="nil"/>
              <w:left w:val="nil"/>
              <w:bottom w:val="nil"/>
              <w:right w:val="nil"/>
            </w:tcBorders>
            <w:shd w:val="clear" w:color="auto" w:fill="E6E6E6"/>
            <w:noWrap/>
            <w:vAlign w:val="bottom"/>
            <w:hideMark/>
          </w:tcPr>
          <w:p w14:paraId="17815BF2"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 </w:t>
            </w:r>
          </w:p>
        </w:tc>
        <w:tc>
          <w:tcPr>
            <w:tcW w:w="521" w:type="pct"/>
            <w:gridSpan w:val="2"/>
            <w:tcBorders>
              <w:top w:val="nil"/>
              <w:left w:val="nil"/>
              <w:bottom w:val="nil"/>
              <w:right w:val="nil"/>
            </w:tcBorders>
            <w:shd w:val="clear" w:color="auto" w:fill="auto"/>
            <w:noWrap/>
            <w:vAlign w:val="bottom"/>
            <w:hideMark/>
          </w:tcPr>
          <w:p w14:paraId="58B10052" w14:textId="77777777" w:rsidR="00115843" w:rsidRPr="00C13A37" w:rsidRDefault="00115843" w:rsidP="00FB0D02">
            <w:pPr>
              <w:spacing w:after="0" w:line="240" w:lineRule="auto"/>
              <w:jc w:val="right"/>
              <w:rPr>
                <w:rFonts w:ascii="Arial" w:hAnsi="Arial" w:cs="Arial"/>
                <w:sz w:val="16"/>
                <w:szCs w:val="16"/>
              </w:rPr>
            </w:pPr>
          </w:p>
        </w:tc>
        <w:tc>
          <w:tcPr>
            <w:tcW w:w="522" w:type="pct"/>
            <w:gridSpan w:val="2"/>
            <w:tcBorders>
              <w:top w:val="nil"/>
              <w:left w:val="nil"/>
              <w:bottom w:val="nil"/>
              <w:right w:val="nil"/>
            </w:tcBorders>
            <w:shd w:val="clear" w:color="auto" w:fill="auto"/>
            <w:noWrap/>
            <w:vAlign w:val="bottom"/>
            <w:hideMark/>
          </w:tcPr>
          <w:p w14:paraId="1966267A" w14:textId="77777777" w:rsidR="00115843" w:rsidRPr="00C13A37" w:rsidRDefault="00115843" w:rsidP="00FB0D02">
            <w:pPr>
              <w:spacing w:after="0" w:line="240" w:lineRule="auto"/>
              <w:jc w:val="right"/>
              <w:rPr>
                <w:rFonts w:ascii="Times New Roman" w:hAnsi="Times New Roman"/>
              </w:rPr>
            </w:pPr>
          </w:p>
        </w:tc>
        <w:tc>
          <w:tcPr>
            <w:tcW w:w="521" w:type="pct"/>
            <w:gridSpan w:val="2"/>
            <w:tcBorders>
              <w:top w:val="nil"/>
              <w:left w:val="nil"/>
              <w:bottom w:val="nil"/>
              <w:right w:val="nil"/>
            </w:tcBorders>
            <w:shd w:val="clear" w:color="auto" w:fill="auto"/>
            <w:noWrap/>
            <w:vAlign w:val="bottom"/>
            <w:hideMark/>
          </w:tcPr>
          <w:p w14:paraId="7EDEE43E" w14:textId="77777777" w:rsidR="00115843" w:rsidRPr="00C13A37" w:rsidRDefault="00115843" w:rsidP="00FB0D02">
            <w:pPr>
              <w:spacing w:after="0" w:line="240" w:lineRule="auto"/>
              <w:jc w:val="right"/>
              <w:rPr>
                <w:rFonts w:ascii="Times New Roman" w:hAnsi="Times New Roman"/>
              </w:rPr>
            </w:pPr>
          </w:p>
        </w:tc>
      </w:tr>
      <w:tr w:rsidR="00662504" w:rsidRPr="00C13A37" w14:paraId="21856C83"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08089D87" w14:textId="77777777" w:rsidR="00662504" w:rsidRPr="00766B32" w:rsidRDefault="00662504" w:rsidP="00662504">
            <w:pPr>
              <w:spacing w:after="0" w:line="240" w:lineRule="auto"/>
              <w:ind w:left="113"/>
              <w:rPr>
                <w:rFonts w:ascii="Arial" w:hAnsi="Arial" w:cs="Arial"/>
                <w:sz w:val="16"/>
                <w:szCs w:val="16"/>
              </w:rPr>
            </w:pPr>
            <w:r w:rsidRPr="00766B32">
              <w:rPr>
                <w:rFonts w:ascii="Arial" w:hAnsi="Arial" w:cs="Arial"/>
                <w:sz w:val="16"/>
                <w:szCs w:val="16"/>
              </w:rPr>
              <w:t>Departmental appropriation</w:t>
            </w:r>
          </w:p>
        </w:tc>
        <w:tc>
          <w:tcPr>
            <w:tcW w:w="578" w:type="pct"/>
            <w:gridSpan w:val="2"/>
            <w:tcBorders>
              <w:top w:val="nil"/>
              <w:left w:val="nil"/>
              <w:bottom w:val="nil"/>
              <w:right w:val="nil"/>
            </w:tcBorders>
            <w:shd w:val="clear" w:color="auto" w:fill="auto"/>
            <w:noWrap/>
            <w:vAlign w:val="bottom"/>
            <w:hideMark/>
          </w:tcPr>
          <w:p w14:paraId="4D900408" w14:textId="6F827CD2"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53,955</w:t>
            </w:r>
          </w:p>
        </w:tc>
        <w:tc>
          <w:tcPr>
            <w:tcW w:w="520" w:type="pct"/>
            <w:tcBorders>
              <w:top w:val="nil"/>
              <w:left w:val="nil"/>
              <w:bottom w:val="nil"/>
              <w:right w:val="nil"/>
            </w:tcBorders>
            <w:shd w:val="clear" w:color="auto" w:fill="E6E6E6"/>
            <w:noWrap/>
            <w:vAlign w:val="bottom"/>
            <w:hideMark/>
          </w:tcPr>
          <w:p w14:paraId="28F78564" w14:textId="7BFB7AE6"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53,099</w:t>
            </w:r>
          </w:p>
        </w:tc>
        <w:tc>
          <w:tcPr>
            <w:tcW w:w="521" w:type="pct"/>
            <w:gridSpan w:val="2"/>
            <w:tcBorders>
              <w:top w:val="nil"/>
              <w:left w:val="nil"/>
              <w:bottom w:val="nil"/>
              <w:right w:val="nil"/>
            </w:tcBorders>
            <w:shd w:val="clear" w:color="auto" w:fill="auto"/>
            <w:noWrap/>
            <w:vAlign w:val="bottom"/>
            <w:hideMark/>
          </w:tcPr>
          <w:p w14:paraId="3AC5290A" w14:textId="79A6B812"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51,026</w:t>
            </w:r>
          </w:p>
        </w:tc>
        <w:tc>
          <w:tcPr>
            <w:tcW w:w="522" w:type="pct"/>
            <w:gridSpan w:val="2"/>
            <w:tcBorders>
              <w:top w:val="nil"/>
              <w:left w:val="nil"/>
              <w:bottom w:val="nil"/>
              <w:right w:val="nil"/>
            </w:tcBorders>
            <w:shd w:val="clear" w:color="auto" w:fill="auto"/>
            <w:noWrap/>
            <w:vAlign w:val="bottom"/>
            <w:hideMark/>
          </w:tcPr>
          <w:p w14:paraId="38C44B10" w14:textId="0BF087BF"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46,133</w:t>
            </w:r>
          </w:p>
        </w:tc>
        <w:tc>
          <w:tcPr>
            <w:tcW w:w="521" w:type="pct"/>
            <w:gridSpan w:val="2"/>
            <w:tcBorders>
              <w:top w:val="nil"/>
              <w:left w:val="nil"/>
              <w:bottom w:val="nil"/>
              <w:right w:val="nil"/>
            </w:tcBorders>
            <w:shd w:val="clear" w:color="auto" w:fill="auto"/>
            <w:noWrap/>
            <w:vAlign w:val="bottom"/>
            <w:hideMark/>
          </w:tcPr>
          <w:p w14:paraId="5D8063E7" w14:textId="259471F2"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46,259</w:t>
            </w:r>
          </w:p>
        </w:tc>
      </w:tr>
      <w:tr w:rsidR="00662504" w:rsidRPr="00C13A37" w14:paraId="6E39DDB3"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16A09E08" w14:textId="28D29781" w:rsidR="00662504" w:rsidRPr="00766B32" w:rsidRDefault="00662504" w:rsidP="00662504">
            <w:pPr>
              <w:spacing w:after="0" w:line="240" w:lineRule="auto"/>
              <w:ind w:left="113"/>
              <w:rPr>
                <w:rFonts w:ascii="Arial" w:hAnsi="Arial" w:cs="Arial"/>
                <w:sz w:val="16"/>
                <w:szCs w:val="16"/>
              </w:rPr>
            </w:pPr>
            <w:r w:rsidRPr="00766B32">
              <w:rPr>
                <w:rFonts w:ascii="Arial" w:hAnsi="Arial" w:cs="Arial"/>
                <w:sz w:val="16"/>
                <w:szCs w:val="16"/>
              </w:rPr>
              <w:t xml:space="preserve">s74 external revenues </w:t>
            </w:r>
            <w:r w:rsidRPr="002656D3">
              <w:rPr>
                <w:rFonts w:ascii="Arial" w:hAnsi="Arial" w:cs="Arial"/>
                <w:sz w:val="16"/>
                <w:szCs w:val="16"/>
                <w:vertAlign w:val="superscript"/>
              </w:rPr>
              <w:t>(</w:t>
            </w:r>
            <w:r w:rsidR="00897A73">
              <w:rPr>
                <w:rFonts w:ascii="Arial" w:hAnsi="Arial" w:cs="Arial"/>
                <w:sz w:val="16"/>
                <w:szCs w:val="16"/>
                <w:vertAlign w:val="superscript"/>
              </w:rPr>
              <w:t>c</w:t>
            </w:r>
            <w:r w:rsidRPr="002656D3">
              <w:rPr>
                <w:rFonts w:ascii="Arial" w:hAnsi="Arial" w:cs="Arial"/>
                <w:sz w:val="16"/>
                <w:szCs w:val="16"/>
                <w:vertAlign w:val="superscript"/>
              </w:rPr>
              <w:t>)</w:t>
            </w:r>
          </w:p>
        </w:tc>
        <w:tc>
          <w:tcPr>
            <w:tcW w:w="578" w:type="pct"/>
            <w:gridSpan w:val="2"/>
            <w:tcBorders>
              <w:top w:val="nil"/>
              <w:left w:val="nil"/>
              <w:bottom w:val="nil"/>
              <w:right w:val="nil"/>
            </w:tcBorders>
            <w:shd w:val="clear" w:color="auto" w:fill="auto"/>
            <w:noWrap/>
            <w:vAlign w:val="bottom"/>
            <w:hideMark/>
          </w:tcPr>
          <w:p w14:paraId="2ADB547A" w14:textId="4AE4164C"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5,756</w:t>
            </w:r>
          </w:p>
        </w:tc>
        <w:tc>
          <w:tcPr>
            <w:tcW w:w="520" w:type="pct"/>
            <w:tcBorders>
              <w:top w:val="nil"/>
              <w:left w:val="nil"/>
              <w:bottom w:val="nil"/>
              <w:right w:val="nil"/>
            </w:tcBorders>
            <w:shd w:val="clear" w:color="auto" w:fill="E6E6E6"/>
            <w:noWrap/>
            <w:vAlign w:val="bottom"/>
            <w:hideMark/>
          </w:tcPr>
          <w:p w14:paraId="3B448F4F" w14:textId="2B384318"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7,873</w:t>
            </w:r>
          </w:p>
        </w:tc>
        <w:tc>
          <w:tcPr>
            <w:tcW w:w="521" w:type="pct"/>
            <w:gridSpan w:val="2"/>
            <w:tcBorders>
              <w:top w:val="nil"/>
              <w:left w:val="nil"/>
              <w:bottom w:val="nil"/>
              <w:right w:val="nil"/>
            </w:tcBorders>
            <w:shd w:val="clear" w:color="auto" w:fill="auto"/>
            <w:noWrap/>
            <w:vAlign w:val="bottom"/>
            <w:hideMark/>
          </w:tcPr>
          <w:p w14:paraId="503A8C03" w14:textId="2872AF42"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8,973</w:t>
            </w:r>
          </w:p>
        </w:tc>
        <w:tc>
          <w:tcPr>
            <w:tcW w:w="522" w:type="pct"/>
            <w:gridSpan w:val="2"/>
            <w:tcBorders>
              <w:top w:val="nil"/>
              <w:left w:val="nil"/>
              <w:bottom w:val="nil"/>
              <w:right w:val="nil"/>
            </w:tcBorders>
            <w:shd w:val="clear" w:color="auto" w:fill="auto"/>
            <w:noWrap/>
            <w:vAlign w:val="bottom"/>
            <w:hideMark/>
          </w:tcPr>
          <w:p w14:paraId="711A1F69" w14:textId="52BA5203"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9,330</w:t>
            </w:r>
          </w:p>
        </w:tc>
        <w:tc>
          <w:tcPr>
            <w:tcW w:w="521" w:type="pct"/>
            <w:gridSpan w:val="2"/>
            <w:tcBorders>
              <w:top w:val="nil"/>
              <w:left w:val="nil"/>
              <w:bottom w:val="nil"/>
              <w:right w:val="nil"/>
            </w:tcBorders>
            <w:shd w:val="clear" w:color="auto" w:fill="auto"/>
            <w:noWrap/>
            <w:vAlign w:val="bottom"/>
            <w:hideMark/>
          </w:tcPr>
          <w:p w14:paraId="1233F48F" w14:textId="50E93187"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9,330</w:t>
            </w:r>
          </w:p>
        </w:tc>
      </w:tr>
      <w:tr w:rsidR="00662504" w:rsidRPr="00C13A37" w14:paraId="74BD633E"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3CFB0E5E" w14:textId="77777777" w:rsidR="00662504" w:rsidRPr="00766B32" w:rsidRDefault="00662504" w:rsidP="00662504">
            <w:pPr>
              <w:spacing w:after="0" w:line="240" w:lineRule="auto"/>
              <w:ind w:left="113"/>
              <w:rPr>
                <w:rFonts w:ascii="Arial" w:hAnsi="Arial" w:cs="Arial"/>
                <w:sz w:val="16"/>
                <w:szCs w:val="16"/>
              </w:rPr>
            </w:pPr>
            <w:r w:rsidRPr="00766B32">
              <w:rPr>
                <w:rFonts w:ascii="Arial" w:hAnsi="Arial" w:cs="Arial"/>
                <w:sz w:val="16"/>
                <w:szCs w:val="16"/>
              </w:rPr>
              <w:t>Special Accounts</w:t>
            </w:r>
          </w:p>
        </w:tc>
        <w:tc>
          <w:tcPr>
            <w:tcW w:w="578" w:type="pct"/>
            <w:gridSpan w:val="2"/>
            <w:tcBorders>
              <w:top w:val="nil"/>
              <w:left w:val="nil"/>
              <w:bottom w:val="nil"/>
              <w:right w:val="nil"/>
            </w:tcBorders>
            <w:shd w:val="clear" w:color="auto" w:fill="auto"/>
            <w:noWrap/>
            <w:vAlign w:val="bottom"/>
            <w:hideMark/>
          </w:tcPr>
          <w:p w14:paraId="06630D2F" w14:textId="77777777" w:rsidR="00662504" w:rsidRPr="00C13A37" w:rsidRDefault="00662504" w:rsidP="00662504">
            <w:pPr>
              <w:spacing w:after="0" w:line="240" w:lineRule="auto"/>
              <w:jc w:val="right"/>
              <w:rPr>
                <w:rFonts w:ascii="Arial" w:hAnsi="Arial" w:cs="Arial"/>
                <w:sz w:val="16"/>
                <w:szCs w:val="16"/>
              </w:rPr>
            </w:pPr>
          </w:p>
        </w:tc>
        <w:tc>
          <w:tcPr>
            <w:tcW w:w="520" w:type="pct"/>
            <w:tcBorders>
              <w:top w:val="nil"/>
              <w:left w:val="nil"/>
              <w:bottom w:val="nil"/>
              <w:right w:val="nil"/>
            </w:tcBorders>
            <w:shd w:val="clear" w:color="auto" w:fill="E6E6E6"/>
            <w:noWrap/>
            <w:vAlign w:val="bottom"/>
            <w:hideMark/>
          </w:tcPr>
          <w:p w14:paraId="20FD802B" w14:textId="1D1DEC39" w:rsidR="00662504" w:rsidRPr="00C13A37" w:rsidRDefault="00662504" w:rsidP="00662504">
            <w:pPr>
              <w:spacing w:after="0" w:line="240" w:lineRule="auto"/>
              <w:jc w:val="right"/>
              <w:rPr>
                <w:rFonts w:ascii="Arial" w:hAnsi="Arial" w:cs="Arial"/>
                <w:sz w:val="16"/>
                <w:szCs w:val="16"/>
              </w:rPr>
            </w:pPr>
          </w:p>
        </w:tc>
        <w:tc>
          <w:tcPr>
            <w:tcW w:w="521" w:type="pct"/>
            <w:gridSpan w:val="2"/>
            <w:tcBorders>
              <w:top w:val="nil"/>
              <w:left w:val="nil"/>
              <w:bottom w:val="nil"/>
              <w:right w:val="nil"/>
            </w:tcBorders>
            <w:shd w:val="clear" w:color="auto" w:fill="auto"/>
            <w:noWrap/>
            <w:vAlign w:val="bottom"/>
            <w:hideMark/>
          </w:tcPr>
          <w:p w14:paraId="382ABF06" w14:textId="77777777" w:rsidR="00662504" w:rsidRPr="00C13A37" w:rsidRDefault="00662504" w:rsidP="00662504">
            <w:pPr>
              <w:spacing w:after="0" w:line="240" w:lineRule="auto"/>
              <w:jc w:val="right"/>
              <w:rPr>
                <w:rFonts w:ascii="Arial" w:hAnsi="Arial" w:cs="Arial"/>
                <w:sz w:val="16"/>
                <w:szCs w:val="16"/>
              </w:rPr>
            </w:pPr>
          </w:p>
        </w:tc>
        <w:tc>
          <w:tcPr>
            <w:tcW w:w="522" w:type="pct"/>
            <w:gridSpan w:val="2"/>
            <w:tcBorders>
              <w:top w:val="nil"/>
              <w:left w:val="nil"/>
              <w:bottom w:val="nil"/>
              <w:right w:val="nil"/>
            </w:tcBorders>
            <w:shd w:val="clear" w:color="auto" w:fill="auto"/>
            <w:noWrap/>
            <w:vAlign w:val="bottom"/>
            <w:hideMark/>
          </w:tcPr>
          <w:p w14:paraId="5AEF1501" w14:textId="77777777" w:rsidR="00662504" w:rsidRPr="00C13A37" w:rsidRDefault="00662504" w:rsidP="00662504">
            <w:pPr>
              <w:spacing w:after="0" w:line="240" w:lineRule="auto"/>
              <w:jc w:val="right"/>
              <w:rPr>
                <w:rFonts w:ascii="Arial" w:hAnsi="Arial" w:cs="Arial"/>
                <w:sz w:val="16"/>
                <w:szCs w:val="16"/>
              </w:rPr>
            </w:pPr>
          </w:p>
        </w:tc>
        <w:tc>
          <w:tcPr>
            <w:tcW w:w="521" w:type="pct"/>
            <w:gridSpan w:val="2"/>
            <w:tcBorders>
              <w:top w:val="nil"/>
              <w:left w:val="nil"/>
              <w:bottom w:val="nil"/>
              <w:right w:val="nil"/>
            </w:tcBorders>
            <w:shd w:val="clear" w:color="auto" w:fill="auto"/>
            <w:noWrap/>
            <w:vAlign w:val="bottom"/>
            <w:hideMark/>
          </w:tcPr>
          <w:p w14:paraId="2105C0AD" w14:textId="77777777" w:rsidR="00662504" w:rsidRPr="00C13A37" w:rsidRDefault="00662504" w:rsidP="00662504">
            <w:pPr>
              <w:spacing w:after="0" w:line="240" w:lineRule="auto"/>
              <w:jc w:val="right"/>
              <w:rPr>
                <w:rFonts w:ascii="Arial" w:hAnsi="Arial" w:cs="Arial"/>
                <w:sz w:val="16"/>
                <w:szCs w:val="16"/>
              </w:rPr>
            </w:pPr>
          </w:p>
        </w:tc>
      </w:tr>
      <w:tr w:rsidR="00662504" w:rsidRPr="00C13A37" w14:paraId="0A7C4C20"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20953CC8" w14:textId="77777777" w:rsidR="00662504" w:rsidRPr="00766B32" w:rsidRDefault="00662504" w:rsidP="00662504">
            <w:pPr>
              <w:spacing w:after="0" w:line="240" w:lineRule="auto"/>
              <w:ind w:left="227"/>
              <w:rPr>
                <w:rFonts w:ascii="Arial" w:hAnsi="Arial" w:cs="Arial"/>
                <w:sz w:val="16"/>
                <w:szCs w:val="16"/>
              </w:rPr>
            </w:pPr>
            <w:r w:rsidRPr="00766B32">
              <w:rPr>
                <w:rFonts w:ascii="Arial" w:hAnsi="Arial" w:cs="Arial"/>
                <w:sz w:val="16"/>
                <w:szCs w:val="16"/>
              </w:rPr>
              <w:t>Art Rental Special Account</w:t>
            </w:r>
          </w:p>
        </w:tc>
        <w:tc>
          <w:tcPr>
            <w:tcW w:w="578" w:type="pct"/>
            <w:gridSpan w:val="2"/>
            <w:tcBorders>
              <w:top w:val="nil"/>
              <w:left w:val="nil"/>
              <w:bottom w:val="nil"/>
              <w:right w:val="nil"/>
            </w:tcBorders>
            <w:shd w:val="clear" w:color="auto" w:fill="auto"/>
            <w:noWrap/>
            <w:vAlign w:val="bottom"/>
            <w:hideMark/>
          </w:tcPr>
          <w:p w14:paraId="184996DB" w14:textId="1FFC1AEE"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3,615</w:t>
            </w:r>
          </w:p>
        </w:tc>
        <w:tc>
          <w:tcPr>
            <w:tcW w:w="520" w:type="pct"/>
            <w:tcBorders>
              <w:top w:val="nil"/>
              <w:left w:val="nil"/>
              <w:bottom w:val="nil"/>
              <w:right w:val="nil"/>
            </w:tcBorders>
            <w:shd w:val="clear" w:color="auto" w:fill="E6E6E6"/>
            <w:noWrap/>
            <w:vAlign w:val="bottom"/>
            <w:hideMark/>
          </w:tcPr>
          <w:p w14:paraId="5A2D0D00" w14:textId="25A1D63C"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2,982</w:t>
            </w:r>
          </w:p>
        </w:tc>
        <w:tc>
          <w:tcPr>
            <w:tcW w:w="521" w:type="pct"/>
            <w:gridSpan w:val="2"/>
            <w:tcBorders>
              <w:top w:val="nil"/>
              <w:left w:val="nil"/>
              <w:bottom w:val="nil"/>
              <w:right w:val="nil"/>
            </w:tcBorders>
            <w:shd w:val="clear" w:color="auto" w:fill="auto"/>
            <w:noWrap/>
            <w:vAlign w:val="bottom"/>
            <w:hideMark/>
          </w:tcPr>
          <w:p w14:paraId="0D5890BF" w14:textId="4CA470FF"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2,982</w:t>
            </w:r>
          </w:p>
        </w:tc>
        <w:tc>
          <w:tcPr>
            <w:tcW w:w="522" w:type="pct"/>
            <w:gridSpan w:val="2"/>
            <w:tcBorders>
              <w:top w:val="nil"/>
              <w:left w:val="nil"/>
              <w:bottom w:val="nil"/>
              <w:right w:val="nil"/>
            </w:tcBorders>
            <w:shd w:val="clear" w:color="auto" w:fill="auto"/>
            <w:noWrap/>
            <w:vAlign w:val="bottom"/>
            <w:hideMark/>
          </w:tcPr>
          <w:p w14:paraId="19B59767" w14:textId="5B8FBF20"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2,982</w:t>
            </w:r>
          </w:p>
        </w:tc>
        <w:tc>
          <w:tcPr>
            <w:tcW w:w="521" w:type="pct"/>
            <w:gridSpan w:val="2"/>
            <w:tcBorders>
              <w:top w:val="nil"/>
              <w:left w:val="nil"/>
              <w:bottom w:val="nil"/>
              <w:right w:val="nil"/>
            </w:tcBorders>
            <w:shd w:val="clear" w:color="auto" w:fill="auto"/>
            <w:noWrap/>
            <w:vAlign w:val="bottom"/>
            <w:hideMark/>
          </w:tcPr>
          <w:p w14:paraId="667DFDBE" w14:textId="34A41C52" w:rsidR="00662504" w:rsidRPr="00C13A37" w:rsidRDefault="00662504" w:rsidP="00662504">
            <w:pPr>
              <w:spacing w:after="0" w:line="240" w:lineRule="auto"/>
              <w:jc w:val="right"/>
              <w:rPr>
                <w:rFonts w:ascii="Arial" w:hAnsi="Arial" w:cs="Arial"/>
                <w:sz w:val="16"/>
                <w:szCs w:val="16"/>
              </w:rPr>
            </w:pPr>
            <w:r>
              <w:rPr>
                <w:rFonts w:ascii="Arial" w:hAnsi="Arial" w:cs="Arial"/>
                <w:sz w:val="16"/>
                <w:szCs w:val="16"/>
              </w:rPr>
              <w:t>2,982</w:t>
            </w:r>
          </w:p>
        </w:tc>
      </w:tr>
      <w:tr w:rsidR="00662504" w:rsidRPr="00C13A37" w14:paraId="0066BDCC"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5D8122E4" w14:textId="77777777" w:rsidR="00662504" w:rsidRPr="00766B32" w:rsidRDefault="00662504" w:rsidP="00662504">
            <w:pPr>
              <w:spacing w:after="0" w:line="240" w:lineRule="auto"/>
              <w:ind w:left="227"/>
              <w:rPr>
                <w:rFonts w:ascii="Arial" w:hAnsi="Arial" w:cs="Arial"/>
                <w:sz w:val="16"/>
                <w:szCs w:val="16"/>
              </w:rPr>
            </w:pPr>
            <w:r w:rsidRPr="00766B32">
              <w:rPr>
                <w:rFonts w:ascii="Arial" w:hAnsi="Arial" w:cs="Arial"/>
                <w:sz w:val="16"/>
                <w:szCs w:val="16"/>
              </w:rPr>
              <w:t>Indigenous Repatriation Special Account</w:t>
            </w:r>
          </w:p>
        </w:tc>
        <w:tc>
          <w:tcPr>
            <w:tcW w:w="578" w:type="pct"/>
            <w:gridSpan w:val="2"/>
            <w:tcBorders>
              <w:top w:val="nil"/>
              <w:left w:val="nil"/>
              <w:bottom w:val="nil"/>
              <w:right w:val="nil"/>
            </w:tcBorders>
            <w:shd w:val="clear" w:color="auto" w:fill="auto"/>
            <w:noWrap/>
            <w:vAlign w:val="bottom"/>
            <w:hideMark/>
          </w:tcPr>
          <w:p w14:paraId="3E2478AB" w14:textId="16DF4CA2"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394</w:t>
            </w:r>
          </w:p>
        </w:tc>
        <w:tc>
          <w:tcPr>
            <w:tcW w:w="520" w:type="pct"/>
            <w:tcBorders>
              <w:top w:val="nil"/>
              <w:left w:val="nil"/>
              <w:bottom w:val="nil"/>
              <w:right w:val="nil"/>
            </w:tcBorders>
            <w:shd w:val="clear" w:color="auto" w:fill="E6E6E6"/>
            <w:noWrap/>
            <w:vAlign w:val="bottom"/>
            <w:hideMark/>
          </w:tcPr>
          <w:p w14:paraId="18360AEB" w14:textId="0F8BAA56"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1,860</w:t>
            </w:r>
          </w:p>
        </w:tc>
        <w:tc>
          <w:tcPr>
            <w:tcW w:w="521" w:type="pct"/>
            <w:gridSpan w:val="2"/>
            <w:tcBorders>
              <w:top w:val="nil"/>
              <w:left w:val="nil"/>
              <w:bottom w:val="nil"/>
              <w:right w:val="nil"/>
            </w:tcBorders>
            <w:shd w:val="clear" w:color="auto" w:fill="auto"/>
            <w:noWrap/>
            <w:vAlign w:val="bottom"/>
            <w:hideMark/>
          </w:tcPr>
          <w:p w14:paraId="6C4DA831" w14:textId="7C1263A7"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706</w:t>
            </w:r>
          </w:p>
        </w:tc>
        <w:tc>
          <w:tcPr>
            <w:tcW w:w="522" w:type="pct"/>
            <w:gridSpan w:val="2"/>
            <w:tcBorders>
              <w:top w:val="nil"/>
              <w:left w:val="nil"/>
              <w:bottom w:val="nil"/>
              <w:right w:val="nil"/>
            </w:tcBorders>
            <w:shd w:val="clear" w:color="auto" w:fill="auto"/>
            <w:noWrap/>
            <w:vAlign w:val="bottom"/>
            <w:hideMark/>
          </w:tcPr>
          <w:p w14:paraId="7A3A634C" w14:textId="688609A2"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706</w:t>
            </w:r>
          </w:p>
        </w:tc>
        <w:tc>
          <w:tcPr>
            <w:tcW w:w="521" w:type="pct"/>
            <w:gridSpan w:val="2"/>
            <w:tcBorders>
              <w:top w:val="nil"/>
              <w:left w:val="nil"/>
              <w:bottom w:val="nil"/>
              <w:right w:val="nil"/>
            </w:tcBorders>
            <w:shd w:val="clear" w:color="auto" w:fill="auto"/>
            <w:noWrap/>
            <w:vAlign w:val="bottom"/>
            <w:hideMark/>
          </w:tcPr>
          <w:p w14:paraId="2D00526C" w14:textId="792C7160"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706</w:t>
            </w:r>
          </w:p>
        </w:tc>
      </w:tr>
      <w:tr w:rsidR="00662504" w:rsidRPr="00C13A37" w14:paraId="260F3562"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008BF64F" w14:textId="77777777" w:rsidR="00662504" w:rsidRPr="00766B32" w:rsidRDefault="00662504" w:rsidP="00662504">
            <w:pPr>
              <w:spacing w:after="0" w:line="240" w:lineRule="auto"/>
              <w:ind w:left="227"/>
              <w:rPr>
                <w:rFonts w:ascii="Arial" w:hAnsi="Arial" w:cs="Arial"/>
                <w:sz w:val="16"/>
                <w:szCs w:val="16"/>
              </w:rPr>
            </w:pPr>
            <w:r w:rsidRPr="00766B32">
              <w:rPr>
                <w:rFonts w:ascii="Arial" w:hAnsi="Arial" w:cs="Arial"/>
                <w:sz w:val="16"/>
                <w:szCs w:val="16"/>
              </w:rPr>
              <w:t xml:space="preserve">Services for Other Entities and Trust Money Special Account </w:t>
            </w:r>
            <w:r w:rsidRPr="00766B32">
              <w:rPr>
                <w:rFonts w:ascii="Arial" w:hAnsi="Arial" w:cs="Arial"/>
                <w:sz w:val="16"/>
                <w:szCs w:val="16"/>
                <w:vertAlign w:val="superscript"/>
              </w:rPr>
              <w:t>(d)</w:t>
            </w:r>
          </w:p>
        </w:tc>
        <w:tc>
          <w:tcPr>
            <w:tcW w:w="578" w:type="pct"/>
            <w:gridSpan w:val="2"/>
            <w:tcBorders>
              <w:top w:val="nil"/>
              <w:left w:val="nil"/>
              <w:bottom w:val="nil"/>
              <w:right w:val="nil"/>
            </w:tcBorders>
            <w:shd w:val="clear" w:color="auto" w:fill="auto"/>
            <w:noWrap/>
            <w:vAlign w:val="bottom"/>
            <w:hideMark/>
          </w:tcPr>
          <w:p w14:paraId="1474D4D9" w14:textId="390674CC"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1,085</w:t>
            </w:r>
          </w:p>
        </w:tc>
        <w:tc>
          <w:tcPr>
            <w:tcW w:w="520" w:type="pct"/>
            <w:tcBorders>
              <w:top w:val="nil"/>
              <w:left w:val="nil"/>
              <w:bottom w:val="nil"/>
              <w:right w:val="nil"/>
            </w:tcBorders>
            <w:shd w:val="clear" w:color="auto" w:fill="E6E6E6"/>
            <w:noWrap/>
            <w:vAlign w:val="bottom"/>
            <w:hideMark/>
          </w:tcPr>
          <w:p w14:paraId="611647C2" w14:textId="47BB98F1"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181</w:t>
            </w:r>
          </w:p>
        </w:tc>
        <w:tc>
          <w:tcPr>
            <w:tcW w:w="521" w:type="pct"/>
            <w:gridSpan w:val="2"/>
            <w:tcBorders>
              <w:top w:val="nil"/>
              <w:left w:val="nil"/>
              <w:bottom w:val="nil"/>
              <w:right w:val="nil"/>
            </w:tcBorders>
            <w:shd w:val="clear" w:color="auto" w:fill="auto"/>
            <w:noWrap/>
            <w:vAlign w:val="bottom"/>
            <w:hideMark/>
          </w:tcPr>
          <w:p w14:paraId="2ECBC21B" w14:textId="02E71F6F"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394</w:t>
            </w:r>
          </w:p>
        </w:tc>
        <w:tc>
          <w:tcPr>
            <w:tcW w:w="522" w:type="pct"/>
            <w:gridSpan w:val="2"/>
            <w:tcBorders>
              <w:top w:val="nil"/>
              <w:left w:val="nil"/>
              <w:bottom w:val="nil"/>
              <w:right w:val="nil"/>
            </w:tcBorders>
            <w:shd w:val="clear" w:color="auto" w:fill="auto"/>
            <w:noWrap/>
            <w:vAlign w:val="bottom"/>
            <w:hideMark/>
          </w:tcPr>
          <w:p w14:paraId="59E25D79" w14:textId="77AD9C8B"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392</w:t>
            </w:r>
          </w:p>
        </w:tc>
        <w:tc>
          <w:tcPr>
            <w:tcW w:w="521" w:type="pct"/>
            <w:gridSpan w:val="2"/>
            <w:tcBorders>
              <w:top w:val="nil"/>
              <w:left w:val="nil"/>
              <w:bottom w:val="nil"/>
              <w:right w:val="nil"/>
            </w:tcBorders>
            <w:shd w:val="clear" w:color="auto" w:fill="auto"/>
            <w:noWrap/>
            <w:vAlign w:val="bottom"/>
            <w:hideMark/>
          </w:tcPr>
          <w:p w14:paraId="5C28D8BA" w14:textId="5A5B7BAE"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392</w:t>
            </w:r>
          </w:p>
        </w:tc>
      </w:tr>
      <w:tr w:rsidR="00662504" w:rsidRPr="00C13A37" w14:paraId="392D6F18" w14:textId="77777777" w:rsidTr="005334F2">
        <w:trPr>
          <w:gridAfter w:val="1"/>
          <w:wAfter w:w="21" w:type="pct"/>
          <w:trHeight w:val="204"/>
        </w:trPr>
        <w:tc>
          <w:tcPr>
            <w:tcW w:w="2317" w:type="pct"/>
            <w:gridSpan w:val="2"/>
            <w:tcBorders>
              <w:top w:val="nil"/>
              <w:left w:val="nil"/>
              <w:bottom w:val="nil"/>
              <w:right w:val="nil"/>
            </w:tcBorders>
            <w:shd w:val="clear" w:color="auto" w:fill="auto"/>
            <w:vAlign w:val="bottom"/>
            <w:hideMark/>
          </w:tcPr>
          <w:p w14:paraId="307FB3F7" w14:textId="77777777" w:rsidR="00662504" w:rsidRPr="00766B32" w:rsidRDefault="00662504" w:rsidP="00662504">
            <w:pPr>
              <w:spacing w:after="0" w:line="240" w:lineRule="auto"/>
              <w:ind w:left="113"/>
              <w:rPr>
                <w:rFonts w:ascii="Arial" w:hAnsi="Arial" w:cs="Arial"/>
                <w:sz w:val="16"/>
                <w:szCs w:val="16"/>
              </w:rPr>
            </w:pPr>
            <w:r w:rsidRPr="00766B32">
              <w:rPr>
                <w:rFonts w:ascii="Arial" w:hAnsi="Arial" w:cs="Arial"/>
                <w:sz w:val="16"/>
                <w:szCs w:val="16"/>
              </w:rPr>
              <w:t xml:space="preserve">Expenses not requiring appropriation in the Budget year </w:t>
            </w:r>
            <w:r w:rsidRPr="002656D3">
              <w:rPr>
                <w:rFonts w:ascii="Arial" w:hAnsi="Arial" w:cs="Arial"/>
                <w:sz w:val="16"/>
                <w:szCs w:val="16"/>
                <w:vertAlign w:val="superscript"/>
              </w:rPr>
              <w:t>(e)</w:t>
            </w:r>
          </w:p>
        </w:tc>
        <w:tc>
          <w:tcPr>
            <w:tcW w:w="578" w:type="pct"/>
            <w:gridSpan w:val="2"/>
            <w:tcBorders>
              <w:top w:val="nil"/>
              <w:left w:val="nil"/>
              <w:bottom w:val="nil"/>
              <w:right w:val="nil"/>
            </w:tcBorders>
            <w:shd w:val="clear" w:color="auto" w:fill="auto"/>
            <w:noWrap/>
            <w:vAlign w:val="bottom"/>
            <w:hideMark/>
          </w:tcPr>
          <w:p w14:paraId="2E27C986" w14:textId="02A4A472"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2,202</w:t>
            </w:r>
          </w:p>
        </w:tc>
        <w:tc>
          <w:tcPr>
            <w:tcW w:w="520" w:type="pct"/>
            <w:tcBorders>
              <w:top w:val="nil"/>
              <w:left w:val="nil"/>
              <w:bottom w:val="nil"/>
              <w:right w:val="nil"/>
            </w:tcBorders>
            <w:shd w:val="clear" w:color="auto" w:fill="E6E6E6"/>
            <w:noWrap/>
            <w:vAlign w:val="bottom"/>
            <w:hideMark/>
          </w:tcPr>
          <w:p w14:paraId="476AD566" w14:textId="014561EA"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395</w:t>
            </w:r>
          </w:p>
        </w:tc>
        <w:tc>
          <w:tcPr>
            <w:tcW w:w="521" w:type="pct"/>
            <w:gridSpan w:val="2"/>
            <w:tcBorders>
              <w:top w:val="nil"/>
              <w:left w:val="nil"/>
              <w:bottom w:val="nil"/>
              <w:right w:val="nil"/>
            </w:tcBorders>
            <w:shd w:val="clear" w:color="auto" w:fill="auto"/>
            <w:noWrap/>
            <w:vAlign w:val="bottom"/>
            <w:hideMark/>
          </w:tcPr>
          <w:p w14:paraId="68897AFA" w14:textId="5DC9FFD6"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393</w:t>
            </w:r>
          </w:p>
        </w:tc>
        <w:tc>
          <w:tcPr>
            <w:tcW w:w="522" w:type="pct"/>
            <w:gridSpan w:val="2"/>
            <w:tcBorders>
              <w:top w:val="nil"/>
              <w:left w:val="nil"/>
              <w:bottom w:val="nil"/>
              <w:right w:val="nil"/>
            </w:tcBorders>
            <w:shd w:val="clear" w:color="auto" w:fill="auto"/>
            <w:noWrap/>
            <w:vAlign w:val="bottom"/>
            <w:hideMark/>
          </w:tcPr>
          <w:p w14:paraId="7D3FA940" w14:textId="29689D90"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393</w:t>
            </w:r>
          </w:p>
        </w:tc>
        <w:tc>
          <w:tcPr>
            <w:tcW w:w="521" w:type="pct"/>
            <w:gridSpan w:val="2"/>
            <w:tcBorders>
              <w:top w:val="nil"/>
              <w:left w:val="nil"/>
              <w:bottom w:val="nil"/>
              <w:right w:val="nil"/>
            </w:tcBorders>
            <w:shd w:val="clear" w:color="auto" w:fill="auto"/>
            <w:noWrap/>
            <w:vAlign w:val="bottom"/>
            <w:hideMark/>
          </w:tcPr>
          <w:p w14:paraId="0E4CF3B0" w14:textId="2D716878" w:rsidR="00662504" w:rsidRPr="00766B32" w:rsidRDefault="00662504" w:rsidP="00662504">
            <w:pPr>
              <w:spacing w:after="0" w:line="240" w:lineRule="auto"/>
              <w:jc w:val="right"/>
              <w:rPr>
                <w:rFonts w:ascii="Arial" w:hAnsi="Arial" w:cs="Arial"/>
                <w:sz w:val="16"/>
                <w:szCs w:val="16"/>
              </w:rPr>
            </w:pPr>
            <w:r>
              <w:rPr>
                <w:rFonts w:ascii="Arial" w:hAnsi="Arial" w:cs="Arial"/>
                <w:sz w:val="16"/>
                <w:szCs w:val="16"/>
              </w:rPr>
              <w:t>393</w:t>
            </w:r>
          </w:p>
        </w:tc>
      </w:tr>
      <w:tr w:rsidR="00662504" w:rsidRPr="00C13A37" w14:paraId="13BC26C5" w14:textId="77777777" w:rsidTr="005334F2">
        <w:trPr>
          <w:gridAfter w:val="1"/>
          <w:wAfter w:w="21" w:type="pct"/>
          <w:trHeight w:val="204"/>
        </w:trPr>
        <w:tc>
          <w:tcPr>
            <w:tcW w:w="2317" w:type="pct"/>
            <w:gridSpan w:val="2"/>
            <w:tcBorders>
              <w:top w:val="nil"/>
              <w:left w:val="nil"/>
              <w:bottom w:val="single" w:sz="4" w:space="0" w:color="auto"/>
              <w:right w:val="nil"/>
            </w:tcBorders>
            <w:shd w:val="clear" w:color="auto" w:fill="auto"/>
            <w:noWrap/>
            <w:vAlign w:val="bottom"/>
            <w:hideMark/>
          </w:tcPr>
          <w:p w14:paraId="1F0BC27D" w14:textId="77777777" w:rsidR="00662504" w:rsidRPr="00766B32" w:rsidRDefault="00662504" w:rsidP="00662504">
            <w:pPr>
              <w:spacing w:after="0" w:line="240" w:lineRule="auto"/>
              <w:rPr>
                <w:rFonts w:ascii="Arial" w:hAnsi="Arial" w:cs="Arial"/>
                <w:b/>
                <w:bCs/>
                <w:sz w:val="16"/>
                <w:szCs w:val="16"/>
              </w:rPr>
            </w:pPr>
            <w:r w:rsidRPr="00766B32">
              <w:rPr>
                <w:rFonts w:ascii="Arial" w:hAnsi="Arial" w:cs="Arial"/>
                <w:b/>
                <w:bCs/>
                <w:sz w:val="16"/>
                <w:szCs w:val="16"/>
              </w:rPr>
              <w:t>Total expenses for Program 6.2</w:t>
            </w:r>
          </w:p>
        </w:tc>
        <w:tc>
          <w:tcPr>
            <w:tcW w:w="578" w:type="pct"/>
            <w:gridSpan w:val="2"/>
            <w:tcBorders>
              <w:top w:val="single" w:sz="4" w:space="0" w:color="auto"/>
              <w:left w:val="nil"/>
              <w:bottom w:val="single" w:sz="4" w:space="0" w:color="auto"/>
              <w:right w:val="nil"/>
            </w:tcBorders>
            <w:shd w:val="clear" w:color="auto" w:fill="auto"/>
            <w:noWrap/>
            <w:vAlign w:val="bottom"/>
            <w:hideMark/>
          </w:tcPr>
          <w:p w14:paraId="2130F5ED" w14:textId="72C17E2F" w:rsidR="00662504" w:rsidRPr="00C13A37" w:rsidRDefault="00662504" w:rsidP="00662504">
            <w:pPr>
              <w:spacing w:after="0" w:line="240" w:lineRule="auto"/>
              <w:jc w:val="right"/>
              <w:rPr>
                <w:rFonts w:ascii="Arial" w:hAnsi="Arial" w:cs="Arial"/>
                <w:b/>
                <w:bCs/>
                <w:sz w:val="16"/>
                <w:szCs w:val="16"/>
              </w:rPr>
            </w:pPr>
            <w:r>
              <w:rPr>
                <w:rFonts w:ascii="Arial" w:hAnsi="Arial" w:cs="Arial"/>
                <w:b/>
                <w:bCs/>
                <w:sz w:val="16"/>
                <w:szCs w:val="16"/>
              </w:rPr>
              <w:t>67,007</w:t>
            </w:r>
          </w:p>
        </w:tc>
        <w:tc>
          <w:tcPr>
            <w:tcW w:w="520" w:type="pct"/>
            <w:tcBorders>
              <w:top w:val="single" w:sz="4" w:space="0" w:color="auto"/>
              <w:left w:val="nil"/>
              <w:bottom w:val="single" w:sz="4" w:space="0" w:color="auto"/>
              <w:right w:val="nil"/>
            </w:tcBorders>
            <w:shd w:val="clear" w:color="auto" w:fill="E6E6E6"/>
            <w:noWrap/>
            <w:vAlign w:val="bottom"/>
            <w:hideMark/>
          </w:tcPr>
          <w:p w14:paraId="6E5747A2" w14:textId="0412D2EE" w:rsidR="00662504" w:rsidRPr="00C13A37" w:rsidRDefault="00662504" w:rsidP="00662504">
            <w:pPr>
              <w:spacing w:after="0" w:line="240" w:lineRule="auto"/>
              <w:jc w:val="right"/>
              <w:rPr>
                <w:rFonts w:ascii="Arial" w:hAnsi="Arial" w:cs="Arial"/>
                <w:b/>
                <w:bCs/>
                <w:sz w:val="16"/>
                <w:szCs w:val="16"/>
              </w:rPr>
            </w:pPr>
            <w:r>
              <w:rPr>
                <w:rFonts w:ascii="Arial" w:hAnsi="Arial" w:cs="Arial"/>
                <w:b/>
                <w:bCs/>
                <w:sz w:val="16"/>
                <w:szCs w:val="16"/>
              </w:rPr>
              <w:t>66,390</w:t>
            </w:r>
          </w:p>
        </w:tc>
        <w:tc>
          <w:tcPr>
            <w:tcW w:w="521" w:type="pct"/>
            <w:gridSpan w:val="2"/>
            <w:tcBorders>
              <w:top w:val="single" w:sz="4" w:space="0" w:color="auto"/>
              <w:left w:val="nil"/>
              <w:bottom w:val="single" w:sz="4" w:space="0" w:color="auto"/>
              <w:right w:val="nil"/>
            </w:tcBorders>
            <w:shd w:val="clear" w:color="auto" w:fill="auto"/>
            <w:noWrap/>
            <w:vAlign w:val="bottom"/>
            <w:hideMark/>
          </w:tcPr>
          <w:p w14:paraId="2563F715" w14:textId="61329FB1" w:rsidR="00662504" w:rsidRPr="00C13A37" w:rsidRDefault="00662504" w:rsidP="00662504">
            <w:pPr>
              <w:spacing w:after="0" w:line="240" w:lineRule="auto"/>
              <w:jc w:val="right"/>
              <w:rPr>
                <w:rFonts w:ascii="Arial" w:hAnsi="Arial" w:cs="Arial"/>
                <w:b/>
                <w:bCs/>
                <w:sz w:val="16"/>
                <w:szCs w:val="16"/>
              </w:rPr>
            </w:pPr>
            <w:r>
              <w:rPr>
                <w:rFonts w:ascii="Arial" w:hAnsi="Arial" w:cs="Arial"/>
                <w:b/>
                <w:bCs/>
                <w:sz w:val="16"/>
                <w:szCs w:val="16"/>
              </w:rPr>
              <w:t>64,474</w:t>
            </w:r>
          </w:p>
        </w:tc>
        <w:tc>
          <w:tcPr>
            <w:tcW w:w="522" w:type="pct"/>
            <w:gridSpan w:val="2"/>
            <w:tcBorders>
              <w:top w:val="single" w:sz="4" w:space="0" w:color="auto"/>
              <w:left w:val="nil"/>
              <w:bottom w:val="single" w:sz="4" w:space="0" w:color="auto"/>
              <w:right w:val="nil"/>
            </w:tcBorders>
            <w:shd w:val="clear" w:color="auto" w:fill="auto"/>
            <w:noWrap/>
            <w:vAlign w:val="bottom"/>
            <w:hideMark/>
          </w:tcPr>
          <w:p w14:paraId="070AA365" w14:textId="6E254215" w:rsidR="00662504" w:rsidRPr="00C13A37" w:rsidRDefault="00662504" w:rsidP="00662504">
            <w:pPr>
              <w:spacing w:after="0" w:line="240" w:lineRule="auto"/>
              <w:jc w:val="right"/>
              <w:rPr>
                <w:rFonts w:ascii="Arial" w:hAnsi="Arial" w:cs="Arial"/>
                <w:b/>
                <w:bCs/>
                <w:sz w:val="16"/>
                <w:szCs w:val="16"/>
              </w:rPr>
            </w:pPr>
            <w:r>
              <w:rPr>
                <w:rFonts w:ascii="Arial" w:hAnsi="Arial" w:cs="Arial"/>
                <w:b/>
                <w:bCs/>
                <w:sz w:val="16"/>
                <w:szCs w:val="16"/>
              </w:rPr>
              <w:t>59,936</w:t>
            </w:r>
          </w:p>
        </w:tc>
        <w:tc>
          <w:tcPr>
            <w:tcW w:w="521" w:type="pct"/>
            <w:gridSpan w:val="2"/>
            <w:tcBorders>
              <w:top w:val="single" w:sz="4" w:space="0" w:color="auto"/>
              <w:left w:val="nil"/>
              <w:bottom w:val="single" w:sz="4" w:space="0" w:color="auto"/>
              <w:right w:val="nil"/>
            </w:tcBorders>
            <w:shd w:val="clear" w:color="auto" w:fill="auto"/>
            <w:noWrap/>
            <w:vAlign w:val="bottom"/>
            <w:hideMark/>
          </w:tcPr>
          <w:p w14:paraId="3E2B0719" w14:textId="26651857" w:rsidR="00662504" w:rsidRPr="00C13A37" w:rsidRDefault="00662504" w:rsidP="00662504">
            <w:pPr>
              <w:spacing w:after="0" w:line="240" w:lineRule="auto"/>
              <w:jc w:val="right"/>
              <w:rPr>
                <w:rFonts w:ascii="Arial" w:hAnsi="Arial" w:cs="Arial"/>
                <w:b/>
                <w:bCs/>
                <w:sz w:val="16"/>
                <w:szCs w:val="16"/>
              </w:rPr>
            </w:pPr>
            <w:r>
              <w:rPr>
                <w:rFonts w:ascii="Arial" w:hAnsi="Arial" w:cs="Arial"/>
                <w:b/>
                <w:bCs/>
                <w:sz w:val="16"/>
                <w:szCs w:val="16"/>
              </w:rPr>
              <w:t>60,062</w:t>
            </w:r>
          </w:p>
        </w:tc>
      </w:tr>
    </w:tbl>
    <w:p w14:paraId="3428217E"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0299B505" w14:textId="77777777" w:rsidR="00115843" w:rsidRPr="00C13A37" w:rsidRDefault="00115843" w:rsidP="00115843">
      <w:pPr>
        <w:spacing w:after="0"/>
        <w:rPr>
          <w:rFonts w:ascii="Arial" w:hAnsi="Arial" w:cs="Arial"/>
          <w:b/>
        </w:rPr>
      </w:pPr>
      <w:r w:rsidRPr="00C13A37">
        <w:rPr>
          <w:rFonts w:ascii="Arial" w:hAnsi="Arial" w:cs="Arial"/>
          <w:b/>
        </w:rPr>
        <w:lastRenderedPageBreak/>
        <w:t>Table 2.6.1: Budgeted expenses for Outcome 6</w:t>
      </w:r>
      <w:r>
        <w:rPr>
          <w:rFonts w:ascii="Arial" w:hAnsi="Arial" w:cs="Arial"/>
          <w:b/>
        </w:rPr>
        <w:t xml:space="preserve"> (continued)</w:t>
      </w:r>
    </w:p>
    <w:tbl>
      <w:tblPr>
        <w:tblW w:w="5000" w:type="pct"/>
        <w:tblLook w:val="04A0" w:firstRow="1" w:lastRow="0" w:firstColumn="1" w:lastColumn="0" w:noHBand="0" w:noVBand="1"/>
      </w:tblPr>
      <w:tblGrid>
        <w:gridCol w:w="3336"/>
        <w:gridCol w:w="928"/>
        <w:gridCol w:w="862"/>
        <w:gridCol w:w="862"/>
        <w:gridCol w:w="862"/>
        <w:gridCol w:w="860"/>
      </w:tblGrid>
      <w:tr w:rsidR="00115843" w:rsidRPr="00C13A37" w14:paraId="5748AF33" w14:textId="77777777" w:rsidTr="005334F2">
        <w:trPr>
          <w:trHeight w:val="204"/>
        </w:trPr>
        <w:tc>
          <w:tcPr>
            <w:tcW w:w="2163" w:type="pct"/>
            <w:tcBorders>
              <w:top w:val="single" w:sz="4" w:space="0" w:color="auto"/>
              <w:left w:val="nil"/>
              <w:bottom w:val="single" w:sz="4" w:space="0" w:color="auto"/>
              <w:right w:val="nil"/>
            </w:tcBorders>
            <w:shd w:val="clear" w:color="auto" w:fill="auto"/>
            <w:vAlign w:val="bottom"/>
            <w:hideMark/>
          </w:tcPr>
          <w:p w14:paraId="5DC236EA" w14:textId="77777777" w:rsidR="00115843" w:rsidRPr="00C13A37" w:rsidRDefault="00115843" w:rsidP="00FB0D02">
            <w:pPr>
              <w:spacing w:after="0" w:line="240" w:lineRule="auto"/>
              <w:rPr>
                <w:rFonts w:ascii="Arial" w:hAnsi="Arial" w:cs="Arial"/>
                <w:sz w:val="16"/>
                <w:szCs w:val="16"/>
              </w:rPr>
            </w:pPr>
            <w:r w:rsidRPr="00C13A37">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EC18E64"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2021-22</w:t>
            </w:r>
            <w:r w:rsidRPr="00C13A37">
              <w:rPr>
                <w:rFonts w:ascii="Arial" w:hAnsi="Arial" w:cs="Arial"/>
                <w:sz w:val="16"/>
                <w:szCs w:val="16"/>
              </w:rPr>
              <w:br/>
              <w:t>Estimated  actual</w:t>
            </w:r>
            <w:r w:rsidRPr="00C13A37">
              <w:rPr>
                <w:rFonts w:ascii="Arial" w:hAnsi="Arial" w:cs="Arial"/>
                <w:sz w:val="16"/>
                <w:szCs w:val="16"/>
              </w:rPr>
              <w:br/>
              <w:t>$</w:t>
            </w:r>
            <w:r>
              <w:rPr>
                <w:rFonts w:ascii="Arial" w:hAnsi="Arial" w:cs="Arial"/>
                <w:sz w:val="16"/>
                <w:szCs w:val="16"/>
              </w:rPr>
              <w:t>’</w:t>
            </w:r>
            <w:r w:rsidRPr="00C13A37">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E6E6E6"/>
            <w:vAlign w:val="bottom"/>
            <w:hideMark/>
          </w:tcPr>
          <w:p w14:paraId="62808BEF"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2022-23</w:t>
            </w:r>
            <w:r w:rsidRPr="00C13A37">
              <w:rPr>
                <w:rFonts w:ascii="Arial" w:hAnsi="Arial" w:cs="Arial"/>
                <w:sz w:val="16"/>
                <w:szCs w:val="16"/>
              </w:rPr>
              <w:br/>
              <w:t xml:space="preserve"> Budget</w:t>
            </w:r>
            <w:r w:rsidRPr="00C13A37">
              <w:rPr>
                <w:rFonts w:ascii="Arial" w:hAnsi="Arial" w:cs="Arial"/>
                <w:sz w:val="16"/>
                <w:szCs w:val="16"/>
              </w:rPr>
              <w:br/>
              <w:t xml:space="preserve">                                      $</w:t>
            </w:r>
            <w:r>
              <w:rPr>
                <w:rFonts w:ascii="Arial" w:hAnsi="Arial" w:cs="Arial"/>
                <w:sz w:val="16"/>
                <w:szCs w:val="16"/>
              </w:rPr>
              <w:t>’</w:t>
            </w:r>
            <w:r w:rsidRPr="00C13A37">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auto"/>
            <w:vAlign w:val="bottom"/>
            <w:hideMark/>
          </w:tcPr>
          <w:p w14:paraId="78854888"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2023-24</w:t>
            </w:r>
            <w:r w:rsidRPr="00C13A37">
              <w:rPr>
                <w:rFonts w:ascii="Arial" w:hAnsi="Arial" w:cs="Arial"/>
                <w:sz w:val="16"/>
                <w:szCs w:val="16"/>
              </w:rPr>
              <w:br/>
              <w:t>Forward estimate</w:t>
            </w:r>
            <w:r w:rsidRPr="00C13A37">
              <w:rPr>
                <w:rFonts w:ascii="Arial" w:hAnsi="Arial" w:cs="Arial"/>
                <w:sz w:val="16"/>
                <w:szCs w:val="16"/>
              </w:rPr>
              <w:br/>
              <w:t>$</w:t>
            </w:r>
            <w:r>
              <w:rPr>
                <w:rFonts w:ascii="Arial" w:hAnsi="Arial" w:cs="Arial"/>
                <w:sz w:val="16"/>
                <w:szCs w:val="16"/>
              </w:rPr>
              <w:t>’</w:t>
            </w:r>
            <w:r w:rsidRPr="00C13A37">
              <w:rPr>
                <w:rFonts w:ascii="Arial" w:hAnsi="Arial" w:cs="Arial"/>
                <w:sz w:val="16"/>
                <w:szCs w:val="16"/>
              </w:rPr>
              <w:t>000</w:t>
            </w:r>
          </w:p>
        </w:tc>
        <w:tc>
          <w:tcPr>
            <w:tcW w:w="559" w:type="pct"/>
            <w:tcBorders>
              <w:top w:val="single" w:sz="4" w:space="0" w:color="auto"/>
              <w:left w:val="nil"/>
              <w:bottom w:val="single" w:sz="4" w:space="0" w:color="auto"/>
              <w:right w:val="nil"/>
            </w:tcBorders>
            <w:shd w:val="clear" w:color="auto" w:fill="auto"/>
            <w:vAlign w:val="bottom"/>
            <w:hideMark/>
          </w:tcPr>
          <w:p w14:paraId="2C3C7B26"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2024-25</w:t>
            </w:r>
            <w:r w:rsidRPr="00C13A37">
              <w:rPr>
                <w:rFonts w:ascii="Arial" w:hAnsi="Arial" w:cs="Arial"/>
                <w:sz w:val="16"/>
                <w:szCs w:val="16"/>
              </w:rPr>
              <w:br/>
              <w:t>Forward estimate</w:t>
            </w:r>
            <w:r w:rsidRPr="00C13A37">
              <w:rPr>
                <w:rFonts w:ascii="Arial" w:hAnsi="Arial" w:cs="Arial"/>
                <w:sz w:val="16"/>
                <w:szCs w:val="16"/>
              </w:rPr>
              <w:br/>
              <w:t>$</w:t>
            </w:r>
            <w:r>
              <w:rPr>
                <w:rFonts w:ascii="Arial" w:hAnsi="Arial" w:cs="Arial"/>
                <w:sz w:val="16"/>
                <w:szCs w:val="16"/>
              </w:rPr>
              <w:t>’</w:t>
            </w:r>
            <w:r w:rsidRPr="00C13A37">
              <w:rPr>
                <w:rFonts w:ascii="Arial" w:hAnsi="Arial" w:cs="Arial"/>
                <w:sz w:val="16"/>
                <w:szCs w:val="16"/>
              </w:rPr>
              <w:t>000</w:t>
            </w:r>
          </w:p>
        </w:tc>
        <w:tc>
          <w:tcPr>
            <w:tcW w:w="558" w:type="pct"/>
            <w:tcBorders>
              <w:top w:val="single" w:sz="4" w:space="0" w:color="auto"/>
              <w:left w:val="nil"/>
              <w:bottom w:val="single" w:sz="4" w:space="0" w:color="auto"/>
              <w:right w:val="nil"/>
            </w:tcBorders>
            <w:shd w:val="clear" w:color="auto" w:fill="auto"/>
            <w:vAlign w:val="bottom"/>
            <w:hideMark/>
          </w:tcPr>
          <w:p w14:paraId="274D3075" w14:textId="77777777" w:rsidR="00115843" w:rsidRPr="00C13A37" w:rsidRDefault="00115843" w:rsidP="00FB0D02">
            <w:pPr>
              <w:spacing w:after="0" w:line="240" w:lineRule="auto"/>
              <w:jc w:val="right"/>
              <w:rPr>
                <w:rFonts w:ascii="Arial" w:hAnsi="Arial" w:cs="Arial"/>
                <w:sz w:val="16"/>
                <w:szCs w:val="16"/>
              </w:rPr>
            </w:pPr>
            <w:r w:rsidRPr="00C13A37">
              <w:rPr>
                <w:rFonts w:ascii="Arial" w:hAnsi="Arial" w:cs="Arial"/>
                <w:sz w:val="16"/>
                <w:szCs w:val="16"/>
              </w:rPr>
              <w:t>2025-26</w:t>
            </w:r>
            <w:r w:rsidRPr="00C13A37">
              <w:rPr>
                <w:rFonts w:ascii="Arial" w:hAnsi="Arial" w:cs="Arial"/>
                <w:sz w:val="16"/>
                <w:szCs w:val="16"/>
              </w:rPr>
              <w:br/>
              <w:t>Forward estimate</w:t>
            </w:r>
            <w:r w:rsidRPr="00C13A37">
              <w:rPr>
                <w:rFonts w:ascii="Arial" w:hAnsi="Arial" w:cs="Arial"/>
                <w:sz w:val="16"/>
                <w:szCs w:val="16"/>
              </w:rPr>
              <w:br/>
              <w:t>$</w:t>
            </w:r>
            <w:r>
              <w:rPr>
                <w:rFonts w:ascii="Arial" w:hAnsi="Arial" w:cs="Arial"/>
                <w:sz w:val="16"/>
                <w:szCs w:val="16"/>
              </w:rPr>
              <w:t>’</w:t>
            </w:r>
            <w:r w:rsidRPr="00C13A37">
              <w:rPr>
                <w:rFonts w:ascii="Arial" w:hAnsi="Arial" w:cs="Arial"/>
                <w:sz w:val="16"/>
                <w:szCs w:val="16"/>
              </w:rPr>
              <w:t>000</w:t>
            </w:r>
          </w:p>
        </w:tc>
      </w:tr>
      <w:tr w:rsidR="00115843" w:rsidRPr="00C13A37" w14:paraId="3C1AC9B1" w14:textId="77777777" w:rsidTr="005334F2">
        <w:trPr>
          <w:trHeight w:val="204"/>
        </w:trPr>
        <w:tc>
          <w:tcPr>
            <w:tcW w:w="2163" w:type="pct"/>
            <w:tcBorders>
              <w:top w:val="nil"/>
              <w:left w:val="nil"/>
              <w:bottom w:val="single" w:sz="4" w:space="0" w:color="auto"/>
              <w:right w:val="nil"/>
            </w:tcBorders>
            <w:shd w:val="clear" w:color="auto" w:fill="E6E6E6"/>
            <w:noWrap/>
            <w:vAlign w:val="bottom"/>
            <w:hideMark/>
          </w:tcPr>
          <w:p w14:paraId="1A76284C" w14:textId="77777777" w:rsidR="00115843" w:rsidRPr="00C13A37" w:rsidRDefault="00115843" w:rsidP="00FB0D02">
            <w:pPr>
              <w:spacing w:after="0" w:line="240" w:lineRule="auto"/>
              <w:rPr>
                <w:rFonts w:ascii="Arial" w:hAnsi="Arial" w:cs="Arial"/>
                <w:b/>
                <w:bCs/>
                <w:sz w:val="16"/>
                <w:szCs w:val="16"/>
              </w:rPr>
            </w:pPr>
            <w:r w:rsidRPr="00C13A37">
              <w:rPr>
                <w:rFonts w:ascii="Arial" w:hAnsi="Arial" w:cs="Arial"/>
                <w:b/>
                <w:bCs/>
                <w:sz w:val="16"/>
                <w:szCs w:val="16"/>
              </w:rPr>
              <w:t>Outcome 6 Totals by appropriation type</w:t>
            </w:r>
          </w:p>
        </w:tc>
        <w:tc>
          <w:tcPr>
            <w:tcW w:w="602" w:type="pct"/>
            <w:tcBorders>
              <w:top w:val="nil"/>
              <w:left w:val="nil"/>
              <w:bottom w:val="single" w:sz="4" w:space="0" w:color="auto"/>
              <w:right w:val="nil"/>
            </w:tcBorders>
            <w:shd w:val="clear" w:color="auto" w:fill="E6E6E6"/>
            <w:noWrap/>
            <w:vAlign w:val="bottom"/>
            <w:hideMark/>
          </w:tcPr>
          <w:p w14:paraId="41F4AD3F" w14:textId="77777777" w:rsidR="00115843" w:rsidRPr="00C13A37" w:rsidRDefault="00115843" w:rsidP="00FB0D02">
            <w:pPr>
              <w:spacing w:after="0" w:line="240" w:lineRule="auto"/>
              <w:jc w:val="right"/>
              <w:rPr>
                <w:rFonts w:ascii="Arial" w:hAnsi="Arial" w:cs="Arial"/>
                <w:sz w:val="16"/>
                <w:szCs w:val="16"/>
              </w:rPr>
            </w:pPr>
          </w:p>
        </w:tc>
        <w:tc>
          <w:tcPr>
            <w:tcW w:w="559" w:type="pct"/>
            <w:tcBorders>
              <w:top w:val="nil"/>
              <w:left w:val="nil"/>
              <w:bottom w:val="single" w:sz="4" w:space="0" w:color="auto"/>
              <w:right w:val="nil"/>
            </w:tcBorders>
            <w:shd w:val="clear" w:color="auto" w:fill="E6E6E6"/>
            <w:noWrap/>
            <w:vAlign w:val="bottom"/>
            <w:hideMark/>
          </w:tcPr>
          <w:p w14:paraId="62A72838" w14:textId="77777777" w:rsidR="00115843" w:rsidRPr="00C13A37" w:rsidRDefault="00115843" w:rsidP="00FB0D02">
            <w:pPr>
              <w:spacing w:after="0" w:line="240" w:lineRule="auto"/>
              <w:jc w:val="right"/>
              <w:rPr>
                <w:rFonts w:ascii="Arial" w:hAnsi="Arial" w:cs="Arial"/>
                <w:sz w:val="16"/>
                <w:szCs w:val="16"/>
              </w:rPr>
            </w:pPr>
          </w:p>
        </w:tc>
        <w:tc>
          <w:tcPr>
            <w:tcW w:w="559" w:type="pct"/>
            <w:tcBorders>
              <w:top w:val="nil"/>
              <w:left w:val="nil"/>
              <w:bottom w:val="single" w:sz="4" w:space="0" w:color="auto"/>
              <w:right w:val="nil"/>
            </w:tcBorders>
            <w:shd w:val="clear" w:color="auto" w:fill="E6E6E6"/>
            <w:noWrap/>
            <w:vAlign w:val="bottom"/>
            <w:hideMark/>
          </w:tcPr>
          <w:p w14:paraId="41BEE07C" w14:textId="77777777" w:rsidR="00115843" w:rsidRPr="00C13A37" w:rsidRDefault="00115843" w:rsidP="00FB0D02">
            <w:pPr>
              <w:spacing w:after="0" w:line="240" w:lineRule="auto"/>
              <w:jc w:val="right"/>
              <w:rPr>
                <w:rFonts w:ascii="Arial" w:hAnsi="Arial" w:cs="Arial"/>
                <w:sz w:val="16"/>
                <w:szCs w:val="16"/>
              </w:rPr>
            </w:pPr>
          </w:p>
        </w:tc>
        <w:tc>
          <w:tcPr>
            <w:tcW w:w="559" w:type="pct"/>
            <w:tcBorders>
              <w:top w:val="nil"/>
              <w:left w:val="nil"/>
              <w:bottom w:val="single" w:sz="4" w:space="0" w:color="auto"/>
              <w:right w:val="nil"/>
            </w:tcBorders>
            <w:shd w:val="clear" w:color="auto" w:fill="E6E6E6"/>
            <w:noWrap/>
            <w:vAlign w:val="bottom"/>
            <w:hideMark/>
          </w:tcPr>
          <w:p w14:paraId="52B6BD5A" w14:textId="77777777" w:rsidR="00115843" w:rsidRPr="00C13A37" w:rsidRDefault="00115843" w:rsidP="00FB0D02">
            <w:pPr>
              <w:spacing w:after="0" w:line="240" w:lineRule="auto"/>
              <w:jc w:val="right"/>
              <w:rPr>
                <w:rFonts w:ascii="Arial" w:hAnsi="Arial" w:cs="Arial"/>
                <w:sz w:val="16"/>
                <w:szCs w:val="16"/>
              </w:rPr>
            </w:pPr>
          </w:p>
        </w:tc>
        <w:tc>
          <w:tcPr>
            <w:tcW w:w="558" w:type="pct"/>
            <w:tcBorders>
              <w:top w:val="nil"/>
              <w:left w:val="nil"/>
              <w:bottom w:val="single" w:sz="4" w:space="0" w:color="auto"/>
              <w:right w:val="nil"/>
            </w:tcBorders>
            <w:shd w:val="clear" w:color="auto" w:fill="E6E6E6"/>
            <w:noWrap/>
            <w:vAlign w:val="bottom"/>
            <w:hideMark/>
          </w:tcPr>
          <w:p w14:paraId="478B0A66" w14:textId="77777777" w:rsidR="00115843" w:rsidRPr="00C13A37" w:rsidRDefault="00115843" w:rsidP="00FB0D02">
            <w:pPr>
              <w:spacing w:after="0" w:line="240" w:lineRule="auto"/>
              <w:jc w:val="right"/>
              <w:rPr>
                <w:rFonts w:ascii="Arial" w:hAnsi="Arial" w:cs="Arial"/>
                <w:sz w:val="16"/>
                <w:szCs w:val="16"/>
              </w:rPr>
            </w:pPr>
          </w:p>
        </w:tc>
      </w:tr>
      <w:tr w:rsidR="00115843" w:rsidRPr="00C13A37" w14:paraId="6E503A44" w14:textId="77777777" w:rsidTr="005334F2">
        <w:trPr>
          <w:trHeight w:val="204"/>
        </w:trPr>
        <w:tc>
          <w:tcPr>
            <w:tcW w:w="2163" w:type="pct"/>
            <w:tcBorders>
              <w:top w:val="nil"/>
              <w:left w:val="nil"/>
              <w:bottom w:val="nil"/>
              <w:right w:val="nil"/>
            </w:tcBorders>
            <w:shd w:val="clear" w:color="auto" w:fill="auto"/>
            <w:noWrap/>
            <w:vAlign w:val="bottom"/>
            <w:hideMark/>
          </w:tcPr>
          <w:p w14:paraId="6AB84E96" w14:textId="77777777" w:rsidR="00115843" w:rsidRPr="00C13A37" w:rsidRDefault="00115843" w:rsidP="00FB0D02">
            <w:pPr>
              <w:spacing w:after="0" w:line="240" w:lineRule="auto"/>
              <w:rPr>
                <w:rFonts w:ascii="Arial" w:hAnsi="Arial" w:cs="Arial"/>
                <w:sz w:val="16"/>
                <w:szCs w:val="16"/>
              </w:rPr>
            </w:pPr>
            <w:r w:rsidRPr="00C13A37">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3BABAEAD" w14:textId="77777777" w:rsidR="00115843" w:rsidRPr="00C13A37" w:rsidRDefault="00115843" w:rsidP="00FB0D02">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E6E6E6"/>
            <w:noWrap/>
            <w:vAlign w:val="bottom"/>
            <w:hideMark/>
          </w:tcPr>
          <w:p w14:paraId="4459090D" w14:textId="77777777" w:rsidR="00115843" w:rsidRPr="00C13A37" w:rsidRDefault="00115843" w:rsidP="00FB0D02">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26BD0846" w14:textId="77777777" w:rsidR="00115843" w:rsidRPr="00C13A37" w:rsidRDefault="00115843" w:rsidP="00FB0D02">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3CF32305" w14:textId="77777777" w:rsidR="00115843" w:rsidRPr="00C13A37" w:rsidRDefault="00115843" w:rsidP="00FB0D02">
            <w:pPr>
              <w:spacing w:after="0" w:line="240" w:lineRule="auto"/>
              <w:jc w:val="right"/>
              <w:rPr>
                <w:rFonts w:ascii="Arial" w:hAnsi="Arial" w:cs="Arial"/>
                <w:b/>
                <w:bCs/>
                <w:sz w:val="16"/>
                <w:szCs w:val="16"/>
              </w:rPr>
            </w:pPr>
          </w:p>
        </w:tc>
        <w:tc>
          <w:tcPr>
            <w:tcW w:w="558" w:type="pct"/>
            <w:tcBorders>
              <w:top w:val="nil"/>
              <w:left w:val="nil"/>
              <w:bottom w:val="nil"/>
              <w:right w:val="nil"/>
            </w:tcBorders>
            <w:shd w:val="clear" w:color="auto" w:fill="auto"/>
            <w:noWrap/>
            <w:vAlign w:val="bottom"/>
            <w:hideMark/>
          </w:tcPr>
          <w:p w14:paraId="56935C7E" w14:textId="77777777" w:rsidR="00115843" w:rsidRPr="00C13A37" w:rsidRDefault="00115843" w:rsidP="00FB0D02">
            <w:pPr>
              <w:spacing w:after="0" w:line="240" w:lineRule="auto"/>
              <w:jc w:val="right"/>
              <w:rPr>
                <w:rFonts w:ascii="Arial" w:hAnsi="Arial" w:cs="Arial"/>
                <w:b/>
                <w:bCs/>
                <w:sz w:val="16"/>
                <w:szCs w:val="16"/>
              </w:rPr>
            </w:pPr>
          </w:p>
        </w:tc>
      </w:tr>
      <w:tr w:rsidR="009D1FE5" w:rsidRPr="00C13A37" w14:paraId="48F79E51" w14:textId="77777777" w:rsidTr="005334F2">
        <w:trPr>
          <w:trHeight w:val="204"/>
        </w:trPr>
        <w:tc>
          <w:tcPr>
            <w:tcW w:w="2163" w:type="pct"/>
            <w:tcBorders>
              <w:top w:val="nil"/>
              <w:left w:val="nil"/>
              <w:bottom w:val="nil"/>
              <w:right w:val="nil"/>
            </w:tcBorders>
            <w:shd w:val="clear" w:color="auto" w:fill="auto"/>
            <w:vAlign w:val="bottom"/>
            <w:hideMark/>
          </w:tcPr>
          <w:p w14:paraId="16D84382"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Ordinary Annual Services (Appropriation Act No. 1 and Bill No. 3)</w:t>
            </w:r>
          </w:p>
        </w:tc>
        <w:tc>
          <w:tcPr>
            <w:tcW w:w="602" w:type="pct"/>
            <w:tcBorders>
              <w:top w:val="nil"/>
              <w:left w:val="nil"/>
              <w:bottom w:val="nil"/>
              <w:right w:val="nil"/>
            </w:tcBorders>
            <w:shd w:val="clear" w:color="auto" w:fill="auto"/>
            <w:noWrap/>
            <w:vAlign w:val="bottom"/>
            <w:hideMark/>
          </w:tcPr>
          <w:p w14:paraId="01A28EFF" w14:textId="5D7165A1"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479,011</w:t>
            </w:r>
          </w:p>
        </w:tc>
        <w:tc>
          <w:tcPr>
            <w:tcW w:w="559" w:type="pct"/>
            <w:tcBorders>
              <w:top w:val="nil"/>
              <w:left w:val="nil"/>
              <w:bottom w:val="nil"/>
              <w:right w:val="nil"/>
            </w:tcBorders>
            <w:shd w:val="clear" w:color="auto" w:fill="E6E6E6"/>
            <w:noWrap/>
            <w:vAlign w:val="bottom"/>
            <w:hideMark/>
          </w:tcPr>
          <w:p w14:paraId="54548C06" w14:textId="6254AF12"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346,850</w:t>
            </w:r>
          </w:p>
        </w:tc>
        <w:tc>
          <w:tcPr>
            <w:tcW w:w="559" w:type="pct"/>
            <w:tcBorders>
              <w:top w:val="nil"/>
              <w:left w:val="nil"/>
              <w:bottom w:val="nil"/>
              <w:right w:val="nil"/>
            </w:tcBorders>
            <w:shd w:val="clear" w:color="auto" w:fill="auto"/>
            <w:noWrap/>
            <w:vAlign w:val="bottom"/>
            <w:hideMark/>
          </w:tcPr>
          <w:p w14:paraId="4A8CB5A5" w14:textId="65CD40B8"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285,810</w:t>
            </w:r>
          </w:p>
        </w:tc>
        <w:tc>
          <w:tcPr>
            <w:tcW w:w="559" w:type="pct"/>
            <w:tcBorders>
              <w:top w:val="nil"/>
              <w:left w:val="nil"/>
              <w:bottom w:val="nil"/>
              <w:right w:val="nil"/>
            </w:tcBorders>
            <w:shd w:val="clear" w:color="auto" w:fill="auto"/>
            <w:noWrap/>
            <w:vAlign w:val="bottom"/>
            <w:hideMark/>
          </w:tcPr>
          <w:p w14:paraId="13215CBA" w14:textId="0E38C45D"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281,675</w:t>
            </w:r>
          </w:p>
        </w:tc>
        <w:tc>
          <w:tcPr>
            <w:tcW w:w="558" w:type="pct"/>
            <w:tcBorders>
              <w:top w:val="nil"/>
              <w:left w:val="nil"/>
              <w:bottom w:val="nil"/>
              <w:right w:val="nil"/>
            </w:tcBorders>
            <w:shd w:val="clear" w:color="auto" w:fill="auto"/>
            <w:noWrap/>
            <w:vAlign w:val="bottom"/>
            <w:hideMark/>
          </w:tcPr>
          <w:p w14:paraId="01EF00A0" w14:textId="32D1DE61"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284,197</w:t>
            </w:r>
          </w:p>
        </w:tc>
      </w:tr>
      <w:tr w:rsidR="009D1FE5" w:rsidRPr="00C13A37" w14:paraId="1A8534C9" w14:textId="77777777" w:rsidTr="005334F2">
        <w:trPr>
          <w:trHeight w:val="204"/>
        </w:trPr>
        <w:tc>
          <w:tcPr>
            <w:tcW w:w="2163" w:type="pct"/>
            <w:tcBorders>
              <w:top w:val="nil"/>
              <w:left w:val="nil"/>
              <w:bottom w:val="nil"/>
              <w:right w:val="nil"/>
            </w:tcBorders>
            <w:shd w:val="clear" w:color="auto" w:fill="auto"/>
            <w:vAlign w:val="bottom"/>
            <w:hideMark/>
          </w:tcPr>
          <w:p w14:paraId="5E815900"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23404219" w14:textId="384D0ABA"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9" w:type="pct"/>
            <w:tcBorders>
              <w:top w:val="nil"/>
              <w:left w:val="nil"/>
              <w:bottom w:val="nil"/>
              <w:right w:val="nil"/>
            </w:tcBorders>
            <w:shd w:val="clear" w:color="auto" w:fill="E6E6E6"/>
            <w:noWrap/>
            <w:vAlign w:val="bottom"/>
            <w:hideMark/>
          </w:tcPr>
          <w:p w14:paraId="73347E8A" w14:textId="7EA15317"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9" w:type="pct"/>
            <w:tcBorders>
              <w:top w:val="nil"/>
              <w:left w:val="nil"/>
              <w:bottom w:val="nil"/>
              <w:right w:val="nil"/>
            </w:tcBorders>
            <w:shd w:val="clear" w:color="auto" w:fill="auto"/>
            <w:noWrap/>
            <w:vAlign w:val="bottom"/>
            <w:hideMark/>
          </w:tcPr>
          <w:p w14:paraId="3FE75C95" w14:textId="0DFD8B2D"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9" w:type="pct"/>
            <w:tcBorders>
              <w:top w:val="nil"/>
              <w:left w:val="nil"/>
              <w:bottom w:val="nil"/>
              <w:right w:val="nil"/>
            </w:tcBorders>
            <w:shd w:val="clear" w:color="auto" w:fill="auto"/>
            <w:noWrap/>
            <w:vAlign w:val="bottom"/>
            <w:hideMark/>
          </w:tcPr>
          <w:p w14:paraId="29D7A210" w14:textId="52D0ED87"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8" w:type="pct"/>
            <w:tcBorders>
              <w:top w:val="nil"/>
              <w:left w:val="nil"/>
              <w:bottom w:val="nil"/>
              <w:right w:val="nil"/>
            </w:tcBorders>
            <w:shd w:val="clear" w:color="auto" w:fill="auto"/>
            <w:noWrap/>
            <w:vAlign w:val="bottom"/>
            <w:hideMark/>
          </w:tcPr>
          <w:p w14:paraId="507102CC" w14:textId="34352604"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500</w:t>
            </w:r>
          </w:p>
        </w:tc>
      </w:tr>
      <w:tr w:rsidR="009D1FE5" w:rsidRPr="00C13A37" w14:paraId="04B9143D" w14:textId="77777777" w:rsidTr="005334F2">
        <w:trPr>
          <w:trHeight w:val="204"/>
        </w:trPr>
        <w:tc>
          <w:tcPr>
            <w:tcW w:w="2163" w:type="pct"/>
            <w:tcBorders>
              <w:top w:val="nil"/>
              <w:left w:val="nil"/>
              <w:bottom w:val="nil"/>
              <w:right w:val="nil"/>
            </w:tcBorders>
            <w:shd w:val="clear" w:color="auto" w:fill="auto"/>
            <w:vAlign w:val="bottom"/>
            <w:hideMark/>
          </w:tcPr>
          <w:p w14:paraId="0346D359"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 xml:space="preserve">Payments to corporate entities </w:t>
            </w:r>
            <w:r w:rsidRPr="00C13A3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F26A604" w14:textId="7600365A"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495,092</w:t>
            </w:r>
          </w:p>
        </w:tc>
        <w:tc>
          <w:tcPr>
            <w:tcW w:w="559" w:type="pct"/>
            <w:tcBorders>
              <w:top w:val="nil"/>
              <w:left w:val="nil"/>
              <w:bottom w:val="nil"/>
              <w:right w:val="nil"/>
            </w:tcBorders>
            <w:shd w:val="clear" w:color="auto" w:fill="E6E6E6"/>
            <w:noWrap/>
            <w:vAlign w:val="bottom"/>
            <w:hideMark/>
          </w:tcPr>
          <w:p w14:paraId="18BBD980" w14:textId="0131FECE"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512,612</w:t>
            </w:r>
          </w:p>
        </w:tc>
        <w:tc>
          <w:tcPr>
            <w:tcW w:w="559" w:type="pct"/>
            <w:tcBorders>
              <w:top w:val="nil"/>
              <w:left w:val="nil"/>
              <w:bottom w:val="nil"/>
              <w:right w:val="nil"/>
            </w:tcBorders>
            <w:shd w:val="clear" w:color="auto" w:fill="auto"/>
            <w:noWrap/>
            <w:vAlign w:val="bottom"/>
            <w:hideMark/>
          </w:tcPr>
          <w:p w14:paraId="7993B925" w14:textId="7608CBB9"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485,206</w:t>
            </w:r>
          </w:p>
        </w:tc>
        <w:tc>
          <w:tcPr>
            <w:tcW w:w="559" w:type="pct"/>
            <w:tcBorders>
              <w:top w:val="nil"/>
              <w:left w:val="nil"/>
              <w:bottom w:val="nil"/>
              <w:right w:val="nil"/>
            </w:tcBorders>
            <w:shd w:val="clear" w:color="auto" w:fill="auto"/>
            <w:noWrap/>
            <w:vAlign w:val="bottom"/>
            <w:hideMark/>
          </w:tcPr>
          <w:p w14:paraId="3332C2BE" w14:textId="4A7C5C76"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492,926</w:t>
            </w:r>
          </w:p>
        </w:tc>
        <w:tc>
          <w:tcPr>
            <w:tcW w:w="558" w:type="pct"/>
            <w:tcBorders>
              <w:top w:val="nil"/>
              <w:left w:val="nil"/>
              <w:bottom w:val="nil"/>
              <w:right w:val="nil"/>
            </w:tcBorders>
            <w:shd w:val="clear" w:color="auto" w:fill="auto"/>
            <w:noWrap/>
            <w:vAlign w:val="bottom"/>
            <w:hideMark/>
          </w:tcPr>
          <w:p w14:paraId="3D65C811" w14:textId="1FF40199"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499,030</w:t>
            </w:r>
          </w:p>
        </w:tc>
      </w:tr>
      <w:tr w:rsidR="009D1FE5" w:rsidRPr="00C13A37" w14:paraId="57D2F08E" w14:textId="77777777" w:rsidTr="005334F2">
        <w:trPr>
          <w:trHeight w:val="204"/>
        </w:trPr>
        <w:tc>
          <w:tcPr>
            <w:tcW w:w="2163" w:type="pct"/>
            <w:tcBorders>
              <w:top w:val="nil"/>
              <w:left w:val="nil"/>
              <w:bottom w:val="nil"/>
              <w:right w:val="nil"/>
            </w:tcBorders>
            <w:shd w:val="clear" w:color="auto" w:fill="auto"/>
            <w:vAlign w:val="bottom"/>
            <w:hideMark/>
          </w:tcPr>
          <w:p w14:paraId="4B4A1664"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 xml:space="preserve">Expenses not requiring appropriation in the Budget year </w:t>
            </w:r>
            <w:r w:rsidRPr="00C13A3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7449D6F0" w14:textId="4F2EB734"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(34,763)</w:t>
            </w:r>
          </w:p>
        </w:tc>
        <w:tc>
          <w:tcPr>
            <w:tcW w:w="559" w:type="pct"/>
            <w:tcBorders>
              <w:top w:val="nil"/>
              <w:left w:val="nil"/>
              <w:bottom w:val="nil"/>
              <w:right w:val="nil"/>
            </w:tcBorders>
            <w:shd w:val="clear" w:color="auto" w:fill="E6E6E6"/>
            <w:noWrap/>
            <w:vAlign w:val="bottom"/>
            <w:hideMark/>
          </w:tcPr>
          <w:p w14:paraId="4FC7A282" w14:textId="6EEDFF2E"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38B22FAA" w14:textId="3B63752F"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9" w:type="pct"/>
            <w:tcBorders>
              <w:top w:val="nil"/>
              <w:left w:val="nil"/>
              <w:bottom w:val="nil"/>
              <w:right w:val="nil"/>
            </w:tcBorders>
            <w:shd w:val="clear" w:color="auto" w:fill="auto"/>
            <w:noWrap/>
            <w:vAlign w:val="bottom"/>
            <w:hideMark/>
          </w:tcPr>
          <w:p w14:paraId="26DB6FD1" w14:textId="71934E15"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8" w:type="pct"/>
            <w:tcBorders>
              <w:top w:val="nil"/>
              <w:left w:val="nil"/>
              <w:bottom w:val="nil"/>
              <w:right w:val="nil"/>
            </w:tcBorders>
            <w:shd w:val="clear" w:color="auto" w:fill="auto"/>
            <w:noWrap/>
            <w:vAlign w:val="bottom"/>
            <w:hideMark/>
          </w:tcPr>
          <w:p w14:paraId="4B5D5D59" w14:textId="3B277CCE"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w:t>
            </w:r>
          </w:p>
        </w:tc>
      </w:tr>
      <w:tr w:rsidR="009D1FE5" w:rsidRPr="00C13A37" w14:paraId="131883DD" w14:textId="77777777" w:rsidTr="005334F2">
        <w:trPr>
          <w:trHeight w:val="204"/>
        </w:trPr>
        <w:tc>
          <w:tcPr>
            <w:tcW w:w="2163" w:type="pct"/>
            <w:tcBorders>
              <w:top w:val="nil"/>
              <w:left w:val="nil"/>
              <w:bottom w:val="nil"/>
              <w:right w:val="nil"/>
            </w:tcBorders>
            <w:shd w:val="clear" w:color="auto" w:fill="auto"/>
            <w:vAlign w:val="bottom"/>
            <w:hideMark/>
          </w:tcPr>
          <w:p w14:paraId="52634D87" w14:textId="77777777" w:rsidR="009D1FE5" w:rsidRPr="00C13A37" w:rsidRDefault="009D1FE5" w:rsidP="009D1FE5">
            <w:pPr>
              <w:spacing w:after="0" w:line="240" w:lineRule="auto"/>
              <w:jc w:val="right"/>
              <w:rPr>
                <w:rFonts w:ascii="Arial" w:hAnsi="Arial" w:cs="Arial"/>
                <w:b/>
                <w:bCs/>
                <w:sz w:val="16"/>
                <w:szCs w:val="16"/>
              </w:rPr>
            </w:pPr>
            <w:r w:rsidRPr="00C13A37">
              <w:rPr>
                <w:rFonts w:ascii="Arial" w:hAnsi="Arial" w:cs="Arial"/>
                <w:b/>
                <w:bCs/>
                <w:sz w:val="16"/>
                <w:szCs w:val="16"/>
              </w:rPr>
              <w:t>Total administered expenses</w:t>
            </w:r>
          </w:p>
        </w:tc>
        <w:tc>
          <w:tcPr>
            <w:tcW w:w="602" w:type="pct"/>
            <w:tcBorders>
              <w:top w:val="single" w:sz="4" w:space="0" w:color="auto"/>
              <w:left w:val="nil"/>
              <w:bottom w:val="single" w:sz="4" w:space="0" w:color="auto"/>
              <w:right w:val="nil"/>
            </w:tcBorders>
            <w:shd w:val="clear" w:color="auto" w:fill="auto"/>
            <w:noWrap/>
            <w:vAlign w:val="bottom"/>
            <w:hideMark/>
          </w:tcPr>
          <w:p w14:paraId="46A21AFF" w14:textId="74EBCA5E"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939,840</w:t>
            </w:r>
          </w:p>
        </w:tc>
        <w:tc>
          <w:tcPr>
            <w:tcW w:w="559" w:type="pct"/>
            <w:tcBorders>
              <w:top w:val="single" w:sz="4" w:space="0" w:color="auto"/>
              <w:left w:val="nil"/>
              <w:bottom w:val="single" w:sz="4" w:space="0" w:color="auto"/>
              <w:right w:val="nil"/>
            </w:tcBorders>
            <w:shd w:val="clear" w:color="auto" w:fill="E6E6E6"/>
            <w:noWrap/>
            <w:vAlign w:val="bottom"/>
            <w:hideMark/>
          </w:tcPr>
          <w:p w14:paraId="53F27224" w14:textId="14BF68B2"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859,962</w:t>
            </w:r>
          </w:p>
        </w:tc>
        <w:tc>
          <w:tcPr>
            <w:tcW w:w="559" w:type="pct"/>
            <w:tcBorders>
              <w:top w:val="single" w:sz="4" w:space="0" w:color="auto"/>
              <w:left w:val="nil"/>
              <w:bottom w:val="single" w:sz="4" w:space="0" w:color="auto"/>
              <w:right w:val="nil"/>
            </w:tcBorders>
            <w:shd w:val="clear" w:color="auto" w:fill="auto"/>
            <w:noWrap/>
            <w:vAlign w:val="bottom"/>
            <w:hideMark/>
          </w:tcPr>
          <w:p w14:paraId="1711B030" w14:textId="0E20218D"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771,516</w:t>
            </w:r>
          </w:p>
        </w:tc>
        <w:tc>
          <w:tcPr>
            <w:tcW w:w="559" w:type="pct"/>
            <w:tcBorders>
              <w:top w:val="single" w:sz="4" w:space="0" w:color="auto"/>
              <w:left w:val="nil"/>
              <w:bottom w:val="single" w:sz="4" w:space="0" w:color="auto"/>
              <w:right w:val="nil"/>
            </w:tcBorders>
            <w:shd w:val="clear" w:color="auto" w:fill="auto"/>
            <w:noWrap/>
            <w:vAlign w:val="bottom"/>
            <w:hideMark/>
          </w:tcPr>
          <w:p w14:paraId="1CA0E480" w14:textId="01B3CA23"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775,101</w:t>
            </w:r>
          </w:p>
        </w:tc>
        <w:tc>
          <w:tcPr>
            <w:tcW w:w="558" w:type="pct"/>
            <w:tcBorders>
              <w:top w:val="single" w:sz="4" w:space="0" w:color="auto"/>
              <w:left w:val="nil"/>
              <w:bottom w:val="single" w:sz="4" w:space="0" w:color="auto"/>
              <w:right w:val="nil"/>
            </w:tcBorders>
            <w:shd w:val="clear" w:color="auto" w:fill="auto"/>
            <w:noWrap/>
            <w:vAlign w:val="bottom"/>
            <w:hideMark/>
          </w:tcPr>
          <w:p w14:paraId="636ACBC7" w14:textId="695E3EC2"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783,727</w:t>
            </w:r>
          </w:p>
        </w:tc>
      </w:tr>
      <w:tr w:rsidR="009D1FE5" w:rsidRPr="00C13A37" w14:paraId="277BC7B6" w14:textId="77777777" w:rsidTr="005334F2">
        <w:trPr>
          <w:trHeight w:val="204"/>
        </w:trPr>
        <w:tc>
          <w:tcPr>
            <w:tcW w:w="2163" w:type="pct"/>
            <w:tcBorders>
              <w:top w:val="nil"/>
              <w:left w:val="nil"/>
              <w:bottom w:val="nil"/>
              <w:right w:val="nil"/>
            </w:tcBorders>
            <w:shd w:val="clear" w:color="auto" w:fill="auto"/>
            <w:vAlign w:val="bottom"/>
            <w:hideMark/>
          </w:tcPr>
          <w:p w14:paraId="2E875E59" w14:textId="77777777" w:rsidR="009D1FE5" w:rsidRPr="00C13A37" w:rsidRDefault="009D1FE5" w:rsidP="009D1FE5">
            <w:pPr>
              <w:spacing w:after="0" w:line="240" w:lineRule="auto"/>
              <w:rPr>
                <w:rFonts w:ascii="Arial" w:hAnsi="Arial" w:cs="Arial"/>
                <w:sz w:val="16"/>
                <w:szCs w:val="16"/>
              </w:rPr>
            </w:pPr>
            <w:r w:rsidRPr="00C13A37">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1A3B447E" w14:textId="77777777" w:rsidR="009D1FE5" w:rsidRPr="00C13A37" w:rsidRDefault="009D1FE5" w:rsidP="009D1FE5">
            <w:pPr>
              <w:spacing w:after="0" w:line="240" w:lineRule="auto"/>
              <w:jc w:val="right"/>
              <w:rPr>
                <w:rFonts w:ascii="Arial" w:hAnsi="Arial" w:cs="Arial"/>
                <w:sz w:val="16"/>
                <w:szCs w:val="16"/>
              </w:rPr>
            </w:pPr>
          </w:p>
        </w:tc>
        <w:tc>
          <w:tcPr>
            <w:tcW w:w="559" w:type="pct"/>
            <w:tcBorders>
              <w:top w:val="nil"/>
              <w:left w:val="nil"/>
              <w:bottom w:val="nil"/>
              <w:right w:val="nil"/>
            </w:tcBorders>
            <w:shd w:val="clear" w:color="auto" w:fill="E6E6E6"/>
            <w:noWrap/>
            <w:vAlign w:val="bottom"/>
            <w:hideMark/>
          </w:tcPr>
          <w:p w14:paraId="6EBF462D" w14:textId="5F9A9276" w:rsidR="009D1FE5" w:rsidRPr="00C13A37" w:rsidRDefault="009D1FE5" w:rsidP="009D1FE5">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3AF4133A" w14:textId="77777777" w:rsidR="009D1FE5" w:rsidRPr="00C13A37" w:rsidRDefault="009D1FE5" w:rsidP="009D1FE5">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40925AAF" w14:textId="77777777" w:rsidR="009D1FE5" w:rsidRPr="00C13A37" w:rsidRDefault="009D1FE5" w:rsidP="009D1FE5">
            <w:pPr>
              <w:spacing w:after="0" w:line="240" w:lineRule="auto"/>
              <w:jc w:val="right"/>
              <w:rPr>
                <w:rFonts w:ascii="Times New Roman" w:hAnsi="Times New Roman"/>
              </w:rPr>
            </w:pPr>
          </w:p>
        </w:tc>
        <w:tc>
          <w:tcPr>
            <w:tcW w:w="558" w:type="pct"/>
            <w:tcBorders>
              <w:top w:val="nil"/>
              <w:left w:val="nil"/>
              <w:bottom w:val="nil"/>
              <w:right w:val="nil"/>
            </w:tcBorders>
            <w:shd w:val="clear" w:color="auto" w:fill="auto"/>
            <w:noWrap/>
            <w:vAlign w:val="bottom"/>
            <w:hideMark/>
          </w:tcPr>
          <w:p w14:paraId="49ADB168" w14:textId="77777777" w:rsidR="009D1FE5" w:rsidRPr="00C13A37" w:rsidRDefault="009D1FE5" w:rsidP="009D1FE5">
            <w:pPr>
              <w:spacing w:after="0" w:line="240" w:lineRule="auto"/>
              <w:jc w:val="right"/>
              <w:rPr>
                <w:rFonts w:ascii="Times New Roman" w:hAnsi="Times New Roman"/>
              </w:rPr>
            </w:pPr>
          </w:p>
        </w:tc>
      </w:tr>
      <w:tr w:rsidR="009D1FE5" w:rsidRPr="00C13A37" w14:paraId="71DBB011" w14:textId="77777777" w:rsidTr="005334F2">
        <w:trPr>
          <w:trHeight w:val="204"/>
        </w:trPr>
        <w:tc>
          <w:tcPr>
            <w:tcW w:w="2163" w:type="pct"/>
            <w:tcBorders>
              <w:top w:val="nil"/>
              <w:left w:val="nil"/>
              <w:bottom w:val="nil"/>
              <w:right w:val="nil"/>
            </w:tcBorders>
            <w:shd w:val="clear" w:color="auto" w:fill="auto"/>
            <w:noWrap/>
            <w:vAlign w:val="bottom"/>
            <w:hideMark/>
          </w:tcPr>
          <w:p w14:paraId="52A95E4B"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Departmental appropriation</w:t>
            </w:r>
          </w:p>
        </w:tc>
        <w:tc>
          <w:tcPr>
            <w:tcW w:w="602" w:type="pct"/>
            <w:tcBorders>
              <w:top w:val="nil"/>
              <w:left w:val="nil"/>
              <w:bottom w:val="nil"/>
              <w:right w:val="nil"/>
            </w:tcBorders>
            <w:shd w:val="clear" w:color="auto" w:fill="auto"/>
            <w:noWrap/>
            <w:hideMark/>
          </w:tcPr>
          <w:p w14:paraId="46934088" w14:textId="47F19E9F"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55,464</w:t>
            </w:r>
          </w:p>
        </w:tc>
        <w:tc>
          <w:tcPr>
            <w:tcW w:w="559" w:type="pct"/>
            <w:tcBorders>
              <w:top w:val="nil"/>
              <w:left w:val="nil"/>
              <w:bottom w:val="nil"/>
              <w:right w:val="nil"/>
            </w:tcBorders>
            <w:shd w:val="clear" w:color="auto" w:fill="E6E6E6"/>
            <w:noWrap/>
            <w:vAlign w:val="bottom"/>
            <w:hideMark/>
          </w:tcPr>
          <w:p w14:paraId="1A1F80B8" w14:textId="1B5F06DE"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61,466</w:t>
            </w:r>
          </w:p>
        </w:tc>
        <w:tc>
          <w:tcPr>
            <w:tcW w:w="559" w:type="pct"/>
            <w:tcBorders>
              <w:top w:val="nil"/>
              <w:left w:val="nil"/>
              <w:bottom w:val="nil"/>
              <w:right w:val="nil"/>
            </w:tcBorders>
            <w:shd w:val="clear" w:color="auto" w:fill="auto"/>
            <w:noWrap/>
            <w:hideMark/>
          </w:tcPr>
          <w:p w14:paraId="4599C81E" w14:textId="2797229B"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60,493</w:t>
            </w:r>
          </w:p>
        </w:tc>
        <w:tc>
          <w:tcPr>
            <w:tcW w:w="559" w:type="pct"/>
            <w:tcBorders>
              <w:top w:val="nil"/>
              <w:left w:val="nil"/>
              <w:bottom w:val="nil"/>
              <w:right w:val="nil"/>
            </w:tcBorders>
            <w:shd w:val="clear" w:color="auto" w:fill="auto"/>
            <w:noWrap/>
            <w:hideMark/>
          </w:tcPr>
          <w:p w14:paraId="379F065C" w14:textId="6C17515F"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50,640</w:t>
            </w:r>
          </w:p>
        </w:tc>
        <w:tc>
          <w:tcPr>
            <w:tcW w:w="558" w:type="pct"/>
            <w:tcBorders>
              <w:top w:val="nil"/>
              <w:left w:val="nil"/>
              <w:bottom w:val="nil"/>
              <w:right w:val="nil"/>
            </w:tcBorders>
            <w:shd w:val="clear" w:color="auto" w:fill="auto"/>
            <w:noWrap/>
            <w:hideMark/>
          </w:tcPr>
          <w:p w14:paraId="6AC3BAA1" w14:textId="5599AB23"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50,766</w:t>
            </w:r>
          </w:p>
        </w:tc>
      </w:tr>
      <w:tr w:rsidR="009D1FE5" w:rsidRPr="00C13A37" w14:paraId="33DC1386" w14:textId="77777777" w:rsidTr="005334F2">
        <w:trPr>
          <w:trHeight w:val="204"/>
        </w:trPr>
        <w:tc>
          <w:tcPr>
            <w:tcW w:w="2163" w:type="pct"/>
            <w:tcBorders>
              <w:top w:val="nil"/>
              <w:left w:val="nil"/>
              <w:bottom w:val="nil"/>
              <w:right w:val="nil"/>
            </w:tcBorders>
            <w:shd w:val="clear" w:color="auto" w:fill="auto"/>
            <w:vAlign w:val="bottom"/>
            <w:hideMark/>
          </w:tcPr>
          <w:p w14:paraId="13FE6681" w14:textId="4279797A"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 xml:space="preserve">s74 external revenues </w:t>
            </w:r>
            <w:r w:rsidRPr="002656D3">
              <w:rPr>
                <w:rFonts w:ascii="Arial" w:hAnsi="Arial" w:cs="Arial"/>
                <w:sz w:val="16"/>
                <w:szCs w:val="16"/>
                <w:vertAlign w:val="superscript"/>
              </w:rPr>
              <w:t>(</w:t>
            </w:r>
            <w:r>
              <w:rPr>
                <w:rFonts w:ascii="Arial" w:hAnsi="Arial" w:cs="Arial"/>
                <w:sz w:val="16"/>
                <w:szCs w:val="16"/>
                <w:vertAlign w:val="superscript"/>
              </w:rPr>
              <w:t>c</w:t>
            </w:r>
            <w:r w:rsidRPr="002656D3">
              <w:rPr>
                <w:rFonts w:ascii="Arial" w:hAnsi="Arial" w:cs="Arial"/>
                <w:sz w:val="16"/>
                <w:szCs w:val="16"/>
                <w:vertAlign w:val="superscript"/>
              </w:rPr>
              <w:t>)</w:t>
            </w:r>
          </w:p>
        </w:tc>
        <w:tc>
          <w:tcPr>
            <w:tcW w:w="602" w:type="pct"/>
            <w:tcBorders>
              <w:top w:val="nil"/>
              <w:left w:val="nil"/>
              <w:bottom w:val="nil"/>
              <w:right w:val="nil"/>
            </w:tcBorders>
            <w:shd w:val="clear" w:color="auto" w:fill="auto"/>
            <w:noWrap/>
            <w:hideMark/>
          </w:tcPr>
          <w:p w14:paraId="21AF0CC0" w14:textId="034740D9"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5,756</w:t>
            </w:r>
          </w:p>
        </w:tc>
        <w:tc>
          <w:tcPr>
            <w:tcW w:w="559" w:type="pct"/>
            <w:tcBorders>
              <w:top w:val="nil"/>
              <w:left w:val="nil"/>
              <w:bottom w:val="nil"/>
              <w:right w:val="nil"/>
            </w:tcBorders>
            <w:shd w:val="clear" w:color="auto" w:fill="E6E6E6"/>
            <w:noWrap/>
            <w:hideMark/>
          </w:tcPr>
          <w:p w14:paraId="5388E9D5" w14:textId="5F8F8438"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7,873</w:t>
            </w:r>
          </w:p>
        </w:tc>
        <w:tc>
          <w:tcPr>
            <w:tcW w:w="559" w:type="pct"/>
            <w:tcBorders>
              <w:top w:val="nil"/>
              <w:left w:val="nil"/>
              <w:bottom w:val="nil"/>
              <w:right w:val="nil"/>
            </w:tcBorders>
            <w:shd w:val="clear" w:color="auto" w:fill="auto"/>
            <w:noWrap/>
            <w:hideMark/>
          </w:tcPr>
          <w:p w14:paraId="467F602D" w14:textId="1FD04BD0"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8,973</w:t>
            </w:r>
          </w:p>
        </w:tc>
        <w:tc>
          <w:tcPr>
            <w:tcW w:w="559" w:type="pct"/>
            <w:tcBorders>
              <w:top w:val="nil"/>
              <w:left w:val="nil"/>
              <w:bottom w:val="nil"/>
              <w:right w:val="nil"/>
            </w:tcBorders>
            <w:shd w:val="clear" w:color="auto" w:fill="auto"/>
            <w:noWrap/>
            <w:hideMark/>
          </w:tcPr>
          <w:p w14:paraId="1F998959" w14:textId="14F93186"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9,330</w:t>
            </w:r>
          </w:p>
        </w:tc>
        <w:tc>
          <w:tcPr>
            <w:tcW w:w="558" w:type="pct"/>
            <w:tcBorders>
              <w:top w:val="nil"/>
              <w:left w:val="nil"/>
              <w:bottom w:val="nil"/>
              <w:right w:val="nil"/>
            </w:tcBorders>
            <w:shd w:val="clear" w:color="auto" w:fill="auto"/>
            <w:noWrap/>
            <w:hideMark/>
          </w:tcPr>
          <w:p w14:paraId="6036DD7E" w14:textId="36ED95AE"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9,330</w:t>
            </w:r>
          </w:p>
        </w:tc>
      </w:tr>
      <w:tr w:rsidR="009D1FE5" w:rsidRPr="00C13A37" w14:paraId="29A540C4" w14:textId="77777777" w:rsidTr="005334F2">
        <w:trPr>
          <w:trHeight w:val="204"/>
        </w:trPr>
        <w:tc>
          <w:tcPr>
            <w:tcW w:w="2163" w:type="pct"/>
            <w:tcBorders>
              <w:top w:val="nil"/>
              <w:left w:val="nil"/>
              <w:bottom w:val="nil"/>
              <w:right w:val="nil"/>
            </w:tcBorders>
            <w:shd w:val="clear" w:color="auto" w:fill="auto"/>
            <w:noWrap/>
            <w:vAlign w:val="bottom"/>
            <w:hideMark/>
          </w:tcPr>
          <w:p w14:paraId="1CE5D2F9"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37DB6563" w14:textId="5394104C"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5,094</w:t>
            </w:r>
          </w:p>
        </w:tc>
        <w:tc>
          <w:tcPr>
            <w:tcW w:w="559" w:type="pct"/>
            <w:tcBorders>
              <w:top w:val="nil"/>
              <w:left w:val="nil"/>
              <w:bottom w:val="nil"/>
              <w:right w:val="nil"/>
            </w:tcBorders>
            <w:shd w:val="clear" w:color="auto" w:fill="E6E6E6"/>
            <w:noWrap/>
            <w:vAlign w:val="bottom"/>
            <w:hideMark/>
          </w:tcPr>
          <w:p w14:paraId="76CD5304" w14:textId="72421683"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5,023</w:t>
            </w:r>
          </w:p>
        </w:tc>
        <w:tc>
          <w:tcPr>
            <w:tcW w:w="559" w:type="pct"/>
            <w:tcBorders>
              <w:top w:val="nil"/>
              <w:left w:val="nil"/>
              <w:bottom w:val="nil"/>
              <w:right w:val="nil"/>
            </w:tcBorders>
            <w:shd w:val="clear" w:color="auto" w:fill="auto"/>
            <w:noWrap/>
            <w:vAlign w:val="bottom"/>
            <w:hideMark/>
          </w:tcPr>
          <w:p w14:paraId="3DF6A84E" w14:textId="6C6696CC"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4,082</w:t>
            </w:r>
          </w:p>
        </w:tc>
        <w:tc>
          <w:tcPr>
            <w:tcW w:w="559" w:type="pct"/>
            <w:tcBorders>
              <w:top w:val="nil"/>
              <w:left w:val="nil"/>
              <w:bottom w:val="nil"/>
              <w:right w:val="nil"/>
            </w:tcBorders>
            <w:shd w:val="clear" w:color="auto" w:fill="auto"/>
            <w:noWrap/>
            <w:vAlign w:val="bottom"/>
            <w:hideMark/>
          </w:tcPr>
          <w:p w14:paraId="3AA388E2" w14:textId="36B41003"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4,080</w:t>
            </w:r>
          </w:p>
        </w:tc>
        <w:tc>
          <w:tcPr>
            <w:tcW w:w="558" w:type="pct"/>
            <w:tcBorders>
              <w:top w:val="nil"/>
              <w:left w:val="nil"/>
              <w:bottom w:val="nil"/>
              <w:right w:val="nil"/>
            </w:tcBorders>
            <w:shd w:val="clear" w:color="auto" w:fill="auto"/>
            <w:noWrap/>
            <w:vAlign w:val="bottom"/>
            <w:hideMark/>
          </w:tcPr>
          <w:p w14:paraId="2EC72A0F" w14:textId="34D71F54"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4,080</w:t>
            </w:r>
          </w:p>
        </w:tc>
      </w:tr>
      <w:tr w:rsidR="009D1FE5" w:rsidRPr="00C13A37" w14:paraId="6D48AB75" w14:textId="77777777" w:rsidTr="005334F2">
        <w:trPr>
          <w:trHeight w:val="204"/>
        </w:trPr>
        <w:tc>
          <w:tcPr>
            <w:tcW w:w="2163" w:type="pct"/>
            <w:tcBorders>
              <w:top w:val="nil"/>
              <w:left w:val="nil"/>
              <w:bottom w:val="nil"/>
              <w:right w:val="nil"/>
            </w:tcBorders>
            <w:shd w:val="clear" w:color="auto" w:fill="auto"/>
            <w:vAlign w:val="bottom"/>
            <w:hideMark/>
          </w:tcPr>
          <w:p w14:paraId="43B26556" w14:textId="77777777" w:rsidR="009D1FE5" w:rsidRPr="00C13A37" w:rsidRDefault="009D1FE5" w:rsidP="009D1FE5">
            <w:pPr>
              <w:spacing w:after="0" w:line="240" w:lineRule="auto"/>
              <w:ind w:left="113"/>
              <w:rPr>
                <w:rFonts w:ascii="Arial" w:hAnsi="Arial" w:cs="Arial"/>
                <w:sz w:val="16"/>
                <w:szCs w:val="16"/>
              </w:rPr>
            </w:pPr>
            <w:r w:rsidRPr="00C13A37">
              <w:rPr>
                <w:rFonts w:ascii="Arial" w:hAnsi="Arial" w:cs="Arial"/>
                <w:sz w:val="16"/>
                <w:szCs w:val="16"/>
              </w:rPr>
              <w:t xml:space="preserve">Expenses not requiring appropriation in the Budget year </w:t>
            </w:r>
            <w:r w:rsidRPr="002656D3">
              <w:rPr>
                <w:rFonts w:ascii="Arial" w:hAnsi="Arial" w:cs="Arial"/>
                <w:sz w:val="16"/>
                <w:szCs w:val="16"/>
                <w:vertAlign w:val="superscript"/>
              </w:rPr>
              <w:t>(e)</w:t>
            </w:r>
          </w:p>
        </w:tc>
        <w:tc>
          <w:tcPr>
            <w:tcW w:w="602" w:type="pct"/>
            <w:tcBorders>
              <w:top w:val="nil"/>
              <w:left w:val="nil"/>
              <w:bottom w:val="nil"/>
              <w:right w:val="nil"/>
            </w:tcBorders>
            <w:shd w:val="clear" w:color="auto" w:fill="auto"/>
            <w:noWrap/>
            <w:vAlign w:val="bottom"/>
            <w:hideMark/>
          </w:tcPr>
          <w:p w14:paraId="2DE66EAF" w14:textId="3BD9A3FF"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2,202</w:t>
            </w:r>
          </w:p>
        </w:tc>
        <w:tc>
          <w:tcPr>
            <w:tcW w:w="559" w:type="pct"/>
            <w:tcBorders>
              <w:top w:val="nil"/>
              <w:left w:val="nil"/>
              <w:bottom w:val="nil"/>
              <w:right w:val="nil"/>
            </w:tcBorders>
            <w:shd w:val="clear" w:color="auto" w:fill="E6E6E6"/>
            <w:noWrap/>
            <w:vAlign w:val="bottom"/>
            <w:hideMark/>
          </w:tcPr>
          <w:p w14:paraId="7C30EC43" w14:textId="2775363E"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395</w:t>
            </w:r>
          </w:p>
        </w:tc>
        <w:tc>
          <w:tcPr>
            <w:tcW w:w="559" w:type="pct"/>
            <w:tcBorders>
              <w:top w:val="nil"/>
              <w:left w:val="nil"/>
              <w:bottom w:val="nil"/>
              <w:right w:val="nil"/>
            </w:tcBorders>
            <w:shd w:val="clear" w:color="auto" w:fill="auto"/>
            <w:noWrap/>
            <w:vAlign w:val="bottom"/>
            <w:hideMark/>
          </w:tcPr>
          <w:p w14:paraId="7BE4CB7C" w14:textId="56AEC2BC"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393</w:t>
            </w:r>
          </w:p>
        </w:tc>
        <w:tc>
          <w:tcPr>
            <w:tcW w:w="559" w:type="pct"/>
            <w:tcBorders>
              <w:top w:val="nil"/>
              <w:left w:val="nil"/>
              <w:bottom w:val="nil"/>
              <w:right w:val="nil"/>
            </w:tcBorders>
            <w:shd w:val="clear" w:color="auto" w:fill="auto"/>
            <w:noWrap/>
            <w:vAlign w:val="bottom"/>
            <w:hideMark/>
          </w:tcPr>
          <w:p w14:paraId="135F4BB6" w14:textId="09719AD0"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393</w:t>
            </w:r>
          </w:p>
        </w:tc>
        <w:tc>
          <w:tcPr>
            <w:tcW w:w="558" w:type="pct"/>
            <w:tcBorders>
              <w:top w:val="nil"/>
              <w:left w:val="nil"/>
              <w:bottom w:val="nil"/>
              <w:right w:val="nil"/>
            </w:tcBorders>
            <w:shd w:val="clear" w:color="auto" w:fill="auto"/>
            <w:noWrap/>
            <w:vAlign w:val="bottom"/>
            <w:hideMark/>
          </w:tcPr>
          <w:p w14:paraId="49E83BBD" w14:textId="664CE258" w:rsidR="009D1FE5" w:rsidRPr="00C13A37" w:rsidRDefault="009D1FE5" w:rsidP="009D1FE5">
            <w:pPr>
              <w:spacing w:after="0" w:line="240" w:lineRule="auto"/>
              <w:jc w:val="right"/>
              <w:rPr>
                <w:rFonts w:ascii="Arial" w:hAnsi="Arial" w:cs="Arial"/>
                <w:sz w:val="16"/>
                <w:szCs w:val="16"/>
              </w:rPr>
            </w:pPr>
            <w:r>
              <w:rPr>
                <w:rFonts w:ascii="Arial" w:hAnsi="Arial" w:cs="Arial"/>
                <w:sz w:val="16"/>
                <w:szCs w:val="16"/>
              </w:rPr>
              <w:t>393</w:t>
            </w:r>
          </w:p>
        </w:tc>
      </w:tr>
      <w:tr w:rsidR="009D1FE5" w:rsidRPr="00C13A37" w14:paraId="3552926F" w14:textId="77777777" w:rsidTr="005334F2">
        <w:trPr>
          <w:trHeight w:val="204"/>
        </w:trPr>
        <w:tc>
          <w:tcPr>
            <w:tcW w:w="2163" w:type="pct"/>
            <w:tcBorders>
              <w:top w:val="nil"/>
              <w:left w:val="nil"/>
              <w:bottom w:val="nil"/>
              <w:right w:val="nil"/>
            </w:tcBorders>
            <w:shd w:val="clear" w:color="auto" w:fill="auto"/>
            <w:noWrap/>
            <w:vAlign w:val="bottom"/>
            <w:hideMark/>
          </w:tcPr>
          <w:p w14:paraId="17E693A1" w14:textId="77777777" w:rsidR="009D1FE5" w:rsidRPr="00C13A37" w:rsidRDefault="009D1FE5" w:rsidP="009D1FE5">
            <w:pPr>
              <w:spacing w:after="0" w:line="240" w:lineRule="auto"/>
              <w:jc w:val="right"/>
              <w:rPr>
                <w:rFonts w:ascii="Arial" w:hAnsi="Arial" w:cs="Arial"/>
                <w:b/>
                <w:bCs/>
                <w:sz w:val="16"/>
                <w:szCs w:val="16"/>
              </w:rPr>
            </w:pPr>
            <w:r w:rsidRPr="00C13A37">
              <w:rPr>
                <w:rFonts w:ascii="Arial" w:hAnsi="Arial" w:cs="Arial"/>
                <w:b/>
                <w:bCs/>
                <w:sz w:val="16"/>
                <w:szCs w:val="16"/>
              </w:rPr>
              <w:t>Total departmental expenses</w:t>
            </w:r>
          </w:p>
        </w:tc>
        <w:tc>
          <w:tcPr>
            <w:tcW w:w="602" w:type="pct"/>
            <w:tcBorders>
              <w:top w:val="single" w:sz="4" w:space="0" w:color="auto"/>
              <w:left w:val="nil"/>
              <w:bottom w:val="single" w:sz="4" w:space="0" w:color="auto"/>
              <w:right w:val="nil"/>
            </w:tcBorders>
            <w:shd w:val="clear" w:color="auto" w:fill="auto"/>
            <w:hideMark/>
          </w:tcPr>
          <w:p w14:paraId="03BA3F2A" w14:textId="2E94406F"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68,516</w:t>
            </w:r>
          </w:p>
        </w:tc>
        <w:tc>
          <w:tcPr>
            <w:tcW w:w="559" w:type="pct"/>
            <w:tcBorders>
              <w:top w:val="single" w:sz="4" w:space="0" w:color="auto"/>
              <w:left w:val="nil"/>
              <w:bottom w:val="single" w:sz="4" w:space="0" w:color="auto"/>
              <w:right w:val="nil"/>
            </w:tcBorders>
            <w:shd w:val="clear" w:color="auto" w:fill="E6E6E6"/>
            <w:hideMark/>
          </w:tcPr>
          <w:p w14:paraId="1B15E02A" w14:textId="08789C79"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74,757</w:t>
            </w:r>
          </w:p>
        </w:tc>
        <w:tc>
          <w:tcPr>
            <w:tcW w:w="559" w:type="pct"/>
            <w:tcBorders>
              <w:top w:val="single" w:sz="4" w:space="0" w:color="auto"/>
              <w:left w:val="nil"/>
              <w:bottom w:val="single" w:sz="4" w:space="0" w:color="auto"/>
              <w:right w:val="nil"/>
            </w:tcBorders>
            <w:shd w:val="clear" w:color="auto" w:fill="auto"/>
            <w:hideMark/>
          </w:tcPr>
          <w:p w14:paraId="31455DB0" w14:textId="16177FA3"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73,941</w:t>
            </w:r>
          </w:p>
        </w:tc>
        <w:tc>
          <w:tcPr>
            <w:tcW w:w="559" w:type="pct"/>
            <w:tcBorders>
              <w:top w:val="single" w:sz="4" w:space="0" w:color="auto"/>
              <w:left w:val="nil"/>
              <w:bottom w:val="single" w:sz="4" w:space="0" w:color="auto"/>
              <w:right w:val="nil"/>
            </w:tcBorders>
            <w:shd w:val="clear" w:color="auto" w:fill="auto"/>
            <w:hideMark/>
          </w:tcPr>
          <w:p w14:paraId="4D27E5C7" w14:textId="1E88541A"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64,443</w:t>
            </w:r>
          </w:p>
        </w:tc>
        <w:tc>
          <w:tcPr>
            <w:tcW w:w="558" w:type="pct"/>
            <w:tcBorders>
              <w:top w:val="single" w:sz="4" w:space="0" w:color="auto"/>
              <w:left w:val="nil"/>
              <w:bottom w:val="single" w:sz="4" w:space="0" w:color="auto"/>
              <w:right w:val="nil"/>
            </w:tcBorders>
            <w:shd w:val="clear" w:color="auto" w:fill="auto"/>
            <w:hideMark/>
          </w:tcPr>
          <w:p w14:paraId="0EA6F004" w14:textId="6F0F32A6"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64,569</w:t>
            </w:r>
          </w:p>
        </w:tc>
      </w:tr>
      <w:tr w:rsidR="009D1FE5" w:rsidRPr="00C13A37" w14:paraId="69D4BBDC" w14:textId="77777777" w:rsidTr="005334F2">
        <w:trPr>
          <w:trHeight w:val="204"/>
        </w:trPr>
        <w:tc>
          <w:tcPr>
            <w:tcW w:w="2163" w:type="pct"/>
            <w:tcBorders>
              <w:top w:val="nil"/>
              <w:left w:val="nil"/>
              <w:bottom w:val="single" w:sz="4" w:space="0" w:color="auto"/>
              <w:right w:val="nil"/>
            </w:tcBorders>
            <w:shd w:val="clear" w:color="auto" w:fill="auto"/>
            <w:noWrap/>
            <w:vAlign w:val="bottom"/>
            <w:hideMark/>
          </w:tcPr>
          <w:p w14:paraId="3BC88304" w14:textId="77777777" w:rsidR="009D1FE5" w:rsidRPr="00C13A37" w:rsidRDefault="009D1FE5" w:rsidP="009D1FE5">
            <w:pPr>
              <w:spacing w:after="0" w:line="240" w:lineRule="auto"/>
              <w:rPr>
                <w:rFonts w:ascii="Arial" w:hAnsi="Arial" w:cs="Arial"/>
                <w:b/>
                <w:bCs/>
                <w:sz w:val="16"/>
                <w:szCs w:val="16"/>
              </w:rPr>
            </w:pPr>
            <w:r w:rsidRPr="00C13A37">
              <w:rPr>
                <w:rFonts w:ascii="Arial" w:hAnsi="Arial" w:cs="Arial"/>
                <w:b/>
                <w:bCs/>
                <w:sz w:val="16"/>
                <w:szCs w:val="16"/>
              </w:rPr>
              <w:t>Total expenses for Outcome 6</w:t>
            </w:r>
          </w:p>
        </w:tc>
        <w:tc>
          <w:tcPr>
            <w:tcW w:w="602" w:type="pct"/>
            <w:tcBorders>
              <w:top w:val="nil"/>
              <w:left w:val="nil"/>
              <w:bottom w:val="single" w:sz="4" w:space="0" w:color="auto"/>
              <w:right w:val="nil"/>
            </w:tcBorders>
            <w:shd w:val="clear" w:color="auto" w:fill="auto"/>
            <w:hideMark/>
          </w:tcPr>
          <w:p w14:paraId="1657105D" w14:textId="3516F5E7"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1,008,356</w:t>
            </w:r>
          </w:p>
        </w:tc>
        <w:tc>
          <w:tcPr>
            <w:tcW w:w="559" w:type="pct"/>
            <w:tcBorders>
              <w:top w:val="nil"/>
              <w:left w:val="nil"/>
              <w:bottom w:val="single" w:sz="4" w:space="0" w:color="auto"/>
              <w:right w:val="nil"/>
            </w:tcBorders>
            <w:shd w:val="clear" w:color="auto" w:fill="E6E6E6"/>
            <w:hideMark/>
          </w:tcPr>
          <w:p w14:paraId="251B8672" w14:textId="4CE47276"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934,719</w:t>
            </w:r>
          </w:p>
        </w:tc>
        <w:tc>
          <w:tcPr>
            <w:tcW w:w="559" w:type="pct"/>
            <w:tcBorders>
              <w:top w:val="nil"/>
              <w:left w:val="nil"/>
              <w:bottom w:val="single" w:sz="4" w:space="0" w:color="auto"/>
              <w:right w:val="nil"/>
            </w:tcBorders>
            <w:shd w:val="clear" w:color="auto" w:fill="auto"/>
            <w:hideMark/>
          </w:tcPr>
          <w:p w14:paraId="2C0181E8" w14:textId="73080702"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845,457</w:t>
            </w:r>
          </w:p>
        </w:tc>
        <w:tc>
          <w:tcPr>
            <w:tcW w:w="559" w:type="pct"/>
            <w:tcBorders>
              <w:top w:val="nil"/>
              <w:left w:val="nil"/>
              <w:bottom w:val="single" w:sz="4" w:space="0" w:color="auto"/>
              <w:right w:val="nil"/>
            </w:tcBorders>
            <w:shd w:val="clear" w:color="auto" w:fill="auto"/>
            <w:hideMark/>
          </w:tcPr>
          <w:p w14:paraId="50E1677D" w14:textId="1601D862"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839,544</w:t>
            </w:r>
          </w:p>
        </w:tc>
        <w:tc>
          <w:tcPr>
            <w:tcW w:w="558" w:type="pct"/>
            <w:tcBorders>
              <w:top w:val="nil"/>
              <w:left w:val="nil"/>
              <w:bottom w:val="single" w:sz="4" w:space="0" w:color="auto"/>
              <w:right w:val="nil"/>
            </w:tcBorders>
            <w:shd w:val="clear" w:color="auto" w:fill="auto"/>
            <w:hideMark/>
          </w:tcPr>
          <w:p w14:paraId="724C07D0" w14:textId="5FD6D66E" w:rsidR="009D1FE5" w:rsidRPr="00C13A37" w:rsidRDefault="009D1FE5" w:rsidP="009D1FE5">
            <w:pPr>
              <w:spacing w:after="0" w:line="240" w:lineRule="auto"/>
              <w:jc w:val="right"/>
              <w:rPr>
                <w:rFonts w:ascii="Arial" w:hAnsi="Arial" w:cs="Arial"/>
                <w:b/>
                <w:bCs/>
                <w:sz w:val="16"/>
                <w:szCs w:val="16"/>
              </w:rPr>
            </w:pPr>
            <w:r>
              <w:rPr>
                <w:rFonts w:ascii="Arial" w:hAnsi="Arial" w:cs="Arial"/>
                <w:b/>
                <w:bCs/>
                <w:sz w:val="16"/>
                <w:szCs w:val="16"/>
              </w:rPr>
              <w:t>848,296</w:t>
            </w:r>
          </w:p>
        </w:tc>
      </w:tr>
    </w:tbl>
    <w:p w14:paraId="2137C628" w14:textId="77777777" w:rsidR="00115843" w:rsidRDefault="00115843" w:rsidP="00115843">
      <w:pPr>
        <w:spacing w:after="0" w:line="240" w:lineRule="auto"/>
        <w:rPr>
          <w:rFonts w:ascii="Arial" w:hAnsi="Arial" w:cs="Arial"/>
          <w:sz w:val="16"/>
        </w:rPr>
      </w:pPr>
    </w:p>
    <w:tbl>
      <w:tblPr>
        <w:tblW w:w="7699" w:type="dxa"/>
        <w:tblLook w:val="04A0" w:firstRow="1" w:lastRow="0" w:firstColumn="1" w:lastColumn="0" w:noHBand="0" w:noVBand="1"/>
      </w:tblPr>
      <w:tblGrid>
        <w:gridCol w:w="3332"/>
        <w:gridCol w:w="910"/>
        <w:gridCol w:w="910"/>
        <w:gridCol w:w="839"/>
        <w:gridCol w:w="840"/>
        <w:gridCol w:w="868"/>
      </w:tblGrid>
      <w:tr w:rsidR="00115843" w:rsidRPr="00DF30A2" w14:paraId="0788A43D" w14:textId="77777777" w:rsidTr="005334F2">
        <w:trPr>
          <w:trHeight w:val="204"/>
        </w:trPr>
        <w:tc>
          <w:tcPr>
            <w:tcW w:w="3332" w:type="dxa"/>
            <w:tcBorders>
              <w:top w:val="single" w:sz="4" w:space="0" w:color="auto"/>
              <w:left w:val="nil"/>
              <w:bottom w:val="nil"/>
              <w:right w:val="nil"/>
            </w:tcBorders>
            <w:shd w:val="clear" w:color="auto" w:fill="auto"/>
            <w:vAlign w:val="bottom"/>
            <w:hideMark/>
          </w:tcPr>
          <w:p w14:paraId="73B9C133" w14:textId="03D3828D" w:rsidR="00115843" w:rsidRPr="00DF30A2" w:rsidRDefault="00115843" w:rsidP="00FB0D02">
            <w:pPr>
              <w:spacing w:after="0" w:line="240" w:lineRule="auto"/>
              <w:rPr>
                <w:rFonts w:ascii="Arial" w:hAnsi="Arial" w:cs="Arial"/>
                <w:b/>
                <w:bCs/>
                <w:sz w:val="16"/>
                <w:szCs w:val="16"/>
              </w:rPr>
            </w:pPr>
            <w:r w:rsidRPr="00DF30A2">
              <w:rPr>
                <w:rFonts w:ascii="Arial" w:hAnsi="Arial" w:cs="Arial"/>
                <w:b/>
                <w:bCs/>
                <w:sz w:val="16"/>
                <w:szCs w:val="16"/>
              </w:rPr>
              <w:t xml:space="preserve">Movement of administered funds between years </w:t>
            </w:r>
            <w:r w:rsidRPr="00DF30A2">
              <w:rPr>
                <w:rFonts w:ascii="Arial" w:hAnsi="Arial" w:cs="Arial"/>
                <w:bCs/>
                <w:sz w:val="16"/>
                <w:szCs w:val="16"/>
                <w:vertAlign w:val="superscript"/>
              </w:rPr>
              <w:t>(</w:t>
            </w:r>
            <w:r w:rsidR="009D1FE5">
              <w:rPr>
                <w:rFonts w:ascii="Arial" w:hAnsi="Arial" w:cs="Arial"/>
                <w:bCs/>
                <w:sz w:val="16"/>
                <w:szCs w:val="16"/>
                <w:vertAlign w:val="superscript"/>
              </w:rPr>
              <w:t>f</w:t>
            </w:r>
            <w:r w:rsidRPr="00DF30A2">
              <w:rPr>
                <w:rFonts w:ascii="Arial" w:hAnsi="Arial" w:cs="Arial"/>
                <w:bCs/>
                <w:sz w:val="16"/>
                <w:szCs w:val="16"/>
                <w:vertAlign w:val="superscript"/>
              </w:rPr>
              <w:t>)</w:t>
            </w:r>
          </w:p>
        </w:tc>
        <w:tc>
          <w:tcPr>
            <w:tcW w:w="910" w:type="dxa"/>
            <w:tcBorders>
              <w:top w:val="single" w:sz="4" w:space="0" w:color="auto"/>
              <w:left w:val="nil"/>
              <w:bottom w:val="nil"/>
              <w:right w:val="nil"/>
            </w:tcBorders>
            <w:shd w:val="clear" w:color="auto" w:fill="auto"/>
            <w:vAlign w:val="bottom"/>
            <w:hideMark/>
          </w:tcPr>
          <w:p w14:paraId="3835A51C" w14:textId="77777777" w:rsidR="00115843" w:rsidRPr="00DF30A2" w:rsidRDefault="00115843" w:rsidP="00FB0D02">
            <w:pPr>
              <w:spacing w:after="0" w:line="240" w:lineRule="auto"/>
              <w:jc w:val="right"/>
              <w:rPr>
                <w:rFonts w:ascii="Arial" w:hAnsi="Arial" w:cs="Arial"/>
                <w:b/>
                <w:bCs/>
                <w:sz w:val="16"/>
                <w:szCs w:val="16"/>
              </w:rPr>
            </w:pPr>
          </w:p>
        </w:tc>
        <w:tc>
          <w:tcPr>
            <w:tcW w:w="910" w:type="dxa"/>
            <w:tcBorders>
              <w:top w:val="single" w:sz="4" w:space="0" w:color="auto"/>
              <w:left w:val="nil"/>
              <w:bottom w:val="nil"/>
              <w:right w:val="nil"/>
            </w:tcBorders>
            <w:shd w:val="clear" w:color="auto" w:fill="E6E6E6"/>
            <w:noWrap/>
            <w:vAlign w:val="bottom"/>
            <w:hideMark/>
          </w:tcPr>
          <w:p w14:paraId="7D0BE614" w14:textId="77777777" w:rsidR="00115843" w:rsidRPr="00DF30A2" w:rsidRDefault="00115843" w:rsidP="00FB0D02">
            <w:pPr>
              <w:spacing w:after="0" w:line="240" w:lineRule="auto"/>
              <w:jc w:val="right"/>
              <w:rPr>
                <w:rFonts w:ascii="Arial" w:hAnsi="Arial" w:cs="Arial"/>
                <w:sz w:val="16"/>
                <w:szCs w:val="16"/>
              </w:rPr>
            </w:pPr>
          </w:p>
        </w:tc>
        <w:tc>
          <w:tcPr>
            <w:tcW w:w="839" w:type="dxa"/>
            <w:tcBorders>
              <w:top w:val="single" w:sz="4" w:space="0" w:color="auto"/>
              <w:left w:val="nil"/>
              <w:bottom w:val="nil"/>
              <w:right w:val="nil"/>
            </w:tcBorders>
            <w:shd w:val="clear" w:color="auto" w:fill="auto"/>
            <w:vAlign w:val="bottom"/>
            <w:hideMark/>
          </w:tcPr>
          <w:p w14:paraId="4C869556" w14:textId="77777777" w:rsidR="00115843" w:rsidRPr="00DF30A2" w:rsidRDefault="00115843" w:rsidP="00FB0D02">
            <w:pPr>
              <w:spacing w:after="0" w:line="240" w:lineRule="auto"/>
              <w:jc w:val="right"/>
              <w:rPr>
                <w:rFonts w:ascii="Arial" w:hAnsi="Arial" w:cs="Arial"/>
                <w:sz w:val="16"/>
                <w:szCs w:val="16"/>
              </w:rPr>
            </w:pPr>
          </w:p>
        </w:tc>
        <w:tc>
          <w:tcPr>
            <w:tcW w:w="840" w:type="dxa"/>
            <w:tcBorders>
              <w:top w:val="single" w:sz="4" w:space="0" w:color="auto"/>
              <w:left w:val="nil"/>
              <w:bottom w:val="nil"/>
              <w:right w:val="nil"/>
            </w:tcBorders>
            <w:shd w:val="clear" w:color="auto" w:fill="auto"/>
            <w:vAlign w:val="bottom"/>
            <w:hideMark/>
          </w:tcPr>
          <w:p w14:paraId="621BD8AF" w14:textId="77777777" w:rsidR="00115843" w:rsidRPr="00DF30A2" w:rsidRDefault="00115843" w:rsidP="00FB0D02">
            <w:pPr>
              <w:spacing w:after="0" w:line="240" w:lineRule="auto"/>
              <w:jc w:val="right"/>
              <w:rPr>
                <w:rFonts w:ascii="Arial" w:hAnsi="Arial" w:cs="Arial"/>
                <w:sz w:val="16"/>
                <w:szCs w:val="16"/>
              </w:rPr>
            </w:pPr>
          </w:p>
        </w:tc>
        <w:tc>
          <w:tcPr>
            <w:tcW w:w="868" w:type="dxa"/>
            <w:tcBorders>
              <w:top w:val="single" w:sz="4" w:space="0" w:color="auto"/>
              <w:left w:val="nil"/>
              <w:bottom w:val="nil"/>
              <w:right w:val="nil"/>
            </w:tcBorders>
            <w:shd w:val="clear" w:color="auto" w:fill="auto"/>
            <w:vAlign w:val="bottom"/>
            <w:hideMark/>
          </w:tcPr>
          <w:p w14:paraId="6154A69C" w14:textId="77777777" w:rsidR="00115843" w:rsidRPr="00DF30A2" w:rsidRDefault="00115843" w:rsidP="00FB0D02">
            <w:pPr>
              <w:spacing w:after="0" w:line="240" w:lineRule="auto"/>
              <w:jc w:val="right"/>
              <w:rPr>
                <w:rFonts w:ascii="Arial" w:hAnsi="Arial" w:cs="Arial"/>
                <w:sz w:val="16"/>
                <w:szCs w:val="16"/>
              </w:rPr>
            </w:pPr>
          </w:p>
        </w:tc>
      </w:tr>
      <w:tr w:rsidR="009D1FE5" w:rsidRPr="00DF30A2" w14:paraId="536BBAB3" w14:textId="77777777" w:rsidTr="005334F2">
        <w:trPr>
          <w:trHeight w:val="204"/>
        </w:trPr>
        <w:tc>
          <w:tcPr>
            <w:tcW w:w="3332" w:type="dxa"/>
            <w:tcBorders>
              <w:top w:val="nil"/>
              <w:left w:val="nil"/>
              <w:bottom w:val="nil"/>
              <w:right w:val="nil"/>
            </w:tcBorders>
            <w:shd w:val="clear" w:color="auto" w:fill="auto"/>
            <w:vAlign w:val="bottom"/>
            <w:hideMark/>
          </w:tcPr>
          <w:p w14:paraId="20116B6A" w14:textId="77777777" w:rsidR="009D1FE5" w:rsidRPr="00DF30A2" w:rsidRDefault="009D1FE5" w:rsidP="00D76231">
            <w:pPr>
              <w:spacing w:after="0" w:line="240" w:lineRule="auto"/>
              <w:ind w:left="171"/>
              <w:rPr>
                <w:rFonts w:ascii="Arial" w:hAnsi="Arial" w:cs="Arial"/>
                <w:sz w:val="16"/>
                <w:szCs w:val="16"/>
              </w:rPr>
            </w:pPr>
            <w:r w:rsidRPr="00DF30A2">
              <w:rPr>
                <w:rFonts w:ascii="Arial" w:hAnsi="Arial" w:cs="Arial"/>
                <w:sz w:val="16"/>
                <w:szCs w:val="16"/>
              </w:rPr>
              <w:t>Program 6.1:  Arts and Cultural Development</w:t>
            </w:r>
          </w:p>
        </w:tc>
        <w:tc>
          <w:tcPr>
            <w:tcW w:w="910" w:type="dxa"/>
            <w:tcBorders>
              <w:top w:val="nil"/>
              <w:left w:val="nil"/>
              <w:bottom w:val="nil"/>
              <w:right w:val="nil"/>
            </w:tcBorders>
            <w:shd w:val="clear" w:color="auto" w:fill="auto"/>
            <w:noWrap/>
            <w:vAlign w:val="bottom"/>
            <w:hideMark/>
          </w:tcPr>
          <w:p w14:paraId="57527E46" w14:textId="0A3AE3E4" w:rsidR="009D1FE5" w:rsidRPr="00DF30A2" w:rsidRDefault="009D1FE5" w:rsidP="009D1FE5">
            <w:pPr>
              <w:spacing w:after="0" w:line="240" w:lineRule="auto"/>
              <w:jc w:val="right"/>
              <w:rPr>
                <w:rFonts w:ascii="Arial" w:hAnsi="Arial" w:cs="Arial"/>
                <w:sz w:val="16"/>
                <w:szCs w:val="16"/>
              </w:rPr>
            </w:pPr>
            <w:r>
              <w:rPr>
                <w:rFonts w:ascii="Arial" w:hAnsi="Arial" w:cs="Arial"/>
                <w:sz w:val="16"/>
                <w:szCs w:val="16"/>
              </w:rPr>
              <w:t>(50,000)</w:t>
            </w:r>
          </w:p>
        </w:tc>
        <w:tc>
          <w:tcPr>
            <w:tcW w:w="910" w:type="dxa"/>
            <w:tcBorders>
              <w:top w:val="nil"/>
              <w:left w:val="nil"/>
              <w:bottom w:val="nil"/>
              <w:right w:val="nil"/>
            </w:tcBorders>
            <w:shd w:val="clear" w:color="auto" w:fill="E6E6E6"/>
            <w:noWrap/>
            <w:vAlign w:val="bottom"/>
            <w:hideMark/>
          </w:tcPr>
          <w:p w14:paraId="12C3292F" w14:textId="77777777" w:rsidR="009D1FE5" w:rsidRPr="00DF30A2" w:rsidRDefault="009D1FE5" w:rsidP="009D1FE5">
            <w:pPr>
              <w:spacing w:after="0" w:line="240" w:lineRule="auto"/>
              <w:jc w:val="right"/>
              <w:rPr>
                <w:rFonts w:ascii="Arial" w:hAnsi="Arial" w:cs="Arial"/>
                <w:sz w:val="16"/>
                <w:szCs w:val="16"/>
              </w:rPr>
            </w:pPr>
            <w:r w:rsidRPr="00DF30A2">
              <w:rPr>
                <w:rFonts w:ascii="Arial" w:hAnsi="Arial" w:cs="Arial"/>
                <w:sz w:val="16"/>
                <w:szCs w:val="16"/>
              </w:rPr>
              <w:t>50,000</w:t>
            </w:r>
          </w:p>
        </w:tc>
        <w:tc>
          <w:tcPr>
            <w:tcW w:w="839" w:type="dxa"/>
            <w:tcBorders>
              <w:top w:val="nil"/>
              <w:left w:val="nil"/>
              <w:bottom w:val="nil"/>
              <w:right w:val="nil"/>
            </w:tcBorders>
            <w:shd w:val="clear" w:color="auto" w:fill="auto"/>
            <w:noWrap/>
            <w:vAlign w:val="bottom"/>
            <w:hideMark/>
          </w:tcPr>
          <w:p w14:paraId="640FBD2C" w14:textId="77777777" w:rsidR="009D1FE5" w:rsidRPr="00DF30A2" w:rsidRDefault="009D1FE5" w:rsidP="009D1FE5">
            <w:pPr>
              <w:spacing w:after="0" w:line="240" w:lineRule="auto"/>
              <w:jc w:val="right"/>
              <w:rPr>
                <w:rFonts w:ascii="Arial" w:hAnsi="Arial" w:cs="Arial"/>
                <w:sz w:val="16"/>
                <w:szCs w:val="16"/>
              </w:rPr>
            </w:pPr>
            <w:r w:rsidRPr="00DF30A2">
              <w:rPr>
                <w:rFonts w:ascii="Arial" w:hAnsi="Arial" w:cs="Arial"/>
                <w:sz w:val="16"/>
                <w:szCs w:val="16"/>
              </w:rPr>
              <w:t>-</w:t>
            </w:r>
          </w:p>
        </w:tc>
        <w:tc>
          <w:tcPr>
            <w:tcW w:w="840" w:type="dxa"/>
            <w:tcBorders>
              <w:top w:val="nil"/>
              <w:left w:val="nil"/>
              <w:bottom w:val="nil"/>
              <w:right w:val="nil"/>
            </w:tcBorders>
            <w:shd w:val="clear" w:color="auto" w:fill="auto"/>
            <w:noWrap/>
            <w:vAlign w:val="bottom"/>
            <w:hideMark/>
          </w:tcPr>
          <w:p w14:paraId="4AD93DAA" w14:textId="77777777" w:rsidR="009D1FE5" w:rsidRPr="00DF30A2" w:rsidRDefault="009D1FE5" w:rsidP="009D1FE5">
            <w:pPr>
              <w:spacing w:after="0" w:line="240" w:lineRule="auto"/>
              <w:jc w:val="right"/>
              <w:rPr>
                <w:rFonts w:ascii="Arial" w:hAnsi="Arial" w:cs="Arial"/>
                <w:sz w:val="16"/>
                <w:szCs w:val="16"/>
              </w:rPr>
            </w:pPr>
            <w:r w:rsidRPr="00DF30A2">
              <w:rPr>
                <w:rFonts w:ascii="Arial" w:hAnsi="Arial" w:cs="Arial"/>
                <w:sz w:val="16"/>
                <w:szCs w:val="16"/>
              </w:rPr>
              <w:t>-</w:t>
            </w:r>
          </w:p>
        </w:tc>
        <w:tc>
          <w:tcPr>
            <w:tcW w:w="868" w:type="dxa"/>
            <w:tcBorders>
              <w:top w:val="nil"/>
              <w:left w:val="nil"/>
              <w:bottom w:val="nil"/>
              <w:right w:val="nil"/>
            </w:tcBorders>
            <w:shd w:val="clear" w:color="auto" w:fill="auto"/>
            <w:noWrap/>
            <w:vAlign w:val="bottom"/>
            <w:hideMark/>
          </w:tcPr>
          <w:p w14:paraId="0B1F8631" w14:textId="77777777" w:rsidR="009D1FE5" w:rsidRPr="00DF30A2" w:rsidRDefault="009D1FE5" w:rsidP="009D1FE5">
            <w:pPr>
              <w:spacing w:after="0" w:line="240" w:lineRule="auto"/>
              <w:jc w:val="right"/>
              <w:rPr>
                <w:rFonts w:ascii="Arial" w:hAnsi="Arial" w:cs="Arial"/>
                <w:sz w:val="16"/>
                <w:szCs w:val="16"/>
              </w:rPr>
            </w:pPr>
            <w:r w:rsidRPr="00DF30A2">
              <w:rPr>
                <w:rFonts w:ascii="Arial" w:hAnsi="Arial" w:cs="Arial"/>
                <w:sz w:val="16"/>
                <w:szCs w:val="16"/>
              </w:rPr>
              <w:t>-</w:t>
            </w:r>
          </w:p>
        </w:tc>
      </w:tr>
      <w:tr w:rsidR="009D1FE5" w:rsidRPr="00DF30A2" w14:paraId="049D1EC6" w14:textId="77777777" w:rsidTr="005334F2">
        <w:trPr>
          <w:trHeight w:val="204"/>
        </w:trPr>
        <w:tc>
          <w:tcPr>
            <w:tcW w:w="3332" w:type="dxa"/>
            <w:tcBorders>
              <w:top w:val="nil"/>
              <w:left w:val="nil"/>
              <w:bottom w:val="single" w:sz="4" w:space="0" w:color="auto"/>
              <w:right w:val="nil"/>
            </w:tcBorders>
            <w:shd w:val="clear" w:color="auto" w:fill="auto"/>
            <w:vAlign w:val="bottom"/>
            <w:hideMark/>
          </w:tcPr>
          <w:p w14:paraId="66E64801" w14:textId="77777777" w:rsidR="009D1FE5" w:rsidRPr="00DF30A2" w:rsidRDefault="009D1FE5" w:rsidP="009D1FE5">
            <w:pPr>
              <w:spacing w:after="0" w:line="240" w:lineRule="auto"/>
              <w:rPr>
                <w:rFonts w:ascii="Arial" w:hAnsi="Arial" w:cs="Arial"/>
                <w:b/>
                <w:bCs/>
                <w:sz w:val="16"/>
                <w:szCs w:val="16"/>
              </w:rPr>
            </w:pPr>
            <w:r w:rsidRPr="00DF30A2">
              <w:rPr>
                <w:rFonts w:ascii="Arial" w:hAnsi="Arial" w:cs="Arial"/>
                <w:b/>
                <w:bCs/>
                <w:sz w:val="16"/>
                <w:szCs w:val="16"/>
              </w:rPr>
              <w:t>Total movement of administered funds between years</w:t>
            </w:r>
          </w:p>
        </w:tc>
        <w:tc>
          <w:tcPr>
            <w:tcW w:w="910" w:type="dxa"/>
            <w:tcBorders>
              <w:top w:val="single" w:sz="4" w:space="0" w:color="auto"/>
              <w:left w:val="nil"/>
              <w:bottom w:val="single" w:sz="4" w:space="0" w:color="auto"/>
              <w:right w:val="nil"/>
            </w:tcBorders>
            <w:shd w:val="clear" w:color="auto" w:fill="auto"/>
            <w:noWrap/>
            <w:vAlign w:val="bottom"/>
            <w:hideMark/>
          </w:tcPr>
          <w:p w14:paraId="2B654C8B" w14:textId="515EC68E" w:rsidR="009D1FE5" w:rsidRPr="00DF30A2" w:rsidRDefault="009D1FE5" w:rsidP="009D1FE5">
            <w:pPr>
              <w:spacing w:after="0" w:line="240" w:lineRule="auto"/>
              <w:jc w:val="right"/>
              <w:rPr>
                <w:rFonts w:ascii="Arial" w:hAnsi="Arial" w:cs="Arial"/>
                <w:b/>
                <w:bCs/>
                <w:sz w:val="16"/>
                <w:szCs w:val="16"/>
              </w:rPr>
            </w:pPr>
            <w:r>
              <w:rPr>
                <w:rFonts w:ascii="Arial" w:hAnsi="Arial" w:cs="Arial"/>
                <w:b/>
                <w:bCs/>
                <w:sz w:val="16"/>
                <w:szCs w:val="16"/>
              </w:rPr>
              <w:t>(50,000)</w:t>
            </w:r>
          </w:p>
        </w:tc>
        <w:tc>
          <w:tcPr>
            <w:tcW w:w="910" w:type="dxa"/>
            <w:tcBorders>
              <w:top w:val="single" w:sz="4" w:space="0" w:color="auto"/>
              <w:left w:val="nil"/>
              <w:bottom w:val="single" w:sz="4" w:space="0" w:color="auto"/>
              <w:right w:val="nil"/>
            </w:tcBorders>
            <w:shd w:val="clear" w:color="auto" w:fill="E6E6E6"/>
            <w:noWrap/>
            <w:vAlign w:val="bottom"/>
            <w:hideMark/>
          </w:tcPr>
          <w:p w14:paraId="683645D6" w14:textId="77777777" w:rsidR="009D1FE5" w:rsidRPr="00DF30A2" w:rsidRDefault="009D1FE5" w:rsidP="009D1FE5">
            <w:pPr>
              <w:spacing w:after="0" w:line="240" w:lineRule="auto"/>
              <w:jc w:val="right"/>
              <w:rPr>
                <w:rFonts w:ascii="Arial" w:hAnsi="Arial" w:cs="Arial"/>
                <w:b/>
                <w:bCs/>
                <w:sz w:val="16"/>
                <w:szCs w:val="16"/>
              </w:rPr>
            </w:pPr>
            <w:r w:rsidRPr="00DF30A2">
              <w:rPr>
                <w:rFonts w:ascii="Arial" w:hAnsi="Arial" w:cs="Arial"/>
                <w:b/>
                <w:bCs/>
                <w:sz w:val="16"/>
                <w:szCs w:val="16"/>
              </w:rPr>
              <w:t>50,000</w:t>
            </w:r>
          </w:p>
        </w:tc>
        <w:tc>
          <w:tcPr>
            <w:tcW w:w="839" w:type="dxa"/>
            <w:tcBorders>
              <w:top w:val="single" w:sz="4" w:space="0" w:color="auto"/>
              <w:left w:val="nil"/>
              <w:bottom w:val="single" w:sz="4" w:space="0" w:color="auto"/>
              <w:right w:val="nil"/>
            </w:tcBorders>
            <w:shd w:val="clear" w:color="auto" w:fill="auto"/>
            <w:noWrap/>
            <w:vAlign w:val="bottom"/>
            <w:hideMark/>
          </w:tcPr>
          <w:p w14:paraId="05221EAD" w14:textId="77777777" w:rsidR="009D1FE5" w:rsidRPr="00DF30A2" w:rsidRDefault="009D1FE5" w:rsidP="009D1FE5">
            <w:pPr>
              <w:spacing w:after="0" w:line="240" w:lineRule="auto"/>
              <w:jc w:val="right"/>
              <w:rPr>
                <w:rFonts w:ascii="Arial" w:hAnsi="Arial" w:cs="Arial"/>
                <w:b/>
                <w:bCs/>
                <w:sz w:val="16"/>
                <w:szCs w:val="16"/>
              </w:rPr>
            </w:pPr>
            <w:r w:rsidRPr="00DF30A2">
              <w:rPr>
                <w:rFonts w:ascii="Arial" w:hAnsi="Arial" w:cs="Arial"/>
                <w:b/>
                <w:bCs/>
                <w:sz w:val="16"/>
                <w:szCs w:val="16"/>
              </w:rPr>
              <w:t>-</w:t>
            </w:r>
          </w:p>
        </w:tc>
        <w:tc>
          <w:tcPr>
            <w:tcW w:w="840" w:type="dxa"/>
            <w:tcBorders>
              <w:top w:val="single" w:sz="4" w:space="0" w:color="auto"/>
              <w:left w:val="nil"/>
              <w:bottom w:val="single" w:sz="4" w:space="0" w:color="auto"/>
              <w:right w:val="nil"/>
            </w:tcBorders>
            <w:shd w:val="clear" w:color="auto" w:fill="auto"/>
            <w:noWrap/>
            <w:vAlign w:val="bottom"/>
            <w:hideMark/>
          </w:tcPr>
          <w:p w14:paraId="08FF96F6" w14:textId="77777777" w:rsidR="009D1FE5" w:rsidRPr="00DF30A2" w:rsidRDefault="009D1FE5" w:rsidP="009D1FE5">
            <w:pPr>
              <w:spacing w:after="0" w:line="240" w:lineRule="auto"/>
              <w:jc w:val="right"/>
              <w:rPr>
                <w:rFonts w:ascii="Arial" w:hAnsi="Arial" w:cs="Arial"/>
                <w:b/>
                <w:bCs/>
                <w:sz w:val="16"/>
                <w:szCs w:val="16"/>
              </w:rPr>
            </w:pPr>
            <w:r w:rsidRPr="00DF30A2">
              <w:rPr>
                <w:rFonts w:ascii="Arial" w:hAnsi="Arial" w:cs="Arial"/>
                <w:b/>
                <w:bCs/>
                <w:sz w:val="16"/>
                <w:szCs w:val="16"/>
              </w:rPr>
              <w:t>-</w:t>
            </w:r>
          </w:p>
        </w:tc>
        <w:tc>
          <w:tcPr>
            <w:tcW w:w="868" w:type="dxa"/>
            <w:tcBorders>
              <w:top w:val="single" w:sz="4" w:space="0" w:color="auto"/>
              <w:left w:val="nil"/>
              <w:bottom w:val="single" w:sz="4" w:space="0" w:color="auto"/>
              <w:right w:val="nil"/>
            </w:tcBorders>
            <w:shd w:val="clear" w:color="auto" w:fill="auto"/>
            <w:noWrap/>
            <w:vAlign w:val="bottom"/>
            <w:hideMark/>
          </w:tcPr>
          <w:p w14:paraId="504F131D" w14:textId="77777777" w:rsidR="009D1FE5" w:rsidRPr="00DF30A2" w:rsidRDefault="009D1FE5" w:rsidP="009D1FE5">
            <w:pPr>
              <w:spacing w:after="0" w:line="240" w:lineRule="auto"/>
              <w:jc w:val="right"/>
              <w:rPr>
                <w:rFonts w:ascii="Arial" w:hAnsi="Arial" w:cs="Arial"/>
                <w:b/>
                <w:bCs/>
                <w:sz w:val="16"/>
                <w:szCs w:val="16"/>
              </w:rPr>
            </w:pPr>
            <w:r w:rsidRPr="00DF30A2">
              <w:rPr>
                <w:rFonts w:ascii="Arial" w:hAnsi="Arial" w:cs="Arial"/>
                <w:b/>
                <w:bCs/>
                <w:sz w:val="16"/>
                <w:szCs w:val="16"/>
              </w:rPr>
              <w:t>-</w:t>
            </w:r>
          </w:p>
        </w:tc>
      </w:tr>
    </w:tbl>
    <w:p w14:paraId="1AB2403D" w14:textId="77777777" w:rsidR="00115843" w:rsidRDefault="00115843" w:rsidP="00115843">
      <w:pPr>
        <w:spacing w:after="0" w:line="240" w:lineRule="auto"/>
        <w:rPr>
          <w:rFonts w:ascii="Arial" w:hAnsi="Arial" w:cs="Arial"/>
          <w:sz w:val="16"/>
        </w:rPr>
      </w:pPr>
    </w:p>
    <w:tbl>
      <w:tblPr>
        <w:tblW w:w="5180" w:type="dxa"/>
        <w:tblLook w:val="04A0" w:firstRow="1" w:lastRow="0" w:firstColumn="1" w:lastColumn="0" w:noHBand="0" w:noVBand="1"/>
      </w:tblPr>
      <w:tblGrid>
        <w:gridCol w:w="3402"/>
        <w:gridCol w:w="851"/>
        <w:gridCol w:w="927"/>
      </w:tblGrid>
      <w:tr w:rsidR="00115843" w:rsidRPr="00713029" w14:paraId="7D71C424" w14:textId="77777777" w:rsidTr="005334F2">
        <w:trPr>
          <w:trHeight w:val="204"/>
        </w:trPr>
        <w:tc>
          <w:tcPr>
            <w:tcW w:w="3402" w:type="dxa"/>
            <w:tcBorders>
              <w:top w:val="single" w:sz="4" w:space="0" w:color="auto"/>
              <w:left w:val="nil"/>
              <w:bottom w:val="nil"/>
              <w:right w:val="nil"/>
            </w:tcBorders>
            <w:shd w:val="clear" w:color="auto" w:fill="auto"/>
            <w:noWrap/>
            <w:vAlign w:val="bottom"/>
            <w:hideMark/>
          </w:tcPr>
          <w:p w14:paraId="43572160" w14:textId="77777777" w:rsidR="00115843" w:rsidRPr="00713029" w:rsidRDefault="00115843" w:rsidP="00FB0D02">
            <w:pPr>
              <w:spacing w:after="0" w:line="240" w:lineRule="auto"/>
              <w:rPr>
                <w:rFonts w:ascii="Arial" w:hAnsi="Arial" w:cs="Arial"/>
                <w:sz w:val="16"/>
                <w:szCs w:val="16"/>
              </w:rPr>
            </w:pPr>
            <w:r w:rsidRPr="00713029">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14:paraId="00A84914" w14:textId="77777777" w:rsidR="00115843" w:rsidRPr="00713029" w:rsidRDefault="00115843" w:rsidP="00FB0D02">
            <w:pPr>
              <w:spacing w:after="0" w:line="240" w:lineRule="auto"/>
              <w:jc w:val="right"/>
              <w:rPr>
                <w:rFonts w:ascii="Arial" w:hAnsi="Arial" w:cs="Arial"/>
                <w:sz w:val="16"/>
                <w:szCs w:val="16"/>
              </w:rPr>
            </w:pPr>
            <w:r w:rsidRPr="00713029">
              <w:rPr>
                <w:rFonts w:ascii="Arial" w:hAnsi="Arial" w:cs="Arial"/>
                <w:sz w:val="16"/>
                <w:szCs w:val="16"/>
              </w:rPr>
              <w:t>2021-22</w:t>
            </w:r>
          </w:p>
        </w:tc>
        <w:tc>
          <w:tcPr>
            <w:tcW w:w="927" w:type="dxa"/>
            <w:tcBorders>
              <w:top w:val="single" w:sz="4" w:space="0" w:color="auto"/>
              <w:left w:val="nil"/>
              <w:bottom w:val="single" w:sz="4" w:space="0" w:color="auto"/>
              <w:right w:val="nil"/>
            </w:tcBorders>
            <w:shd w:val="clear" w:color="auto" w:fill="E6E6E6"/>
            <w:noWrap/>
            <w:vAlign w:val="bottom"/>
            <w:hideMark/>
          </w:tcPr>
          <w:p w14:paraId="530838A4" w14:textId="77777777" w:rsidR="00115843" w:rsidRPr="00713029" w:rsidRDefault="00115843" w:rsidP="00FB0D02">
            <w:pPr>
              <w:spacing w:after="0" w:line="240" w:lineRule="auto"/>
              <w:jc w:val="right"/>
              <w:rPr>
                <w:rFonts w:ascii="Arial" w:hAnsi="Arial" w:cs="Arial"/>
                <w:sz w:val="16"/>
                <w:szCs w:val="16"/>
              </w:rPr>
            </w:pPr>
            <w:r w:rsidRPr="00713029">
              <w:rPr>
                <w:rFonts w:ascii="Arial" w:hAnsi="Arial" w:cs="Arial"/>
                <w:sz w:val="16"/>
                <w:szCs w:val="16"/>
              </w:rPr>
              <w:t>2022-23</w:t>
            </w:r>
          </w:p>
        </w:tc>
      </w:tr>
      <w:tr w:rsidR="00115843" w:rsidRPr="00713029" w14:paraId="1FFEFD96" w14:textId="77777777" w:rsidTr="005334F2">
        <w:trPr>
          <w:trHeight w:val="204"/>
        </w:trPr>
        <w:tc>
          <w:tcPr>
            <w:tcW w:w="3402" w:type="dxa"/>
            <w:tcBorders>
              <w:top w:val="nil"/>
              <w:left w:val="nil"/>
              <w:bottom w:val="single" w:sz="4" w:space="0" w:color="auto"/>
              <w:right w:val="nil"/>
            </w:tcBorders>
            <w:shd w:val="clear" w:color="auto" w:fill="auto"/>
            <w:noWrap/>
            <w:vAlign w:val="bottom"/>
            <w:hideMark/>
          </w:tcPr>
          <w:p w14:paraId="107E9935" w14:textId="77777777" w:rsidR="00115843" w:rsidRPr="00713029" w:rsidRDefault="00115843" w:rsidP="00FB0D02">
            <w:pPr>
              <w:spacing w:after="0" w:line="240" w:lineRule="auto"/>
              <w:rPr>
                <w:rFonts w:ascii="Arial" w:hAnsi="Arial" w:cs="Arial"/>
                <w:b/>
                <w:bCs/>
                <w:sz w:val="16"/>
                <w:szCs w:val="16"/>
              </w:rPr>
            </w:pPr>
            <w:r w:rsidRPr="00713029">
              <w:rPr>
                <w:rFonts w:ascii="Arial" w:hAnsi="Arial" w:cs="Arial"/>
                <w:b/>
                <w:bCs/>
                <w:sz w:val="16"/>
                <w:szCs w:val="16"/>
              </w:rPr>
              <w:t>Average staffing level (number)</w:t>
            </w:r>
          </w:p>
        </w:tc>
        <w:tc>
          <w:tcPr>
            <w:tcW w:w="851" w:type="dxa"/>
            <w:tcBorders>
              <w:top w:val="nil"/>
              <w:left w:val="nil"/>
              <w:bottom w:val="single" w:sz="4" w:space="0" w:color="auto"/>
              <w:right w:val="nil"/>
            </w:tcBorders>
            <w:shd w:val="clear" w:color="auto" w:fill="auto"/>
            <w:noWrap/>
            <w:vAlign w:val="bottom"/>
            <w:hideMark/>
          </w:tcPr>
          <w:p w14:paraId="63C8511B" w14:textId="77777777" w:rsidR="00115843" w:rsidRPr="00713029" w:rsidRDefault="00115843" w:rsidP="00FB0D02">
            <w:pPr>
              <w:spacing w:after="0" w:line="240" w:lineRule="auto"/>
              <w:jc w:val="right"/>
              <w:rPr>
                <w:rFonts w:ascii="Arial" w:hAnsi="Arial" w:cs="Arial"/>
                <w:sz w:val="16"/>
                <w:szCs w:val="16"/>
              </w:rPr>
            </w:pPr>
            <w:r w:rsidRPr="00713029">
              <w:rPr>
                <w:rFonts w:ascii="Arial" w:hAnsi="Arial" w:cs="Arial"/>
                <w:sz w:val="16"/>
                <w:szCs w:val="16"/>
              </w:rPr>
              <w:t>225</w:t>
            </w:r>
          </w:p>
        </w:tc>
        <w:tc>
          <w:tcPr>
            <w:tcW w:w="927" w:type="dxa"/>
            <w:tcBorders>
              <w:top w:val="nil"/>
              <w:left w:val="nil"/>
              <w:bottom w:val="single" w:sz="4" w:space="0" w:color="auto"/>
              <w:right w:val="nil"/>
            </w:tcBorders>
            <w:shd w:val="clear" w:color="auto" w:fill="E6E6E6"/>
            <w:noWrap/>
            <w:vAlign w:val="bottom"/>
            <w:hideMark/>
          </w:tcPr>
          <w:p w14:paraId="16DC6442" w14:textId="77777777" w:rsidR="00115843" w:rsidRPr="00713029" w:rsidRDefault="00115843" w:rsidP="00FB0D02">
            <w:pPr>
              <w:spacing w:after="0" w:line="240" w:lineRule="auto"/>
              <w:jc w:val="right"/>
              <w:rPr>
                <w:rFonts w:ascii="Arial" w:hAnsi="Arial" w:cs="Arial"/>
                <w:sz w:val="16"/>
                <w:szCs w:val="16"/>
              </w:rPr>
            </w:pPr>
            <w:r w:rsidRPr="00713029">
              <w:rPr>
                <w:rFonts w:ascii="Arial" w:hAnsi="Arial" w:cs="Arial"/>
                <w:sz w:val="16"/>
                <w:szCs w:val="16"/>
              </w:rPr>
              <w:t>22</w:t>
            </w:r>
            <w:r>
              <w:rPr>
                <w:rFonts w:ascii="Arial" w:hAnsi="Arial" w:cs="Arial"/>
                <w:sz w:val="16"/>
                <w:szCs w:val="16"/>
              </w:rPr>
              <w:t>2</w:t>
            </w:r>
          </w:p>
        </w:tc>
      </w:tr>
    </w:tbl>
    <w:p w14:paraId="14533385" w14:textId="77777777" w:rsidR="00115843" w:rsidRPr="00C13A37" w:rsidRDefault="00115843" w:rsidP="00115843">
      <w:pPr>
        <w:pStyle w:val="ListParagraph"/>
        <w:numPr>
          <w:ilvl w:val="0"/>
          <w:numId w:val="232"/>
        </w:numPr>
        <w:spacing w:before="60" w:after="0" w:line="240" w:lineRule="auto"/>
        <w:ind w:left="426" w:hanging="426"/>
        <w:rPr>
          <w:rFonts w:ascii="Arial" w:hAnsi="Arial" w:cs="Arial"/>
          <w:sz w:val="16"/>
        </w:rPr>
      </w:pPr>
      <w:r w:rsidRPr="00C13A37">
        <w:rPr>
          <w:rFonts w:ascii="Arial" w:hAnsi="Arial" w:cs="Arial"/>
          <w:sz w:val="16"/>
        </w:rPr>
        <w:t xml:space="preserve">Relates to appropriation for corporate entities that is provided through </w:t>
      </w:r>
      <w:r>
        <w:rPr>
          <w:rFonts w:ascii="Arial" w:hAnsi="Arial" w:cs="Arial"/>
          <w:sz w:val="16"/>
        </w:rPr>
        <w:t>the Department</w:t>
      </w:r>
      <w:r w:rsidRPr="00C13A37">
        <w:rPr>
          <w:rFonts w:ascii="Arial" w:hAnsi="Arial" w:cs="Arial"/>
          <w:sz w:val="16"/>
        </w:rPr>
        <w:t>.</w:t>
      </w:r>
    </w:p>
    <w:p w14:paraId="56EC287E" w14:textId="77777777" w:rsidR="00115843" w:rsidRDefault="00115843" w:rsidP="00115843">
      <w:pPr>
        <w:pStyle w:val="ListParagraph"/>
        <w:numPr>
          <w:ilvl w:val="0"/>
          <w:numId w:val="232"/>
        </w:numPr>
        <w:spacing w:after="0" w:line="240" w:lineRule="auto"/>
        <w:ind w:left="426" w:hanging="426"/>
        <w:rPr>
          <w:rFonts w:ascii="Arial" w:hAnsi="Arial" w:cs="Arial"/>
          <w:sz w:val="16"/>
        </w:rPr>
      </w:pPr>
      <w:r w:rsidRPr="00C13A37">
        <w:rPr>
          <w:rFonts w:ascii="Arial" w:hAnsi="Arial" w:cs="Arial"/>
          <w:sz w:val="16"/>
        </w:rPr>
        <w:t>Administered ‘Expenses not requiring appropriation in the Budget year’ comprises expenses relating to expenses recovered from industry, accruals, payments made from prior year appropriations and other non–cash expenses.</w:t>
      </w:r>
    </w:p>
    <w:p w14:paraId="3CDA45F0" w14:textId="77777777" w:rsidR="00115843" w:rsidRDefault="00115843" w:rsidP="00115843">
      <w:pPr>
        <w:pStyle w:val="ListParagraph"/>
        <w:numPr>
          <w:ilvl w:val="0"/>
          <w:numId w:val="232"/>
        </w:numPr>
        <w:spacing w:after="0" w:line="240" w:lineRule="auto"/>
        <w:ind w:left="426" w:hanging="426"/>
        <w:rPr>
          <w:rFonts w:ascii="Arial" w:hAnsi="Arial" w:cs="Arial"/>
          <w:sz w:val="16"/>
        </w:rPr>
      </w:pPr>
      <w:r w:rsidRPr="00C13A37">
        <w:rPr>
          <w:rFonts w:ascii="Arial" w:hAnsi="Arial" w:cs="Arial"/>
          <w:sz w:val="16"/>
        </w:rPr>
        <w:t>Estimated expenses incurred in relation to receipts retained under section 74 of the PGPA Act.</w:t>
      </w:r>
    </w:p>
    <w:p w14:paraId="1CB9CBB3" w14:textId="77777777" w:rsidR="00115843" w:rsidRPr="00D275CC" w:rsidRDefault="00115843" w:rsidP="00115843">
      <w:pPr>
        <w:pStyle w:val="ListParagraph"/>
        <w:numPr>
          <w:ilvl w:val="0"/>
          <w:numId w:val="232"/>
        </w:numPr>
        <w:spacing w:after="0" w:line="240" w:lineRule="auto"/>
        <w:ind w:left="426" w:hanging="426"/>
        <w:rPr>
          <w:rFonts w:ascii="Arial" w:hAnsi="Arial" w:cs="Arial"/>
          <w:sz w:val="16"/>
        </w:rPr>
      </w:pPr>
      <w:bookmarkStart w:id="41" w:name="_Hlk115855784"/>
      <w:r w:rsidRPr="00D275CC">
        <w:rPr>
          <w:rFonts w:ascii="Arial" w:hAnsi="Arial" w:cs="Arial"/>
          <w:sz w:val="16"/>
        </w:rPr>
        <w:t xml:space="preserve">The Cultural Special Account sunset on 1 October 2021. </w:t>
      </w:r>
      <w:r>
        <w:rPr>
          <w:rFonts w:ascii="Arial" w:hAnsi="Arial" w:cs="Arial"/>
          <w:sz w:val="16"/>
        </w:rPr>
        <w:t>P</w:t>
      </w:r>
      <w:r w:rsidRPr="00D275CC">
        <w:rPr>
          <w:rFonts w:ascii="Arial" w:hAnsi="Arial" w:cs="Arial"/>
          <w:sz w:val="16"/>
        </w:rPr>
        <w:t>ayments have been transferred to the Services for Entities and Other Trust Moneys Special Account.</w:t>
      </w:r>
    </w:p>
    <w:bookmarkEnd w:id="41"/>
    <w:p w14:paraId="5B1D8AC3" w14:textId="0A929218" w:rsidR="009D1FE5" w:rsidRDefault="009D1FE5" w:rsidP="009D1FE5">
      <w:pPr>
        <w:pStyle w:val="ListParagraph"/>
        <w:numPr>
          <w:ilvl w:val="0"/>
          <w:numId w:val="232"/>
        </w:numPr>
        <w:spacing w:after="0" w:line="240" w:lineRule="auto"/>
        <w:ind w:left="426" w:hanging="426"/>
        <w:rPr>
          <w:rFonts w:ascii="Arial" w:hAnsi="Arial" w:cs="Arial"/>
          <w:sz w:val="16"/>
        </w:rPr>
      </w:pPr>
      <w:r>
        <w:rPr>
          <w:rFonts w:ascii="Arial" w:hAnsi="Arial" w:cs="Arial"/>
          <w:sz w:val="16"/>
        </w:rPr>
        <w:t xml:space="preserve">Departmental </w:t>
      </w:r>
      <w:r w:rsidR="00D7504F">
        <w:rPr>
          <w:rFonts w:ascii="Arial" w:hAnsi="Arial" w:cs="Arial"/>
          <w:sz w:val="16"/>
        </w:rPr>
        <w:t>‘E</w:t>
      </w:r>
      <w:r w:rsidR="00115843" w:rsidRPr="008E500B">
        <w:rPr>
          <w:rFonts w:ascii="Arial" w:hAnsi="Arial" w:cs="Arial"/>
          <w:sz w:val="16"/>
        </w:rPr>
        <w:t>xpenses not requiring appropriation in the Budget year</w:t>
      </w:r>
      <w:r w:rsidR="00D7504F">
        <w:rPr>
          <w:rFonts w:ascii="Arial" w:hAnsi="Arial" w:cs="Arial"/>
          <w:sz w:val="16"/>
        </w:rPr>
        <w:t>’</w:t>
      </w:r>
      <w:r w:rsidR="00115843" w:rsidRPr="008E500B">
        <w:rPr>
          <w:rFonts w:ascii="Arial" w:hAnsi="Arial" w:cs="Arial"/>
          <w:sz w:val="16"/>
        </w:rPr>
        <w:t xml:space="preserve"> are made up of depreciation expenses, amortisation expenses, which exclude right of use assets</w:t>
      </w:r>
      <w:r w:rsidR="00115843" w:rsidRPr="00D275CC">
        <w:rPr>
          <w:rFonts w:ascii="Arial" w:hAnsi="Arial" w:cs="Arial"/>
          <w:sz w:val="16"/>
        </w:rPr>
        <w:t>.</w:t>
      </w:r>
    </w:p>
    <w:p w14:paraId="07E7EBF5" w14:textId="2DEF946B" w:rsidR="00115843" w:rsidRPr="009D1FE5" w:rsidRDefault="00115843" w:rsidP="009D1FE5">
      <w:pPr>
        <w:pStyle w:val="ListParagraph"/>
        <w:numPr>
          <w:ilvl w:val="0"/>
          <w:numId w:val="232"/>
        </w:numPr>
        <w:spacing w:after="0" w:line="240" w:lineRule="auto"/>
        <w:ind w:left="426" w:hanging="426"/>
        <w:rPr>
          <w:rFonts w:ascii="Arial" w:hAnsi="Arial" w:cs="Arial"/>
          <w:sz w:val="16"/>
        </w:rPr>
      </w:pPr>
      <w:r w:rsidRPr="009D1FE5">
        <w:rPr>
          <w:rFonts w:ascii="Arial" w:hAnsi="Arial" w:cs="Arial"/>
          <w:sz w:val="16"/>
        </w:rPr>
        <w:t>Figures displayed as a negative (–) represent a decrease in funds and a positive (+) represent an increase in funds.</w:t>
      </w:r>
    </w:p>
    <w:p w14:paraId="224F8090" w14:textId="77777777" w:rsidR="00BF5A1E" w:rsidRPr="00BF5A1E" w:rsidRDefault="00BF5A1E" w:rsidP="00BF5A1E">
      <w:pPr>
        <w:spacing w:before="60" w:after="0" w:line="240" w:lineRule="auto"/>
        <w:rPr>
          <w:rFonts w:ascii="Arial" w:hAnsi="Arial" w:cs="Arial"/>
          <w:sz w:val="16"/>
          <w:szCs w:val="16"/>
        </w:rPr>
      </w:pPr>
      <w:r w:rsidRPr="00BF5A1E">
        <w:rPr>
          <w:rFonts w:ascii="Arial" w:hAnsi="Arial" w:cs="Arial"/>
          <w:sz w:val="16"/>
          <w:szCs w:val="16"/>
        </w:rPr>
        <w:t>Note: Departmental appropriation splits and totals are indicative estimates and may change in the course of the budget year as government priorities change.</w:t>
      </w:r>
    </w:p>
    <w:p w14:paraId="6753C14F" w14:textId="77777777" w:rsidR="00115843" w:rsidRDefault="00115843" w:rsidP="00115843">
      <w:pPr>
        <w:spacing w:after="0" w:line="240" w:lineRule="auto"/>
        <w:ind w:left="426" w:hanging="426"/>
        <w:rPr>
          <w:rFonts w:ascii="Arial" w:hAnsi="Arial" w:cs="Arial"/>
          <w:sz w:val="16"/>
        </w:rPr>
      </w:pPr>
      <w:r>
        <w:rPr>
          <w:rFonts w:ascii="Arial" w:hAnsi="Arial" w:cs="Arial"/>
          <w:sz w:val="16"/>
        </w:rPr>
        <w:br w:type="page"/>
      </w:r>
    </w:p>
    <w:p w14:paraId="132BF374" w14:textId="77777777" w:rsidR="00115843" w:rsidRDefault="00115843" w:rsidP="00115843">
      <w:pPr>
        <w:spacing w:after="0"/>
      </w:pPr>
      <w:r>
        <w:rPr>
          <w:rStyle w:val="TableHeadingChar"/>
        </w:rPr>
        <w:lastRenderedPageBreak/>
        <w:t>Table 2.6</w:t>
      </w:r>
      <w:r w:rsidRPr="00B166C6">
        <w:rPr>
          <w:rStyle w:val="TableHeadingChar"/>
        </w:rPr>
        <w:t>.2:</w:t>
      </w:r>
      <w:r>
        <w:rPr>
          <w:rStyle w:val="TableHeadingChar"/>
        </w:rPr>
        <w:t xml:space="preserve"> Program components of Outcome 6</w:t>
      </w:r>
      <w:r>
        <w:t xml:space="preserve"> </w:t>
      </w:r>
    </w:p>
    <w:tbl>
      <w:tblPr>
        <w:tblW w:w="5000" w:type="pct"/>
        <w:tblLook w:val="04A0" w:firstRow="1" w:lastRow="0" w:firstColumn="1" w:lastColumn="0" w:noHBand="0" w:noVBand="1"/>
      </w:tblPr>
      <w:tblGrid>
        <w:gridCol w:w="3353"/>
        <w:gridCol w:w="928"/>
        <w:gridCol w:w="862"/>
        <w:gridCol w:w="857"/>
        <w:gridCol w:w="857"/>
        <w:gridCol w:w="853"/>
      </w:tblGrid>
      <w:tr w:rsidR="00115843" w:rsidRPr="003D3825" w14:paraId="2CF16AD1" w14:textId="77777777" w:rsidTr="005334F2">
        <w:trPr>
          <w:trHeight w:val="204"/>
        </w:trPr>
        <w:tc>
          <w:tcPr>
            <w:tcW w:w="2174" w:type="pct"/>
            <w:tcBorders>
              <w:top w:val="single" w:sz="4" w:space="0" w:color="auto"/>
              <w:left w:val="nil"/>
              <w:bottom w:val="single" w:sz="4" w:space="0" w:color="auto"/>
              <w:right w:val="nil"/>
            </w:tcBorders>
            <w:shd w:val="clear" w:color="auto" w:fill="auto"/>
            <w:noWrap/>
            <w:vAlign w:val="bottom"/>
            <w:hideMark/>
          </w:tcPr>
          <w:p w14:paraId="1827775E" w14:textId="77777777" w:rsidR="00115843" w:rsidRPr="003D3825" w:rsidRDefault="00115843" w:rsidP="00FB0D02">
            <w:pPr>
              <w:spacing w:after="0" w:line="240" w:lineRule="auto"/>
              <w:rPr>
                <w:rFonts w:ascii="Arial" w:hAnsi="Arial" w:cs="Arial"/>
                <w:sz w:val="16"/>
                <w:szCs w:val="16"/>
              </w:rPr>
            </w:pPr>
            <w:r w:rsidRPr="003D3825">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D1B1CE7"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2021-22</w:t>
            </w:r>
            <w:r w:rsidRPr="003D3825">
              <w:rPr>
                <w:rFonts w:ascii="Arial" w:hAnsi="Arial" w:cs="Arial"/>
                <w:sz w:val="16"/>
                <w:szCs w:val="16"/>
              </w:rPr>
              <w:br/>
              <w:t>Estimated</w:t>
            </w:r>
            <w:r>
              <w:rPr>
                <w:rFonts w:ascii="Arial" w:hAnsi="Arial" w:cs="Arial"/>
                <w:sz w:val="16"/>
                <w:szCs w:val="16"/>
              </w:rPr>
              <w:br/>
            </w:r>
            <w:r w:rsidRPr="003D3825">
              <w:rPr>
                <w:rFonts w:ascii="Arial" w:hAnsi="Arial" w:cs="Arial"/>
                <w:sz w:val="16"/>
                <w:szCs w:val="16"/>
              </w:rPr>
              <w:t xml:space="preserve"> actual</w:t>
            </w:r>
            <w:r w:rsidRPr="003D3825">
              <w:rPr>
                <w:rFonts w:ascii="Arial" w:hAnsi="Arial" w:cs="Arial"/>
                <w:sz w:val="16"/>
                <w:szCs w:val="16"/>
              </w:rPr>
              <w:br/>
              <w:t>$</w:t>
            </w:r>
            <w:r>
              <w:rPr>
                <w:rFonts w:ascii="Arial" w:hAnsi="Arial" w:cs="Arial"/>
                <w:sz w:val="16"/>
                <w:szCs w:val="16"/>
              </w:rPr>
              <w:t>’</w:t>
            </w:r>
            <w:r w:rsidRPr="003D3825">
              <w:rPr>
                <w:rFonts w:ascii="Arial" w:hAnsi="Arial" w:cs="Arial"/>
                <w:sz w:val="16"/>
                <w:szCs w:val="16"/>
              </w:rPr>
              <w:t>000</w:t>
            </w:r>
          </w:p>
        </w:tc>
        <w:tc>
          <w:tcPr>
            <w:tcW w:w="558" w:type="pct"/>
            <w:tcBorders>
              <w:top w:val="single" w:sz="4" w:space="0" w:color="auto"/>
              <w:left w:val="nil"/>
              <w:bottom w:val="single" w:sz="4" w:space="0" w:color="auto"/>
              <w:right w:val="nil"/>
            </w:tcBorders>
            <w:shd w:val="clear" w:color="auto" w:fill="E6E6E6"/>
            <w:vAlign w:val="bottom"/>
            <w:hideMark/>
          </w:tcPr>
          <w:p w14:paraId="543095E5"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2022-23</w:t>
            </w:r>
            <w:r w:rsidRPr="003D3825">
              <w:rPr>
                <w:rFonts w:ascii="Arial" w:hAnsi="Arial" w:cs="Arial"/>
                <w:sz w:val="16"/>
                <w:szCs w:val="16"/>
              </w:rPr>
              <w:br/>
              <w:t xml:space="preserve"> Budget</w:t>
            </w:r>
            <w:r w:rsidRPr="003D3825">
              <w:rPr>
                <w:rFonts w:ascii="Arial" w:hAnsi="Arial" w:cs="Arial"/>
                <w:sz w:val="16"/>
                <w:szCs w:val="16"/>
              </w:rPr>
              <w:br/>
              <w:t xml:space="preserve">                                      $</w:t>
            </w:r>
            <w:r>
              <w:rPr>
                <w:rFonts w:ascii="Arial" w:hAnsi="Arial" w:cs="Arial"/>
                <w:sz w:val="16"/>
                <w:szCs w:val="16"/>
              </w:rPr>
              <w:t>’</w:t>
            </w:r>
            <w:r w:rsidRPr="003D3825">
              <w:rPr>
                <w:rFonts w:ascii="Arial" w:hAnsi="Arial" w:cs="Arial"/>
                <w:sz w:val="16"/>
                <w:szCs w:val="16"/>
              </w:rPr>
              <w:t>000</w:t>
            </w:r>
          </w:p>
        </w:tc>
        <w:tc>
          <w:tcPr>
            <w:tcW w:w="556" w:type="pct"/>
            <w:tcBorders>
              <w:top w:val="single" w:sz="4" w:space="0" w:color="auto"/>
              <w:left w:val="nil"/>
              <w:bottom w:val="single" w:sz="4" w:space="0" w:color="auto"/>
              <w:right w:val="nil"/>
            </w:tcBorders>
            <w:shd w:val="clear" w:color="auto" w:fill="auto"/>
            <w:vAlign w:val="bottom"/>
            <w:hideMark/>
          </w:tcPr>
          <w:p w14:paraId="66F35312"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2023-24</w:t>
            </w:r>
            <w:r w:rsidRPr="003D3825">
              <w:rPr>
                <w:rFonts w:ascii="Arial" w:hAnsi="Arial" w:cs="Arial"/>
                <w:sz w:val="16"/>
                <w:szCs w:val="16"/>
              </w:rPr>
              <w:br/>
              <w:t>Forward</w:t>
            </w:r>
            <w:r>
              <w:rPr>
                <w:rFonts w:ascii="Arial" w:hAnsi="Arial" w:cs="Arial"/>
                <w:sz w:val="16"/>
                <w:szCs w:val="16"/>
              </w:rPr>
              <w:br/>
            </w:r>
            <w:r w:rsidRPr="003D3825">
              <w:rPr>
                <w:rFonts w:ascii="Arial" w:hAnsi="Arial" w:cs="Arial"/>
                <w:sz w:val="16"/>
                <w:szCs w:val="16"/>
              </w:rPr>
              <w:t>estimate</w:t>
            </w:r>
            <w:r w:rsidRPr="003D3825">
              <w:rPr>
                <w:rFonts w:ascii="Arial" w:hAnsi="Arial" w:cs="Arial"/>
                <w:sz w:val="16"/>
                <w:szCs w:val="16"/>
              </w:rPr>
              <w:br/>
              <w:t>$</w:t>
            </w:r>
            <w:r>
              <w:rPr>
                <w:rFonts w:ascii="Arial" w:hAnsi="Arial" w:cs="Arial"/>
                <w:sz w:val="16"/>
                <w:szCs w:val="16"/>
              </w:rPr>
              <w:t>’</w:t>
            </w:r>
            <w:r w:rsidRPr="003D3825">
              <w:rPr>
                <w:rFonts w:ascii="Arial" w:hAnsi="Arial" w:cs="Arial"/>
                <w:sz w:val="16"/>
                <w:szCs w:val="16"/>
              </w:rPr>
              <w:t>000</w:t>
            </w:r>
          </w:p>
        </w:tc>
        <w:tc>
          <w:tcPr>
            <w:tcW w:w="556" w:type="pct"/>
            <w:tcBorders>
              <w:top w:val="single" w:sz="4" w:space="0" w:color="auto"/>
              <w:left w:val="nil"/>
              <w:bottom w:val="single" w:sz="4" w:space="0" w:color="auto"/>
              <w:right w:val="nil"/>
            </w:tcBorders>
            <w:shd w:val="clear" w:color="auto" w:fill="auto"/>
            <w:vAlign w:val="bottom"/>
            <w:hideMark/>
          </w:tcPr>
          <w:p w14:paraId="1FC6D46C"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2024-25</w:t>
            </w:r>
            <w:r w:rsidRPr="003D3825">
              <w:rPr>
                <w:rFonts w:ascii="Arial" w:hAnsi="Arial" w:cs="Arial"/>
                <w:sz w:val="16"/>
                <w:szCs w:val="16"/>
              </w:rPr>
              <w:br/>
              <w:t>Forward</w:t>
            </w:r>
            <w:r>
              <w:rPr>
                <w:rFonts w:ascii="Arial" w:hAnsi="Arial" w:cs="Arial"/>
                <w:sz w:val="16"/>
                <w:szCs w:val="16"/>
              </w:rPr>
              <w:br/>
            </w:r>
            <w:r w:rsidRPr="003D3825">
              <w:rPr>
                <w:rFonts w:ascii="Arial" w:hAnsi="Arial" w:cs="Arial"/>
                <w:sz w:val="16"/>
                <w:szCs w:val="16"/>
              </w:rPr>
              <w:t>estimate</w:t>
            </w:r>
            <w:r w:rsidRPr="003D3825">
              <w:rPr>
                <w:rFonts w:ascii="Arial" w:hAnsi="Arial" w:cs="Arial"/>
                <w:sz w:val="16"/>
                <w:szCs w:val="16"/>
              </w:rPr>
              <w:br/>
              <w:t>$</w:t>
            </w:r>
            <w:r>
              <w:rPr>
                <w:rFonts w:ascii="Arial" w:hAnsi="Arial" w:cs="Arial"/>
                <w:sz w:val="16"/>
                <w:szCs w:val="16"/>
              </w:rPr>
              <w:t>’</w:t>
            </w:r>
            <w:r w:rsidRPr="003D3825">
              <w:rPr>
                <w:rFonts w:ascii="Arial" w:hAnsi="Arial" w:cs="Arial"/>
                <w:sz w:val="16"/>
                <w:szCs w:val="16"/>
              </w:rPr>
              <w:t>000</w:t>
            </w:r>
          </w:p>
        </w:tc>
        <w:tc>
          <w:tcPr>
            <w:tcW w:w="554" w:type="pct"/>
            <w:tcBorders>
              <w:top w:val="single" w:sz="4" w:space="0" w:color="auto"/>
              <w:left w:val="nil"/>
              <w:bottom w:val="single" w:sz="4" w:space="0" w:color="auto"/>
              <w:right w:val="nil"/>
            </w:tcBorders>
            <w:shd w:val="clear" w:color="auto" w:fill="auto"/>
            <w:vAlign w:val="bottom"/>
            <w:hideMark/>
          </w:tcPr>
          <w:p w14:paraId="29D008E1"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2025-26</w:t>
            </w:r>
            <w:r w:rsidRPr="003D3825">
              <w:rPr>
                <w:rFonts w:ascii="Arial" w:hAnsi="Arial" w:cs="Arial"/>
                <w:sz w:val="16"/>
                <w:szCs w:val="16"/>
              </w:rPr>
              <w:br/>
              <w:t>Forward</w:t>
            </w:r>
            <w:r>
              <w:rPr>
                <w:rFonts w:ascii="Arial" w:hAnsi="Arial" w:cs="Arial"/>
                <w:sz w:val="16"/>
                <w:szCs w:val="16"/>
              </w:rPr>
              <w:br/>
            </w:r>
            <w:r w:rsidRPr="003D3825">
              <w:rPr>
                <w:rFonts w:ascii="Arial" w:hAnsi="Arial" w:cs="Arial"/>
                <w:sz w:val="16"/>
                <w:szCs w:val="16"/>
              </w:rPr>
              <w:t>estimate</w:t>
            </w:r>
            <w:r w:rsidRPr="003D3825">
              <w:rPr>
                <w:rFonts w:ascii="Arial" w:hAnsi="Arial" w:cs="Arial"/>
                <w:sz w:val="16"/>
                <w:szCs w:val="16"/>
              </w:rPr>
              <w:br/>
              <w:t>$</w:t>
            </w:r>
            <w:r>
              <w:rPr>
                <w:rFonts w:ascii="Arial" w:hAnsi="Arial" w:cs="Arial"/>
                <w:sz w:val="16"/>
                <w:szCs w:val="16"/>
              </w:rPr>
              <w:t>’</w:t>
            </w:r>
            <w:r w:rsidRPr="003D3825">
              <w:rPr>
                <w:rFonts w:ascii="Arial" w:hAnsi="Arial" w:cs="Arial"/>
                <w:sz w:val="16"/>
                <w:szCs w:val="16"/>
              </w:rPr>
              <w:t>000</w:t>
            </w:r>
          </w:p>
        </w:tc>
      </w:tr>
      <w:tr w:rsidR="00115843" w:rsidRPr="003D3825" w14:paraId="4E18B69A" w14:textId="77777777" w:rsidTr="005334F2">
        <w:trPr>
          <w:trHeight w:val="204"/>
        </w:trPr>
        <w:tc>
          <w:tcPr>
            <w:tcW w:w="3335" w:type="pct"/>
            <w:gridSpan w:val="3"/>
            <w:tcBorders>
              <w:top w:val="single" w:sz="4" w:space="0" w:color="auto"/>
              <w:left w:val="nil"/>
              <w:bottom w:val="single" w:sz="4" w:space="0" w:color="auto"/>
              <w:right w:val="nil"/>
            </w:tcBorders>
            <w:shd w:val="clear" w:color="auto" w:fill="E6E6E6"/>
            <w:noWrap/>
            <w:vAlign w:val="bottom"/>
            <w:hideMark/>
          </w:tcPr>
          <w:p w14:paraId="449BADEA" w14:textId="77777777" w:rsidR="00115843" w:rsidRPr="003D3825" w:rsidRDefault="00115843" w:rsidP="00FB0D02">
            <w:pPr>
              <w:spacing w:after="0" w:line="240" w:lineRule="auto"/>
              <w:rPr>
                <w:rFonts w:ascii="Arial" w:hAnsi="Arial" w:cs="Arial"/>
                <w:b/>
                <w:bCs/>
                <w:sz w:val="16"/>
                <w:szCs w:val="16"/>
              </w:rPr>
            </w:pPr>
            <w:r w:rsidRPr="003D3825">
              <w:rPr>
                <w:rFonts w:ascii="Arial" w:hAnsi="Arial" w:cs="Arial"/>
                <w:b/>
                <w:bCs/>
                <w:sz w:val="16"/>
                <w:szCs w:val="16"/>
              </w:rPr>
              <w:t>Components for Program 6.1: Arts and Cultural Development</w:t>
            </w:r>
          </w:p>
        </w:tc>
        <w:tc>
          <w:tcPr>
            <w:tcW w:w="556" w:type="pct"/>
            <w:tcBorders>
              <w:top w:val="nil"/>
              <w:left w:val="nil"/>
              <w:bottom w:val="single" w:sz="4" w:space="0" w:color="auto"/>
              <w:right w:val="nil"/>
            </w:tcBorders>
            <w:shd w:val="clear" w:color="auto" w:fill="E6E6E6"/>
            <w:noWrap/>
            <w:vAlign w:val="bottom"/>
            <w:hideMark/>
          </w:tcPr>
          <w:p w14:paraId="236BC99E"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 </w:t>
            </w:r>
          </w:p>
        </w:tc>
        <w:tc>
          <w:tcPr>
            <w:tcW w:w="556" w:type="pct"/>
            <w:tcBorders>
              <w:top w:val="nil"/>
              <w:left w:val="nil"/>
              <w:bottom w:val="single" w:sz="4" w:space="0" w:color="auto"/>
              <w:right w:val="nil"/>
            </w:tcBorders>
            <w:shd w:val="clear" w:color="auto" w:fill="E6E6E6"/>
            <w:noWrap/>
            <w:vAlign w:val="bottom"/>
            <w:hideMark/>
          </w:tcPr>
          <w:p w14:paraId="7922838B"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 </w:t>
            </w:r>
          </w:p>
        </w:tc>
        <w:tc>
          <w:tcPr>
            <w:tcW w:w="554" w:type="pct"/>
            <w:tcBorders>
              <w:top w:val="nil"/>
              <w:left w:val="nil"/>
              <w:bottom w:val="single" w:sz="4" w:space="0" w:color="auto"/>
              <w:right w:val="nil"/>
            </w:tcBorders>
            <w:shd w:val="clear" w:color="auto" w:fill="E6E6E6"/>
            <w:noWrap/>
            <w:vAlign w:val="bottom"/>
            <w:hideMark/>
          </w:tcPr>
          <w:p w14:paraId="3C1D60D6" w14:textId="77777777" w:rsidR="00115843" w:rsidRPr="003D3825" w:rsidRDefault="00115843" w:rsidP="00FB0D02">
            <w:pPr>
              <w:spacing w:after="0" w:line="240" w:lineRule="auto"/>
              <w:jc w:val="right"/>
              <w:rPr>
                <w:rFonts w:ascii="Arial" w:hAnsi="Arial" w:cs="Arial"/>
                <w:sz w:val="16"/>
                <w:szCs w:val="16"/>
              </w:rPr>
            </w:pPr>
            <w:r w:rsidRPr="003D3825">
              <w:rPr>
                <w:rFonts w:ascii="Arial" w:hAnsi="Arial" w:cs="Arial"/>
                <w:sz w:val="16"/>
                <w:szCs w:val="16"/>
              </w:rPr>
              <w:t> </w:t>
            </w:r>
          </w:p>
        </w:tc>
      </w:tr>
      <w:tr w:rsidR="00115843" w:rsidRPr="003D3825" w14:paraId="7726B928" w14:textId="77777777" w:rsidTr="005334F2">
        <w:trPr>
          <w:trHeight w:val="204"/>
        </w:trPr>
        <w:tc>
          <w:tcPr>
            <w:tcW w:w="2174" w:type="pct"/>
            <w:tcBorders>
              <w:top w:val="nil"/>
              <w:left w:val="nil"/>
              <w:bottom w:val="nil"/>
              <w:right w:val="nil"/>
            </w:tcBorders>
            <w:shd w:val="clear" w:color="auto" w:fill="auto"/>
            <w:vAlign w:val="bottom"/>
            <w:hideMark/>
          </w:tcPr>
          <w:p w14:paraId="25220904" w14:textId="77777777" w:rsidR="00115843" w:rsidRPr="003D3825" w:rsidRDefault="00115843" w:rsidP="00FB0D02">
            <w:pPr>
              <w:spacing w:after="0" w:line="240" w:lineRule="auto"/>
              <w:rPr>
                <w:rFonts w:ascii="Arial" w:hAnsi="Arial" w:cs="Arial"/>
                <w:sz w:val="16"/>
                <w:szCs w:val="16"/>
              </w:rPr>
            </w:pPr>
            <w:r w:rsidRPr="003D3825">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25C0947A" w14:textId="77777777" w:rsidR="00115843" w:rsidRPr="003D3825" w:rsidRDefault="00115843" w:rsidP="00FB0D02">
            <w:pPr>
              <w:spacing w:after="0" w:line="240" w:lineRule="auto"/>
              <w:jc w:val="right"/>
              <w:rPr>
                <w:rFonts w:ascii="Arial" w:hAnsi="Arial" w:cs="Arial"/>
                <w:sz w:val="16"/>
                <w:szCs w:val="16"/>
              </w:rPr>
            </w:pPr>
          </w:p>
        </w:tc>
        <w:tc>
          <w:tcPr>
            <w:tcW w:w="558" w:type="pct"/>
            <w:tcBorders>
              <w:top w:val="nil"/>
              <w:left w:val="nil"/>
              <w:bottom w:val="nil"/>
              <w:right w:val="nil"/>
            </w:tcBorders>
            <w:shd w:val="clear" w:color="auto" w:fill="E6E6E6"/>
            <w:noWrap/>
            <w:vAlign w:val="bottom"/>
            <w:hideMark/>
          </w:tcPr>
          <w:p w14:paraId="680CE4BC" w14:textId="77777777" w:rsidR="00115843" w:rsidRPr="003D3825"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51AFE706" w14:textId="77777777" w:rsidR="00115843" w:rsidRPr="003D3825" w:rsidRDefault="00115843" w:rsidP="00FB0D02">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643EAC24" w14:textId="77777777" w:rsidR="00115843" w:rsidRPr="003D3825" w:rsidRDefault="00115843" w:rsidP="00FB0D02">
            <w:pPr>
              <w:spacing w:after="0" w:line="240" w:lineRule="auto"/>
              <w:jc w:val="right"/>
              <w:rPr>
                <w:rFonts w:ascii="Times New Roman" w:hAnsi="Times New Roman"/>
              </w:rPr>
            </w:pPr>
          </w:p>
        </w:tc>
        <w:tc>
          <w:tcPr>
            <w:tcW w:w="554" w:type="pct"/>
            <w:tcBorders>
              <w:top w:val="nil"/>
              <w:left w:val="nil"/>
              <w:bottom w:val="nil"/>
              <w:right w:val="nil"/>
            </w:tcBorders>
            <w:shd w:val="clear" w:color="auto" w:fill="auto"/>
            <w:noWrap/>
            <w:vAlign w:val="bottom"/>
            <w:hideMark/>
          </w:tcPr>
          <w:p w14:paraId="535ECE8C" w14:textId="77777777" w:rsidR="00115843" w:rsidRPr="003D3825" w:rsidRDefault="00115843" w:rsidP="00FB0D02">
            <w:pPr>
              <w:spacing w:after="0" w:line="240" w:lineRule="auto"/>
              <w:jc w:val="right"/>
              <w:rPr>
                <w:rFonts w:ascii="Times New Roman" w:hAnsi="Times New Roman"/>
              </w:rPr>
            </w:pPr>
          </w:p>
        </w:tc>
      </w:tr>
      <w:tr w:rsidR="009D1FE5" w:rsidRPr="003D3825" w14:paraId="67601673" w14:textId="77777777" w:rsidTr="005334F2">
        <w:trPr>
          <w:trHeight w:val="204"/>
        </w:trPr>
        <w:tc>
          <w:tcPr>
            <w:tcW w:w="2174" w:type="pct"/>
            <w:tcBorders>
              <w:top w:val="nil"/>
              <w:left w:val="nil"/>
              <w:bottom w:val="nil"/>
              <w:right w:val="nil"/>
            </w:tcBorders>
            <w:shd w:val="clear" w:color="auto" w:fill="auto"/>
            <w:vAlign w:val="bottom"/>
            <w:hideMark/>
          </w:tcPr>
          <w:p w14:paraId="239A2DBE"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Arts and Cultural Development</w:t>
            </w:r>
          </w:p>
        </w:tc>
        <w:tc>
          <w:tcPr>
            <w:tcW w:w="602" w:type="pct"/>
            <w:tcBorders>
              <w:top w:val="nil"/>
              <w:left w:val="nil"/>
              <w:bottom w:val="nil"/>
              <w:right w:val="nil"/>
            </w:tcBorders>
            <w:shd w:val="clear" w:color="auto" w:fill="auto"/>
            <w:noWrap/>
            <w:vAlign w:val="bottom"/>
            <w:hideMark/>
          </w:tcPr>
          <w:p w14:paraId="6CD98F63" w14:textId="2AEC1E2D"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159,330</w:t>
            </w:r>
          </w:p>
        </w:tc>
        <w:tc>
          <w:tcPr>
            <w:tcW w:w="558" w:type="pct"/>
            <w:tcBorders>
              <w:top w:val="nil"/>
              <w:left w:val="nil"/>
              <w:bottom w:val="nil"/>
              <w:right w:val="nil"/>
            </w:tcBorders>
            <w:shd w:val="clear" w:color="auto" w:fill="E6E6E6"/>
            <w:noWrap/>
            <w:vAlign w:val="bottom"/>
            <w:hideMark/>
          </w:tcPr>
          <w:p w14:paraId="715EC019" w14:textId="3F4E768B"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24,348</w:t>
            </w:r>
          </w:p>
        </w:tc>
        <w:tc>
          <w:tcPr>
            <w:tcW w:w="556" w:type="pct"/>
            <w:tcBorders>
              <w:top w:val="nil"/>
              <w:left w:val="nil"/>
              <w:bottom w:val="nil"/>
              <w:right w:val="nil"/>
            </w:tcBorders>
            <w:shd w:val="clear" w:color="auto" w:fill="auto"/>
            <w:noWrap/>
            <w:vAlign w:val="bottom"/>
            <w:hideMark/>
          </w:tcPr>
          <w:p w14:paraId="5AFC7817" w14:textId="4026964D"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2,503</w:t>
            </w:r>
          </w:p>
        </w:tc>
        <w:tc>
          <w:tcPr>
            <w:tcW w:w="556" w:type="pct"/>
            <w:tcBorders>
              <w:top w:val="nil"/>
              <w:left w:val="nil"/>
              <w:bottom w:val="nil"/>
              <w:right w:val="nil"/>
            </w:tcBorders>
            <w:shd w:val="clear" w:color="auto" w:fill="auto"/>
            <w:noWrap/>
            <w:vAlign w:val="bottom"/>
            <w:hideMark/>
          </w:tcPr>
          <w:p w14:paraId="2297F1AF" w14:textId="2360DFB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2,530</w:t>
            </w:r>
          </w:p>
        </w:tc>
        <w:tc>
          <w:tcPr>
            <w:tcW w:w="554" w:type="pct"/>
            <w:tcBorders>
              <w:top w:val="nil"/>
              <w:left w:val="nil"/>
              <w:bottom w:val="nil"/>
              <w:right w:val="nil"/>
            </w:tcBorders>
            <w:shd w:val="clear" w:color="auto" w:fill="auto"/>
            <w:noWrap/>
            <w:vAlign w:val="bottom"/>
            <w:hideMark/>
          </w:tcPr>
          <w:p w14:paraId="3A1F8C8F" w14:textId="56733DDB"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2,552</w:t>
            </w:r>
          </w:p>
        </w:tc>
      </w:tr>
      <w:tr w:rsidR="009D1FE5" w:rsidRPr="003D3825" w14:paraId="17E55E3D" w14:textId="77777777" w:rsidTr="005334F2">
        <w:trPr>
          <w:trHeight w:val="204"/>
        </w:trPr>
        <w:tc>
          <w:tcPr>
            <w:tcW w:w="2174" w:type="pct"/>
            <w:tcBorders>
              <w:top w:val="nil"/>
              <w:left w:val="nil"/>
              <w:bottom w:val="nil"/>
              <w:right w:val="nil"/>
            </w:tcBorders>
            <w:shd w:val="clear" w:color="auto" w:fill="auto"/>
            <w:vAlign w:val="bottom"/>
            <w:hideMark/>
          </w:tcPr>
          <w:p w14:paraId="6C4A2513"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Arts Training</w:t>
            </w:r>
          </w:p>
        </w:tc>
        <w:tc>
          <w:tcPr>
            <w:tcW w:w="602" w:type="pct"/>
            <w:tcBorders>
              <w:top w:val="nil"/>
              <w:left w:val="nil"/>
              <w:bottom w:val="nil"/>
              <w:right w:val="nil"/>
            </w:tcBorders>
            <w:shd w:val="clear" w:color="auto" w:fill="auto"/>
            <w:noWrap/>
            <w:vAlign w:val="bottom"/>
            <w:hideMark/>
          </w:tcPr>
          <w:p w14:paraId="737D27EF" w14:textId="1E18D44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22,119</w:t>
            </w:r>
          </w:p>
        </w:tc>
        <w:tc>
          <w:tcPr>
            <w:tcW w:w="558" w:type="pct"/>
            <w:tcBorders>
              <w:top w:val="nil"/>
              <w:left w:val="nil"/>
              <w:bottom w:val="nil"/>
              <w:right w:val="nil"/>
            </w:tcBorders>
            <w:shd w:val="clear" w:color="auto" w:fill="E6E6E6"/>
            <w:noWrap/>
            <w:vAlign w:val="bottom"/>
            <w:hideMark/>
          </w:tcPr>
          <w:p w14:paraId="2371FA88" w14:textId="39935EFC"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32,057</w:t>
            </w:r>
          </w:p>
        </w:tc>
        <w:tc>
          <w:tcPr>
            <w:tcW w:w="556" w:type="pct"/>
            <w:tcBorders>
              <w:top w:val="nil"/>
              <w:left w:val="nil"/>
              <w:bottom w:val="nil"/>
              <w:right w:val="nil"/>
            </w:tcBorders>
            <w:shd w:val="clear" w:color="auto" w:fill="auto"/>
            <w:noWrap/>
            <w:vAlign w:val="bottom"/>
            <w:hideMark/>
          </w:tcPr>
          <w:p w14:paraId="66A4ECE0" w14:textId="65AFCB2D"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23,436</w:t>
            </w:r>
          </w:p>
        </w:tc>
        <w:tc>
          <w:tcPr>
            <w:tcW w:w="556" w:type="pct"/>
            <w:tcBorders>
              <w:top w:val="nil"/>
              <w:left w:val="nil"/>
              <w:bottom w:val="nil"/>
              <w:right w:val="nil"/>
            </w:tcBorders>
            <w:shd w:val="clear" w:color="auto" w:fill="auto"/>
            <w:noWrap/>
            <w:vAlign w:val="bottom"/>
            <w:hideMark/>
          </w:tcPr>
          <w:p w14:paraId="6020336D" w14:textId="2412713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24,021</w:t>
            </w:r>
          </w:p>
        </w:tc>
        <w:tc>
          <w:tcPr>
            <w:tcW w:w="554" w:type="pct"/>
            <w:tcBorders>
              <w:top w:val="nil"/>
              <w:left w:val="nil"/>
              <w:bottom w:val="nil"/>
              <w:right w:val="nil"/>
            </w:tcBorders>
            <w:shd w:val="clear" w:color="auto" w:fill="auto"/>
            <w:noWrap/>
            <w:vAlign w:val="bottom"/>
            <w:hideMark/>
          </w:tcPr>
          <w:p w14:paraId="4E61C592" w14:textId="728D113B"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24,508</w:t>
            </w:r>
          </w:p>
        </w:tc>
      </w:tr>
      <w:tr w:rsidR="009D1FE5" w:rsidRPr="003D3825" w14:paraId="64F6A439" w14:textId="77777777" w:rsidTr="005334F2">
        <w:trPr>
          <w:trHeight w:val="204"/>
        </w:trPr>
        <w:tc>
          <w:tcPr>
            <w:tcW w:w="2174" w:type="pct"/>
            <w:tcBorders>
              <w:top w:val="nil"/>
              <w:left w:val="nil"/>
              <w:bottom w:val="nil"/>
              <w:right w:val="nil"/>
            </w:tcBorders>
            <w:shd w:val="clear" w:color="auto" w:fill="auto"/>
            <w:vAlign w:val="bottom"/>
            <w:hideMark/>
          </w:tcPr>
          <w:p w14:paraId="555D08B9"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Australian Music</w:t>
            </w:r>
          </w:p>
        </w:tc>
        <w:tc>
          <w:tcPr>
            <w:tcW w:w="602" w:type="pct"/>
            <w:tcBorders>
              <w:top w:val="nil"/>
              <w:left w:val="nil"/>
              <w:bottom w:val="nil"/>
              <w:right w:val="nil"/>
            </w:tcBorders>
            <w:shd w:val="clear" w:color="auto" w:fill="auto"/>
            <w:noWrap/>
            <w:vAlign w:val="bottom"/>
            <w:hideMark/>
          </w:tcPr>
          <w:p w14:paraId="6D2494BE" w14:textId="28DAF9A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6,375</w:t>
            </w:r>
          </w:p>
        </w:tc>
        <w:tc>
          <w:tcPr>
            <w:tcW w:w="558" w:type="pct"/>
            <w:tcBorders>
              <w:top w:val="nil"/>
              <w:left w:val="nil"/>
              <w:bottom w:val="nil"/>
              <w:right w:val="nil"/>
            </w:tcBorders>
            <w:shd w:val="clear" w:color="auto" w:fill="E6E6E6"/>
            <w:noWrap/>
            <w:vAlign w:val="bottom"/>
            <w:hideMark/>
          </w:tcPr>
          <w:p w14:paraId="2F6B40AC" w14:textId="73A725E5"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6,375</w:t>
            </w:r>
          </w:p>
        </w:tc>
        <w:tc>
          <w:tcPr>
            <w:tcW w:w="556" w:type="pct"/>
            <w:tcBorders>
              <w:top w:val="nil"/>
              <w:left w:val="nil"/>
              <w:bottom w:val="nil"/>
              <w:right w:val="nil"/>
            </w:tcBorders>
            <w:shd w:val="clear" w:color="auto" w:fill="auto"/>
            <w:noWrap/>
            <w:vAlign w:val="bottom"/>
            <w:hideMark/>
          </w:tcPr>
          <w:p w14:paraId="409CE5DE" w14:textId="6E65B9ED"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5,000</w:t>
            </w:r>
          </w:p>
        </w:tc>
        <w:tc>
          <w:tcPr>
            <w:tcW w:w="556" w:type="pct"/>
            <w:tcBorders>
              <w:top w:val="nil"/>
              <w:left w:val="nil"/>
              <w:bottom w:val="nil"/>
              <w:right w:val="nil"/>
            </w:tcBorders>
            <w:shd w:val="clear" w:color="auto" w:fill="auto"/>
            <w:noWrap/>
            <w:vAlign w:val="bottom"/>
            <w:hideMark/>
          </w:tcPr>
          <w:p w14:paraId="5E2B5841" w14:textId="4F9A9D2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hideMark/>
          </w:tcPr>
          <w:p w14:paraId="3FE590F4" w14:textId="798AC158"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w:t>
            </w:r>
          </w:p>
        </w:tc>
      </w:tr>
      <w:tr w:rsidR="009D1FE5" w:rsidRPr="003D3825" w14:paraId="2109D057" w14:textId="77777777" w:rsidTr="005334F2">
        <w:trPr>
          <w:trHeight w:val="204"/>
        </w:trPr>
        <w:tc>
          <w:tcPr>
            <w:tcW w:w="2174" w:type="pct"/>
            <w:tcBorders>
              <w:top w:val="nil"/>
              <w:left w:val="nil"/>
              <w:bottom w:val="nil"/>
              <w:right w:val="nil"/>
            </w:tcBorders>
            <w:shd w:val="clear" w:color="auto" w:fill="auto"/>
            <w:vAlign w:val="bottom"/>
            <w:hideMark/>
          </w:tcPr>
          <w:p w14:paraId="650718C3"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Awards</w:t>
            </w:r>
          </w:p>
        </w:tc>
        <w:tc>
          <w:tcPr>
            <w:tcW w:w="602" w:type="pct"/>
            <w:tcBorders>
              <w:top w:val="nil"/>
              <w:left w:val="nil"/>
              <w:bottom w:val="nil"/>
              <w:right w:val="nil"/>
            </w:tcBorders>
            <w:shd w:val="clear" w:color="auto" w:fill="auto"/>
            <w:noWrap/>
            <w:vAlign w:val="bottom"/>
            <w:hideMark/>
          </w:tcPr>
          <w:p w14:paraId="5C4DECEB" w14:textId="5B283C5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652</w:t>
            </w:r>
          </w:p>
        </w:tc>
        <w:tc>
          <w:tcPr>
            <w:tcW w:w="558" w:type="pct"/>
            <w:tcBorders>
              <w:top w:val="nil"/>
              <w:left w:val="nil"/>
              <w:bottom w:val="nil"/>
              <w:right w:val="nil"/>
            </w:tcBorders>
            <w:shd w:val="clear" w:color="auto" w:fill="E6E6E6"/>
            <w:noWrap/>
            <w:vAlign w:val="bottom"/>
            <w:hideMark/>
          </w:tcPr>
          <w:p w14:paraId="3486EBC8" w14:textId="319E9FE8"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658</w:t>
            </w:r>
          </w:p>
        </w:tc>
        <w:tc>
          <w:tcPr>
            <w:tcW w:w="556" w:type="pct"/>
            <w:tcBorders>
              <w:top w:val="nil"/>
              <w:left w:val="nil"/>
              <w:bottom w:val="nil"/>
              <w:right w:val="nil"/>
            </w:tcBorders>
            <w:shd w:val="clear" w:color="auto" w:fill="auto"/>
            <w:noWrap/>
            <w:vAlign w:val="bottom"/>
            <w:hideMark/>
          </w:tcPr>
          <w:p w14:paraId="37102D86" w14:textId="2D694EC4"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665</w:t>
            </w:r>
          </w:p>
        </w:tc>
        <w:tc>
          <w:tcPr>
            <w:tcW w:w="556" w:type="pct"/>
            <w:tcBorders>
              <w:top w:val="nil"/>
              <w:left w:val="nil"/>
              <w:bottom w:val="nil"/>
              <w:right w:val="nil"/>
            </w:tcBorders>
            <w:shd w:val="clear" w:color="auto" w:fill="auto"/>
            <w:noWrap/>
            <w:vAlign w:val="bottom"/>
            <w:hideMark/>
          </w:tcPr>
          <w:p w14:paraId="02AF4DAB" w14:textId="3BFF739E"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669</w:t>
            </w:r>
          </w:p>
        </w:tc>
        <w:tc>
          <w:tcPr>
            <w:tcW w:w="554" w:type="pct"/>
            <w:tcBorders>
              <w:top w:val="nil"/>
              <w:left w:val="nil"/>
              <w:bottom w:val="nil"/>
              <w:right w:val="nil"/>
            </w:tcBorders>
            <w:shd w:val="clear" w:color="auto" w:fill="auto"/>
            <w:noWrap/>
            <w:vAlign w:val="bottom"/>
            <w:hideMark/>
          </w:tcPr>
          <w:p w14:paraId="1A434063" w14:textId="52035A0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672</w:t>
            </w:r>
          </w:p>
        </w:tc>
      </w:tr>
      <w:tr w:rsidR="009D1FE5" w:rsidRPr="003D3825" w14:paraId="79EC2704" w14:textId="77777777" w:rsidTr="005334F2">
        <w:trPr>
          <w:trHeight w:val="204"/>
        </w:trPr>
        <w:tc>
          <w:tcPr>
            <w:tcW w:w="2174" w:type="pct"/>
            <w:tcBorders>
              <w:top w:val="nil"/>
              <w:left w:val="nil"/>
              <w:bottom w:val="nil"/>
              <w:right w:val="nil"/>
            </w:tcBorders>
            <w:shd w:val="clear" w:color="auto" w:fill="auto"/>
            <w:vAlign w:val="bottom"/>
            <w:hideMark/>
          </w:tcPr>
          <w:p w14:paraId="108A50D5"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Collections</w:t>
            </w:r>
          </w:p>
        </w:tc>
        <w:tc>
          <w:tcPr>
            <w:tcW w:w="602" w:type="pct"/>
            <w:tcBorders>
              <w:top w:val="nil"/>
              <w:left w:val="nil"/>
              <w:bottom w:val="nil"/>
              <w:right w:val="nil"/>
            </w:tcBorders>
            <w:shd w:val="clear" w:color="auto" w:fill="auto"/>
            <w:noWrap/>
            <w:vAlign w:val="bottom"/>
            <w:hideMark/>
          </w:tcPr>
          <w:p w14:paraId="254BA9D6" w14:textId="65A0978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8,489</w:t>
            </w:r>
          </w:p>
        </w:tc>
        <w:tc>
          <w:tcPr>
            <w:tcW w:w="558" w:type="pct"/>
            <w:tcBorders>
              <w:top w:val="nil"/>
              <w:left w:val="nil"/>
              <w:bottom w:val="nil"/>
              <w:right w:val="nil"/>
            </w:tcBorders>
            <w:shd w:val="clear" w:color="auto" w:fill="E6E6E6"/>
            <w:noWrap/>
            <w:vAlign w:val="bottom"/>
            <w:hideMark/>
          </w:tcPr>
          <w:p w14:paraId="62BF41E5" w14:textId="5CE1F49A"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11,115</w:t>
            </w:r>
          </w:p>
        </w:tc>
        <w:tc>
          <w:tcPr>
            <w:tcW w:w="556" w:type="pct"/>
            <w:tcBorders>
              <w:top w:val="nil"/>
              <w:left w:val="nil"/>
              <w:bottom w:val="nil"/>
              <w:right w:val="nil"/>
            </w:tcBorders>
            <w:shd w:val="clear" w:color="auto" w:fill="auto"/>
            <w:noWrap/>
            <w:vAlign w:val="bottom"/>
            <w:hideMark/>
          </w:tcPr>
          <w:p w14:paraId="5E4FCF26" w14:textId="63719AA0"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5,907</w:t>
            </w:r>
          </w:p>
        </w:tc>
        <w:tc>
          <w:tcPr>
            <w:tcW w:w="556" w:type="pct"/>
            <w:tcBorders>
              <w:top w:val="nil"/>
              <w:left w:val="nil"/>
              <w:bottom w:val="nil"/>
              <w:right w:val="nil"/>
            </w:tcBorders>
            <w:shd w:val="clear" w:color="auto" w:fill="auto"/>
            <w:noWrap/>
            <w:vAlign w:val="bottom"/>
            <w:hideMark/>
          </w:tcPr>
          <w:p w14:paraId="36CAC04B" w14:textId="1845CE6F"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5,998</w:t>
            </w:r>
          </w:p>
        </w:tc>
        <w:tc>
          <w:tcPr>
            <w:tcW w:w="554" w:type="pct"/>
            <w:tcBorders>
              <w:top w:val="nil"/>
              <w:left w:val="nil"/>
              <w:bottom w:val="nil"/>
              <w:right w:val="nil"/>
            </w:tcBorders>
            <w:shd w:val="clear" w:color="auto" w:fill="auto"/>
            <w:noWrap/>
            <w:vAlign w:val="bottom"/>
            <w:hideMark/>
          </w:tcPr>
          <w:p w14:paraId="1B3FCEC5" w14:textId="490D37CA"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6,070</w:t>
            </w:r>
          </w:p>
        </w:tc>
      </w:tr>
      <w:tr w:rsidR="009D1FE5" w:rsidRPr="003D3825" w14:paraId="667752E2" w14:textId="77777777" w:rsidTr="005334F2">
        <w:trPr>
          <w:trHeight w:val="204"/>
        </w:trPr>
        <w:tc>
          <w:tcPr>
            <w:tcW w:w="2174" w:type="pct"/>
            <w:tcBorders>
              <w:top w:val="nil"/>
              <w:left w:val="nil"/>
              <w:bottom w:val="nil"/>
              <w:right w:val="nil"/>
            </w:tcBorders>
            <w:shd w:val="clear" w:color="auto" w:fill="auto"/>
            <w:vAlign w:val="bottom"/>
            <w:hideMark/>
          </w:tcPr>
          <w:p w14:paraId="73A1C148"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hideMark/>
          </w:tcPr>
          <w:p w14:paraId="1F80D8AD" w14:textId="1B221474"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2,618</w:t>
            </w:r>
          </w:p>
        </w:tc>
        <w:tc>
          <w:tcPr>
            <w:tcW w:w="558" w:type="pct"/>
            <w:tcBorders>
              <w:top w:val="nil"/>
              <w:left w:val="nil"/>
              <w:bottom w:val="nil"/>
              <w:right w:val="nil"/>
            </w:tcBorders>
            <w:shd w:val="clear" w:color="auto" w:fill="E6E6E6"/>
            <w:noWrap/>
            <w:vAlign w:val="bottom"/>
            <w:hideMark/>
          </w:tcPr>
          <w:p w14:paraId="2D051F85" w14:textId="0577785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2,389</w:t>
            </w:r>
          </w:p>
        </w:tc>
        <w:tc>
          <w:tcPr>
            <w:tcW w:w="556" w:type="pct"/>
            <w:tcBorders>
              <w:top w:val="nil"/>
              <w:left w:val="nil"/>
              <w:bottom w:val="nil"/>
              <w:right w:val="nil"/>
            </w:tcBorders>
            <w:shd w:val="clear" w:color="auto" w:fill="auto"/>
            <w:noWrap/>
            <w:vAlign w:val="bottom"/>
            <w:hideMark/>
          </w:tcPr>
          <w:p w14:paraId="3896ED69" w14:textId="53505F0C"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2,389</w:t>
            </w:r>
          </w:p>
        </w:tc>
        <w:tc>
          <w:tcPr>
            <w:tcW w:w="556" w:type="pct"/>
            <w:tcBorders>
              <w:top w:val="nil"/>
              <w:left w:val="nil"/>
              <w:bottom w:val="nil"/>
              <w:right w:val="nil"/>
            </w:tcBorders>
            <w:shd w:val="clear" w:color="auto" w:fill="auto"/>
            <w:noWrap/>
            <w:vAlign w:val="bottom"/>
            <w:hideMark/>
          </w:tcPr>
          <w:p w14:paraId="111EA28C" w14:textId="4D5B271A"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2,389</w:t>
            </w:r>
          </w:p>
        </w:tc>
        <w:tc>
          <w:tcPr>
            <w:tcW w:w="554" w:type="pct"/>
            <w:tcBorders>
              <w:top w:val="nil"/>
              <w:left w:val="nil"/>
              <w:bottom w:val="nil"/>
              <w:right w:val="nil"/>
            </w:tcBorders>
            <w:shd w:val="clear" w:color="auto" w:fill="auto"/>
            <w:noWrap/>
            <w:vAlign w:val="bottom"/>
            <w:hideMark/>
          </w:tcPr>
          <w:p w14:paraId="5F4EA0AF" w14:textId="3CF7DED2"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2,389</w:t>
            </w:r>
          </w:p>
        </w:tc>
      </w:tr>
      <w:tr w:rsidR="009D1FE5" w:rsidRPr="003D3825" w14:paraId="5F4CCECE" w14:textId="77777777" w:rsidTr="005334F2">
        <w:trPr>
          <w:trHeight w:val="204"/>
        </w:trPr>
        <w:tc>
          <w:tcPr>
            <w:tcW w:w="2174" w:type="pct"/>
            <w:tcBorders>
              <w:top w:val="nil"/>
              <w:left w:val="nil"/>
              <w:bottom w:val="nil"/>
              <w:right w:val="nil"/>
            </w:tcBorders>
            <w:shd w:val="clear" w:color="auto" w:fill="auto"/>
            <w:vAlign w:val="bottom"/>
            <w:hideMark/>
          </w:tcPr>
          <w:p w14:paraId="0AB384DE"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Film and Television</w:t>
            </w:r>
          </w:p>
        </w:tc>
        <w:tc>
          <w:tcPr>
            <w:tcW w:w="602" w:type="pct"/>
            <w:tcBorders>
              <w:top w:val="nil"/>
              <w:left w:val="nil"/>
              <w:bottom w:val="nil"/>
              <w:right w:val="nil"/>
            </w:tcBorders>
            <w:shd w:val="clear" w:color="auto" w:fill="auto"/>
            <w:noWrap/>
            <w:vAlign w:val="bottom"/>
            <w:hideMark/>
          </w:tcPr>
          <w:p w14:paraId="23FCE72E" w14:textId="0C2BF7FB"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145,018</w:t>
            </w:r>
          </w:p>
        </w:tc>
        <w:tc>
          <w:tcPr>
            <w:tcW w:w="558" w:type="pct"/>
            <w:tcBorders>
              <w:top w:val="nil"/>
              <w:left w:val="nil"/>
              <w:bottom w:val="nil"/>
              <w:right w:val="nil"/>
            </w:tcBorders>
            <w:shd w:val="clear" w:color="auto" w:fill="E6E6E6"/>
            <w:noWrap/>
            <w:vAlign w:val="bottom"/>
            <w:hideMark/>
          </w:tcPr>
          <w:p w14:paraId="383DA1D5" w14:textId="0DD51BEC"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178,132</w:t>
            </w:r>
          </w:p>
        </w:tc>
        <w:tc>
          <w:tcPr>
            <w:tcW w:w="556" w:type="pct"/>
            <w:tcBorders>
              <w:top w:val="nil"/>
              <w:left w:val="nil"/>
              <w:bottom w:val="nil"/>
              <w:right w:val="nil"/>
            </w:tcBorders>
            <w:shd w:val="clear" w:color="auto" w:fill="auto"/>
            <w:noWrap/>
            <w:vAlign w:val="bottom"/>
            <w:hideMark/>
          </w:tcPr>
          <w:p w14:paraId="2F764537" w14:textId="439CE801"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153,647</w:t>
            </w:r>
          </w:p>
        </w:tc>
        <w:tc>
          <w:tcPr>
            <w:tcW w:w="556" w:type="pct"/>
            <w:tcBorders>
              <w:top w:val="nil"/>
              <w:left w:val="nil"/>
              <w:bottom w:val="nil"/>
              <w:right w:val="nil"/>
            </w:tcBorders>
            <w:shd w:val="clear" w:color="auto" w:fill="auto"/>
            <w:noWrap/>
            <w:vAlign w:val="bottom"/>
            <w:hideMark/>
          </w:tcPr>
          <w:p w14:paraId="674A2AD7" w14:textId="757D3BD6"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153,731</w:t>
            </w:r>
          </w:p>
        </w:tc>
        <w:tc>
          <w:tcPr>
            <w:tcW w:w="554" w:type="pct"/>
            <w:tcBorders>
              <w:top w:val="nil"/>
              <w:left w:val="nil"/>
              <w:bottom w:val="nil"/>
              <w:right w:val="nil"/>
            </w:tcBorders>
            <w:shd w:val="clear" w:color="auto" w:fill="auto"/>
            <w:noWrap/>
            <w:vAlign w:val="bottom"/>
            <w:hideMark/>
          </w:tcPr>
          <w:p w14:paraId="235A6E79" w14:textId="606D79E6"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153,798</w:t>
            </w:r>
          </w:p>
        </w:tc>
      </w:tr>
      <w:tr w:rsidR="009D1FE5" w:rsidRPr="003D3825" w14:paraId="0E45840E" w14:textId="77777777" w:rsidTr="005334F2">
        <w:trPr>
          <w:trHeight w:val="204"/>
        </w:trPr>
        <w:tc>
          <w:tcPr>
            <w:tcW w:w="2174" w:type="pct"/>
            <w:tcBorders>
              <w:top w:val="nil"/>
              <w:left w:val="nil"/>
              <w:bottom w:val="nil"/>
              <w:right w:val="nil"/>
            </w:tcBorders>
            <w:shd w:val="clear" w:color="auto" w:fill="auto"/>
            <w:vAlign w:val="bottom"/>
            <w:hideMark/>
          </w:tcPr>
          <w:p w14:paraId="20A68D2E"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Indigenous Arts, Languages and Repatriation</w:t>
            </w:r>
          </w:p>
        </w:tc>
        <w:tc>
          <w:tcPr>
            <w:tcW w:w="602" w:type="pct"/>
            <w:tcBorders>
              <w:top w:val="nil"/>
              <w:left w:val="nil"/>
              <w:bottom w:val="nil"/>
              <w:right w:val="nil"/>
            </w:tcBorders>
            <w:shd w:val="clear" w:color="auto" w:fill="auto"/>
            <w:noWrap/>
            <w:vAlign w:val="bottom"/>
            <w:hideMark/>
          </w:tcPr>
          <w:p w14:paraId="3082D71B" w14:textId="62EA61D1"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53,782</w:t>
            </w:r>
          </w:p>
        </w:tc>
        <w:tc>
          <w:tcPr>
            <w:tcW w:w="558" w:type="pct"/>
            <w:tcBorders>
              <w:top w:val="nil"/>
              <w:left w:val="nil"/>
              <w:bottom w:val="nil"/>
              <w:right w:val="nil"/>
            </w:tcBorders>
            <w:shd w:val="clear" w:color="auto" w:fill="E6E6E6"/>
            <w:noWrap/>
            <w:vAlign w:val="bottom"/>
            <w:hideMark/>
          </w:tcPr>
          <w:p w14:paraId="268305E5" w14:textId="54B7730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55,821</w:t>
            </w:r>
          </w:p>
        </w:tc>
        <w:tc>
          <w:tcPr>
            <w:tcW w:w="556" w:type="pct"/>
            <w:tcBorders>
              <w:top w:val="nil"/>
              <w:left w:val="nil"/>
              <w:bottom w:val="nil"/>
              <w:right w:val="nil"/>
            </w:tcBorders>
            <w:shd w:val="clear" w:color="auto" w:fill="auto"/>
            <w:noWrap/>
            <w:vAlign w:val="bottom"/>
            <w:hideMark/>
          </w:tcPr>
          <w:p w14:paraId="0B85E8ED" w14:textId="1CC4C729"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59,433</w:t>
            </w:r>
          </w:p>
        </w:tc>
        <w:tc>
          <w:tcPr>
            <w:tcW w:w="556" w:type="pct"/>
            <w:tcBorders>
              <w:top w:val="nil"/>
              <w:left w:val="nil"/>
              <w:bottom w:val="nil"/>
              <w:right w:val="nil"/>
            </w:tcBorders>
            <w:shd w:val="clear" w:color="auto" w:fill="auto"/>
            <w:noWrap/>
            <w:vAlign w:val="bottom"/>
            <w:hideMark/>
          </w:tcPr>
          <w:p w14:paraId="2B45918F" w14:textId="44192DC9"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58,653</w:t>
            </w:r>
          </w:p>
        </w:tc>
        <w:tc>
          <w:tcPr>
            <w:tcW w:w="554" w:type="pct"/>
            <w:tcBorders>
              <w:top w:val="nil"/>
              <w:left w:val="nil"/>
              <w:bottom w:val="nil"/>
              <w:right w:val="nil"/>
            </w:tcBorders>
            <w:shd w:val="clear" w:color="auto" w:fill="auto"/>
            <w:noWrap/>
            <w:vAlign w:val="bottom"/>
            <w:hideMark/>
          </w:tcPr>
          <w:p w14:paraId="26EDDD0A" w14:textId="14FE5336"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59,816</w:t>
            </w:r>
          </w:p>
        </w:tc>
      </w:tr>
      <w:tr w:rsidR="009D1FE5" w:rsidRPr="003D3825" w14:paraId="156D998E" w14:textId="77777777" w:rsidTr="005334F2">
        <w:trPr>
          <w:trHeight w:val="204"/>
        </w:trPr>
        <w:tc>
          <w:tcPr>
            <w:tcW w:w="2174" w:type="pct"/>
            <w:tcBorders>
              <w:top w:val="nil"/>
              <w:left w:val="nil"/>
              <w:bottom w:val="nil"/>
              <w:right w:val="nil"/>
            </w:tcBorders>
            <w:shd w:val="clear" w:color="auto" w:fill="auto"/>
            <w:vAlign w:val="bottom"/>
            <w:hideMark/>
          </w:tcPr>
          <w:p w14:paraId="1BE7C223"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Lending Rights</w:t>
            </w:r>
          </w:p>
        </w:tc>
        <w:tc>
          <w:tcPr>
            <w:tcW w:w="602" w:type="pct"/>
            <w:tcBorders>
              <w:top w:val="nil"/>
              <w:left w:val="nil"/>
              <w:bottom w:val="nil"/>
              <w:right w:val="nil"/>
            </w:tcBorders>
            <w:shd w:val="clear" w:color="auto" w:fill="auto"/>
            <w:noWrap/>
            <w:vAlign w:val="bottom"/>
            <w:hideMark/>
          </w:tcPr>
          <w:p w14:paraId="250F8345" w14:textId="7BCAF443"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23,075</w:t>
            </w:r>
          </w:p>
        </w:tc>
        <w:tc>
          <w:tcPr>
            <w:tcW w:w="558" w:type="pct"/>
            <w:tcBorders>
              <w:top w:val="nil"/>
              <w:left w:val="nil"/>
              <w:bottom w:val="nil"/>
              <w:right w:val="nil"/>
            </w:tcBorders>
            <w:shd w:val="clear" w:color="auto" w:fill="E6E6E6"/>
            <w:noWrap/>
            <w:vAlign w:val="bottom"/>
            <w:hideMark/>
          </w:tcPr>
          <w:p w14:paraId="5F2BBDA4" w14:textId="3409B0A4"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23,613</w:t>
            </w:r>
          </w:p>
        </w:tc>
        <w:tc>
          <w:tcPr>
            <w:tcW w:w="556" w:type="pct"/>
            <w:tcBorders>
              <w:top w:val="nil"/>
              <w:left w:val="nil"/>
              <w:bottom w:val="nil"/>
              <w:right w:val="nil"/>
            </w:tcBorders>
            <w:shd w:val="clear" w:color="auto" w:fill="auto"/>
            <w:noWrap/>
            <w:vAlign w:val="bottom"/>
            <w:hideMark/>
          </w:tcPr>
          <w:p w14:paraId="2C1712AC" w14:textId="72CA589E"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24,887</w:t>
            </w:r>
          </w:p>
        </w:tc>
        <w:tc>
          <w:tcPr>
            <w:tcW w:w="556" w:type="pct"/>
            <w:tcBorders>
              <w:top w:val="nil"/>
              <w:left w:val="nil"/>
              <w:bottom w:val="nil"/>
              <w:right w:val="nil"/>
            </w:tcBorders>
            <w:shd w:val="clear" w:color="auto" w:fill="auto"/>
            <w:noWrap/>
            <w:vAlign w:val="bottom"/>
            <w:hideMark/>
          </w:tcPr>
          <w:p w14:paraId="0C341F03" w14:textId="57B6ABD2"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25,535</w:t>
            </w:r>
          </w:p>
        </w:tc>
        <w:tc>
          <w:tcPr>
            <w:tcW w:w="554" w:type="pct"/>
            <w:tcBorders>
              <w:top w:val="nil"/>
              <w:left w:val="nil"/>
              <w:bottom w:val="nil"/>
              <w:right w:val="nil"/>
            </w:tcBorders>
            <w:shd w:val="clear" w:color="auto" w:fill="auto"/>
            <w:noWrap/>
            <w:vAlign w:val="bottom"/>
            <w:hideMark/>
          </w:tcPr>
          <w:p w14:paraId="4696775A" w14:textId="15EA6C09"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26,072</w:t>
            </w:r>
          </w:p>
        </w:tc>
      </w:tr>
      <w:tr w:rsidR="009D1FE5" w:rsidRPr="003D3825" w14:paraId="00E3AB6C" w14:textId="77777777" w:rsidTr="005334F2">
        <w:trPr>
          <w:trHeight w:val="204"/>
        </w:trPr>
        <w:tc>
          <w:tcPr>
            <w:tcW w:w="2174" w:type="pct"/>
            <w:tcBorders>
              <w:top w:val="nil"/>
              <w:left w:val="nil"/>
              <w:bottom w:val="nil"/>
              <w:right w:val="nil"/>
            </w:tcBorders>
            <w:shd w:val="clear" w:color="auto" w:fill="auto"/>
            <w:vAlign w:val="bottom"/>
            <w:hideMark/>
          </w:tcPr>
          <w:p w14:paraId="28A8989B"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Private Sector Support</w:t>
            </w:r>
          </w:p>
        </w:tc>
        <w:tc>
          <w:tcPr>
            <w:tcW w:w="602" w:type="pct"/>
            <w:tcBorders>
              <w:top w:val="nil"/>
              <w:left w:val="nil"/>
              <w:bottom w:val="nil"/>
              <w:right w:val="nil"/>
            </w:tcBorders>
            <w:shd w:val="clear" w:color="auto" w:fill="auto"/>
            <w:noWrap/>
            <w:vAlign w:val="bottom"/>
            <w:hideMark/>
          </w:tcPr>
          <w:p w14:paraId="66F338BD" w14:textId="5D3F5974"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4,728</w:t>
            </w:r>
          </w:p>
        </w:tc>
        <w:tc>
          <w:tcPr>
            <w:tcW w:w="558" w:type="pct"/>
            <w:tcBorders>
              <w:top w:val="nil"/>
              <w:left w:val="nil"/>
              <w:bottom w:val="nil"/>
              <w:right w:val="nil"/>
            </w:tcBorders>
            <w:shd w:val="clear" w:color="auto" w:fill="E6E6E6"/>
            <w:noWrap/>
            <w:vAlign w:val="bottom"/>
            <w:hideMark/>
          </w:tcPr>
          <w:p w14:paraId="1BD4A0F9" w14:textId="62579C38"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4,807</w:t>
            </w:r>
          </w:p>
        </w:tc>
        <w:tc>
          <w:tcPr>
            <w:tcW w:w="556" w:type="pct"/>
            <w:tcBorders>
              <w:top w:val="nil"/>
              <w:left w:val="nil"/>
              <w:bottom w:val="nil"/>
              <w:right w:val="nil"/>
            </w:tcBorders>
            <w:shd w:val="clear" w:color="auto" w:fill="auto"/>
            <w:noWrap/>
            <w:vAlign w:val="bottom"/>
            <w:hideMark/>
          </w:tcPr>
          <w:p w14:paraId="47304307" w14:textId="5610EB75"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218843D4" w14:textId="6225BC8C"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hideMark/>
          </w:tcPr>
          <w:p w14:paraId="039EDF28" w14:textId="5CBF26EB"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w:t>
            </w:r>
          </w:p>
        </w:tc>
      </w:tr>
      <w:tr w:rsidR="009D1FE5" w:rsidRPr="003D3825" w14:paraId="72C6C5BD" w14:textId="77777777" w:rsidTr="005334F2">
        <w:trPr>
          <w:trHeight w:val="204"/>
        </w:trPr>
        <w:tc>
          <w:tcPr>
            <w:tcW w:w="2174" w:type="pct"/>
            <w:tcBorders>
              <w:top w:val="nil"/>
              <w:left w:val="nil"/>
              <w:bottom w:val="nil"/>
              <w:right w:val="nil"/>
            </w:tcBorders>
            <w:shd w:val="clear" w:color="auto" w:fill="auto"/>
            <w:vAlign w:val="bottom"/>
            <w:hideMark/>
          </w:tcPr>
          <w:p w14:paraId="3933EFF4"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Regional Arts</w:t>
            </w:r>
          </w:p>
        </w:tc>
        <w:tc>
          <w:tcPr>
            <w:tcW w:w="602" w:type="pct"/>
            <w:tcBorders>
              <w:top w:val="nil"/>
              <w:left w:val="nil"/>
              <w:bottom w:val="nil"/>
              <w:right w:val="nil"/>
            </w:tcBorders>
            <w:shd w:val="clear" w:color="auto" w:fill="auto"/>
            <w:noWrap/>
            <w:vAlign w:val="bottom"/>
            <w:hideMark/>
          </w:tcPr>
          <w:p w14:paraId="18893371" w14:textId="2C44D9F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18,062</w:t>
            </w:r>
          </w:p>
        </w:tc>
        <w:tc>
          <w:tcPr>
            <w:tcW w:w="558" w:type="pct"/>
            <w:tcBorders>
              <w:top w:val="nil"/>
              <w:left w:val="nil"/>
              <w:bottom w:val="nil"/>
              <w:right w:val="nil"/>
            </w:tcBorders>
            <w:shd w:val="clear" w:color="auto" w:fill="E6E6E6"/>
            <w:noWrap/>
            <w:vAlign w:val="bottom"/>
            <w:hideMark/>
          </w:tcPr>
          <w:p w14:paraId="62874626" w14:textId="686AB55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7,535</w:t>
            </w:r>
          </w:p>
        </w:tc>
        <w:tc>
          <w:tcPr>
            <w:tcW w:w="556" w:type="pct"/>
            <w:tcBorders>
              <w:top w:val="nil"/>
              <w:left w:val="nil"/>
              <w:bottom w:val="nil"/>
              <w:right w:val="nil"/>
            </w:tcBorders>
            <w:shd w:val="clear" w:color="auto" w:fill="auto"/>
            <w:noWrap/>
            <w:vAlign w:val="bottom"/>
            <w:hideMark/>
          </w:tcPr>
          <w:p w14:paraId="7A9B004F" w14:textId="60BBB7ED"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7,943</w:t>
            </w:r>
          </w:p>
        </w:tc>
        <w:tc>
          <w:tcPr>
            <w:tcW w:w="556" w:type="pct"/>
            <w:tcBorders>
              <w:top w:val="nil"/>
              <w:left w:val="nil"/>
              <w:bottom w:val="nil"/>
              <w:right w:val="nil"/>
            </w:tcBorders>
            <w:shd w:val="clear" w:color="auto" w:fill="auto"/>
            <w:noWrap/>
            <w:vAlign w:val="bottom"/>
            <w:hideMark/>
          </w:tcPr>
          <w:p w14:paraId="2767D51B" w14:textId="1C8BD97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8,149</w:t>
            </w:r>
          </w:p>
        </w:tc>
        <w:tc>
          <w:tcPr>
            <w:tcW w:w="554" w:type="pct"/>
            <w:tcBorders>
              <w:top w:val="nil"/>
              <w:left w:val="nil"/>
              <w:bottom w:val="nil"/>
              <w:right w:val="nil"/>
            </w:tcBorders>
            <w:shd w:val="clear" w:color="auto" w:fill="auto"/>
            <w:noWrap/>
            <w:vAlign w:val="bottom"/>
            <w:hideMark/>
          </w:tcPr>
          <w:p w14:paraId="556730C4" w14:textId="3C225FF4"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8,320</w:t>
            </w:r>
          </w:p>
        </w:tc>
      </w:tr>
      <w:tr w:rsidR="009D1FE5" w:rsidRPr="003D3825" w14:paraId="6FC068C3" w14:textId="77777777" w:rsidTr="005334F2">
        <w:trPr>
          <w:trHeight w:val="204"/>
        </w:trPr>
        <w:tc>
          <w:tcPr>
            <w:tcW w:w="2174" w:type="pct"/>
            <w:tcBorders>
              <w:top w:val="nil"/>
              <w:left w:val="nil"/>
              <w:bottom w:val="nil"/>
              <w:right w:val="nil"/>
            </w:tcBorders>
            <w:shd w:val="clear" w:color="auto" w:fill="auto"/>
            <w:vAlign w:val="bottom"/>
            <w:hideMark/>
          </w:tcPr>
          <w:p w14:paraId="4E9CCB23" w14:textId="77777777" w:rsidR="009D1FE5" w:rsidRPr="003D3825" w:rsidRDefault="009D1FE5" w:rsidP="009D1FE5">
            <w:pPr>
              <w:spacing w:after="0" w:line="240" w:lineRule="auto"/>
              <w:rPr>
                <w:rFonts w:ascii="Arial" w:hAnsi="Arial" w:cs="Arial"/>
                <w:sz w:val="16"/>
                <w:szCs w:val="16"/>
              </w:rPr>
            </w:pPr>
            <w:r w:rsidRPr="003D3825">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hideMark/>
          </w:tcPr>
          <w:p w14:paraId="7029D1B5" w14:textId="77777777" w:rsidR="009D1FE5" w:rsidRPr="003D3825" w:rsidRDefault="009D1FE5" w:rsidP="009D1FE5">
            <w:pPr>
              <w:spacing w:after="0" w:line="240" w:lineRule="auto"/>
              <w:ind w:firstLineChars="100" w:firstLine="160"/>
              <w:jc w:val="right"/>
              <w:rPr>
                <w:rFonts w:ascii="Arial" w:hAnsi="Arial" w:cs="Arial"/>
                <w:sz w:val="16"/>
                <w:szCs w:val="16"/>
              </w:rPr>
            </w:pPr>
          </w:p>
        </w:tc>
        <w:tc>
          <w:tcPr>
            <w:tcW w:w="558" w:type="pct"/>
            <w:tcBorders>
              <w:top w:val="nil"/>
              <w:left w:val="nil"/>
              <w:bottom w:val="nil"/>
              <w:right w:val="nil"/>
            </w:tcBorders>
            <w:shd w:val="clear" w:color="auto" w:fill="E6E6E6"/>
            <w:noWrap/>
            <w:vAlign w:val="bottom"/>
            <w:hideMark/>
          </w:tcPr>
          <w:p w14:paraId="0F5EFE59" w14:textId="0DC7F68D" w:rsidR="009D1FE5" w:rsidRPr="003D3825" w:rsidRDefault="009D1FE5" w:rsidP="009D1FE5">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A505DE5" w14:textId="77777777" w:rsidR="009D1FE5" w:rsidRPr="003D3825" w:rsidRDefault="009D1FE5" w:rsidP="009D1FE5">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082EF190" w14:textId="77777777" w:rsidR="009D1FE5" w:rsidRPr="003D3825" w:rsidRDefault="009D1FE5" w:rsidP="009D1FE5">
            <w:pPr>
              <w:spacing w:after="0" w:line="240" w:lineRule="auto"/>
              <w:jc w:val="right"/>
              <w:rPr>
                <w:rFonts w:ascii="Times New Roman" w:hAnsi="Times New Roman"/>
              </w:rPr>
            </w:pPr>
          </w:p>
        </w:tc>
        <w:tc>
          <w:tcPr>
            <w:tcW w:w="554" w:type="pct"/>
            <w:tcBorders>
              <w:top w:val="nil"/>
              <w:left w:val="nil"/>
              <w:bottom w:val="nil"/>
              <w:right w:val="nil"/>
            </w:tcBorders>
            <w:shd w:val="clear" w:color="auto" w:fill="auto"/>
            <w:noWrap/>
            <w:vAlign w:val="bottom"/>
            <w:hideMark/>
          </w:tcPr>
          <w:p w14:paraId="0BF5CCD9" w14:textId="77777777" w:rsidR="009D1FE5" w:rsidRPr="003D3825" w:rsidRDefault="009D1FE5" w:rsidP="009D1FE5">
            <w:pPr>
              <w:spacing w:after="0" w:line="240" w:lineRule="auto"/>
              <w:jc w:val="right"/>
              <w:rPr>
                <w:rFonts w:ascii="Times New Roman" w:hAnsi="Times New Roman"/>
              </w:rPr>
            </w:pPr>
          </w:p>
        </w:tc>
      </w:tr>
      <w:tr w:rsidR="009D1FE5" w:rsidRPr="003D3825" w14:paraId="6F9F8DB0" w14:textId="77777777" w:rsidTr="005334F2">
        <w:trPr>
          <w:trHeight w:val="204"/>
        </w:trPr>
        <w:tc>
          <w:tcPr>
            <w:tcW w:w="2174" w:type="pct"/>
            <w:tcBorders>
              <w:top w:val="nil"/>
              <w:left w:val="nil"/>
              <w:bottom w:val="nil"/>
              <w:right w:val="nil"/>
            </w:tcBorders>
            <w:shd w:val="clear" w:color="auto" w:fill="auto"/>
            <w:vAlign w:val="bottom"/>
            <w:hideMark/>
          </w:tcPr>
          <w:p w14:paraId="437FE911" w14:textId="77777777" w:rsidR="009D1FE5" w:rsidRPr="003D3825" w:rsidRDefault="009D1FE5" w:rsidP="009D1FE5">
            <w:pPr>
              <w:spacing w:after="0" w:line="240" w:lineRule="auto"/>
              <w:ind w:left="113"/>
              <w:rPr>
                <w:rFonts w:ascii="Arial" w:hAnsi="Arial" w:cs="Arial"/>
                <w:sz w:val="16"/>
                <w:szCs w:val="16"/>
              </w:rPr>
            </w:pPr>
            <w:r w:rsidRPr="003D3825">
              <w:rPr>
                <w:rFonts w:ascii="Arial" w:hAnsi="Arial" w:cs="Arial"/>
                <w:sz w:val="16"/>
                <w:szCs w:val="16"/>
              </w:rPr>
              <w:t>National Cultural Heritage Account</w:t>
            </w:r>
          </w:p>
        </w:tc>
        <w:tc>
          <w:tcPr>
            <w:tcW w:w="602" w:type="pct"/>
            <w:tcBorders>
              <w:top w:val="nil"/>
              <w:left w:val="nil"/>
              <w:bottom w:val="nil"/>
              <w:right w:val="nil"/>
            </w:tcBorders>
            <w:shd w:val="clear" w:color="auto" w:fill="auto"/>
            <w:noWrap/>
            <w:vAlign w:val="bottom"/>
            <w:hideMark/>
          </w:tcPr>
          <w:p w14:paraId="1D1CFE21" w14:textId="4B4A29B5"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8" w:type="pct"/>
            <w:tcBorders>
              <w:top w:val="nil"/>
              <w:left w:val="nil"/>
              <w:bottom w:val="nil"/>
              <w:right w:val="nil"/>
            </w:tcBorders>
            <w:shd w:val="clear" w:color="auto" w:fill="E6E6E6"/>
            <w:noWrap/>
            <w:vAlign w:val="bottom"/>
            <w:hideMark/>
          </w:tcPr>
          <w:p w14:paraId="7C4E005E" w14:textId="772EDE37"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6" w:type="pct"/>
            <w:tcBorders>
              <w:top w:val="nil"/>
              <w:left w:val="nil"/>
              <w:bottom w:val="nil"/>
              <w:right w:val="nil"/>
            </w:tcBorders>
            <w:shd w:val="clear" w:color="auto" w:fill="auto"/>
            <w:noWrap/>
            <w:vAlign w:val="bottom"/>
            <w:hideMark/>
          </w:tcPr>
          <w:p w14:paraId="577101D2" w14:textId="5C0FDF89"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6" w:type="pct"/>
            <w:tcBorders>
              <w:top w:val="nil"/>
              <w:left w:val="nil"/>
              <w:bottom w:val="nil"/>
              <w:right w:val="nil"/>
            </w:tcBorders>
            <w:shd w:val="clear" w:color="auto" w:fill="auto"/>
            <w:noWrap/>
            <w:vAlign w:val="bottom"/>
            <w:hideMark/>
          </w:tcPr>
          <w:p w14:paraId="255FAFE1" w14:textId="67FF78D6"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500</w:t>
            </w:r>
          </w:p>
        </w:tc>
        <w:tc>
          <w:tcPr>
            <w:tcW w:w="554" w:type="pct"/>
            <w:tcBorders>
              <w:top w:val="nil"/>
              <w:left w:val="nil"/>
              <w:bottom w:val="nil"/>
              <w:right w:val="nil"/>
            </w:tcBorders>
            <w:shd w:val="clear" w:color="auto" w:fill="auto"/>
            <w:noWrap/>
            <w:vAlign w:val="bottom"/>
            <w:hideMark/>
          </w:tcPr>
          <w:p w14:paraId="62EB155D" w14:textId="4ECBA36D" w:rsidR="009D1FE5" w:rsidRPr="003D3825" w:rsidRDefault="009D1FE5" w:rsidP="009D1FE5">
            <w:pPr>
              <w:spacing w:after="0" w:line="240" w:lineRule="auto"/>
              <w:jc w:val="right"/>
              <w:rPr>
                <w:rFonts w:ascii="Arial" w:hAnsi="Arial" w:cs="Arial"/>
                <w:sz w:val="16"/>
                <w:szCs w:val="16"/>
              </w:rPr>
            </w:pPr>
            <w:r>
              <w:rPr>
                <w:rFonts w:ascii="Arial" w:hAnsi="Arial" w:cs="Arial"/>
                <w:sz w:val="16"/>
                <w:szCs w:val="16"/>
              </w:rPr>
              <w:t>500</w:t>
            </w:r>
          </w:p>
        </w:tc>
      </w:tr>
      <w:tr w:rsidR="009D1FE5" w:rsidRPr="003D3825" w14:paraId="623EFCA7" w14:textId="77777777" w:rsidTr="005334F2">
        <w:trPr>
          <w:trHeight w:val="204"/>
        </w:trPr>
        <w:tc>
          <w:tcPr>
            <w:tcW w:w="2174" w:type="pct"/>
            <w:tcBorders>
              <w:top w:val="nil"/>
              <w:left w:val="nil"/>
              <w:bottom w:val="nil"/>
              <w:right w:val="nil"/>
            </w:tcBorders>
            <w:shd w:val="clear" w:color="auto" w:fill="auto"/>
            <w:vAlign w:val="bottom"/>
            <w:hideMark/>
          </w:tcPr>
          <w:p w14:paraId="570B9145" w14:textId="77777777" w:rsidR="009D1FE5" w:rsidRPr="003D3825" w:rsidRDefault="009D1FE5" w:rsidP="009D1FE5">
            <w:pPr>
              <w:spacing w:after="0" w:line="240" w:lineRule="auto"/>
              <w:rPr>
                <w:rFonts w:ascii="Arial" w:hAnsi="Arial" w:cs="Arial"/>
                <w:sz w:val="16"/>
                <w:szCs w:val="16"/>
              </w:rPr>
            </w:pPr>
            <w:r w:rsidRPr="003D3825">
              <w:rPr>
                <w:rFonts w:ascii="Arial" w:hAnsi="Arial" w:cs="Arial"/>
                <w:sz w:val="16"/>
                <w:szCs w:val="16"/>
              </w:rPr>
              <w:t xml:space="preserve">Payments to corporate entities </w:t>
            </w:r>
            <w:r w:rsidRPr="003D3825">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1D0F97A" w14:textId="77777777" w:rsidR="009D1FE5" w:rsidRPr="003D3825" w:rsidRDefault="009D1FE5" w:rsidP="009D1FE5">
            <w:pPr>
              <w:spacing w:after="0" w:line="240" w:lineRule="auto"/>
              <w:ind w:firstLineChars="100" w:firstLine="160"/>
              <w:jc w:val="right"/>
              <w:rPr>
                <w:rFonts w:ascii="Arial" w:hAnsi="Arial" w:cs="Arial"/>
                <w:sz w:val="16"/>
                <w:szCs w:val="16"/>
              </w:rPr>
            </w:pPr>
          </w:p>
        </w:tc>
        <w:tc>
          <w:tcPr>
            <w:tcW w:w="558" w:type="pct"/>
            <w:tcBorders>
              <w:top w:val="nil"/>
              <w:left w:val="nil"/>
              <w:bottom w:val="nil"/>
              <w:right w:val="nil"/>
            </w:tcBorders>
            <w:shd w:val="clear" w:color="auto" w:fill="E6E6E6"/>
            <w:noWrap/>
            <w:vAlign w:val="bottom"/>
            <w:hideMark/>
          </w:tcPr>
          <w:p w14:paraId="78FFAF5C" w14:textId="754965D6" w:rsidR="009D1FE5" w:rsidRPr="003D3825" w:rsidRDefault="009D1FE5" w:rsidP="009D1FE5">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03F747F3" w14:textId="77777777" w:rsidR="009D1FE5" w:rsidRPr="003D3825" w:rsidRDefault="009D1FE5" w:rsidP="009D1FE5">
            <w:pPr>
              <w:spacing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08FDB91" w14:textId="77777777" w:rsidR="009D1FE5" w:rsidRPr="003D3825" w:rsidRDefault="009D1FE5" w:rsidP="009D1FE5">
            <w:pPr>
              <w:spacing w:after="0" w:line="240" w:lineRule="auto"/>
              <w:jc w:val="right"/>
              <w:rPr>
                <w:rFonts w:ascii="Times New Roman" w:hAnsi="Times New Roman"/>
              </w:rPr>
            </w:pPr>
          </w:p>
        </w:tc>
        <w:tc>
          <w:tcPr>
            <w:tcW w:w="554" w:type="pct"/>
            <w:tcBorders>
              <w:top w:val="nil"/>
              <w:left w:val="nil"/>
              <w:bottom w:val="nil"/>
              <w:right w:val="nil"/>
            </w:tcBorders>
            <w:shd w:val="clear" w:color="auto" w:fill="auto"/>
            <w:noWrap/>
            <w:vAlign w:val="bottom"/>
            <w:hideMark/>
          </w:tcPr>
          <w:p w14:paraId="69E71C8B" w14:textId="77777777" w:rsidR="009D1FE5" w:rsidRPr="003D3825" w:rsidRDefault="009D1FE5" w:rsidP="009D1FE5">
            <w:pPr>
              <w:spacing w:after="0" w:line="240" w:lineRule="auto"/>
              <w:jc w:val="right"/>
              <w:rPr>
                <w:rFonts w:ascii="Times New Roman" w:hAnsi="Times New Roman"/>
              </w:rPr>
            </w:pPr>
          </w:p>
        </w:tc>
      </w:tr>
      <w:tr w:rsidR="009D1FE5" w:rsidRPr="003D3825" w14:paraId="09840AB6" w14:textId="77777777" w:rsidTr="005334F2">
        <w:trPr>
          <w:trHeight w:val="204"/>
        </w:trPr>
        <w:tc>
          <w:tcPr>
            <w:tcW w:w="2174" w:type="pct"/>
            <w:tcBorders>
              <w:top w:val="nil"/>
              <w:left w:val="nil"/>
              <w:bottom w:val="nil"/>
              <w:right w:val="nil"/>
            </w:tcBorders>
            <w:shd w:val="clear" w:color="auto" w:fill="auto"/>
            <w:vAlign w:val="bottom"/>
            <w:hideMark/>
          </w:tcPr>
          <w:p w14:paraId="256F6BAF"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Australia Council</w:t>
            </w:r>
          </w:p>
        </w:tc>
        <w:tc>
          <w:tcPr>
            <w:tcW w:w="602" w:type="pct"/>
            <w:tcBorders>
              <w:top w:val="nil"/>
              <w:left w:val="nil"/>
              <w:bottom w:val="nil"/>
              <w:right w:val="nil"/>
            </w:tcBorders>
            <w:shd w:val="clear" w:color="auto" w:fill="auto"/>
            <w:noWrap/>
            <w:vAlign w:val="bottom"/>
            <w:hideMark/>
          </w:tcPr>
          <w:p w14:paraId="3E82EA52" w14:textId="1BD4A966"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219,794</w:t>
            </w:r>
          </w:p>
        </w:tc>
        <w:tc>
          <w:tcPr>
            <w:tcW w:w="558" w:type="pct"/>
            <w:tcBorders>
              <w:top w:val="nil"/>
              <w:left w:val="nil"/>
              <w:bottom w:val="nil"/>
              <w:right w:val="nil"/>
            </w:tcBorders>
            <w:shd w:val="clear" w:color="auto" w:fill="E6E6E6"/>
            <w:noWrap/>
            <w:vAlign w:val="bottom"/>
            <w:hideMark/>
          </w:tcPr>
          <w:p w14:paraId="3F642C26" w14:textId="48735BD6"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220,531</w:t>
            </w:r>
          </w:p>
        </w:tc>
        <w:tc>
          <w:tcPr>
            <w:tcW w:w="556" w:type="pct"/>
            <w:tcBorders>
              <w:top w:val="nil"/>
              <w:left w:val="nil"/>
              <w:bottom w:val="nil"/>
              <w:right w:val="nil"/>
            </w:tcBorders>
            <w:shd w:val="clear" w:color="auto" w:fill="auto"/>
            <w:noWrap/>
            <w:vAlign w:val="bottom"/>
            <w:hideMark/>
          </w:tcPr>
          <w:p w14:paraId="00FE77EA" w14:textId="0C96F9E9"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235,977</w:t>
            </w:r>
          </w:p>
        </w:tc>
        <w:tc>
          <w:tcPr>
            <w:tcW w:w="556" w:type="pct"/>
            <w:tcBorders>
              <w:top w:val="nil"/>
              <w:left w:val="nil"/>
              <w:bottom w:val="nil"/>
              <w:right w:val="nil"/>
            </w:tcBorders>
            <w:shd w:val="clear" w:color="auto" w:fill="auto"/>
            <w:noWrap/>
            <w:vAlign w:val="bottom"/>
            <w:hideMark/>
          </w:tcPr>
          <w:p w14:paraId="3D4AF1C6" w14:textId="16FE18F8"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241,259</w:t>
            </w:r>
          </w:p>
        </w:tc>
        <w:tc>
          <w:tcPr>
            <w:tcW w:w="554" w:type="pct"/>
            <w:tcBorders>
              <w:top w:val="nil"/>
              <w:left w:val="nil"/>
              <w:bottom w:val="nil"/>
              <w:right w:val="nil"/>
            </w:tcBorders>
            <w:shd w:val="clear" w:color="auto" w:fill="auto"/>
            <w:noWrap/>
            <w:vAlign w:val="bottom"/>
            <w:hideMark/>
          </w:tcPr>
          <w:p w14:paraId="7F2A0162" w14:textId="2D1093D9"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245,466</w:t>
            </w:r>
          </w:p>
        </w:tc>
      </w:tr>
      <w:tr w:rsidR="009D1FE5" w:rsidRPr="003D3825" w14:paraId="0C16A29E" w14:textId="77777777" w:rsidTr="005334F2">
        <w:trPr>
          <w:trHeight w:val="204"/>
        </w:trPr>
        <w:tc>
          <w:tcPr>
            <w:tcW w:w="2174" w:type="pct"/>
            <w:tcBorders>
              <w:top w:val="nil"/>
              <w:left w:val="nil"/>
              <w:bottom w:val="nil"/>
              <w:right w:val="nil"/>
            </w:tcBorders>
            <w:shd w:val="clear" w:color="auto" w:fill="auto"/>
            <w:vAlign w:val="bottom"/>
            <w:hideMark/>
          </w:tcPr>
          <w:p w14:paraId="299B9035"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Australian Film, Television and Radio School</w:t>
            </w:r>
          </w:p>
        </w:tc>
        <w:tc>
          <w:tcPr>
            <w:tcW w:w="602" w:type="pct"/>
            <w:tcBorders>
              <w:top w:val="nil"/>
              <w:left w:val="nil"/>
              <w:bottom w:val="nil"/>
              <w:right w:val="nil"/>
            </w:tcBorders>
            <w:shd w:val="clear" w:color="auto" w:fill="auto"/>
            <w:noWrap/>
            <w:vAlign w:val="bottom"/>
            <w:hideMark/>
          </w:tcPr>
          <w:p w14:paraId="4FF7FB8C" w14:textId="7004B6AF"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22,738</w:t>
            </w:r>
          </w:p>
        </w:tc>
        <w:tc>
          <w:tcPr>
            <w:tcW w:w="558" w:type="pct"/>
            <w:tcBorders>
              <w:top w:val="nil"/>
              <w:left w:val="nil"/>
              <w:bottom w:val="nil"/>
              <w:right w:val="nil"/>
            </w:tcBorders>
            <w:shd w:val="clear" w:color="auto" w:fill="E6E6E6"/>
            <w:noWrap/>
            <w:vAlign w:val="bottom"/>
            <w:hideMark/>
          </w:tcPr>
          <w:p w14:paraId="777A0FD5" w14:textId="7FE14305"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22,997</w:t>
            </w:r>
          </w:p>
        </w:tc>
        <w:tc>
          <w:tcPr>
            <w:tcW w:w="556" w:type="pct"/>
            <w:tcBorders>
              <w:top w:val="nil"/>
              <w:left w:val="nil"/>
              <w:bottom w:val="nil"/>
              <w:right w:val="nil"/>
            </w:tcBorders>
            <w:shd w:val="clear" w:color="auto" w:fill="auto"/>
            <w:noWrap/>
            <w:vAlign w:val="bottom"/>
            <w:hideMark/>
          </w:tcPr>
          <w:p w14:paraId="20BE66C0" w14:textId="7FD502EF"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23,886</w:t>
            </w:r>
          </w:p>
        </w:tc>
        <w:tc>
          <w:tcPr>
            <w:tcW w:w="556" w:type="pct"/>
            <w:tcBorders>
              <w:top w:val="nil"/>
              <w:left w:val="nil"/>
              <w:bottom w:val="nil"/>
              <w:right w:val="nil"/>
            </w:tcBorders>
            <w:shd w:val="clear" w:color="auto" w:fill="auto"/>
            <w:noWrap/>
            <w:vAlign w:val="bottom"/>
            <w:hideMark/>
          </w:tcPr>
          <w:p w14:paraId="43789DB4" w14:textId="29DE8F39"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24,199</w:t>
            </w:r>
          </w:p>
        </w:tc>
        <w:tc>
          <w:tcPr>
            <w:tcW w:w="554" w:type="pct"/>
            <w:tcBorders>
              <w:top w:val="nil"/>
              <w:left w:val="nil"/>
              <w:bottom w:val="nil"/>
              <w:right w:val="nil"/>
            </w:tcBorders>
            <w:shd w:val="clear" w:color="auto" w:fill="auto"/>
            <w:noWrap/>
            <w:vAlign w:val="bottom"/>
            <w:hideMark/>
          </w:tcPr>
          <w:p w14:paraId="0546E6F3" w14:textId="5A29560C"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24,401</w:t>
            </w:r>
          </w:p>
        </w:tc>
      </w:tr>
      <w:tr w:rsidR="009D1FE5" w:rsidRPr="003D3825" w14:paraId="616D0B19" w14:textId="77777777" w:rsidTr="005334F2">
        <w:trPr>
          <w:trHeight w:val="204"/>
        </w:trPr>
        <w:tc>
          <w:tcPr>
            <w:tcW w:w="2174" w:type="pct"/>
            <w:tcBorders>
              <w:top w:val="nil"/>
              <w:left w:val="nil"/>
              <w:bottom w:val="nil"/>
              <w:right w:val="nil"/>
            </w:tcBorders>
            <w:shd w:val="clear" w:color="auto" w:fill="auto"/>
            <w:vAlign w:val="bottom"/>
            <w:hideMark/>
          </w:tcPr>
          <w:p w14:paraId="5B692C90"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Australian National Maritime Museum</w:t>
            </w:r>
          </w:p>
        </w:tc>
        <w:tc>
          <w:tcPr>
            <w:tcW w:w="602" w:type="pct"/>
            <w:tcBorders>
              <w:top w:val="nil"/>
              <w:left w:val="nil"/>
              <w:bottom w:val="nil"/>
              <w:right w:val="nil"/>
            </w:tcBorders>
            <w:shd w:val="clear" w:color="auto" w:fill="auto"/>
            <w:noWrap/>
            <w:vAlign w:val="bottom"/>
            <w:hideMark/>
          </w:tcPr>
          <w:p w14:paraId="6CDF6DBF" w14:textId="7ED6EA1D"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24,125</w:t>
            </w:r>
          </w:p>
        </w:tc>
        <w:tc>
          <w:tcPr>
            <w:tcW w:w="558" w:type="pct"/>
            <w:tcBorders>
              <w:top w:val="nil"/>
              <w:left w:val="nil"/>
              <w:bottom w:val="nil"/>
              <w:right w:val="nil"/>
            </w:tcBorders>
            <w:shd w:val="clear" w:color="auto" w:fill="E6E6E6"/>
            <w:noWrap/>
            <w:vAlign w:val="bottom"/>
            <w:hideMark/>
          </w:tcPr>
          <w:p w14:paraId="528225A2" w14:textId="15E05FFC"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24,017</w:t>
            </w:r>
          </w:p>
        </w:tc>
        <w:tc>
          <w:tcPr>
            <w:tcW w:w="556" w:type="pct"/>
            <w:tcBorders>
              <w:top w:val="nil"/>
              <w:left w:val="nil"/>
              <w:bottom w:val="nil"/>
              <w:right w:val="nil"/>
            </w:tcBorders>
            <w:shd w:val="clear" w:color="auto" w:fill="auto"/>
            <w:noWrap/>
            <w:vAlign w:val="bottom"/>
            <w:hideMark/>
          </w:tcPr>
          <w:p w14:paraId="65EA8B65" w14:textId="5BCF0D5A"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20,912</w:t>
            </w:r>
          </w:p>
        </w:tc>
        <w:tc>
          <w:tcPr>
            <w:tcW w:w="556" w:type="pct"/>
            <w:tcBorders>
              <w:top w:val="nil"/>
              <w:left w:val="nil"/>
              <w:bottom w:val="nil"/>
              <w:right w:val="nil"/>
            </w:tcBorders>
            <w:shd w:val="clear" w:color="auto" w:fill="auto"/>
            <w:noWrap/>
            <w:vAlign w:val="bottom"/>
            <w:hideMark/>
          </w:tcPr>
          <w:p w14:paraId="71F28FD5" w14:textId="3140287D"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21,020</w:t>
            </w:r>
          </w:p>
        </w:tc>
        <w:tc>
          <w:tcPr>
            <w:tcW w:w="554" w:type="pct"/>
            <w:tcBorders>
              <w:top w:val="nil"/>
              <w:left w:val="nil"/>
              <w:bottom w:val="nil"/>
              <w:right w:val="nil"/>
            </w:tcBorders>
            <w:shd w:val="clear" w:color="auto" w:fill="auto"/>
            <w:noWrap/>
            <w:vAlign w:val="bottom"/>
            <w:hideMark/>
          </w:tcPr>
          <w:p w14:paraId="0184DF09" w14:textId="055E0161"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21,084</w:t>
            </w:r>
          </w:p>
        </w:tc>
      </w:tr>
      <w:tr w:rsidR="009D1FE5" w:rsidRPr="003D3825" w14:paraId="0D908488" w14:textId="77777777" w:rsidTr="005334F2">
        <w:trPr>
          <w:trHeight w:val="204"/>
        </w:trPr>
        <w:tc>
          <w:tcPr>
            <w:tcW w:w="2174" w:type="pct"/>
            <w:tcBorders>
              <w:top w:val="nil"/>
              <w:left w:val="nil"/>
              <w:bottom w:val="nil"/>
              <w:right w:val="nil"/>
            </w:tcBorders>
            <w:shd w:val="clear" w:color="auto" w:fill="auto"/>
            <w:vAlign w:val="bottom"/>
            <w:hideMark/>
          </w:tcPr>
          <w:p w14:paraId="2F4FAC14"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National Film and Sound Archive of Australia</w:t>
            </w:r>
          </w:p>
        </w:tc>
        <w:tc>
          <w:tcPr>
            <w:tcW w:w="602" w:type="pct"/>
            <w:tcBorders>
              <w:top w:val="nil"/>
              <w:left w:val="nil"/>
              <w:bottom w:val="nil"/>
              <w:right w:val="nil"/>
            </w:tcBorders>
            <w:shd w:val="clear" w:color="auto" w:fill="auto"/>
            <w:noWrap/>
            <w:vAlign w:val="bottom"/>
            <w:hideMark/>
          </w:tcPr>
          <w:p w14:paraId="1E895315" w14:textId="0267A209"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28,026</w:t>
            </w:r>
          </w:p>
        </w:tc>
        <w:tc>
          <w:tcPr>
            <w:tcW w:w="558" w:type="pct"/>
            <w:tcBorders>
              <w:top w:val="nil"/>
              <w:left w:val="nil"/>
              <w:bottom w:val="nil"/>
              <w:right w:val="nil"/>
            </w:tcBorders>
            <w:shd w:val="clear" w:color="auto" w:fill="E6E6E6"/>
            <w:noWrap/>
            <w:vAlign w:val="bottom"/>
            <w:hideMark/>
          </w:tcPr>
          <w:p w14:paraId="154521FA" w14:textId="5CBFE4CC"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29,702</w:t>
            </w:r>
          </w:p>
        </w:tc>
        <w:tc>
          <w:tcPr>
            <w:tcW w:w="556" w:type="pct"/>
            <w:tcBorders>
              <w:top w:val="nil"/>
              <w:left w:val="nil"/>
              <w:bottom w:val="nil"/>
              <w:right w:val="nil"/>
            </w:tcBorders>
            <w:shd w:val="clear" w:color="auto" w:fill="auto"/>
            <w:noWrap/>
            <w:vAlign w:val="bottom"/>
            <w:hideMark/>
          </w:tcPr>
          <w:p w14:paraId="18352307" w14:textId="48B9426C"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31,284</w:t>
            </w:r>
          </w:p>
        </w:tc>
        <w:tc>
          <w:tcPr>
            <w:tcW w:w="556" w:type="pct"/>
            <w:tcBorders>
              <w:top w:val="nil"/>
              <w:left w:val="nil"/>
              <w:bottom w:val="nil"/>
              <w:right w:val="nil"/>
            </w:tcBorders>
            <w:shd w:val="clear" w:color="auto" w:fill="auto"/>
            <w:noWrap/>
            <w:vAlign w:val="bottom"/>
            <w:hideMark/>
          </w:tcPr>
          <w:p w14:paraId="498D87A7" w14:textId="063611B0"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31,789</w:t>
            </w:r>
          </w:p>
        </w:tc>
        <w:tc>
          <w:tcPr>
            <w:tcW w:w="554" w:type="pct"/>
            <w:tcBorders>
              <w:top w:val="nil"/>
              <w:left w:val="nil"/>
              <w:bottom w:val="nil"/>
              <w:right w:val="nil"/>
            </w:tcBorders>
            <w:shd w:val="clear" w:color="auto" w:fill="auto"/>
            <w:noWrap/>
            <w:vAlign w:val="bottom"/>
            <w:hideMark/>
          </w:tcPr>
          <w:p w14:paraId="5599EFC7" w14:textId="6351485B"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32,490</w:t>
            </w:r>
          </w:p>
        </w:tc>
      </w:tr>
      <w:tr w:rsidR="009D1FE5" w:rsidRPr="003D3825" w14:paraId="340F9307" w14:textId="77777777" w:rsidTr="005334F2">
        <w:trPr>
          <w:trHeight w:val="204"/>
        </w:trPr>
        <w:tc>
          <w:tcPr>
            <w:tcW w:w="2174" w:type="pct"/>
            <w:tcBorders>
              <w:top w:val="nil"/>
              <w:left w:val="nil"/>
              <w:bottom w:val="nil"/>
              <w:right w:val="nil"/>
            </w:tcBorders>
            <w:shd w:val="clear" w:color="auto" w:fill="auto"/>
            <w:vAlign w:val="bottom"/>
            <w:hideMark/>
          </w:tcPr>
          <w:p w14:paraId="7C3903B5"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National Gallery Australia</w:t>
            </w:r>
          </w:p>
        </w:tc>
        <w:tc>
          <w:tcPr>
            <w:tcW w:w="602" w:type="pct"/>
            <w:tcBorders>
              <w:top w:val="nil"/>
              <w:left w:val="nil"/>
              <w:bottom w:val="nil"/>
              <w:right w:val="nil"/>
            </w:tcBorders>
            <w:shd w:val="clear" w:color="auto" w:fill="auto"/>
            <w:noWrap/>
            <w:vAlign w:val="bottom"/>
            <w:hideMark/>
          </w:tcPr>
          <w:p w14:paraId="325040B3" w14:textId="4051A679"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49,592</w:t>
            </w:r>
          </w:p>
        </w:tc>
        <w:tc>
          <w:tcPr>
            <w:tcW w:w="558" w:type="pct"/>
            <w:tcBorders>
              <w:top w:val="nil"/>
              <w:left w:val="nil"/>
              <w:bottom w:val="nil"/>
              <w:right w:val="nil"/>
            </w:tcBorders>
            <w:shd w:val="clear" w:color="auto" w:fill="E6E6E6"/>
            <w:noWrap/>
            <w:vAlign w:val="bottom"/>
            <w:hideMark/>
          </w:tcPr>
          <w:p w14:paraId="4BCED5F0" w14:textId="176C3A83"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48,045</w:t>
            </w:r>
          </w:p>
        </w:tc>
        <w:tc>
          <w:tcPr>
            <w:tcW w:w="556" w:type="pct"/>
            <w:tcBorders>
              <w:top w:val="nil"/>
              <w:left w:val="nil"/>
              <w:bottom w:val="nil"/>
              <w:right w:val="nil"/>
            </w:tcBorders>
            <w:shd w:val="clear" w:color="auto" w:fill="auto"/>
            <w:noWrap/>
            <w:vAlign w:val="bottom"/>
            <w:hideMark/>
          </w:tcPr>
          <w:p w14:paraId="58F239E5" w14:textId="2E0D832A"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46,473</w:t>
            </w:r>
          </w:p>
        </w:tc>
        <w:tc>
          <w:tcPr>
            <w:tcW w:w="556" w:type="pct"/>
            <w:tcBorders>
              <w:top w:val="nil"/>
              <w:left w:val="nil"/>
              <w:bottom w:val="nil"/>
              <w:right w:val="nil"/>
            </w:tcBorders>
            <w:shd w:val="clear" w:color="auto" w:fill="auto"/>
            <w:noWrap/>
            <w:vAlign w:val="bottom"/>
            <w:hideMark/>
          </w:tcPr>
          <w:p w14:paraId="5FA3DAA2" w14:textId="576DB859"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46,944</w:t>
            </w:r>
          </w:p>
        </w:tc>
        <w:tc>
          <w:tcPr>
            <w:tcW w:w="554" w:type="pct"/>
            <w:tcBorders>
              <w:top w:val="nil"/>
              <w:left w:val="nil"/>
              <w:bottom w:val="nil"/>
              <w:right w:val="nil"/>
            </w:tcBorders>
            <w:shd w:val="clear" w:color="auto" w:fill="auto"/>
            <w:noWrap/>
            <w:vAlign w:val="bottom"/>
            <w:hideMark/>
          </w:tcPr>
          <w:p w14:paraId="2C076DE4" w14:textId="27462339"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47,242</w:t>
            </w:r>
          </w:p>
        </w:tc>
      </w:tr>
      <w:tr w:rsidR="009D1FE5" w:rsidRPr="003D3825" w14:paraId="06ADF66E" w14:textId="77777777" w:rsidTr="005334F2">
        <w:trPr>
          <w:trHeight w:val="204"/>
        </w:trPr>
        <w:tc>
          <w:tcPr>
            <w:tcW w:w="2174" w:type="pct"/>
            <w:tcBorders>
              <w:top w:val="nil"/>
              <w:left w:val="nil"/>
              <w:bottom w:val="nil"/>
              <w:right w:val="nil"/>
            </w:tcBorders>
            <w:shd w:val="clear" w:color="auto" w:fill="auto"/>
            <w:vAlign w:val="bottom"/>
            <w:hideMark/>
          </w:tcPr>
          <w:p w14:paraId="54884D28"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National Library Australia</w:t>
            </w:r>
          </w:p>
        </w:tc>
        <w:tc>
          <w:tcPr>
            <w:tcW w:w="602" w:type="pct"/>
            <w:tcBorders>
              <w:top w:val="nil"/>
              <w:left w:val="nil"/>
              <w:bottom w:val="nil"/>
              <w:right w:val="nil"/>
            </w:tcBorders>
            <w:shd w:val="clear" w:color="auto" w:fill="auto"/>
            <w:noWrap/>
            <w:vAlign w:val="bottom"/>
            <w:hideMark/>
          </w:tcPr>
          <w:p w14:paraId="0C04DAAA" w14:textId="48C202F8"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57,493</w:t>
            </w:r>
          </w:p>
        </w:tc>
        <w:tc>
          <w:tcPr>
            <w:tcW w:w="558" w:type="pct"/>
            <w:tcBorders>
              <w:top w:val="nil"/>
              <w:left w:val="nil"/>
              <w:bottom w:val="nil"/>
              <w:right w:val="nil"/>
            </w:tcBorders>
            <w:shd w:val="clear" w:color="auto" w:fill="E6E6E6"/>
            <w:noWrap/>
            <w:vAlign w:val="bottom"/>
            <w:hideMark/>
          </w:tcPr>
          <w:p w14:paraId="31456B26" w14:textId="55F8C5F3"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60,989</w:t>
            </w:r>
          </w:p>
        </w:tc>
        <w:tc>
          <w:tcPr>
            <w:tcW w:w="556" w:type="pct"/>
            <w:tcBorders>
              <w:top w:val="nil"/>
              <w:left w:val="nil"/>
              <w:bottom w:val="nil"/>
              <w:right w:val="nil"/>
            </w:tcBorders>
            <w:shd w:val="clear" w:color="auto" w:fill="auto"/>
            <w:noWrap/>
            <w:vAlign w:val="bottom"/>
            <w:hideMark/>
          </w:tcPr>
          <w:p w14:paraId="4F2C5DE8" w14:textId="43CEDDA9"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48,033</w:t>
            </w:r>
          </w:p>
        </w:tc>
        <w:tc>
          <w:tcPr>
            <w:tcW w:w="556" w:type="pct"/>
            <w:tcBorders>
              <w:top w:val="nil"/>
              <w:left w:val="nil"/>
              <w:bottom w:val="nil"/>
              <w:right w:val="nil"/>
            </w:tcBorders>
            <w:shd w:val="clear" w:color="auto" w:fill="auto"/>
            <w:noWrap/>
            <w:vAlign w:val="bottom"/>
            <w:hideMark/>
          </w:tcPr>
          <w:p w14:paraId="741B6399" w14:textId="721A62D3"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48,370</w:t>
            </w:r>
          </w:p>
        </w:tc>
        <w:tc>
          <w:tcPr>
            <w:tcW w:w="554" w:type="pct"/>
            <w:tcBorders>
              <w:top w:val="nil"/>
              <w:left w:val="nil"/>
              <w:bottom w:val="nil"/>
              <w:right w:val="nil"/>
            </w:tcBorders>
            <w:shd w:val="clear" w:color="auto" w:fill="auto"/>
            <w:noWrap/>
            <w:vAlign w:val="bottom"/>
            <w:hideMark/>
          </w:tcPr>
          <w:p w14:paraId="59C8C803" w14:textId="794E2EF6"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48,600</w:t>
            </w:r>
          </w:p>
        </w:tc>
      </w:tr>
      <w:tr w:rsidR="009D1FE5" w:rsidRPr="003D3825" w14:paraId="457815B2" w14:textId="77777777" w:rsidTr="005334F2">
        <w:trPr>
          <w:trHeight w:val="204"/>
        </w:trPr>
        <w:tc>
          <w:tcPr>
            <w:tcW w:w="2174" w:type="pct"/>
            <w:tcBorders>
              <w:top w:val="nil"/>
              <w:left w:val="nil"/>
              <w:bottom w:val="nil"/>
              <w:right w:val="nil"/>
            </w:tcBorders>
            <w:shd w:val="clear" w:color="auto" w:fill="auto"/>
            <w:vAlign w:val="bottom"/>
            <w:hideMark/>
          </w:tcPr>
          <w:p w14:paraId="5AD39D8C"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National Museum Australia</w:t>
            </w:r>
          </w:p>
        </w:tc>
        <w:tc>
          <w:tcPr>
            <w:tcW w:w="602" w:type="pct"/>
            <w:tcBorders>
              <w:top w:val="nil"/>
              <w:left w:val="nil"/>
              <w:bottom w:val="nil"/>
              <w:right w:val="nil"/>
            </w:tcBorders>
            <w:shd w:val="clear" w:color="auto" w:fill="auto"/>
            <w:noWrap/>
            <w:vAlign w:val="bottom"/>
            <w:hideMark/>
          </w:tcPr>
          <w:p w14:paraId="034FD78F" w14:textId="476C8C60"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41,383</w:t>
            </w:r>
          </w:p>
        </w:tc>
        <w:tc>
          <w:tcPr>
            <w:tcW w:w="558" w:type="pct"/>
            <w:tcBorders>
              <w:top w:val="nil"/>
              <w:left w:val="nil"/>
              <w:bottom w:val="nil"/>
              <w:right w:val="nil"/>
            </w:tcBorders>
            <w:shd w:val="clear" w:color="auto" w:fill="E6E6E6"/>
            <w:noWrap/>
            <w:vAlign w:val="bottom"/>
            <w:hideMark/>
          </w:tcPr>
          <w:p w14:paraId="290D384E" w14:textId="2A522634"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50,912</w:t>
            </w:r>
          </w:p>
        </w:tc>
        <w:tc>
          <w:tcPr>
            <w:tcW w:w="556" w:type="pct"/>
            <w:tcBorders>
              <w:top w:val="nil"/>
              <w:left w:val="nil"/>
              <w:bottom w:val="nil"/>
              <w:right w:val="nil"/>
            </w:tcBorders>
            <w:shd w:val="clear" w:color="auto" w:fill="auto"/>
            <w:noWrap/>
            <w:vAlign w:val="bottom"/>
            <w:hideMark/>
          </w:tcPr>
          <w:p w14:paraId="7B35DA62" w14:textId="2C905EE0"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39,687</w:t>
            </w:r>
          </w:p>
        </w:tc>
        <w:tc>
          <w:tcPr>
            <w:tcW w:w="556" w:type="pct"/>
            <w:tcBorders>
              <w:top w:val="nil"/>
              <w:left w:val="nil"/>
              <w:bottom w:val="nil"/>
              <w:right w:val="nil"/>
            </w:tcBorders>
            <w:shd w:val="clear" w:color="auto" w:fill="auto"/>
            <w:noWrap/>
            <w:vAlign w:val="bottom"/>
            <w:hideMark/>
          </w:tcPr>
          <w:p w14:paraId="5C07CE79" w14:textId="399483E1"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39,982</w:t>
            </w:r>
          </w:p>
        </w:tc>
        <w:tc>
          <w:tcPr>
            <w:tcW w:w="554" w:type="pct"/>
            <w:tcBorders>
              <w:top w:val="nil"/>
              <w:left w:val="nil"/>
              <w:bottom w:val="nil"/>
              <w:right w:val="nil"/>
            </w:tcBorders>
            <w:shd w:val="clear" w:color="auto" w:fill="auto"/>
            <w:noWrap/>
            <w:vAlign w:val="bottom"/>
            <w:hideMark/>
          </w:tcPr>
          <w:p w14:paraId="3288CEF3" w14:textId="119413AD"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40,144</w:t>
            </w:r>
          </w:p>
        </w:tc>
      </w:tr>
      <w:tr w:rsidR="009D1FE5" w:rsidRPr="003D3825" w14:paraId="2D3CB968" w14:textId="77777777" w:rsidTr="005334F2">
        <w:trPr>
          <w:trHeight w:val="204"/>
        </w:trPr>
        <w:tc>
          <w:tcPr>
            <w:tcW w:w="2174" w:type="pct"/>
            <w:tcBorders>
              <w:top w:val="nil"/>
              <w:left w:val="nil"/>
              <w:bottom w:val="nil"/>
              <w:right w:val="nil"/>
            </w:tcBorders>
            <w:shd w:val="clear" w:color="auto" w:fill="auto"/>
            <w:vAlign w:val="bottom"/>
            <w:hideMark/>
          </w:tcPr>
          <w:p w14:paraId="2AE52A34"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National Portrait Gallery of Australia</w:t>
            </w:r>
          </w:p>
        </w:tc>
        <w:tc>
          <w:tcPr>
            <w:tcW w:w="602" w:type="pct"/>
            <w:tcBorders>
              <w:top w:val="nil"/>
              <w:left w:val="nil"/>
              <w:bottom w:val="nil"/>
              <w:right w:val="nil"/>
            </w:tcBorders>
            <w:shd w:val="clear" w:color="auto" w:fill="auto"/>
            <w:noWrap/>
            <w:vAlign w:val="bottom"/>
            <w:hideMark/>
          </w:tcPr>
          <w:p w14:paraId="3490CCE1" w14:textId="78C38B84"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12,475</w:t>
            </w:r>
          </w:p>
        </w:tc>
        <w:tc>
          <w:tcPr>
            <w:tcW w:w="558" w:type="pct"/>
            <w:tcBorders>
              <w:top w:val="nil"/>
              <w:left w:val="nil"/>
              <w:bottom w:val="nil"/>
              <w:right w:val="nil"/>
            </w:tcBorders>
            <w:shd w:val="clear" w:color="auto" w:fill="E6E6E6"/>
            <w:noWrap/>
            <w:vAlign w:val="bottom"/>
            <w:hideMark/>
          </w:tcPr>
          <w:p w14:paraId="3210B239" w14:textId="00CC4596"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12,615</w:t>
            </w:r>
          </w:p>
        </w:tc>
        <w:tc>
          <w:tcPr>
            <w:tcW w:w="556" w:type="pct"/>
            <w:tcBorders>
              <w:top w:val="nil"/>
              <w:left w:val="nil"/>
              <w:bottom w:val="nil"/>
              <w:right w:val="nil"/>
            </w:tcBorders>
            <w:shd w:val="clear" w:color="auto" w:fill="auto"/>
            <w:noWrap/>
            <w:vAlign w:val="bottom"/>
            <w:hideMark/>
          </w:tcPr>
          <w:p w14:paraId="4592106B" w14:textId="37963E12"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12,255</w:t>
            </w:r>
          </w:p>
        </w:tc>
        <w:tc>
          <w:tcPr>
            <w:tcW w:w="556" w:type="pct"/>
            <w:tcBorders>
              <w:top w:val="nil"/>
              <w:left w:val="nil"/>
              <w:bottom w:val="nil"/>
              <w:right w:val="nil"/>
            </w:tcBorders>
            <w:shd w:val="clear" w:color="auto" w:fill="auto"/>
            <w:noWrap/>
            <w:vAlign w:val="bottom"/>
            <w:hideMark/>
          </w:tcPr>
          <w:p w14:paraId="0F8CBF4D" w14:textId="19D80352"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12,429</w:t>
            </w:r>
          </w:p>
        </w:tc>
        <w:tc>
          <w:tcPr>
            <w:tcW w:w="554" w:type="pct"/>
            <w:tcBorders>
              <w:top w:val="nil"/>
              <w:left w:val="nil"/>
              <w:bottom w:val="nil"/>
              <w:right w:val="nil"/>
            </w:tcBorders>
            <w:shd w:val="clear" w:color="auto" w:fill="auto"/>
            <w:noWrap/>
            <w:vAlign w:val="bottom"/>
            <w:hideMark/>
          </w:tcPr>
          <w:p w14:paraId="2593AC10" w14:textId="0F042A5F"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12,526</w:t>
            </w:r>
          </w:p>
        </w:tc>
      </w:tr>
      <w:tr w:rsidR="009D1FE5" w:rsidRPr="003D3825" w14:paraId="147DD76A" w14:textId="77777777" w:rsidTr="005334F2">
        <w:trPr>
          <w:trHeight w:val="204"/>
        </w:trPr>
        <w:tc>
          <w:tcPr>
            <w:tcW w:w="2174" w:type="pct"/>
            <w:tcBorders>
              <w:top w:val="nil"/>
              <w:left w:val="nil"/>
              <w:bottom w:val="nil"/>
              <w:right w:val="nil"/>
            </w:tcBorders>
            <w:shd w:val="clear" w:color="auto" w:fill="auto"/>
            <w:vAlign w:val="bottom"/>
          </w:tcPr>
          <w:p w14:paraId="0DA18B39"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Pr>
                <w:rFonts w:ascii="Arial" w:hAnsi="Arial" w:cs="Arial"/>
                <w:sz w:val="16"/>
                <w:szCs w:val="16"/>
              </w:rPr>
              <w:t>Old Parliament House</w:t>
            </w:r>
          </w:p>
        </w:tc>
        <w:tc>
          <w:tcPr>
            <w:tcW w:w="602" w:type="pct"/>
            <w:tcBorders>
              <w:top w:val="nil"/>
              <w:left w:val="nil"/>
              <w:bottom w:val="nil"/>
              <w:right w:val="nil"/>
            </w:tcBorders>
            <w:shd w:val="clear" w:color="auto" w:fill="auto"/>
            <w:noWrap/>
            <w:vAlign w:val="bottom"/>
          </w:tcPr>
          <w:p w14:paraId="0966C547" w14:textId="2DDA403A"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w:t>
            </w:r>
          </w:p>
        </w:tc>
        <w:tc>
          <w:tcPr>
            <w:tcW w:w="558" w:type="pct"/>
            <w:tcBorders>
              <w:top w:val="nil"/>
              <w:left w:val="nil"/>
              <w:bottom w:val="nil"/>
              <w:right w:val="nil"/>
            </w:tcBorders>
            <w:shd w:val="clear" w:color="auto" w:fill="E6E6E6"/>
            <w:noWrap/>
            <w:vAlign w:val="bottom"/>
          </w:tcPr>
          <w:p w14:paraId="46AAF7C7" w14:textId="28DEB003"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14,970</w:t>
            </w:r>
          </w:p>
        </w:tc>
        <w:tc>
          <w:tcPr>
            <w:tcW w:w="556" w:type="pct"/>
            <w:tcBorders>
              <w:top w:val="nil"/>
              <w:left w:val="nil"/>
              <w:bottom w:val="nil"/>
              <w:right w:val="nil"/>
            </w:tcBorders>
            <w:shd w:val="clear" w:color="auto" w:fill="auto"/>
            <w:noWrap/>
            <w:vAlign w:val="bottom"/>
          </w:tcPr>
          <w:p w14:paraId="27F075F8" w14:textId="02132CC0"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14,665</w:t>
            </w:r>
          </w:p>
        </w:tc>
        <w:tc>
          <w:tcPr>
            <w:tcW w:w="556" w:type="pct"/>
            <w:tcBorders>
              <w:top w:val="nil"/>
              <w:left w:val="nil"/>
              <w:bottom w:val="nil"/>
              <w:right w:val="nil"/>
            </w:tcBorders>
            <w:shd w:val="clear" w:color="auto" w:fill="auto"/>
            <w:noWrap/>
            <w:vAlign w:val="bottom"/>
          </w:tcPr>
          <w:p w14:paraId="4EEA7B6B" w14:textId="34A86411"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14,711</w:t>
            </w:r>
          </w:p>
        </w:tc>
        <w:tc>
          <w:tcPr>
            <w:tcW w:w="554" w:type="pct"/>
            <w:tcBorders>
              <w:top w:val="nil"/>
              <w:left w:val="nil"/>
              <w:bottom w:val="nil"/>
              <w:right w:val="nil"/>
            </w:tcBorders>
            <w:shd w:val="clear" w:color="auto" w:fill="auto"/>
            <w:noWrap/>
            <w:vAlign w:val="bottom"/>
          </w:tcPr>
          <w:p w14:paraId="148D86EC" w14:textId="3B13C15C"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14,722</w:t>
            </w:r>
          </w:p>
        </w:tc>
      </w:tr>
      <w:tr w:rsidR="009D1FE5" w:rsidRPr="003D3825" w14:paraId="4C09B4FF" w14:textId="77777777" w:rsidTr="005334F2">
        <w:trPr>
          <w:trHeight w:val="204"/>
        </w:trPr>
        <w:tc>
          <w:tcPr>
            <w:tcW w:w="2174" w:type="pct"/>
            <w:tcBorders>
              <w:top w:val="nil"/>
              <w:left w:val="nil"/>
              <w:bottom w:val="nil"/>
              <w:right w:val="nil"/>
            </w:tcBorders>
            <w:shd w:val="clear" w:color="auto" w:fill="auto"/>
            <w:vAlign w:val="bottom"/>
            <w:hideMark/>
          </w:tcPr>
          <w:p w14:paraId="3ABDC284" w14:textId="77777777" w:rsidR="009D1FE5" w:rsidRPr="00A973E2" w:rsidRDefault="009D1FE5" w:rsidP="009D1FE5">
            <w:pPr>
              <w:pStyle w:val="ListParagraph"/>
              <w:numPr>
                <w:ilvl w:val="0"/>
                <w:numId w:val="256"/>
              </w:numPr>
              <w:spacing w:after="0" w:line="240" w:lineRule="auto"/>
              <w:ind w:left="302" w:hanging="189"/>
              <w:rPr>
                <w:rFonts w:ascii="Arial" w:hAnsi="Arial" w:cs="Arial"/>
                <w:sz w:val="16"/>
                <w:szCs w:val="16"/>
              </w:rPr>
            </w:pPr>
            <w:r w:rsidRPr="00A973E2">
              <w:rPr>
                <w:rFonts w:ascii="Arial" w:hAnsi="Arial" w:cs="Arial"/>
                <w:sz w:val="16"/>
                <w:szCs w:val="16"/>
              </w:rPr>
              <w:t>Screen Australia</w:t>
            </w:r>
          </w:p>
        </w:tc>
        <w:tc>
          <w:tcPr>
            <w:tcW w:w="602" w:type="pct"/>
            <w:tcBorders>
              <w:top w:val="nil"/>
              <w:left w:val="nil"/>
              <w:bottom w:val="nil"/>
              <w:right w:val="nil"/>
            </w:tcBorders>
            <w:shd w:val="clear" w:color="auto" w:fill="auto"/>
            <w:noWrap/>
            <w:vAlign w:val="bottom"/>
            <w:hideMark/>
          </w:tcPr>
          <w:p w14:paraId="1CDC26F5" w14:textId="7FEDC773" w:rsidR="009D1FE5" w:rsidRPr="00061550" w:rsidRDefault="009D1FE5" w:rsidP="009D1FE5">
            <w:pPr>
              <w:spacing w:after="0" w:line="240" w:lineRule="auto"/>
              <w:jc w:val="right"/>
              <w:rPr>
                <w:rFonts w:ascii="Arial" w:hAnsi="Arial" w:cs="Arial"/>
                <w:sz w:val="16"/>
                <w:szCs w:val="16"/>
              </w:rPr>
            </w:pPr>
            <w:r>
              <w:rPr>
                <w:rFonts w:ascii="Arial" w:hAnsi="Arial" w:cs="Arial"/>
                <w:sz w:val="16"/>
                <w:szCs w:val="16"/>
              </w:rPr>
              <w:t>39,466</w:t>
            </w:r>
          </w:p>
        </w:tc>
        <w:tc>
          <w:tcPr>
            <w:tcW w:w="558" w:type="pct"/>
            <w:tcBorders>
              <w:top w:val="nil"/>
              <w:left w:val="nil"/>
              <w:bottom w:val="nil"/>
              <w:right w:val="nil"/>
            </w:tcBorders>
            <w:shd w:val="clear" w:color="auto" w:fill="E6E6E6"/>
            <w:noWrap/>
            <w:vAlign w:val="bottom"/>
            <w:hideMark/>
          </w:tcPr>
          <w:p w14:paraId="44CF5926" w14:textId="60098F98"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27,834</w:t>
            </w:r>
          </w:p>
        </w:tc>
        <w:tc>
          <w:tcPr>
            <w:tcW w:w="556" w:type="pct"/>
            <w:tcBorders>
              <w:top w:val="nil"/>
              <w:left w:val="nil"/>
              <w:bottom w:val="nil"/>
              <w:right w:val="nil"/>
            </w:tcBorders>
            <w:shd w:val="clear" w:color="auto" w:fill="auto"/>
            <w:noWrap/>
            <w:vAlign w:val="bottom"/>
            <w:hideMark/>
          </w:tcPr>
          <w:p w14:paraId="619BDFF8" w14:textId="69D6AE21"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12,034</w:t>
            </w:r>
          </w:p>
        </w:tc>
        <w:tc>
          <w:tcPr>
            <w:tcW w:w="556" w:type="pct"/>
            <w:tcBorders>
              <w:top w:val="nil"/>
              <w:left w:val="nil"/>
              <w:bottom w:val="nil"/>
              <w:right w:val="nil"/>
            </w:tcBorders>
            <w:shd w:val="clear" w:color="auto" w:fill="auto"/>
            <w:noWrap/>
            <w:vAlign w:val="bottom"/>
            <w:hideMark/>
          </w:tcPr>
          <w:p w14:paraId="33EC0CC7" w14:textId="6BE3281D"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12,223</w:t>
            </w:r>
          </w:p>
        </w:tc>
        <w:tc>
          <w:tcPr>
            <w:tcW w:w="554" w:type="pct"/>
            <w:tcBorders>
              <w:top w:val="nil"/>
              <w:left w:val="nil"/>
              <w:bottom w:val="nil"/>
              <w:right w:val="nil"/>
            </w:tcBorders>
            <w:shd w:val="clear" w:color="auto" w:fill="auto"/>
            <w:noWrap/>
            <w:vAlign w:val="bottom"/>
            <w:hideMark/>
          </w:tcPr>
          <w:p w14:paraId="01B3066A" w14:textId="0486D19B" w:rsidR="009D1FE5" w:rsidRPr="00D927CA" w:rsidRDefault="009D1FE5" w:rsidP="009D1FE5">
            <w:pPr>
              <w:spacing w:after="0" w:line="240" w:lineRule="auto"/>
              <w:jc w:val="right"/>
              <w:rPr>
                <w:rFonts w:ascii="Arial" w:hAnsi="Arial" w:cs="Arial"/>
                <w:sz w:val="16"/>
                <w:szCs w:val="16"/>
              </w:rPr>
            </w:pPr>
            <w:r>
              <w:rPr>
                <w:rFonts w:ascii="Arial" w:hAnsi="Arial" w:cs="Arial"/>
                <w:sz w:val="16"/>
                <w:szCs w:val="16"/>
              </w:rPr>
              <w:t>12,355</w:t>
            </w:r>
          </w:p>
        </w:tc>
      </w:tr>
      <w:tr w:rsidR="009D1FE5" w:rsidRPr="003D3825" w14:paraId="229B28BD" w14:textId="77777777" w:rsidTr="005334F2">
        <w:trPr>
          <w:trHeight w:val="204"/>
        </w:trPr>
        <w:tc>
          <w:tcPr>
            <w:tcW w:w="2174" w:type="pct"/>
            <w:tcBorders>
              <w:top w:val="nil"/>
              <w:left w:val="nil"/>
              <w:bottom w:val="single" w:sz="4" w:space="0" w:color="auto"/>
              <w:right w:val="nil"/>
            </w:tcBorders>
            <w:shd w:val="clear" w:color="auto" w:fill="auto"/>
            <w:noWrap/>
            <w:vAlign w:val="bottom"/>
            <w:hideMark/>
          </w:tcPr>
          <w:p w14:paraId="2B718616" w14:textId="77777777" w:rsidR="009D1FE5" w:rsidRPr="00A973E2" w:rsidRDefault="009D1FE5" w:rsidP="009D1FE5">
            <w:pPr>
              <w:spacing w:after="0" w:line="240" w:lineRule="auto"/>
              <w:rPr>
                <w:rFonts w:ascii="Arial" w:hAnsi="Arial" w:cs="Arial"/>
                <w:b/>
                <w:bCs/>
                <w:sz w:val="16"/>
                <w:szCs w:val="16"/>
              </w:rPr>
            </w:pPr>
            <w:r w:rsidRPr="00A973E2">
              <w:rPr>
                <w:rFonts w:ascii="Arial" w:hAnsi="Arial" w:cs="Arial"/>
                <w:b/>
                <w:bCs/>
                <w:sz w:val="16"/>
                <w:szCs w:val="16"/>
              </w:rPr>
              <w:t>Total expenses for Program 6.1</w:t>
            </w:r>
          </w:p>
        </w:tc>
        <w:tc>
          <w:tcPr>
            <w:tcW w:w="602" w:type="pct"/>
            <w:tcBorders>
              <w:top w:val="single" w:sz="4" w:space="0" w:color="auto"/>
              <w:left w:val="nil"/>
              <w:bottom w:val="single" w:sz="4" w:space="0" w:color="auto"/>
              <w:right w:val="nil"/>
            </w:tcBorders>
            <w:shd w:val="clear" w:color="auto" w:fill="auto"/>
            <w:noWrap/>
            <w:vAlign w:val="bottom"/>
            <w:hideMark/>
          </w:tcPr>
          <w:p w14:paraId="3D31D69B" w14:textId="4323DE88" w:rsidR="009D1FE5" w:rsidRPr="00061550" w:rsidRDefault="009D1FE5" w:rsidP="009D1FE5">
            <w:pPr>
              <w:spacing w:after="0" w:line="240" w:lineRule="auto"/>
              <w:jc w:val="right"/>
              <w:rPr>
                <w:rFonts w:ascii="Arial" w:hAnsi="Arial" w:cs="Arial"/>
                <w:b/>
                <w:bCs/>
                <w:sz w:val="16"/>
                <w:szCs w:val="16"/>
              </w:rPr>
            </w:pPr>
            <w:r>
              <w:rPr>
                <w:rFonts w:ascii="Arial" w:hAnsi="Arial" w:cs="Arial"/>
                <w:b/>
                <w:bCs/>
                <w:sz w:val="16"/>
                <w:szCs w:val="16"/>
              </w:rPr>
              <w:t>939,840</w:t>
            </w:r>
          </w:p>
        </w:tc>
        <w:tc>
          <w:tcPr>
            <w:tcW w:w="558" w:type="pct"/>
            <w:tcBorders>
              <w:top w:val="single" w:sz="4" w:space="0" w:color="auto"/>
              <w:left w:val="nil"/>
              <w:bottom w:val="single" w:sz="4" w:space="0" w:color="auto"/>
              <w:right w:val="nil"/>
            </w:tcBorders>
            <w:shd w:val="clear" w:color="auto" w:fill="E6E6E6"/>
            <w:noWrap/>
            <w:vAlign w:val="bottom"/>
            <w:hideMark/>
          </w:tcPr>
          <w:p w14:paraId="3C02BF44" w14:textId="521CDC39" w:rsidR="009D1FE5" w:rsidRPr="00D927CA" w:rsidRDefault="009D1FE5" w:rsidP="009D1FE5">
            <w:pPr>
              <w:spacing w:after="0" w:line="240" w:lineRule="auto"/>
              <w:jc w:val="right"/>
              <w:rPr>
                <w:rFonts w:ascii="Arial" w:hAnsi="Arial" w:cs="Arial"/>
                <w:b/>
                <w:bCs/>
                <w:sz w:val="16"/>
                <w:szCs w:val="16"/>
              </w:rPr>
            </w:pPr>
            <w:r>
              <w:rPr>
                <w:rFonts w:ascii="Arial" w:hAnsi="Arial" w:cs="Arial"/>
                <w:b/>
                <w:bCs/>
                <w:sz w:val="16"/>
                <w:szCs w:val="16"/>
              </w:rPr>
              <w:t>859,962</w:t>
            </w:r>
          </w:p>
        </w:tc>
        <w:tc>
          <w:tcPr>
            <w:tcW w:w="556" w:type="pct"/>
            <w:tcBorders>
              <w:top w:val="single" w:sz="4" w:space="0" w:color="auto"/>
              <w:left w:val="nil"/>
              <w:bottom w:val="single" w:sz="4" w:space="0" w:color="auto"/>
              <w:right w:val="nil"/>
            </w:tcBorders>
            <w:shd w:val="clear" w:color="auto" w:fill="auto"/>
            <w:noWrap/>
            <w:vAlign w:val="bottom"/>
            <w:hideMark/>
          </w:tcPr>
          <w:p w14:paraId="50706E11" w14:textId="38396839" w:rsidR="009D1FE5" w:rsidRPr="00D927CA" w:rsidRDefault="009D1FE5" w:rsidP="009D1FE5">
            <w:pPr>
              <w:spacing w:after="0" w:line="240" w:lineRule="auto"/>
              <w:jc w:val="right"/>
              <w:rPr>
                <w:rFonts w:ascii="Arial" w:hAnsi="Arial" w:cs="Arial"/>
                <w:b/>
                <w:bCs/>
                <w:sz w:val="16"/>
                <w:szCs w:val="16"/>
              </w:rPr>
            </w:pPr>
            <w:r>
              <w:rPr>
                <w:rFonts w:ascii="Arial" w:hAnsi="Arial" w:cs="Arial"/>
                <w:b/>
                <w:bCs/>
                <w:sz w:val="16"/>
                <w:szCs w:val="16"/>
              </w:rPr>
              <w:t>771,516</w:t>
            </w:r>
          </w:p>
        </w:tc>
        <w:tc>
          <w:tcPr>
            <w:tcW w:w="556" w:type="pct"/>
            <w:tcBorders>
              <w:top w:val="single" w:sz="4" w:space="0" w:color="auto"/>
              <w:left w:val="nil"/>
              <w:bottom w:val="single" w:sz="4" w:space="0" w:color="auto"/>
              <w:right w:val="nil"/>
            </w:tcBorders>
            <w:shd w:val="clear" w:color="auto" w:fill="auto"/>
            <w:noWrap/>
            <w:vAlign w:val="bottom"/>
            <w:hideMark/>
          </w:tcPr>
          <w:p w14:paraId="043B5E44" w14:textId="0D6033AB" w:rsidR="009D1FE5" w:rsidRPr="00D927CA" w:rsidRDefault="009D1FE5" w:rsidP="009D1FE5">
            <w:pPr>
              <w:spacing w:after="0" w:line="240" w:lineRule="auto"/>
              <w:jc w:val="right"/>
              <w:rPr>
                <w:rFonts w:ascii="Arial" w:hAnsi="Arial" w:cs="Arial"/>
                <w:b/>
                <w:bCs/>
                <w:sz w:val="16"/>
                <w:szCs w:val="16"/>
              </w:rPr>
            </w:pPr>
            <w:r>
              <w:rPr>
                <w:rFonts w:ascii="Arial" w:hAnsi="Arial" w:cs="Arial"/>
                <w:b/>
                <w:bCs/>
                <w:sz w:val="16"/>
                <w:szCs w:val="16"/>
              </w:rPr>
              <w:t>775,101</w:t>
            </w:r>
          </w:p>
        </w:tc>
        <w:tc>
          <w:tcPr>
            <w:tcW w:w="554" w:type="pct"/>
            <w:tcBorders>
              <w:top w:val="single" w:sz="4" w:space="0" w:color="auto"/>
              <w:left w:val="nil"/>
              <w:bottom w:val="single" w:sz="4" w:space="0" w:color="auto"/>
              <w:right w:val="nil"/>
            </w:tcBorders>
            <w:shd w:val="clear" w:color="auto" w:fill="auto"/>
            <w:noWrap/>
            <w:vAlign w:val="bottom"/>
            <w:hideMark/>
          </w:tcPr>
          <w:p w14:paraId="749C133E" w14:textId="3EAADC3F" w:rsidR="009D1FE5" w:rsidRPr="00D927CA" w:rsidRDefault="009D1FE5" w:rsidP="009D1FE5">
            <w:pPr>
              <w:spacing w:after="0" w:line="240" w:lineRule="auto"/>
              <w:jc w:val="right"/>
              <w:rPr>
                <w:rFonts w:ascii="Arial" w:hAnsi="Arial" w:cs="Arial"/>
                <w:b/>
                <w:bCs/>
                <w:sz w:val="16"/>
                <w:szCs w:val="16"/>
              </w:rPr>
            </w:pPr>
            <w:r>
              <w:rPr>
                <w:rFonts w:ascii="Arial" w:hAnsi="Arial" w:cs="Arial"/>
                <w:b/>
                <w:bCs/>
                <w:sz w:val="16"/>
                <w:szCs w:val="16"/>
              </w:rPr>
              <w:t>783,727</w:t>
            </w:r>
          </w:p>
        </w:tc>
      </w:tr>
    </w:tbl>
    <w:p w14:paraId="35768DD6" w14:textId="1BA22AB5" w:rsidR="00115843" w:rsidRPr="00764C7D" w:rsidRDefault="00115843" w:rsidP="00115843">
      <w:pPr>
        <w:pStyle w:val="ListParagraph"/>
        <w:numPr>
          <w:ilvl w:val="0"/>
          <w:numId w:val="233"/>
        </w:numPr>
        <w:spacing w:before="60" w:after="0" w:line="240" w:lineRule="auto"/>
        <w:ind w:left="426" w:hanging="426"/>
        <w:rPr>
          <w:rFonts w:ascii="Arial" w:hAnsi="Arial" w:cs="Arial"/>
          <w:sz w:val="16"/>
        </w:rPr>
      </w:pPr>
      <w:r w:rsidRPr="00764C7D">
        <w:rPr>
          <w:rFonts w:ascii="Arial" w:hAnsi="Arial" w:cs="Arial"/>
          <w:sz w:val="16"/>
        </w:rPr>
        <w:t xml:space="preserve">Relates to appropriation for corporate entities provided through </w:t>
      </w:r>
      <w:r>
        <w:rPr>
          <w:rFonts w:ascii="Arial" w:hAnsi="Arial" w:cs="Arial"/>
          <w:sz w:val="16"/>
        </w:rPr>
        <w:t xml:space="preserve">the </w:t>
      </w:r>
      <w:r w:rsidR="009D1FE5">
        <w:rPr>
          <w:rFonts w:ascii="Arial" w:hAnsi="Arial" w:cs="Arial"/>
          <w:sz w:val="16"/>
        </w:rPr>
        <w:t>D</w:t>
      </w:r>
      <w:r>
        <w:rPr>
          <w:rFonts w:ascii="Arial" w:hAnsi="Arial" w:cs="Arial"/>
          <w:sz w:val="16"/>
        </w:rPr>
        <w:t>epartment</w:t>
      </w:r>
      <w:r w:rsidRPr="00764C7D">
        <w:rPr>
          <w:rFonts w:ascii="Arial" w:hAnsi="Arial" w:cs="Arial"/>
          <w:sz w:val="16"/>
        </w:rPr>
        <w:t>.</w:t>
      </w:r>
    </w:p>
    <w:p w14:paraId="202C26E8"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58DD55CA" w14:textId="77777777" w:rsidR="00115843" w:rsidRPr="00F71634" w:rsidRDefault="00115843" w:rsidP="00115843">
      <w:pPr>
        <w:pStyle w:val="TableHeading"/>
      </w:pPr>
      <w:r>
        <w:lastRenderedPageBreak/>
        <w:t>Table 2.6</w:t>
      </w:r>
      <w:r w:rsidRPr="00F71634">
        <w:t xml:space="preserve">.3: Performance </w:t>
      </w:r>
      <w:r>
        <w:t>measure</w:t>
      </w:r>
      <w:r w:rsidRPr="00F71634">
        <w:t xml:space="preserve"> for Outcome </w:t>
      </w:r>
      <w:r>
        <w:rPr>
          <w:lang w:val="en-GB"/>
        </w:rPr>
        <w:t>6</w:t>
      </w:r>
    </w:p>
    <w:p w14:paraId="3E311979" w14:textId="77777777" w:rsidR="00115843" w:rsidRPr="003D3825" w:rsidRDefault="00115843" w:rsidP="00115843">
      <w:r w:rsidRPr="003D3825">
        <w:t>Table 2.6.3 details the performance measures for each program associated with Outcome 6.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115843" w:rsidRPr="00764C7D" w14:paraId="49B033C8" w14:textId="77777777" w:rsidTr="005334F2">
        <w:trPr>
          <w:trHeight w:val="569"/>
        </w:trPr>
        <w:tc>
          <w:tcPr>
            <w:tcW w:w="5000" w:type="pct"/>
            <w:gridSpan w:val="3"/>
            <w:shd w:val="clear" w:color="auto" w:fill="E6E6E6"/>
          </w:tcPr>
          <w:p w14:paraId="7CAB10CB" w14:textId="77777777" w:rsidR="00115843" w:rsidRPr="00764C7D" w:rsidRDefault="00115843" w:rsidP="00FB0D02">
            <w:pPr>
              <w:pStyle w:val="TableColumnHeadingLeft"/>
              <w:rPr>
                <w:rFonts w:cs="Arial"/>
              </w:rPr>
            </w:pPr>
            <w:r w:rsidRPr="00764C7D">
              <w:rPr>
                <w:rStyle w:val="TableHeadingChar"/>
                <w:rFonts w:cs="Arial"/>
                <w:b/>
              </w:rPr>
              <w:t xml:space="preserve">Outcome </w:t>
            </w:r>
            <w:r w:rsidRPr="00764C7D">
              <w:rPr>
                <w:rStyle w:val="TableHeadingChar"/>
                <w:rFonts w:cs="Arial"/>
                <w:b/>
                <w:lang w:val="en-GB"/>
              </w:rPr>
              <w:t>6</w:t>
            </w:r>
            <w:r w:rsidRPr="00764C7D">
              <w:rPr>
                <w:rFonts w:cs="Arial"/>
              </w:rPr>
              <w:t xml:space="preserve"> </w:t>
            </w:r>
            <w:r w:rsidRPr="00764C7D">
              <w:rPr>
                <w:rFonts w:cs="Arial"/>
                <w:b w:val="0"/>
              </w:rPr>
              <w:t xml:space="preserve">– </w:t>
            </w:r>
            <w:r w:rsidRPr="00764C7D">
              <w:rPr>
                <w:rFonts w:eastAsia="Calibri" w:cs="Arial"/>
                <w:b w:val="0"/>
                <w:lang w:eastAsia="en-US"/>
              </w:rPr>
              <w:t>Participation in, and access to, Australia’s arts and culture through developing and supporting cultural expression</w:t>
            </w:r>
            <w:r w:rsidRPr="00764C7D">
              <w:rPr>
                <w:rFonts w:cs="Arial"/>
                <w:b w:val="0"/>
              </w:rPr>
              <w:t xml:space="preserve"> </w:t>
            </w:r>
          </w:p>
        </w:tc>
      </w:tr>
      <w:tr w:rsidR="00115843" w:rsidRPr="00764C7D" w14:paraId="37CBED07" w14:textId="77777777" w:rsidTr="005334F2">
        <w:trPr>
          <w:trHeight w:val="522"/>
        </w:trPr>
        <w:tc>
          <w:tcPr>
            <w:tcW w:w="5000" w:type="pct"/>
            <w:gridSpan w:val="3"/>
            <w:shd w:val="clear" w:color="auto" w:fill="E6E6E6"/>
          </w:tcPr>
          <w:p w14:paraId="07BF5933" w14:textId="77777777" w:rsidR="00115843" w:rsidRPr="00764C7D" w:rsidRDefault="00115843" w:rsidP="00FB0D02">
            <w:pPr>
              <w:pStyle w:val="TableTextLeft"/>
              <w:rPr>
                <w:rFonts w:eastAsia="Arial"/>
                <w:szCs w:val="18"/>
              </w:rPr>
            </w:pPr>
            <w:r w:rsidRPr="0019217D">
              <w:rPr>
                <w:b/>
              </w:rPr>
              <w:t>Program 6.1</w:t>
            </w:r>
            <w:r w:rsidRPr="00764C7D">
              <w:t xml:space="preserve"> </w:t>
            </w:r>
            <w:r w:rsidRPr="00764C7D">
              <w:rPr>
                <w:szCs w:val="18"/>
              </w:rPr>
              <w:t xml:space="preserve">– </w:t>
            </w:r>
            <w:r w:rsidRPr="005334F2">
              <w:rPr>
                <w:rFonts w:eastAsia="Calibri" w:cs="Arial"/>
                <w:b/>
                <w:szCs w:val="18"/>
                <w:lang w:eastAsia="en-US"/>
              </w:rPr>
              <w:t>Arts and Cultural Development</w:t>
            </w:r>
            <w:r w:rsidRPr="00764C7D">
              <w:rPr>
                <w:rFonts w:eastAsia="Arial"/>
                <w:szCs w:val="18"/>
              </w:rPr>
              <w:t xml:space="preserve"> </w:t>
            </w:r>
          </w:p>
          <w:p w14:paraId="52CDAF53" w14:textId="77777777" w:rsidR="00115843" w:rsidRPr="00764C7D" w:rsidRDefault="00115843" w:rsidP="00FB0D02">
            <w:pPr>
              <w:pStyle w:val="TableTextLeft"/>
            </w:pPr>
            <w:r w:rsidRPr="00764C7D">
              <w:t>To provide an environment in which all Australians can access and benefit from creative experiences and culture, supporting inclusiveness and growth in Australia’s creative sector, and protecting and promoting Australian content and culture.</w:t>
            </w:r>
          </w:p>
        </w:tc>
      </w:tr>
      <w:tr w:rsidR="00115843" w:rsidRPr="00F4063B" w14:paraId="2CE1F508" w14:textId="77777777" w:rsidTr="00FB0D02">
        <w:trPr>
          <w:trHeight w:val="694"/>
        </w:trPr>
        <w:tc>
          <w:tcPr>
            <w:tcW w:w="1010" w:type="pct"/>
            <w:tcBorders>
              <w:bottom w:val="double" w:sz="4" w:space="0" w:color="auto"/>
            </w:tcBorders>
          </w:tcPr>
          <w:p w14:paraId="2550F246" w14:textId="77777777" w:rsidR="00115843" w:rsidRPr="00F4063B" w:rsidRDefault="00115843" w:rsidP="00FB0D02">
            <w:pPr>
              <w:tabs>
                <w:tab w:val="left" w:pos="709"/>
              </w:tabs>
              <w:spacing w:before="60" w:after="60"/>
              <w:rPr>
                <w:rFonts w:ascii="Arial" w:hAnsi="Arial" w:cs="Arial"/>
                <w:b/>
                <w:sz w:val="16"/>
                <w:szCs w:val="16"/>
              </w:rPr>
            </w:pPr>
            <w:r w:rsidRPr="00F4063B">
              <w:rPr>
                <w:rFonts w:ascii="Arial" w:eastAsia="Calibri" w:hAnsi="Arial" w:cs="Arial"/>
                <w:b/>
                <w:sz w:val="16"/>
                <w:szCs w:val="16"/>
              </w:rPr>
              <w:t>Key</w:t>
            </w:r>
            <w:r>
              <w:rPr>
                <w:rFonts w:ascii="Arial" w:eastAsia="Calibri" w:hAnsi="Arial" w:cs="Arial"/>
                <w:b/>
                <w:sz w:val="16"/>
                <w:szCs w:val="16"/>
              </w:rPr>
              <w:t xml:space="preserve"> </w:t>
            </w:r>
            <w:r w:rsidRPr="00F4063B">
              <w:rPr>
                <w:rFonts w:ascii="Arial" w:eastAsia="Calibri" w:hAnsi="Arial" w:cs="Arial"/>
                <w:b/>
                <w:sz w:val="16"/>
                <w:szCs w:val="16"/>
              </w:rPr>
              <w:t>Activities</w:t>
            </w:r>
            <w:r>
              <w:rPr>
                <w:rFonts w:ascii="Arial" w:eastAsia="Calibri" w:hAnsi="Arial" w:cs="Arial"/>
                <w:b/>
                <w:sz w:val="16"/>
                <w:szCs w:val="16"/>
              </w:rPr>
              <w:t> </w:t>
            </w:r>
            <w:r w:rsidRPr="000C3212">
              <w:rPr>
                <w:rFonts w:ascii="Arial" w:eastAsia="Calibri" w:hAnsi="Arial" w:cs="Arial"/>
                <w:sz w:val="16"/>
                <w:szCs w:val="16"/>
                <w:vertAlign w:val="superscript"/>
              </w:rPr>
              <w:t>(a)</w:t>
            </w:r>
            <w:r>
              <w:rPr>
                <w:rFonts w:ascii="Arial" w:eastAsia="Calibri" w:hAnsi="Arial" w:cs="Arial"/>
                <w:b/>
                <w:sz w:val="16"/>
                <w:szCs w:val="16"/>
              </w:rPr>
              <w:t xml:space="preserve"> </w:t>
            </w:r>
          </w:p>
        </w:tc>
        <w:tc>
          <w:tcPr>
            <w:tcW w:w="3990" w:type="pct"/>
            <w:gridSpan w:val="2"/>
            <w:tcBorders>
              <w:bottom w:val="double" w:sz="4" w:space="0" w:color="auto"/>
            </w:tcBorders>
          </w:tcPr>
          <w:p w14:paraId="2D6B1AE8" w14:textId="77777777" w:rsidR="00115843" w:rsidRPr="00F4063B" w:rsidRDefault="00115843" w:rsidP="00115843">
            <w:pPr>
              <w:numPr>
                <w:ilvl w:val="0"/>
                <w:numId w:val="13"/>
              </w:numPr>
              <w:spacing w:before="60" w:after="60" w:line="240" w:lineRule="auto"/>
              <w:ind w:left="179" w:hanging="227"/>
              <w:rPr>
                <w:rFonts w:ascii="Arial" w:hAnsi="Arial" w:cs="Arial"/>
                <w:sz w:val="16"/>
                <w:szCs w:val="16"/>
              </w:rPr>
            </w:pPr>
            <w:r w:rsidRPr="00F4063B">
              <w:rPr>
                <w:rFonts w:ascii="Arial" w:hAnsi="Arial" w:cs="Arial"/>
                <w:sz w:val="16"/>
                <w:szCs w:val="16"/>
              </w:rPr>
              <w:t xml:space="preserve">Deliver policy and programs that support the cultural and creative sectors and enable all Australians to access and participate in cultural and creative activities </w:t>
            </w:r>
          </w:p>
          <w:p w14:paraId="00F407F5" w14:textId="77777777" w:rsidR="00115843" w:rsidRPr="00376425" w:rsidRDefault="00115843" w:rsidP="00115843">
            <w:pPr>
              <w:numPr>
                <w:ilvl w:val="0"/>
                <w:numId w:val="13"/>
              </w:numPr>
              <w:spacing w:before="60" w:after="60" w:line="240" w:lineRule="auto"/>
              <w:ind w:left="179" w:hanging="227"/>
              <w:rPr>
                <w:rFonts w:ascii="Arial" w:hAnsi="Arial" w:cs="Arial"/>
                <w:i/>
                <w:sz w:val="16"/>
                <w:szCs w:val="16"/>
              </w:rPr>
            </w:pPr>
            <w:r w:rsidRPr="00F4063B">
              <w:rPr>
                <w:rFonts w:ascii="Arial" w:hAnsi="Arial" w:cs="Arial"/>
                <w:sz w:val="16"/>
                <w:szCs w:val="16"/>
              </w:rPr>
              <w:t>Deliver policies and programs to support Australian cultural heritage, including Indigenous cultural heritage, arts, languages and repatriation</w:t>
            </w:r>
            <w:r w:rsidRPr="00A5765A" w:rsidDel="00376425">
              <w:rPr>
                <w:rFonts w:ascii="Arial" w:hAnsi="Arial" w:cs="Arial"/>
                <w:sz w:val="16"/>
                <w:szCs w:val="16"/>
              </w:rPr>
              <w:t xml:space="preserve"> </w:t>
            </w:r>
          </w:p>
        </w:tc>
      </w:tr>
      <w:tr w:rsidR="00115843" w:rsidRPr="00F4063B" w14:paraId="1AE9F6ED" w14:textId="77777777" w:rsidTr="00FB0D02">
        <w:trPr>
          <w:trHeight w:val="258"/>
        </w:trPr>
        <w:tc>
          <w:tcPr>
            <w:tcW w:w="1010" w:type="pct"/>
            <w:tcBorders>
              <w:top w:val="double" w:sz="4" w:space="0" w:color="auto"/>
              <w:bottom w:val="single" w:sz="4" w:space="0" w:color="auto"/>
              <w:right w:val="single" w:sz="4" w:space="0" w:color="auto"/>
            </w:tcBorders>
          </w:tcPr>
          <w:p w14:paraId="73820221" w14:textId="77777777" w:rsidR="00115843" w:rsidRPr="00CD1CF1" w:rsidRDefault="00115843" w:rsidP="00FB0D02">
            <w:pPr>
              <w:pStyle w:val="TableTextBase"/>
              <w:rPr>
                <w:b/>
                <w:sz w:val="16"/>
                <w:szCs w:val="16"/>
              </w:rPr>
            </w:pPr>
            <w:bookmarkStart w:id="42" w:name="_Hlk112667205"/>
            <w:r w:rsidRPr="00CD1CF1">
              <w:rPr>
                <w:b/>
                <w:sz w:val="16"/>
                <w:szCs w:val="16"/>
              </w:rPr>
              <w:t>Year</w:t>
            </w:r>
          </w:p>
        </w:tc>
        <w:tc>
          <w:tcPr>
            <w:tcW w:w="1609" w:type="pct"/>
            <w:tcBorders>
              <w:top w:val="double" w:sz="4" w:space="0" w:color="auto"/>
              <w:left w:val="single" w:sz="4" w:space="0" w:color="auto"/>
              <w:bottom w:val="single" w:sz="4" w:space="0" w:color="auto"/>
              <w:right w:val="single" w:sz="4" w:space="0" w:color="auto"/>
            </w:tcBorders>
          </w:tcPr>
          <w:p w14:paraId="5D98A99B" w14:textId="77777777" w:rsidR="00115843" w:rsidRPr="00CD1CF1" w:rsidRDefault="00115843" w:rsidP="00FB0D02">
            <w:pPr>
              <w:pStyle w:val="TableTextBase"/>
              <w:rPr>
                <w:rFonts w:cs="Arial"/>
                <w:b/>
                <w:sz w:val="16"/>
                <w:szCs w:val="16"/>
              </w:rPr>
            </w:pPr>
            <w:r w:rsidRPr="00CD1CF1">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44AF7A0C" w14:textId="77777777" w:rsidR="00115843" w:rsidRPr="00CD1CF1" w:rsidRDefault="00115843" w:rsidP="00FB0D02">
            <w:pPr>
              <w:pStyle w:val="TableTextBase"/>
              <w:rPr>
                <w:rFonts w:cs="Arial"/>
                <w:b/>
                <w:sz w:val="16"/>
                <w:szCs w:val="16"/>
              </w:rPr>
            </w:pPr>
            <w:r w:rsidRPr="00CD1CF1">
              <w:rPr>
                <w:rFonts w:cs="Arial"/>
                <w:b/>
                <w:sz w:val="16"/>
                <w:szCs w:val="16"/>
              </w:rPr>
              <w:t>Expected Performance Results</w:t>
            </w:r>
          </w:p>
        </w:tc>
      </w:tr>
      <w:bookmarkEnd w:id="42"/>
      <w:tr w:rsidR="00115843" w:rsidRPr="00F4063B" w14:paraId="0B2ECAE6" w14:textId="77777777" w:rsidTr="00FB0D02">
        <w:trPr>
          <w:cantSplit/>
          <w:trHeight w:val="642"/>
        </w:trPr>
        <w:tc>
          <w:tcPr>
            <w:tcW w:w="1010" w:type="pct"/>
            <w:vMerge w:val="restart"/>
            <w:tcBorders>
              <w:top w:val="single" w:sz="4" w:space="0" w:color="auto"/>
              <w:right w:val="single" w:sz="4" w:space="0" w:color="auto"/>
            </w:tcBorders>
          </w:tcPr>
          <w:p w14:paraId="1CB2B066" w14:textId="77777777" w:rsidR="00115843" w:rsidRPr="00C92559" w:rsidRDefault="00115843" w:rsidP="00FB0D02">
            <w:pPr>
              <w:pStyle w:val="TableTextBase"/>
              <w:rPr>
                <w:sz w:val="16"/>
                <w:szCs w:val="16"/>
              </w:rPr>
            </w:pPr>
            <w:r w:rsidRPr="00C92559">
              <w:rPr>
                <w:sz w:val="16"/>
                <w:szCs w:val="16"/>
              </w:rPr>
              <w:t xml:space="preserve">Prior year </w:t>
            </w:r>
            <w:r w:rsidRPr="00C92559">
              <w:rPr>
                <w:sz w:val="16"/>
                <w:szCs w:val="16"/>
              </w:rPr>
              <w:br/>
              <w:t>2021–22</w:t>
            </w:r>
          </w:p>
        </w:tc>
        <w:tc>
          <w:tcPr>
            <w:tcW w:w="1609" w:type="pct"/>
            <w:tcBorders>
              <w:top w:val="single" w:sz="4" w:space="0" w:color="auto"/>
              <w:left w:val="single" w:sz="4" w:space="0" w:color="auto"/>
              <w:bottom w:val="single" w:sz="4" w:space="0" w:color="auto"/>
              <w:right w:val="single" w:sz="4" w:space="0" w:color="auto"/>
            </w:tcBorders>
          </w:tcPr>
          <w:p w14:paraId="0E260BC7" w14:textId="77777777" w:rsidR="00115843" w:rsidRPr="00C92559" w:rsidRDefault="00115843" w:rsidP="00FB0D02">
            <w:pPr>
              <w:pStyle w:val="TableTextBase"/>
              <w:rPr>
                <w:rFonts w:eastAsia="Calibri" w:cs="Arial"/>
                <w:sz w:val="16"/>
                <w:szCs w:val="16"/>
                <w:lang w:eastAsia="en-US"/>
              </w:rPr>
            </w:pPr>
            <w:r w:rsidRPr="00C92559">
              <w:rPr>
                <w:rFonts w:eastAsia="Calibri" w:cs="Arial"/>
                <w:sz w:val="16"/>
                <w:szCs w:val="16"/>
                <w:lang w:eastAsia="en-US"/>
              </w:rPr>
              <w:t>Progress against the National Arts and Disability Strategy (Strategy)</w:t>
            </w:r>
          </w:p>
        </w:tc>
        <w:tc>
          <w:tcPr>
            <w:tcW w:w="2381" w:type="pct"/>
            <w:tcBorders>
              <w:top w:val="single" w:sz="4" w:space="0" w:color="auto"/>
              <w:left w:val="single" w:sz="4" w:space="0" w:color="auto"/>
              <w:bottom w:val="single" w:sz="4" w:space="0" w:color="auto"/>
            </w:tcBorders>
          </w:tcPr>
          <w:p w14:paraId="649E9926" w14:textId="77777777" w:rsidR="00115843" w:rsidRPr="00C92559" w:rsidRDefault="00115843" w:rsidP="00FB0D02">
            <w:pPr>
              <w:spacing w:before="60" w:after="60" w:line="240" w:lineRule="auto"/>
              <w:ind w:right="-12"/>
              <w:rPr>
                <w:rFonts w:ascii="Arial" w:eastAsia="Calibri" w:hAnsi="Arial" w:cs="Arial"/>
                <w:sz w:val="16"/>
                <w:szCs w:val="16"/>
              </w:rPr>
            </w:pPr>
            <w:r w:rsidRPr="00C92559">
              <w:rPr>
                <w:rFonts w:ascii="Arial" w:eastAsia="Calibri" w:hAnsi="Arial" w:cs="Arial"/>
                <w:sz w:val="16"/>
                <w:szCs w:val="16"/>
              </w:rPr>
              <w:t>Target: Strategy is renewed in 2021–22 and the arts and disability resource hub is maintained</w:t>
            </w:r>
          </w:p>
          <w:p w14:paraId="33662810" w14:textId="77777777" w:rsidR="00115843" w:rsidRPr="00C92559" w:rsidRDefault="00115843" w:rsidP="00FB0D02">
            <w:pPr>
              <w:spacing w:before="60" w:after="60" w:line="240" w:lineRule="auto"/>
              <w:rPr>
                <w:rFonts w:ascii="Arial" w:eastAsia="Calibri" w:hAnsi="Arial" w:cs="Arial"/>
                <w:sz w:val="16"/>
                <w:szCs w:val="16"/>
              </w:rPr>
            </w:pPr>
            <w:r w:rsidRPr="00C92559">
              <w:rPr>
                <w:rFonts w:ascii="Arial" w:eastAsia="Calibri" w:hAnsi="Arial" w:cs="Arial"/>
                <w:sz w:val="16"/>
                <w:szCs w:val="16"/>
              </w:rPr>
              <w:t>Target not met</w:t>
            </w:r>
          </w:p>
          <w:p w14:paraId="711BBECF" w14:textId="38BFB860" w:rsidR="00115843" w:rsidRPr="00C92559" w:rsidRDefault="00115843" w:rsidP="00FB0D02">
            <w:pPr>
              <w:spacing w:before="60" w:after="60" w:line="240" w:lineRule="auto"/>
              <w:rPr>
                <w:rFonts w:ascii="Arial" w:eastAsia="Calibri" w:hAnsi="Arial" w:cs="Arial"/>
                <w:sz w:val="16"/>
                <w:szCs w:val="16"/>
              </w:rPr>
            </w:pPr>
            <w:r w:rsidRPr="00C92559">
              <w:rPr>
                <w:rFonts w:ascii="Arial" w:eastAsia="Calibri" w:hAnsi="Arial" w:cs="Arial"/>
                <w:sz w:val="16"/>
                <w:szCs w:val="16"/>
              </w:rPr>
              <w:t>Actual: As a result of a decision of government, the renewal of the National Arts and Disability Strategy was progressed under the framework of Australia’s Disability Strategy. The work is well progressed and will be subject to government consideration and further targeted consultation in the first half of 2022–23</w:t>
            </w:r>
            <w:r w:rsidR="0019217D">
              <w:rPr>
                <w:rFonts w:ascii="Arial" w:eastAsia="Calibri" w:hAnsi="Arial" w:cs="Arial"/>
                <w:sz w:val="16"/>
                <w:szCs w:val="16"/>
              </w:rPr>
              <w:t>.</w:t>
            </w:r>
          </w:p>
          <w:p w14:paraId="5073F299" w14:textId="0DC1872D" w:rsidR="00115843" w:rsidRPr="00C92559" w:rsidRDefault="00115843" w:rsidP="00FB0D02">
            <w:pPr>
              <w:tabs>
                <w:tab w:val="left" w:pos="204"/>
                <w:tab w:val="left" w:pos="396"/>
              </w:tabs>
              <w:spacing w:before="60" w:after="60" w:line="240" w:lineRule="auto"/>
              <w:rPr>
                <w:rFonts w:ascii="Arial" w:eastAsia="Calibri" w:hAnsi="Arial" w:cs="Arial"/>
                <w:sz w:val="16"/>
                <w:szCs w:val="16"/>
              </w:rPr>
            </w:pPr>
            <w:r w:rsidRPr="00C92559">
              <w:rPr>
                <w:rFonts w:ascii="Arial" w:eastAsia="Calibri" w:hAnsi="Arial" w:cs="Arial"/>
                <w:sz w:val="16"/>
                <w:szCs w:val="16"/>
              </w:rPr>
              <w:t>The arts and disability resource hub was maintained</w:t>
            </w:r>
            <w:r w:rsidR="0019217D">
              <w:rPr>
                <w:rFonts w:ascii="Arial" w:eastAsia="Calibri" w:hAnsi="Arial" w:cs="Arial"/>
                <w:sz w:val="16"/>
                <w:szCs w:val="16"/>
              </w:rPr>
              <w:t>.</w:t>
            </w:r>
          </w:p>
        </w:tc>
      </w:tr>
      <w:tr w:rsidR="00115843" w:rsidRPr="00F4063B" w14:paraId="6835504E" w14:textId="77777777" w:rsidTr="00FB0D02">
        <w:trPr>
          <w:cantSplit/>
          <w:trHeight w:val="642"/>
        </w:trPr>
        <w:tc>
          <w:tcPr>
            <w:tcW w:w="1010" w:type="pct"/>
            <w:vMerge/>
            <w:tcBorders>
              <w:right w:val="single" w:sz="4" w:space="0" w:color="auto"/>
            </w:tcBorders>
          </w:tcPr>
          <w:p w14:paraId="1D2AA1F0" w14:textId="77777777" w:rsidR="00115843" w:rsidRPr="00C92559" w:rsidRDefault="00115843" w:rsidP="00FB0D02">
            <w:pPr>
              <w:pStyle w:val="TableTextBase"/>
              <w:rPr>
                <w:sz w:val="16"/>
                <w:szCs w:val="16"/>
              </w:rPr>
            </w:pPr>
          </w:p>
        </w:tc>
        <w:tc>
          <w:tcPr>
            <w:tcW w:w="1609" w:type="pct"/>
            <w:tcBorders>
              <w:top w:val="single" w:sz="4" w:space="0" w:color="auto"/>
              <w:left w:val="single" w:sz="4" w:space="0" w:color="auto"/>
              <w:bottom w:val="single" w:sz="4" w:space="0" w:color="auto"/>
              <w:right w:val="single" w:sz="4" w:space="0" w:color="auto"/>
            </w:tcBorders>
          </w:tcPr>
          <w:p w14:paraId="07933980" w14:textId="77777777" w:rsidR="00115843" w:rsidRPr="00C92559" w:rsidRDefault="00115843" w:rsidP="00FB0D02">
            <w:pPr>
              <w:pStyle w:val="TableTextBase"/>
              <w:rPr>
                <w:rFonts w:eastAsia="Calibri" w:cs="Arial"/>
                <w:sz w:val="16"/>
                <w:szCs w:val="16"/>
                <w:lang w:eastAsia="en-US"/>
              </w:rPr>
            </w:pPr>
            <w:r w:rsidRPr="00C92559">
              <w:rPr>
                <w:rFonts w:eastAsia="Calibri" w:cs="Arial"/>
                <w:sz w:val="16"/>
                <w:szCs w:val="16"/>
                <w:lang w:eastAsia="en-US"/>
              </w:rPr>
              <w:t>Number of students enrolled in courses at national performing arts training organisations</w:t>
            </w:r>
          </w:p>
        </w:tc>
        <w:tc>
          <w:tcPr>
            <w:tcW w:w="2381" w:type="pct"/>
            <w:tcBorders>
              <w:top w:val="single" w:sz="4" w:space="0" w:color="auto"/>
              <w:left w:val="single" w:sz="4" w:space="0" w:color="auto"/>
              <w:bottom w:val="single" w:sz="4" w:space="0" w:color="auto"/>
            </w:tcBorders>
          </w:tcPr>
          <w:p w14:paraId="361197A7" w14:textId="77777777" w:rsidR="00115843" w:rsidRPr="00C92559" w:rsidRDefault="00115843" w:rsidP="00FB0D02">
            <w:pPr>
              <w:spacing w:before="60" w:after="60" w:line="240" w:lineRule="auto"/>
              <w:ind w:right="-12"/>
              <w:rPr>
                <w:rFonts w:ascii="Arial" w:eastAsia="Calibri" w:hAnsi="Arial" w:cs="Arial"/>
                <w:sz w:val="16"/>
                <w:szCs w:val="16"/>
              </w:rPr>
            </w:pPr>
            <w:r w:rsidRPr="00C92559">
              <w:rPr>
                <w:rFonts w:ascii="Arial" w:eastAsia="Calibri" w:hAnsi="Arial" w:cs="Arial"/>
                <w:sz w:val="16"/>
                <w:szCs w:val="16"/>
              </w:rPr>
              <w:t>Target: ≥800 students in 2021</w:t>
            </w:r>
          </w:p>
          <w:p w14:paraId="5BF3A554" w14:textId="77777777" w:rsidR="00115843" w:rsidRPr="00C92559" w:rsidRDefault="00115843" w:rsidP="00FB0D02">
            <w:pPr>
              <w:spacing w:before="60" w:after="60" w:line="240" w:lineRule="auto"/>
              <w:ind w:right="-12"/>
              <w:rPr>
                <w:rFonts w:ascii="Arial" w:eastAsia="Calibri" w:hAnsi="Arial" w:cs="Arial"/>
                <w:sz w:val="16"/>
                <w:szCs w:val="16"/>
              </w:rPr>
            </w:pPr>
            <w:r w:rsidRPr="00C92559">
              <w:rPr>
                <w:rFonts w:ascii="Arial" w:eastAsia="Calibri" w:hAnsi="Arial" w:cs="Arial"/>
                <w:sz w:val="16"/>
                <w:szCs w:val="16"/>
              </w:rPr>
              <w:t>Target met</w:t>
            </w:r>
          </w:p>
          <w:p w14:paraId="2D1A622E" w14:textId="108B3F94" w:rsidR="00115843" w:rsidRPr="00C92559" w:rsidRDefault="00115843" w:rsidP="00FB0D02">
            <w:pPr>
              <w:pStyle w:val="TableTextBase"/>
              <w:rPr>
                <w:rFonts w:cs="Arial"/>
                <w:sz w:val="16"/>
                <w:szCs w:val="16"/>
              </w:rPr>
            </w:pPr>
            <w:r w:rsidRPr="00C92559">
              <w:rPr>
                <w:rFonts w:eastAsia="Calibri" w:cs="Arial"/>
                <w:sz w:val="16"/>
                <w:szCs w:val="16"/>
              </w:rPr>
              <w:t>Actual: In 2021, there were 1,084 students enrolled in accredited courses at the National Performing Arts Training Organisations in 2021</w:t>
            </w:r>
            <w:r w:rsidR="0019217D">
              <w:rPr>
                <w:rFonts w:eastAsia="Calibri" w:cs="Arial"/>
                <w:sz w:val="16"/>
                <w:szCs w:val="16"/>
              </w:rPr>
              <w:t>.</w:t>
            </w:r>
          </w:p>
        </w:tc>
      </w:tr>
      <w:tr w:rsidR="00115843" w:rsidRPr="00F4063B" w14:paraId="07DE80CF" w14:textId="77777777" w:rsidTr="00FB0D02">
        <w:trPr>
          <w:cantSplit/>
          <w:trHeight w:val="642"/>
        </w:trPr>
        <w:tc>
          <w:tcPr>
            <w:tcW w:w="1010" w:type="pct"/>
            <w:vMerge/>
            <w:tcBorders>
              <w:right w:val="single" w:sz="4" w:space="0" w:color="auto"/>
            </w:tcBorders>
          </w:tcPr>
          <w:p w14:paraId="6056B91E" w14:textId="77777777" w:rsidR="00115843" w:rsidRPr="00C92559" w:rsidRDefault="00115843" w:rsidP="00FB0D02">
            <w:pPr>
              <w:pStyle w:val="TableTextBase"/>
              <w:rPr>
                <w:sz w:val="16"/>
                <w:szCs w:val="16"/>
              </w:rPr>
            </w:pPr>
          </w:p>
        </w:tc>
        <w:tc>
          <w:tcPr>
            <w:tcW w:w="1609" w:type="pct"/>
            <w:tcBorders>
              <w:top w:val="single" w:sz="4" w:space="0" w:color="auto"/>
              <w:left w:val="single" w:sz="4" w:space="0" w:color="auto"/>
              <w:bottom w:val="single" w:sz="4" w:space="0" w:color="auto"/>
              <w:right w:val="single" w:sz="4" w:space="0" w:color="auto"/>
            </w:tcBorders>
          </w:tcPr>
          <w:p w14:paraId="7A08AC9B" w14:textId="77777777" w:rsidR="00115843" w:rsidRPr="00C92559" w:rsidRDefault="00115843" w:rsidP="00FB0D02">
            <w:pPr>
              <w:pStyle w:val="TableTextBase"/>
              <w:rPr>
                <w:rFonts w:eastAsia="Calibri" w:cs="Arial"/>
                <w:sz w:val="16"/>
                <w:szCs w:val="16"/>
                <w:lang w:eastAsia="en-US"/>
              </w:rPr>
            </w:pPr>
            <w:r w:rsidRPr="00C92559">
              <w:rPr>
                <w:rFonts w:eastAsia="Calibri" w:cs="Arial"/>
                <w:sz w:val="16"/>
                <w:szCs w:val="16"/>
                <w:lang w:eastAsia="en-US"/>
              </w:rPr>
              <w:t>Number of claimants (including authors, illustrators and publishers) to receive funding through lending rights</w:t>
            </w:r>
          </w:p>
        </w:tc>
        <w:tc>
          <w:tcPr>
            <w:tcW w:w="2381" w:type="pct"/>
            <w:tcBorders>
              <w:top w:val="single" w:sz="4" w:space="0" w:color="auto"/>
              <w:left w:val="single" w:sz="4" w:space="0" w:color="auto"/>
              <w:bottom w:val="single" w:sz="4" w:space="0" w:color="auto"/>
            </w:tcBorders>
          </w:tcPr>
          <w:p w14:paraId="39D2A80D" w14:textId="77777777" w:rsidR="00115843" w:rsidRPr="00C92559" w:rsidRDefault="00115843" w:rsidP="00FB0D02">
            <w:pPr>
              <w:spacing w:before="60" w:after="60" w:line="240" w:lineRule="auto"/>
              <w:rPr>
                <w:rFonts w:ascii="Arial" w:eastAsia="Calibri" w:hAnsi="Arial" w:cs="Arial"/>
                <w:sz w:val="16"/>
                <w:szCs w:val="16"/>
              </w:rPr>
            </w:pPr>
            <w:r w:rsidRPr="00C92559">
              <w:rPr>
                <w:rFonts w:ascii="Arial" w:eastAsia="Calibri" w:hAnsi="Arial" w:cs="Arial"/>
                <w:sz w:val="16"/>
                <w:szCs w:val="16"/>
              </w:rPr>
              <w:t>Target: ≥16,000 claimants in the financial year</w:t>
            </w:r>
          </w:p>
          <w:p w14:paraId="6185CA5F" w14:textId="77777777" w:rsidR="00115843" w:rsidRPr="00C92559" w:rsidRDefault="00115843" w:rsidP="00FB0D02">
            <w:pPr>
              <w:spacing w:before="60" w:after="60" w:line="240" w:lineRule="auto"/>
              <w:ind w:right="-12"/>
              <w:rPr>
                <w:rFonts w:ascii="Arial" w:eastAsia="Calibri" w:hAnsi="Arial" w:cs="Arial"/>
                <w:sz w:val="16"/>
                <w:szCs w:val="16"/>
              </w:rPr>
            </w:pPr>
            <w:r w:rsidRPr="00C92559">
              <w:rPr>
                <w:rFonts w:ascii="Arial" w:eastAsia="Calibri" w:hAnsi="Arial" w:cs="Arial"/>
                <w:sz w:val="16"/>
                <w:szCs w:val="16"/>
              </w:rPr>
              <w:t>Target met</w:t>
            </w:r>
          </w:p>
          <w:p w14:paraId="64B17B92" w14:textId="55805D79" w:rsidR="00115843" w:rsidRPr="00C92559" w:rsidRDefault="00115843" w:rsidP="00FB0D02">
            <w:pPr>
              <w:spacing w:before="60" w:after="60" w:line="240" w:lineRule="auto"/>
              <w:rPr>
                <w:rFonts w:cs="Arial"/>
                <w:sz w:val="16"/>
                <w:szCs w:val="16"/>
              </w:rPr>
            </w:pPr>
            <w:r w:rsidRPr="00C92559">
              <w:rPr>
                <w:rFonts w:ascii="Arial" w:eastAsia="Calibri" w:hAnsi="Arial" w:cs="Arial"/>
                <w:sz w:val="16"/>
                <w:szCs w:val="16"/>
              </w:rPr>
              <w:t>Actual: Under the public and educational lending right schemes, $23.1 million was provided through 17,508 payments to eligible claimants, and to administer the scheme</w:t>
            </w:r>
            <w:r w:rsidR="0019217D">
              <w:rPr>
                <w:rFonts w:ascii="Arial" w:eastAsia="Calibri" w:hAnsi="Arial" w:cs="Arial"/>
                <w:sz w:val="16"/>
                <w:szCs w:val="16"/>
              </w:rPr>
              <w:t>.</w:t>
            </w:r>
          </w:p>
        </w:tc>
      </w:tr>
    </w:tbl>
    <w:p w14:paraId="7E0046D5"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19217D" w14:paraId="0C787972" w14:textId="77777777" w:rsidTr="00FB0D02">
        <w:trPr>
          <w:trHeight w:val="258"/>
        </w:trPr>
        <w:tc>
          <w:tcPr>
            <w:tcW w:w="873" w:type="pct"/>
            <w:tcBorders>
              <w:top w:val="double" w:sz="4" w:space="0" w:color="auto"/>
              <w:bottom w:val="single" w:sz="4" w:space="0" w:color="auto"/>
              <w:right w:val="single" w:sz="4" w:space="0" w:color="auto"/>
            </w:tcBorders>
          </w:tcPr>
          <w:p w14:paraId="6BAA5E13" w14:textId="77777777" w:rsidR="00115843" w:rsidRPr="0019217D" w:rsidRDefault="00115843" w:rsidP="00FB0D02">
            <w:pPr>
              <w:pStyle w:val="TableTextBase"/>
              <w:rPr>
                <w:b/>
                <w:sz w:val="16"/>
                <w:szCs w:val="16"/>
              </w:rPr>
            </w:pPr>
            <w:r w:rsidRPr="0019217D">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01E7F31F" w14:textId="77777777" w:rsidR="00115843" w:rsidRPr="0019217D" w:rsidRDefault="00115843" w:rsidP="00FB0D02">
            <w:pPr>
              <w:pStyle w:val="TableTextBase"/>
              <w:rPr>
                <w:rFonts w:cs="Arial"/>
                <w:b/>
                <w:sz w:val="16"/>
                <w:szCs w:val="16"/>
              </w:rPr>
            </w:pPr>
            <w:r w:rsidRPr="0019217D">
              <w:rPr>
                <w:rFonts w:cs="Arial"/>
                <w:b/>
                <w:sz w:val="16"/>
                <w:szCs w:val="16"/>
              </w:rPr>
              <w:t>Performance measures</w:t>
            </w:r>
          </w:p>
        </w:tc>
        <w:tc>
          <w:tcPr>
            <w:tcW w:w="2381" w:type="pct"/>
            <w:tcBorders>
              <w:top w:val="double" w:sz="4" w:space="0" w:color="auto"/>
              <w:left w:val="single" w:sz="4" w:space="0" w:color="auto"/>
              <w:bottom w:val="single" w:sz="4" w:space="0" w:color="auto"/>
            </w:tcBorders>
          </w:tcPr>
          <w:p w14:paraId="3A669540" w14:textId="77777777" w:rsidR="00115843" w:rsidRPr="0019217D" w:rsidRDefault="00115843" w:rsidP="00FB0D02">
            <w:pPr>
              <w:pStyle w:val="TableTextBase"/>
              <w:rPr>
                <w:rFonts w:cs="Arial"/>
                <w:b/>
                <w:sz w:val="16"/>
                <w:szCs w:val="16"/>
              </w:rPr>
            </w:pPr>
            <w:r w:rsidRPr="0019217D">
              <w:rPr>
                <w:rFonts w:cs="Arial"/>
                <w:b/>
                <w:sz w:val="16"/>
                <w:szCs w:val="16"/>
              </w:rPr>
              <w:t>Expected Performance Results</w:t>
            </w:r>
          </w:p>
        </w:tc>
      </w:tr>
      <w:tr w:rsidR="00115843" w:rsidRPr="0019217D" w14:paraId="201A6905" w14:textId="77777777" w:rsidTr="00FB0D02">
        <w:trPr>
          <w:cantSplit/>
          <w:trHeight w:val="642"/>
        </w:trPr>
        <w:tc>
          <w:tcPr>
            <w:tcW w:w="873" w:type="pct"/>
            <w:vMerge w:val="restart"/>
            <w:tcBorders>
              <w:right w:val="single" w:sz="4" w:space="0" w:color="auto"/>
            </w:tcBorders>
          </w:tcPr>
          <w:p w14:paraId="04D7AF95" w14:textId="77777777" w:rsidR="00115843" w:rsidRPr="0019217D" w:rsidRDefault="00115843" w:rsidP="00FB0D02">
            <w:pPr>
              <w:pStyle w:val="TableTextBase"/>
              <w:rPr>
                <w:sz w:val="16"/>
                <w:szCs w:val="16"/>
              </w:rPr>
            </w:pPr>
            <w:r w:rsidRPr="0019217D">
              <w:rPr>
                <w:sz w:val="16"/>
                <w:szCs w:val="16"/>
              </w:rPr>
              <w:t xml:space="preserve">Prior year </w:t>
            </w:r>
            <w:r w:rsidRPr="0019217D">
              <w:rPr>
                <w:sz w:val="16"/>
                <w:szCs w:val="16"/>
              </w:rPr>
              <w:br/>
              <w:t>2021–22 cont.</w:t>
            </w:r>
          </w:p>
        </w:tc>
        <w:tc>
          <w:tcPr>
            <w:tcW w:w="1746" w:type="pct"/>
            <w:tcBorders>
              <w:top w:val="single" w:sz="4" w:space="0" w:color="auto"/>
              <w:left w:val="single" w:sz="4" w:space="0" w:color="auto"/>
              <w:bottom w:val="single" w:sz="4" w:space="0" w:color="auto"/>
              <w:right w:val="single" w:sz="4" w:space="0" w:color="auto"/>
            </w:tcBorders>
          </w:tcPr>
          <w:p w14:paraId="61779E33" w14:textId="77777777" w:rsidR="00115843" w:rsidRPr="0019217D" w:rsidRDefault="00115843" w:rsidP="00FB0D02">
            <w:pPr>
              <w:spacing w:before="60" w:after="0" w:line="240" w:lineRule="auto"/>
              <w:rPr>
                <w:rFonts w:ascii="Arial" w:eastAsia="Calibri" w:hAnsi="Arial" w:cs="Arial"/>
                <w:sz w:val="16"/>
                <w:szCs w:val="16"/>
              </w:rPr>
            </w:pPr>
            <w:r w:rsidRPr="0019217D">
              <w:rPr>
                <w:rFonts w:ascii="Arial" w:eastAsia="Calibri" w:hAnsi="Arial" w:cs="Arial"/>
                <w:sz w:val="16"/>
                <w:szCs w:val="16"/>
              </w:rPr>
              <w:t xml:space="preserve">Artbank operations, number of: </w:t>
            </w:r>
          </w:p>
          <w:p w14:paraId="44FCF7C6" w14:textId="77777777" w:rsidR="00115843" w:rsidRPr="0019217D" w:rsidRDefault="00115843" w:rsidP="000723E3">
            <w:pPr>
              <w:numPr>
                <w:ilvl w:val="0"/>
                <w:numId w:val="237"/>
              </w:numPr>
              <w:spacing w:before="60" w:after="60" w:line="240" w:lineRule="auto"/>
              <w:contextualSpacing/>
              <w:rPr>
                <w:rFonts w:ascii="Arial" w:eastAsia="Calibri" w:hAnsi="Arial" w:cs="Arial"/>
                <w:sz w:val="16"/>
                <w:szCs w:val="16"/>
              </w:rPr>
            </w:pPr>
            <w:r w:rsidRPr="0019217D">
              <w:rPr>
                <w:rFonts w:ascii="Arial" w:eastAsia="Calibri" w:hAnsi="Arial" w:cs="Arial"/>
                <w:sz w:val="16"/>
                <w:szCs w:val="16"/>
              </w:rPr>
              <w:t xml:space="preserve">artworks purchased </w:t>
            </w:r>
          </w:p>
          <w:p w14:paraId="37BA3A53" w14:textId="77777777" w:rsidR="00115843" w:rsidRPr="0019217D" w:rsidRDefault="00115843" w:rsidP="000723E3">
            <w:pPr>
              <w:numPr>
                <w:ilvl w:val="0"/>
                <w:numId w:val="237"/>
              </w:numPr>
              <w:spacing w:before="60" w:after="60" w:line="240" w:lineRule="auto"/>
              <w:contextualSpacing/>
              <w:rPr>
                <w:rFonts w:ascii="Arial" w:eastAsia="Calibri" w:hAnsi="Arial" w:cs="Arial"/>
                <w:sz w:val="16"/>
                <w:szCs w:val="16"/>
              </w:rPr>
            </w:pPr>
            <w:r w:rsidRPr="0019217D">
              <w:rPr>
                <w:rFonts w:ascii="Arial" w:eastAsia="Calibri" w:hAnsi="Arial" w:cs="Arial"/>
                <w:sz w:val="16"/>
                <w:szCs w:val="16"/>
              </w:rPr>
              <w:t>artworks leased</w:t>
            </w:r>
          </w:p>
          <w:p w14:paraId="7E5C625B" w14:textId="77777777" w:rsidR="00115843" w:rsidRPr="0019217D" w:rsidRDefault="00115843" w:rsidP="000723E3">
            <w:pPr>
              <w:numPr>
                <w:ilvl w:val="0"/>
                <w:numId w:val="237"/>
              </w:numPr>
              <w:spacing w:before="60" w:after="60" w:line="240" w:lineRule="auto"/>
              <w:contextualSpacing/>
              <w:rPr>
                <w:rFonts w:eastAsia="Calibri" w:cs="Arial"/>
                <w:sz w:val="16"/>
                <w:szCs w:val="16"/>
              </w:rPr>
            </w:pPr>
            <w:r w:rsidRPr="0019217D">
              <w:rPr>
                <w:rFonts w:ascii="Arial" w:eastAsia="Calibri" w:hAnsi="Arial" w:cs="Arial"/>
                <w:sz w:val="16"/>
                <w:szCs w:val="16"/>
              </w:rPr>
              <w:t>clients</w:t>
            </w:r>
            <w:r w:rsidRPr="000723E3">
              <w:rPr>
                <w:rFonts w:ascii="Arial" w:eastAsia="Calibri" w:hAnsi="Arial" w:cs="Arial"/>
                <w:sz w:val="16"/>
                <w:szCs w:val="16"/>
              </w:rPr>
              <w:t>(d)</w:t>
            </w:r>
          </w:p>
        </w:tc>
        <w:tc>
          <w:tcPr>
            <w:tcW w:w="2381" w:type="pct"/>
            <w:tcBorders>
              <w:top w:val="single" w:sz="4" w:space="0" w:color="auto"/>
              <w:left w:val="single" w:sz="4" w:space="0" w:color="auto"/>
              <w:bottom w:val="single" w:sz="4" w:space="0" w:color="auto"/>
            </w:tcBorders>
          </w:tcPr>
          <w:p w14:paraId="393645F4"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Purchasing decisions must be responsive to market conditions; and client interactions are market driven</w:t>
            </w:r>
          </w:p>
          <w:p w14:paraId="72267615"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It is not appropriate to set targets for Artbank as operations are responsive to market conditions and both its policy objectives are subject to market fluctuations.</w:t>
            </w:r>
          </w:p>
          <w:p w14:paraId="488CF8AB"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In 2021–22, there were:</w:t>
            </w:r>
          </w:p>
          <w:p w14:paraId="632C8778" w14:textId="77777777" w:rsidR="00115843" w:rsidRPr="0019217D" w:rsidRDefault="00115843" w:rsidP="00115843">
            <w:pPr>
              <w:pStyle w:val="ListParagraph"/>
              <w:numPr>
                <w:ilvl w:val="0"/>
                <w:numId w:val="235"/>
              </w:numPr>
              <w:spacing w:before="60" w:after="60" w:line="240" w:lineRule="auto"/>
              <w:ind w:left="360"/>
              <w:rPr>
                <w:rFonts w:ascii="Arial" w:hAnsi="Arial" w:cs="Arial"/>
                <w:sz w:val="16"/>
                <w:szCs w:val="16"/>
              </w:rPr>
            </w:pPr>
            <w:r w:rsidRPr="0019217D">
              <w:rPr>
                <w:rFonts w:ascii="Arial" w:hAnsi="Arial" w:cs="Arial"/>
                <w:sz w:val="16"/>
                <w:szCs w:val="16"/>
              </w:rPr>
              <w:t>71 artworks purchased</w:t>
            </w:r>
          </w:p>
          <w:p w14:paraId="3E55EE25" w14:textId="77777777" w:rsidR="00115843" w:rsidRPr="0019217D" w:rsidRDefault="00115843" w:rsidP="00115843">
            <w:pPr>
              <w:pStyle w:val="ListParagraph"/>
              <w:numPr>
                <w:ilvl w:val="0"/>
                <w:numId w:val="235"/>
              </w:numPr>
              <w:spacing w:before="60" w:after="60" w:line="240" w:lineRule="auto"/>
              <w:ind w:left="360"/>
              <w:rPr>
                <w:rFonts w:ascii="Arial" w:hAnsi="Arial" w:cs="Arial"/>
                <w:sz w:val="16"/>
                <w:szCs w:val="16"/>
              </w:rPr>
            </w:pPr>
            <w:r w:rsidRPr="0019217D">
              <w:rPr>
                <w:rFonts w:ascii="Arial" w:hAnsi="Arial" w:cs="Arial"/>
                <w:sz w:val="16"/>
                <w:szCs w:val="16"/>
              </w:rPr>
              <w:t>4,098 artworks leased</w:t>
            </w:r>
          </w:p>
          <w:p w14:paraId="019DDC55" w14:textId="77777777" w:rsidR="00115843" w:rsidRPr="0019217D" w:rsidRDefault="00115843" w:rsidP="00115843">
            <w:pPr>
              <w:pStyle w:val="ListParagraph"/>
              <w:numPr>
                <w:ilvl w:val="0"/>
                <w:numId w:val="235"/>
              </w:numPr>
              <w:spacing w:before="60" w:after="60" w:line="240" w:lineRule="auto"/>
              <w:ind w:left="360"/>
              <w:rPr>
                <w:rFonts w:ascii="Arial" w:hAnsi="Arial" w:cs="Arial"/>
                <w:sz w:val="16"/>
                <w:szCs w:val="16"/>
              </w:rPr>
            </w:pPr>
            <w:r w:rsidRPr="0019217D">
              <w:rPr>
                <w:rFonts w:ascii="Arial" w:hAnsi="Arial" w:cs="Arial"/>
                <w:sz w:val="16"/>
                <w:szCs w:val="16"/>
              </w:rPr>
              <w:t>561 clients</w:t>
            </w:r>
          </w:p>
        </w:tc>
      </w:tr>
      <w:tr w:rsidR="00115843" w:rsidRPr="0019217D" w14:paraId="18449937" w14:textId="77777777" w:rsidTr="00FB0D02">
        <w:trPr>
          <w:cantSplit/>
          <w:trHeight w:val="642"/>
        </w:trPr>
        <w:tc>
          <w:tcPr>
            <w:tcW w:w="873" w:type="pct"/>
            <w:vMerge/>
            <w:tcBorders>
              <w:right w:val="single" w:sz="4" w:space="0" w:color="auto"/>
            </w:tcBorders>
          </w:tcPr>
          <w:p w14:paraId="303BAAE0" w14:textId="77777777" w:rsidR="00115843" w:rsidRPr="0019217D"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C173258" w14:textId="77777777" w:rsidR="00115843" w:rsidRPr="0019217D" w:rsidRDefault="00115843" w:rsidP="00FB0D02">
            <w:pPr>
              <w:pStyle w:val="TableTextBase"/>
              <w:rPr>
                <w:rFonts w:asciiTheme="minorHAnsi" w:eastAsia="Calibri" w:hAnsiTheme="minorHAnsi" w:cstheme="minorHAnsi"/>
                <w:sz w:val="16"/>
                <w:szCs w:val="16"/>
                <w:lang w:eastAsia="en-US"/>
              </w:rPr>
            </w:pPr>
            <w:r w:rsidRPr="0019217D">
              <w:rPr>
                <w:rFonts w:eastAsia="Calibri" w:cs="Arial"/>
                <w:sz w:val="16"/>
                <w:szCs w:val="16"/>
              </w:rPr>
              <w:t>Number of art centres and art fairs funded through the Indigenous Visual Arts Industry Support (IVAIS) program</w:t>
            </w:r>
          </w:p>
        </w:tc>
        <w:tc>
          <w:tcPr>
            <w:tcW w:w="2381" w:type="pct"/>
            <w:tcBorders>
              <w:top w:val="single" w:sz="4" w:space="0" w:color="auto"/>
              <w:left w:val="single" w:sz="4" w:space="0" w:color="auto"/>
              <w:bottom w:val="single" w:sz="4" w:space="0" w:color="auto"/>
            </w:tcBorders>
          </w:tcPr>
          <w:p w14:paraId="20F34FCC"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Target: ≥80 centres in the financial year</w:t>
            </w:r>
          </w:p>
          <w:p w14:paraId="3148FDAE"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Target met</w:t>
            </w:r>
          </w:p>
          <w:p w14:paraId="5838DB5E" w14:textId="60C665B5"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Actual: In 2021–22, 84 Indigenous art centres have been funded through the IVAIS program</w:t>
            </w:r>
            <w:r w:rsidR="00861157">
              <w:rPr>
                <w:rFonts w:ascii="Arial" w:eastAsia="Calibri" w:hAnsi="Arial" w:cs="Arial"/>
                <w:sz w:val="16"/>
                <w:szCs w:val="16"/>
              </w:rPr>
              <w:t>.</w:t>
            </w:r>
          </w:p>
        </w:tc>
      </w:tr>
      <w:tr w:rsidR="00115843" w:rsidRPr="0019217D" w14:paraId="0D80B504" w14:textId="77777777" w:rsidTr="00FB0D02">
        <w:trPr>
          <w:cantSplit/>
          <w:trHeight w:val="1012"/>
        </w:trPr>
        <w:tc>
          <w:tcPr>
            <w:tcW w:w="873" w:type="pct"/>
            <w:vMerge/>
            <w:tcBorders>
              <w:right w:val="single" w:sz="4" w:space="0" w:color="auto"/>
            </w:tcBorders>
          </w:tcPr>
          <w:p w14:paraId="1AB69452" w14:textId="77777777" w:rsidR="00115843" w:rsidRPr="0019217D" w:rsidRDefault="00115843" w:rsidP="00FB0D02">
            <w:pPr>
              <w:pStyle w:val="TableTextBase"/>
              <w:rPr>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964D040" w14:textId="77777777" w:rsidR="00115843" w:rsidRPr="0019217D" w:rsidRDefault="00115843" w:rsidP="00FB0D02">
            <w:pPr>
              <w:pStyle w:val="TableTextBase"/>
              <w:rPr>
                <w:rFonts w:eastAsia="Calibri" w:cs="Arial"/>
                <w:sz w:val="16"/>
                <w:szCs w:val="16"/>
                <w:lang w:eastAsia="en-US"/>
              </w:rPr>
            </w:pPr>
            <w:r w:rsidRPr="0019217D">
              <w:rPr>
                <w:rFonts w:eastAsia="Calibri" w:cs="Arial"/>
                <w:sz w:val="16"/>
                <w:szCs w:val="16"/>
                <w:lang w:eastAsia="en-US"/>
              </w:rPr>
              <w:t>Number of Indigenous language centres funded under the Indigenous Languages and Arts (ILA) program</w:t>
            </w:r>
          </w:p>
        </w:tc>
        <w:tc>
          <w:tcPr>
            <w:tcW w:w="2381" w:type="pct"/>
            <w:tcBorders>
              <w:top w:val="single" w:sz="4" w:space="0" w:color="auto"/>
              <w:left w:val="single" w:sz="4" w:space="0" w:color="auto"/>
              <w:bottom w:val="single" w:sz="4" w:space="0" w:color="auto"/>
            </w:tcBorders>
          </w:tcPr>
          <w:p w14:paraId="5B960582"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Target: ≥20 centres in the financial year</w:t>
            </w:r>
          </w:p>
          <w:p w14:paraId="255E3966"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Target met</w:t>
            </w:r>
          </w:p>
          <w:p w14:paraId="2ACCCA7C" w14:textId="361D967C" w:rsidR="00115843" w:rsidRPr="0019217D" w:rsidRDefault="00115843" w:rsidP="00FB0D02">
            <w:pPr>
              <w:spacing w:before="60" w:after="60" w:line="240" w:lineRule="auto"/>
              <w:rPr>
                <w:rFonts w:ascii="Arial" w:hAnsi="Arial"/>
                <w:b/>
                <w:sz w:val="16"/>
                <w:szCs w:val="16"/>
              </w:rPr>
            </w:pPr>
            <w:r w:rsidRPr="0019217D">
              <w:rPr>
                <w:rFonts w:ascii="Arial" w:eastAsia="Calibri" w:hAnsi="Arial" w:cs="Arial"/>
                <w:sz w:val="16"/>
                <w:szCs w:val="16"/>
              </w:rPr>
              <w:t>Actual: In 2021–22, 20 Indigenous language centres were provided with annual operational funding</w:t>
            </w:r>
            <w:r w:rsidR="00861157">
              <w:rPr>
                <w:rFonts w:ascii="Arial" w:eastAsia="Calibri" w:hAnsi="Arial" w:cs="Arial"/>
                <w:sz w:val="16"/>
                <w:szCs w:val="16"/>
              </w:rPr>
              <w:t>.</w:t>
            </w:r>
          </w:p>
        </w:tc>
      </w:tr>
      <w:tr w:rsidR="00115843" w:rsidRPr="0019217D" w14:paraId="1B81F32C" w14:textId="77777777" w:rsidTr="00FB0D02">
        <w:trPr>
          <w:cantSplit/>
          <w:trHeight w:val="642"/>
        </w:trPr>
        <w:tc>
          <w:tcPr>
            <w:tcW w:w="873" w:type="pct"/>
            <w:vMerge/>
            <w:tcBorders>
              <w:right w:val="single" w:sz="4" w:space="0" w:color="auto"/>
            </w:tcBorders>
          </w:tcPr>
          <w:p w14:paraId="1DAD1640" w14:textId="77777777" w:rsidR="00115843" w:rsidRPr="0019217D"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143B46C8"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Impact of our activities to support, preserve and celebrate Indigenous languages, arts and culture, indicated through:</w:t>
            </w:r>
          </w:p>
          <w:p w14:paraId="41171C9B" w14:textId="77777777" w:rsidR="00115843" w:rsidRPr="0019217D" w:rsidRDefault="00115843" w:rsidP="00115843">
            <w:pPr>
              <w:numPr>
                <w:ilvl w:val="0"/>
                <w:numId w:val="237"/>
              </w:numPr>
              <w:spacing w:before="60" w:after="60" w:line="240" w:lineRule="auto"/>
              <w:contextualSpacing/>
              <w:rPr>
                <w:rFonts w:ascii="Arial" w:eastAsia="Calibri" w:hAnsi="Arial" w:cs="Arial"/>
                <w:sz w:val="16"/>
                <w:szCs w:val="16"/>
              </w:rPr>
            </w:pPr>
            <w:r w:rsidRPr="0019217D">
              <w:rPr>
                <w:rFonts w:ascii="Arial" w:eastAsia="Calibri" w:hAnsi="Arial" w:cs="Arial"/>
                <w:sz w:val="16"/>
                <w:szCs w:val="16"/>
              </w:rPr>
              <w:t>number and strength of Aboriginal and Torres Strait Islander languages being spoken</w:t>
            </w:r>
          </w:p>
          <w:p w14:paraId="2EB137C2" w14:textId="77777777" w:rsidR="00115843" w:rsidRPr="0019217D" w:rsidRDefault="00115843" w:rsidP="00115843">
            <w:pPr>
              <w:numPr>
                <w:ilvl w:val="0"/>
                <w:numId w:val="237"/>
              </w:numPr>
              <w:spacing w:before="60" w:after="60" w:line="240" w:lineRule="auto"/>
              <w:contextualSpacing/>
              <w:rPr>
                <w:rFonts w:eastAsia="Calibri" w:cs="Arial"/>
                <w:sz w:val="16"/>
                <w:szCs w:val="16"/>
              </w:rPr>
            </w:pPr>
            <w:r w:rsidRPr="0019217D">
              <w:rPr>
                <w:rFonts w:ascii="Arial" w:eastAsia="Calibri" w:hAnsi="Arial" w:cs="Arial"/>
                <w:sz w:val="16"/>
                <w:szCs w:val="16"/>
              </w:rPr>
              <w:t>number of Indigenous art centre workers employed and artists active with funded art centres</w:t>
            </w:r>
          </w:p>
        </w:tc>
        <w:tc>
          <w:tcPr>
            <w:tcW w:w="2381" w:type="pct"/>
            <w:tcBorders>
              <w:top w:val="single" w:sz="4" w:space="0" w:color="auto"/>
              <w:left w:val="single" w:sz="4" w:space="0" w:color="auto"/>
              <w:bottom w:val="single" w:sz="4" w:space="0" w:color="auto"/>
            </w:tcBorders>
          </w:tcPr>
          <w:p w14:paraId="5FB4D1F6" w14:textId="77777777" w:rsidR="00115843" w:rsidRPr="0019217D" w:rsidRDefault="00115843" w:rsidP="00115843">
            <w:pPr>
              <w:numPr>
                <w:ilvl w:val="0"/>
                <w:numId w:val="238"/>
              </w:numPr>
              <w:spacing w:before="60" w:after="60" w:line="240" w:lineRule="auto"/>
              <w:contextualSpacing/>
              <w:rPr>
                <w:rFonts w:ascii="Arial" w:eastAsia="Calibri" w:hAnsi="Arial" w:cs="Arial"/>
                <w:sz w:val="16"/>
                <w:szCs w:val="16"/>
              </w:rPr>
            </w:pPr>
            <w:r w:rsidRPr="0019217D">
              <w:rPr>
                <w:rFonts w:ascii="Arial" w:eastAsia="Calibri" w:hAnsi="Arial" w:cs="Arial"/>
                <w:sz w:val="16"/>
                <w:szCs w:val="16"/>
              </w:rPr>
              <w:t>No target as new data is not expected for 2021–22. In 2021–22, we are establishing a pilot program to capture data and evaluate the progress of activities delivered by ILA program grant recipients against the 10-year target for ‘Closing the Gap Target 16’ for Aboriginal and Torres Strait Islander languages</w:t>
            </w:r>
          </w:p>
          <w:p w14:paraId="36E7A4F5" w14:textId="4006E9B4" w:rsidR="00115843" w:rsidRPr="0019217D" w:rsidRDefault="00115843" w:rsidP="00115843">
            <w:pPr>
              <w:numPr>
                <w:ilvl w:val="0"/>
                <w:numId w:val="238"/>
              </w:numPr>
              <w:spacing w:before="60" w:after="60" w:line="240" w:lineRule="auto"/>
              <w:contextualSpacing/>
              <w:rPr>
                <w:rFonts w:ascii="Arial" w:eastAsia="Calibri" w:hAnsi="Arial" w:cs="Arial"/>
                <w:sz w:val="16"/>
                <w:szCs w:val="16"/>
              </w:rPr>
            </w:pPr>
            <w:r w:rsidRPr="0019217D">
              <w:rPr>
                <w:rFonts w:ascii="Arial" w:eastAsia="Calibri" w:hAnsi="Arial" w:cs="Arial"/>
                <w:sz w:val="16"/>
                <w:szCs w:val="16"/>
              </w:rPr>
              <w:t>Reporting in 2021–22 shows ≥450 Indigenous art centre workers employed and ≥8000 artists engaged in report year</w:t>
            </w:r>
            <w:r w:rsidR="00861157">
              <w:rPr>
                <w:rFonts w:ascii="Arial" w:eastAsia="Calibri" w:hAnsi="Arial" w:cs="Arial"/>
                <w:sz w:val="16"/>
                <w:szCs w:val="16"/>
              </w:rPr>
              <w:t>.</w:t>
            </w:r>
          </w:p>
          <w:p w14:paraId="6FB015A1" w14:textId="77777777" w:rsidR="00115843" w:rsidRPr="0019217D" w:rsidRDefault="00115843" w:rsidP="00FB0D02">
            <w:pPr>
              <w:spacing w:before="120" w:after="60" w:line="240" w:lineRule="auto"/>
              <w:rPr>
                <w:rFonts w:ascii="Arial" w:eastAsia="Calibri" w:hAnsi="Arial" w:cs="Arial"/>
                <w:sz w:val="16"/>
                <w:szCs w:val="16"/>
              </w:rPr>
            </w:pPr>
            <w:r w:rsidRPr="0019217D">
              <w:rPr>
                <w:rFonts w:ascii="Arial" w:eastAsia="Calibri" w:hAnsi="Arial" w:cs="Arial"/>
                <w:sz w:val="16"/>
                <w:szCs w:val="16"/>
              </w:rPr>
              <w:t>Data not available</w:t>
            </w:r>
          </w:p>
          <w:p w14:paraId="513ABE65" w14:textId="77777777" w:rsidR="00115843" w:rsidRPr="0019217D" w:rsidRDefault="00115843" w:rsidP="00115843">
            <w:pPr>
              <w:pStyle w:val="ListParagraph"/>
              <w:numPr>
                <w:ilvl w:val="0"/>
                <w:numId w:val="239"/>
              </w:numPr>
              <w:spacing w:before="60" w:after="60" w:line="240" w:lineRule="auto"/>
              <w:rPr>
                <w:rFonts w:ascii="Arial" w:hAnsi="Arial" w:cs="Arial"/>
                <w:sz w:val="16"/>
                <w:szCs w:val="16"/>
              </w:rPr>
            </w:pPr>
            <w:r w:rsidRPr="0019217D">
              <w:rPr>
                <w:rFonts w:ascii="Arial" w:hAnsi="Arial" w:cs="Arial"/>
                <w:sz w:val="16"/>
                <w:szCs w:val="16"/>
              </w:rPr>
              <w:t>No target</w:t>
            </w:r>
          </w:p>
          <w:p w14:paraId="55A6FABD" w14:textId="77777777"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In 2021–22, a pilot program was established to capture data and evaluate the progress of activities delivered by Indigenous Languages and Arts program grant recipients against the 10-year target for ‘Closing the Gap Target 16’ for Aboriginal and Torres Strait Islander languages.</w:t>
            </w:r>
          </w:p>
          <w:p w14:paraId="01EDFA88" w14:textId="4CAA1C44" w:rsidR="00115843" w:rsidRPr="0019217D" w:rsidRDefault="00115843" w:rsidP="00115843">
            <w:pPr>
              <w:pStyle w:val="ListParagraph"/>
              <w:numPr>
                <w:ilvl w:val="0"/>
                <w:numId w:val="239"/>
              </w:numPr>
              <w:spacing w:before="60" w:after="60" w:line="240" w:lineRule="auto"/>
              <w:rPr>
                <w:rFonts w:ascii="Arial" w:hAnsi="Arial" w:cs="Arial"/>
                <w:sz w:val="16"/>
                <w:szCs w:val="16"/>
              </w:rPr>
            </w:pPr>
            <w:r w:rsidRPr="0019217D">
              <w:rPr>
                <w:rFonts w:ascii="Arial" w:hAnsi="Arial" w:cs="Arial"/>
                <w:sz w:val="16"/>
                <w:szCs w:val="16"/>
              </w:rPr>
              <w:t>Full year data was not available at the time of reporting</w:t>
            </w:r>
            <w:r w:rsidR="00861157">
              <w:rPr>
                <w:rFonts w:ascii="Arial" w:hAnsi="Arial" w:cs="Arial"/>
                <w:sz w:val="16"/>
                <w:szCs w:val="16"/>
              </w:rPr>
              <w:t>.</w:t>
            </w:r>
          </w:p>
          <w:p w14:paraId="21B0ED07" w14:textId="4228BC5A" w:rsidR="00115843" w:rsidRPr="0019217D" w:rsidRDefault="00115843" w:rsidP="00FB0D02">
            <w:pPr>
              <w:spacing w:before="60" w:after="60" w:line="240" w:lineRule="auto"/>
              <w:rPr>
                <w:rFonts w:ascii="Arial" w:eastAsia="Calibri" w:hAnsi="Arial" w:cs="Arial"/>
                <w:sz w:val="16"/>
                <w:szCs w:val="16"/>
              </w:rPr>
            </w:pPr>
            <w:r w:rsidRPr="0019217D">
              <w:rPr>
                <w:rFonts w:ascii="Arial" w:eastAsia="Calibri" w:hAnsi="Arial" w:cs="Arial"/>
                <w:sz w:val="16"/>
                <w:szCs w:val="16"/>
              </w:rPr>
              <w:t>Reporting to 31 December 2021 shows 519 (&gt;450) Indigenous art centre workers employed and 7536 artists engaged across 84 art centres. The number of artists engaged of &lt;8000 is likely due to impacts of COVID-19 in remote communities</w:t>
            </w:r>
            <w:r w:rsidR="00861157">
              <w:rPr>
                <w:rFonts w:ascii="Arial" w:eastAsia="Calibri" w:hAnsi="Arial" w:cs="Arial"/>
                <w:sz w:val="16"/>
                <w:szCs w:val="16"/>
              </w:rPr>
              <w:t>.</w:t>
            </w:r>
          </w:p>
        </w:tc>
      </w:tr>
    </w:tbl>
    <w:p w14:paraId="635AB05B" w14:textId="77777777" w:rsidR="00115843" w:rsidRDefault="00115843" w:rsidP="00115843">
      <w:r>
        <w:br w:type="page"/>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810"/>
        <w:gridCol w:w="3544"/>
      </w:tblGrid>
      <w:tr w:rsidR="00115843" w:rsidRPr="00861157" w14:paraId="1CA30744" w14:textId="77777777" w:rsidTr="00FB0D02">
        <w:trPr>
          <w:trHeight w:val="258"/>
        </w:trPr>
        <w:tc>
          <w:tcPr>
            <w:tcW w:w="873" w:type="pct"/>
            <w:tcBorders>
              <w:top w:val="double" w:sz="4" w:space="0" w:color="auto"/>
              <w:bottom w:val="single" w:sz="4" w:space="0" w:color="auto"/>
              <w:right w:val="single" w:sz="4" w:space="0" w:color="auto"/>
            </w:tcBorders>
          </w:tcPr>
          <w:p w14:paraId="292C76F1" w14:textId="77777777" w:rsidR="00115843" w:rsidRPr="00861157" w:rsidRDefault="00115843" w:rsidP="00FB0D02">
            <w:pPr>
              <w:pStyle w:val="TableTextBase"/>
              <w:rPr>
                <w:b/>
                <w:sz w:val="16"/>
                <w:szCs w:val="16"/>
              </w:rPr>
            </w:pPr>
            <w:r w:rsidRPr="00861157">
              <w:rPr>
                <w:b/>
                <w:sz w:val="16"/>
                <w:szCs w:val="16"/>
              </w:rPr>
              <w:lastRenderedPageBreak/>
              <w:t>Year</w:t>
            </w:r>
          </w:p>
        </w:tc>
        <w:tc>
          <w:tcPr>
            <w:tcW w:w="1825" w:type="pct"/>
            <w:tcBorders>
              <w:top w:val="double" w:sz="4" w:space="0" w:color="auto"/>
              <w:left w:val="single" w:sz="4" w:space="0" w:color="auto"/>
              <w:bottom w:val="single" w:sz="4" w:space="0" w:color="auto"/>
              <w:right w:val="single" w:sz="4" w:space="0" w:color="auto"/>
            </w:tcBorders>
          </w:tcPr>
          <w:p w14:paraId="29DBB3E6" w14:textId="77777777" w:rsidR="00115843" w:rsidRPr="00861157" w:rsidRDefault="00115843" w:rsidP="00FB0D02">
            <w:pPr>
              <w:pStyle w:val="TableTextBase"/>
              <w:rPr>
                <w:rFonts w:cs="Arial"/>
                <w:b/>
                <w:sz w:val="16"/>
                <w:szCs w:val="16"/>
              </w:rPr>
            </w:pPr>
            <w:r w:rsidRPr="00861157">
              <w:rPr>
                <w:rFonts w:cs="Arial"/>
                <w:b/>
                <w:sz w:val="16"/>
                <w:szCs w:val="16"/>
              </w:rPr>
              <w:t>Performance measures</w:t>
            </w:r>
          </w:p>
        </w:tc>
        <w:tc>
          <w:tcPr>
            <w:tcW w:w="2302" w:type="pct"/>
            <w:tcBorders>
              <w:top w:val="double" w:sz="4" w:space="0" w:color="auto"/>
              <w:left w:val="single" w:sz="4" w:space="0" w:color="auto"/>
              <w:bottom w:val="single" w:sz="4" w:space="0" w:color="auto"/>
            </w:tcBorders>
          </w:tcPr>
          <w:p w14:paraId="6C9148CE" w14:textId="77777777" w:rsidR="00115843" w:rsidRPr="00861157" w:rsidRDefault="00115843" w:rsidP="00FB0D02">
            <w:pPr>
              <w:pStyle w:val="TableTextBase"/>
              <w:rPr>
                <w:rFonts w:cs="Arial"/>
                <w:b/>
                <w:sz w:val="16"/>
                <w:szCs w:val="16"/>
              </w:rPr>
            </w:pPr>
            <w:r w:rsidRPr="00861157">
              <w:rPr>
                <w:rFonts w:cs="Arial"/>
                <w:b/>
                <w:sz w:val="16"/>
                <w:szCs w:val="16"/>
              </w:rPr>
              <w:t>Expected Performance Results</w:t>
            </w:r>
          </w:p>
        </w:tc>
      </w:tr>
      <w:tr w:rsidR="00115843" w:rsidRPr="00861157" w14:paraId="1E32BCDC" w14:textId="77777777" w:rsidTr="00FB0D02">
        <w:trPr>
          <w:cantSplit/>
          <w:trHeight w:val="642"/>
        </w:trPr>
        <w:tc>
          <w:tcPr>
            <w:tcW w:w="873" w:type="pct"/>
            <w:vMerge w:val="restart"/>
            <w:tcBorders>
              <w:right w:val="single" w:sz="4" w:space="0" w:color="auto"/>
            </w:tcBorders>
          </w:tcPr>
          <w:p w14:paraId="355A7C11" w14:textId="77777777" w:rsidR="00115843" w:rsidRPr="00861157" w:rsidRDefault="00115843" w:rsidP="00FB0D02">
            <w:pPr>
              <w:pStyle w:val="TableTextBase"/>
              <w:rPr>
                <w:sz w:val="16"/>
                <w:szCs w:val="16"/>
              </w:rPr>
            </w:pPr>
            <w:r w:rsidRPr="00861157">
              <w:rPr>
                <w:sz w:val="16"/>
                <w:szCs w:val="16"/>
              </w:rPr>
              <w:t xml:space="preserve">Prior year </w:t>
            </w:r>
            <w:r w:rsidRPr="00861157">
              <w:rPr>
                <w:sz w:val="16"/>
                <w:szCs w:val="16"/>
              </w:rPr>
              <w:br/>
              <w:t>2021–22 cont.</w:t>
            </w:r>
          </w:p>
        </w:tc>
        <w:tc>
          <w:tcPr>
            <w:tcW w:w="1825" w:type="pct"/>
            <w:tcBorders>
              <w:top w:val="single" w:sz="4" w:space="0" w:color="auto"/>
              <w:left w:val="single" w:sz="4" w:space="0" w:color="auto"/>
              <w:bottom w:val="single" w:sz="4" w:space="0" w:color="auto"/>
              <w:right w:val="single" w:sz="4" w:space="0" w:color="auto"/>
            </w:tcBorders>
          </w:tcPr>
          <w:p w14:paraId="6B567323"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Activities to support the repatriation of Aboriginal and Torres Strait Islander ancestral remains and secret sacred objects:</w:t>
            </w:r>
          </w:p>
          <w:p w14:paraId="6E8BF32F" w14:textId="77777777" w:rsidR="00115843" w:rsidRPr="00861157" w:rsidRDefault="00115843" w:rsidP="00115843">
            <w:pPr>
              <w:numPr>
                <w:ilvl w:val="0"/>
                <w:numId w:val="236"/>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number of new agreements to repatriate ancestral remains from overseas</w:t>
            </w:r>
          </w:p>
          <w:p w14:paraId="09FD3A74" w14:textId="77777777" w:rsidR="00115843" w:rsidRPr="00861157" w:rsidRDefault="00115843" w:rsidP="00115843">
            <w:pPr>
              <w:numPr>
                <w:ilvl w:val="0"/>
                <w:numId w:val="236"/>
              </w:numPr>
              <w:spacing w:before="60" w:after="60" w:line="240" w:lineRule="auto"/>
              <w:contextualSpacing/>
              <w:rPr>
                <w:rFonts w:ascii="Arial" w:hAnsi="Arial" w:cs="Arial"/>
                <w:sz w:val="16"/>
                <w:szCs w:val="16"/>
              </w:rPr>
            </w:pPr>
            <w:r w:rsidRPr="00861157">
              <w:rPr>
                <w:rFonts w:ascii="Arial" w:eastAsia="Calibri" w:hAnsi="Arial" w:cs="Arial"/>
                <w:sz w:val="16"/>
                <w:szCs w:val="16"/>
              </w:rPr>
              <w:t>number of ancestral remains and/or secret sacred objects repatriated to their community</w:t>
            </w:r>
          </w:p>
          <w:p w14:paraId="52B828AA" w14:textId="77777777" w:rsidR="00115843" w:rsidRPr="00861157" w:rsidRDefault="00115843" w:rsidP="00115843">
            <w:pPr>
              <w:numPr>
                <w:ilvl w:val="0"/>
                <w:numId w:val="236"/>
              </w:numPr>
              <w:spacing w:before="60" w:after="60" w:line="240" w:lineRule="auto"/>
              <w:contextualSpacing/>
              <w:rPr>
                <w:rFonts w:eastAsia="Calibri" w:cs="Arial"/>
                <w:sz w:val="16"/>
                <w:szCs w:val="16"/>
              </w:rPr>
            </w:pPr>
            <w:r w:rsidRPr="00861157">
              <w:rPr>
                <w:rFonts w:ascii="Arial" w:eastAsia="Calibri" w:hAnsi="Arial" w:cs="Arial"/>
                <w:sz w:val="16"/>
                <w:szCs w:val="16"/>
              </w:rPr>
              <w:t>number of ancestral remains repatriated to Australia with no known community</w:t>
            </w:r>
          </w:p>
        </w:tc>
        <w:tc>
          <w:tcPr>
            <w:tcW w:w="2302" w:type="pct"/>
            <w:tcBorders>
              <w:top w:val="single" w:sz="4" w:space="0" w:color="auto"/>
              <w:left w:val="single" w:sz="4" w:space="0" w:color="auto"/>
              <w:bottom w:val="single" w:sz="4" w:space="0" w:color="auto"/>
            </w:tcBorders>
          </w:tcPr>
          <w:p w14:paraId="7DFCE842"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Activities are responsive to domestic and international negotiations</w:t>
            </w:r>
          </w:p>
          <w:p w14:paraId="6A671865" w14:textId="77777777" w:rsidR="00115843" w:rsidRPr="00861157" w:rsidRDefault="00115843" w:rsidP="00FB0D02">
            <w:pPr>
              <w:pStyle w:val="TableTextBase"/>
              <w:rPr>
                <w:rFonts w:eastAsia="Calibri" w:cs="Arial"/>
                <w:sz w:val="16"/>
                <w:szCs w:val="16"/>
                <w:lang w:eastAsia="en-US"/>
              </w:rPr>
            </w:pPr>
            <w:r w:rsidRPr="00861157">
              <w:rPr>
                <w:rFonts w:eastAsia="Calibri" w:cs="Arial"/>
                <w:sz w:val="16"/>
                <w:szCs w:val="16"/>
                <w:lang w:eastAsia="en-US"/>
              </w:rPr>
              <w:t>No target</w:t>
            </w:r>
          </w:p>
          <w:p w14:paraId="101FD49A" w14:textId="3EAA7FAD" w:rsidR="00115843" w:rsidRPr="00861157" w:rsidRDefault="00115843" w:rsidP="00FB0D02">
            <w:pPr>
              <w:pStyle w:val="TableTextBase"/>
              <w:rPr>
                <w:rFonts w:eastAsia="Calibri" w:cs="Arial"/>
                <w:sz w:val="16"/>
                <w:szCs w:val="16"/>
                <w:lang w:eastAsia="en-US"/>
              </w:rPr>
            </w:pPr>
            <w:r w:rsidRPr="00861157">
              <w:rPr>
                <w:rFonts w:eastAsia="Calibri" w:cs="Arial"/>
                <w:sz w:val="16"/>
                <w:szCs w:val="16"/>
                <w:lang w:eastAsia="en-US"/>
              </w:rPr>
              <w:t>International Repatriation – Three agreements to repatriate were received from Swedish, Swiss and German collecting institutions. Two return to Country ceremonies were held in Adelaide in 2021–22. This saw 12 ancestors, who had been repatriated from the United Kingdom in 1991 and 2000, returned to Country for final resting</w:t>
            </w:r>
            <w:r w:rsidR="00861157">
              <w:rPr>
                <w:rFonts w:eastAsia="Calibri" w:cs="Arial"/>
                <w:sz w:val="16"/>
                <w:szCs w:val="16"/>
                <w:lang w:eastAsia="en-US"/>
              </w:rPr>
              <w:t>.</w:t>
            </w:r>
          </w:p>
          <w:p w14:paraId="302BDFBA" w14:textId="4E9AD4BE"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Domestic Repatriation – Seven eligible Australian museums were provided $0.48 million funding through the Indigenous Repatriation Program – Museum Grants to undertake repatriation activities. This resulted in the transfer of custodianship of 371 ancestors to their traditional custodians</w:t>
            </w:r>
            <w:r w:rsidR="00861157">
              <w:rPr>
                <w:rFonts w:ascii="Arial" w:eastAsia="Calibri" w:hAnsi="Arial" w:cs="Arial"/>
                <w:sz w:val="16"/>
                <w:szCs w:val="16"/>
              </w:rPr>
              <w:t>.</w:t>
            </w:r>
          </w:p>
        </w:tc>
      </w:tr>
      <w:tr w:rsidR="00115843" w:rsidRPr="00861157" w14:paraId="2D61D408" w14:textId="77777777" w:rsidTr="00FB0D02">
        <w:trPr>
          <w:cantSplit/>
          <w:trHeight w:val="306"/>
        </w:trPr>
        <w:tc>
          <w:tcPr>
            <w:tcW w:w="873" w:type="pct"/>
            <w:vMerge/>
            <w:tcBorders>
              <w:right w:val="single" w:sz="4" w:space="0" w:color="auto"/>
            </w:tcBorders>
          </w:tcPr>
          <w:p w14:paraId="1B84190B" w14:textId="77777777" w:rsidR="00115843" w:rsidRPr="00861157" w:rsidRDefault="00115843" w:rsidP="00FB0D02">
            <w:pPr>
              <w:pStyle w:val="TableTextBase"/>
              <w:rPr>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35C17BA9" w14:textId="77777777" w:rsidR="00115843" w:rsidRPr="00861157" w:rsidRDefault="00115843" w:rsidP="00FB0D02">
            <w:pPr>
              <w:spacing w:before="60" w:after="60" w:line="240" w:lineRule="auto"/>
              <w:rPr>
                <w:rFonts w:ascii="Arial" w:hAnsi="Arial"/>
                <w:b/>
                <w:sz w:val="16"/>
                <w:szCs w:val="16"/>
              </w:rPr>
            </w:pPr>
            <w:r w:rsidRPr="00861157">
              <w:rPr>
                <w:rFonts w:ascii="Arial" w:eastAsia="Calibri" w:hAnsi="Arial" w:cs="Arial"/>
                <w:sz w:val="16"/>
                <w:szCs w:val="16"/>
              </w:rPr>
              <w:t xml:space="preserve">Regulatory activities undertaken under the </w:t>
            </w:r>
            <w:r w:rsidRPr="00861157">
              <w:rPr>
                <w:rFonts w:ascii="Arial" w:eastAsia="Calibri" w:hAnsi="Arial" w:cs="Arial"/>
                <w:i/>
                <w:sz w:val="16"/>
                <w:szCs w:val="16"/>
              </w:rPr>
              <w:t xml:space="preserve">Protection of Movable Cultural Heritage Act 1986 </w:t>
            </w:r>
            <w:r w:rsidRPr="00861157">
              <w:rPr>
                <w:rFonts w:ascii="Arial" w:eastAsia="Calibri" w:hAnsi="Arial" w:cs="Arial"/>
                <w:sz w:val="16"/>
                <w:szCs w:val="16"/>
                <w:vertAlign w:val="superscript"/>
              </w:rPr>
              <w:t>(b)</w:t>
            </w:r>
          </w:p>
        </w:tc>
        <w:tc>
          <w:tcPr>
            <w:tcW w:w="2302" w:type="pct"/>
            <w:tcBorders>
              <w:top w:val="single" w:sz="4" w:space="0" w:color="auto"/>
              <w:left w:val="single" w:sz="4" w:space="0" w:color="auto"/>
              <w:bottom w:val="single" w:sz="4" w:space="0" w:color="auto"/>
            </w:tcBorders>
          </w:tcPr>
          <w:p w14:paraId="5AB1D2DE"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Actions taken are in response to applications for permits received and objects identified for investigation</w:t>
            </w:r>
          </w:p>
          <w:p w14:paraId="72F36BA2"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No target</w:t>
            </w:r>
          </w:p>
          <w:p w14:paraId="7F750FA6"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Actions taken are in response to applications for export permits received and foreign objects identified for investigation</w:t>
            </w:r>
          </w:p>
          <w:p w14:paraId="48E63F6D"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In 2021–22, there were:</w:t>
            </w:r>
          </w:p>
          <w:p w14:paraId="441C16A2" w14:textId="77777777" w:rsidR="00115843" w:rsidRPr="00861157" w:rsidRDefault="00115843" w:rsidP="00115843">
            <w:pPr>
              <w:pStyle w:val="ListParagraph"/>
              <w:numPr>
                <w:ilvl w:val="0"/>
                <w:numId w:val="244"/>
              </w:numPr>
              <w:spacing w:before="60" w:after="60" w:line="240" w:lineRule="auto"/>
              <w:ind w:right="-12"/>
              <w:rPr>
                <w:rFonts w:ascii="Arial" w:hAnsi="Arial" w:cs="Arial"/>
                <w:sz w:val="16"/>
                <w:szCs w:val="16"/>
              </w:rPr>
            </w:pPr>
            <w:r w:rsidRPr="00861157">
              <w:rPr>
                <w:rFonts w:ascii="Arial" w:hAnsi="Arial" w:cs="Arial"/>
                <w:sz w:val="16"/>
                <w:szCs w:val="16"/>
              </w:rPr>
              <w:t>9 permanent export permits issued</w:t>
            </w:r>
          </w:p>
          <w:p w14:paraId="049D1D1F" w14:textId="77777777" w:rsidR="00115843" w:rsidRPr="00861157" w:rsidRDefault="00115843" w:rsidP="00115843">
            <w:pPr>
              <w:pStyle w:val="ListParagraph"/>
              <w:numPr>
                <w:ilvl w:val="0"/>
                <w:numId w:val="244"/>
              </w:numPr>
              <w:spacing w:before="60" w:after="60" w:line="240" w:lineRule="auto"/>
              <w:ind w:right="-12"/>
              <w:rPr>
                <w:rFonts w:ascii="Arial" w:hAnsi="Arial" w:cs="Arial"/>
                <w:sz w:val="16"/>
                <w:szCs w:val="16"/>
              </w:rPr>
            </w:pPr>
            <w:r w:rsidRPr="00861157">
              <w:rPr>
                <w:rFonts w:ascii="Arial" w:hAnsi="Arial" w:cs="Arial"/>
                <w:sz w:val="16"/>
                <w:szCs w:val="16"/>
              </w:rPr>
              <w:t>1 permanent export permit refused</w:t>
            </w:r>
          </w:p>
          <w:p w14:paraId="1A72E0B1" w14:textId="77777777" w:rsidR="00115843" w:rsidRPr="00861157" w:rsidRDefault="00115843" w:rsidP="00115843">
            <w:pPr>
              <w:pStyle w:val="ListParagraph"/>
              <w:numPr>
                <w:ilvl w:val="0"/>
                <w:numId w:val="244"/>
              </w:numPr>
              <w:spacing w:before="60" w:after="60" w:line="240" w:lineRule="auto"/>
              <w:ind w:right="-12"/>
              <w:rPr>
                <w:rFonts w:ascii="Arial" w:hAnsi="Arial" w:cs="Arial"/>
                <w:sz w:val="16"/>
                <w:szCs w:val="16"/>
              </w:rPr>
            </w:pPr>
            <w:r w:rsidRPr="00861157">
              <w:rPr>
                <w:rFonts w:ascii="Arial" w:hAnsi="Arial" w:cs="Arial"/>
                <w:sz w:val="16"/>
                <w:szCs w:val="16"/>
              </w:rPr>
              <w:t>3 certificates of exemption issued</w:t>
            </w:r>
          </w:p>
          <w:p w14:paraId="4422A325" w14:textId="77777777" w:rsidR="00115843" w:rsidRPr="00861157" w:rsidRDefault="00115843" w:rsidP="00115843">
            <w:pPr>
              <w:pStyle w:val="ListParagraph"/>
              <w:numPr>
                <w:ilvl w:val="0"/>
                <w:numId w:val="244"/>
              </w:numPr>
              <w:spacing w:before="60" w:after="60" w:line="240" w:lineRule="auto"/>
              <w:ind w:right="-12"/>
              <w:rPr>
                <w:rFonts w:ascii="Arial" w:hAnsi="Arial" w:cs="Arial"/>
                <w:sz w:val="16"/>
                <w:szCs w:val="16"/>
              </w:rPr>
            </w:pPr>
            <w:r w:rsidRPr="00861157">
              <w:rPr>
                <w:rFonts w:ascii="Arial" w:hAnsi="Arial" w:cs="Arial"/>
                <w:sz w:val="16"/>
                <w:szCs w:val="16"/>
              </w:rPr>
              <w:t>6 temporary export permits issued</w:t>
            </w:r>
          </w:p>
          <w:p w14:paraId="7FD988CC" w14:textId="77777777" w:rsidR="00115843" w:rsidRPr="00861157" w:rsidRDefault="00115843" w:rsidP="00115843">
            <w:pPr>
              <w:pStyle w:val="ListParagraph"/>
              <w:numPr>
                <w:ilvl w:val="0"/>
                <w:numId w:val="244"/>
              </w:numPr>
              <w:spacing w:before="60" w:after="60" w:line="240" w:lineRule="auto"/>
              <w:ind w:right="-12"/>
              <w:rPr>
                <w:rFonts w:ascii="Arial" w:hAnsi="Arial" w:cs="Arial"/>
                <w:sz w:val="16"/>
                <w:szCs w:val="16"/>
              </w:rPr>
            </w:pPr>
            <w:r w:rsidRPr="00861157">
              <w:rPr>
                <w:rFonts w:ascii="Arial" w:hAnsi="Arial" w:cs="Arial"/>
                <w:sz w:val="16"/>
                <w:szCs w:val="16"/>
              </w:rPr>
              <w:t>1 permanent export permit variation issued</w:t>
            </w:r>
          </w:p>
          <w:p w14:paraId="5761E974" w14:textId="77777777" w:rsidR="00115843" w:rsidRPr="00861157" w:rsidRDefault="00115843" w:rsidP="00115843">
            <w:pPr>
              <w:pStyle w:val="ListParagraph"/>
              <w:numPr>
                <w:ilvl w:val="0"/>
                <w:numId w:val="244"/>
              </w:numPr>
              <w:spacing w:before="60" w:after="60" w:line="240" w:lineRule="auto"/>
              <w:ind w:right="-12"/>
              <w:rPr>
                <w:rFonts w:ascii="Arial" w:hAnsi="Arial" w:cs="Arial"/>
                <w:sz w:val="16"/>
                <w:szCs w:val="16"/>
              </w:rPr>
            </w:pPr>
            <w:r w:rsidRPr="00861157">
              <w:rPr>
                <w:rFonts w:ascii="Arial" w:hAnsi="Arial" w:cs="Arial"/>
                <w:sz w:val="16"/>
                <w:szCs w:val="16"/>
              </w:rPr>
              <w:t>5 applications to the National Cultural Heritage Account approved.</w:t>
            </w:r>
          </w:p>
          <w:p w14:paraId="6245DDFB" w14:textId="736052FB" w:rsidR="00115843" w:rsidRPr="00861157" w:rsidRDefault="00115843" w:rsidP="00FB0D02">
            <w:pPr>
              <w:spacing w:before="60" w:after="60" w:line="240" w:lineRule="auto"/>
              <w:ind w:right="-12"/>
              <w:rPr>
                <w:rFonts w:ascii="Arial" w:hAnsi="Arial"/>
                <w:b/>
                <w:sz w:val="16"/>
                <w:szCs w:val="16"/>
              </w:rPr>
            </w:pPr>
            <w:r w:rsidRPr="00861157">
              <w:rPr>
                <w:rFonts w:ascii="Arial" w:eastAsia="Calibri" w:hAnsi="Arial" w:cs="Arial"/>
                <w:sz w:val="16"/>
                <w:szCs w:val="16"/>
              </w:rPr>
              <w:t>Unlawful imports — return of protected foreign cultural property: 333 foreign objects were seized in a single seizure for future return to another country, and 7 foreign objects were returned to 4 countries</w:t>
            </w:r>
            <w:r w:rsidR="00861157">
              <w:rPr>
                <w:rFonts w:ascii="Arial" w:eastAsia="Calibri" w:hAnsi="Arial" w:cs="Arial"/>
                <w:sz w:val="16"/>
                <w:szCs w:val="16"/>
              </w:rPr>
              <w:t>.</w:t>
            </w:r>
          </w:p>
        </w:tc>
      </w:tr>
      <w:tr w:rsidR="00115843" w:rsidRPr="00861157" w14:paraId="369AEA94" w14:textId="77777777" w:rsidTr="00FB0D02">
        <w:trPr>
          <w:cantSplit/>
          <w:trHeight w:val="642"/>
        </w:trPr>
        <w:tc>
          <w:tcPr>
            <w:tcW w:w="873" w:type="pct"/>
            <w:vMerge/>
            <w:tcBorders>
              <w:right w:val="single" w:sz="4" w:space="0" w:color="auto"/>
            </w:tcBorders>
          </w:tcPr>
          <w:p w14:paraId="1D0FF553" w14:textId="77777777" w:rsidR="00115843" w:rsidRPr="00861157" w:rsidRDefault="00115843" w:rsidP="00FB0D02">
            <w:pPr>
              <w:pStyle w:val="TableTextBase"/>
              <w:rPr>
                <w:sz w:val="16"/>
                <w:szCs w:val="16"/>
              </w:rPr>
            </w:pPr>
          </w:p>
        </w:tc>
        <w:tc>
          <w:tcPr>
            <w:tcW w:w="1825" w:type="pct"/>
            <w:tcBorders>
              <w:top w:val="single" w:sz="4" w:space="0" w:color="auto"/>
              <w:left w:val="single" w:sz="4" w:space="0" w:color="auto"/>
              <w:bottom w:val="single" w:sz="4" w:space="0" w:color="auto"/>
              <w:right w:val="single" w:sz="4" w:space="0" w:color="auto"/>
            </w:tcBorders>
          </w:tcPr>
          <w:p w14:paraId="08433065"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 xml:space="preserve">Contribution of cultural and creative sectors to the economy </w:t>
            </w:r>
            <w:r w:rsidRPr="00861157">
              <w:rPr>
                <w:rFonts w:ascii="Arial" w:eastAsia="Calibri" w:hAnsi="Arial" w:cs="Arial"/>
                <w:sz w:val="16"/>
                <w:szCs w:val="16"/>
                <w:vertAlign w:val="superscript"/>
              </w:rPr>
              <w:t>(b)</w:t>
            </w:r>
          </w:p>
        </w:tc>
        <w:tc>
          <w:tcPr>
            <w:tcW w:w="2302" w:type="pct"/>
            <w:tcBorders>
              <w:top w:val="single" w:sz="4" w:space="0" w:color="auto"/>
              <w:left w:val="single" w:sz="4" w:space="0" w:color="auto"/>
              <w:bottom w:val="single" w:sz="4" w:space="0" w:color="auto"/>
            </w:tcBorders>
          </w:tcPr>
          <w:p w14:paraId="14A451DC"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No target set for 2021–22 as results likely to be heavily impacted by COVID-19</w:t>
            </w:r>
          </w:p>
          <w:p w14:paraId="7EE51D1D" w14:textId="56DC87C3" w:rsidR="00115843" w:rsidRPr="00861157" w:rsidRDefault="00115843" w:rsidP="00FB0D02">
            <w:pPr>
              <w:spacing w:before="60" w:after="60" w:line="240" w:lineRule="auto"/>
              <w:ind w:right="-12"/>
              <w:rPr>
                <w:rFonts w:ascii="Arial" w:eastAsia="Calibri" w:hAnsi="Arial" w:cs="Arial"/>
                <w:sz w:val="16"/>
                <w:szCs w:val="16"/>
                <w:highlight w:val="yellow"/>
              </w:rPr>
            </w:pPr>
            <w:r w:rsidRPr="00861157">
              <w:rPr>
                <w:rFonts w:ascii="Arial" w:eastAsia="Calibri" w:hAnsi="Arial" w:cs="Arial"/>
                <w:sz w:val="16"/>
                <w:szCs w:val="16"/>
              </w:rPr>
              <w:t>Finalised data not available at time of reporting</w:t>
            </w:r>
            <w:r w:rsidR="00861157">
              <w:rPr>
                <w:rFonts w:ascii="Arial" w:eastAsia="Calibri" w:hAnsi="Arial" w:cs="Arial"/>
                <w:sz w:val="16"/>
                <w:szCs w:val="16"/>
              </w:rPr>
              <w:t>.</w:t>
            </w:r>
          </w:p>
        </w:tc>
      </w:tr>
      <w:tr w:rsidR="00115843" w:rsidRPr="00861157" w14:paraId="2DCAE2BA" w14:textId="77777777" w:rsidTr="00FB0D02">
        <w:trPr>
          <w:cantSplit/>
          <w:trHeight w:val="642"/>
        </w:trPr>
        <w:tc>
          <w:tcPr>
            <w:tcW w:w="873" w:type="pct"/>
            <w:vMerge/>
            <w:tcBorders>
              <w:right w:val="single" w:sz="4" w:space="0" w:color="auto"/>
            </w:tcBorders>
          </w:tcPr>
          <w:p w14:paraId="70261225" w14:textId="77777777" w:rsidR="00115843" w:rsidRPr="00861157" w:rsidRDefault="00115843" w:rsidP="00FB0D02">
            <w:pPr>
              <w:pStyle w:val="TableTextBase"/>
              <w:rPr>
                <w:sz w:val="16"/>
                <w:szCs w:val="16"/>
              </w:rPr>
            </w:pPr>
          </w:p>
        </w:tc>
        <w:tc>
          <w:tcPr>
            <w:tcW w:w="1825" w:type="pct"/>
            <w:tcBorders>
              <w:top w:val="single" w:sz="4" w:space="0" w:color="auto"/>
              <w:left w:val="single" w:sz="4" w:space="0" w:color="auto"/>
              <w:bottom w:val="single" w:sz="4" w:space="0" w:color="auto"/>
              <w:right w:val="single" w:sz="4" w:space="0" w:color="auto"/>
            </w:tcBorders>
          </w:tcPr>
          <w:p w14:paraId="7F93023C"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 xml:space="preserve">Donations and bequests reported by arts and culture charities </w:t>
            </w:r>
            <w:r w:rsidRPr="00861157">
              <w:rPr>
                <w:rFonts w:ascii="Arial" w:eastAsia="Calibri" w:hAnsi="Arial" w:cs="Arial"/>
                <w:sz w:val="16"/>
                <w:szCs w:val="16"/>
                <w:vertAlign w:val="superscript"/>
              </w:rPr>
              <w:t>(b)</w:t>
            </w:r>
          </w:p>
        </w:tc>
        <w:tc>
          <w:tcPr>
            <w:tcW w:w="2302" w:type="pct"/>
            <w:tcBorders>
              <w:top w:val="single" w:sz="4" w:space="0" w:color="auto"/>
              <w:left w:val="single" w:sz="4" w:space="0" w:color="auto"/>
              <w:bottom w:val="single" w:sz="4" w:space="0" w:color="auto"/>
            </w:tcBorders>
          </w:tcPr>
          <w:p w14:paraId="45C9AE1C"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No target set for 2021–22 as results likely to be heavily impacted by COVID-19</w:t>
            </w:r>
          </w:p>
          <w:p w14:paraId="65293AD1"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No target</w:t>
            </w:r>
          </w:p>
          <w:p w14:paraId="79C24B2C" w14:textId="24E9322F" w:rsidR="00115843" w:rsidRPr="00861157" w:rsidRDefault="00115843" w:rsidP="00FB0D02">
            <w:pPr>
              <w:spacing w:before="60" w:after="60" w:line="240" w:lineRule="auto"/>
              <w:ind w:right="-12"/>
              <w:rPr>
                <w:rFonts w:ascii="Arial" w:eastAsia="Calibri" w:hAnsi="Arial" w:cs="Arial"/>
                <w:sz w:val="16"/>
                <w:szCs w:val="16"/>
                <w:highlight w:val="yellow"/>
              </w:rPr>
            </w:pPr>
            <w:r w:rsidRPr="00861157">
              <w:rPr>
                <w:rFonts w:ascii="Arial" w:eastAsia="Calibri" w:hAnsi="Arial" w:cs="Arial"/>
                <w:sz w:val="16"/>
                <w:szCs w:val="16"/>
              </w:rPr>
              <w:t>Organisations on the Register of Cultural Organisations who provided statistical returns reported   $151.4 million in private sector support in 2020–21 (latest available data)</w:t>
            </w:r>
            <w:r w:rsidR="00861157">
              <w:rPr>
                <w:rFonts w:ascii="Arial" w:eastAsia="Calibri" w:hAnsi="Arial" w:cs="Arial"/>
                <w:sz w:val="16"/>
                <w:szCs w:val="16"/>
              </w:rPr>
              <w:t>.</w:t>
            </w:r>
          </w:p>
        </w:tc>
      </w:tr>
    </w:tbl>
    <w:p w14:paraId="5B68CA44" w14:textId="77777777" w:rsidR="00115843" w:rsidRDefault="00115843" w:rsidP="00115843">
      <w:r>
        <w:br w:type="page"/>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98"/>
        <w:gridCol w:w="3523"/>
        <w:gridCol w:w="6"/>
      </w:tblGrid>
      <w:tr w:rsidR="00115843" w:rsidRPr="00861157" w14:paraId="3EF18367" w14:textId="77777777" w:rsidTr="00FB0D02">
        <w:trPr>
          <w:trHeight w:val="258"/>
        </w:trPr>
        <w:tc>
          <w:tcPr>
            <w:tcW w:w="873" w:type="pct"/>
            <w:tcBorders>
              <w:top w:val="double" w:sz="4" w:space="0" w:color="auto"/>
              <w:bottom w:val="single" w:sz="4" w:space="0" w:color="auto"/>
              <w:right w:val="single" w:sz="4" w:space="0" w:color="auto"/>
            </w:tcBorders>
          </w:tcPr>
          <w:p w14:paraId="5E248498" w14:textId="77777777" w:rsidR="00115843" w:rsidRPr="00861157" w:rsidRDefault="00115843" w:rsidP="00FB0D02">
            <w:pPr>
              <w:pStyle w:val="TableTextBase"/>
              <w:rPr>
                <w:b/>
                <w:sz w:val="16"/>
                <w:szCs w:val="16"/>
              </w:rPr>
            </w:pPr>
            <w:r w:rsidRPr="00861157">
              <w:rPr>
                <w:b/>
                <w:sz w:val="16"/>
                <w:szCs w:val="16"/>
              </w:rPr>
              <w:lastRenderedPageBreak/>
              <w:t>Year</w:t>
            </w:r>
          </w:p>
        </w:tc>
        <w:tc>
          <w:tcPr>
            <w:tcW w:w="1825" w:type="pct"/>
            <w:tcBorders>
              <w:top w:val="double" w:sz="4" w:space="0" w:color="auto"/>
              <w:left w:val="single" w:sz="4" w:space="0" w:color="auto"/>
              <w:bottom w:val="single" w:sz="4" w:space="0" w:color="auto"/>
              <w:right w:val="single" w:sz="4" w:space="0" w:color="auto"/>
            </w:tcBorders>
          </w:tcPr>
          <w:p w14:paraId="39FF98A8" w14:textId="77777777" w:rsidR="00115843" w:rsidRPr="00861157" w:rsidRDefault="00115843" w:rsidP="00FB0D02">
            <w:pPr>
              <w:pStyle w:val="TableTextBase"/>
              <w:rPr>
                <w:rFonts w:cs="Arial"/>
                <w:b/>
                <w:sz w:val="16"/>
                <w:szCs w:val="16"/>
              </w:rPr>
            </w:pPr>
            <w:r w:rsidRPr="00861157">
              <w:rPr>
                <w:rFonts w:cs="Arial"/>
                <w:b/>
                <w:sz w:val="16"/>
                <w:szCs w:val="16"/>
              </w:rPr>
              <w:t>Performance measures</w:t>
            </w:r>
          </w:p>
        </w:tc>
        <w:tc>
          <w:tcPr>
            <w:tcW w:w="2302" w:type="pct"/>
            <w:gridSpan w:val="2"/>
            <w:tcBorders>
              <w:top w:val="double" w:sz="4" w:space="0" w:color="auto"/>
              <w:left w:val="single" w:sz="4" w:space="0" w:color="auto"/>
              <w:bottom w:val="single" w:sz="4" w:space="0" w:color="auto"/>
            </w:tcBorders>
          </w:tcPr>
          <w:p w14:paraId="1D902BEA" w14:textId="77777777" w:rsidR="00115843" w:rsidRPr="00861157" w:rsidRDefault="00115843" w:rsidP="00FB0D02">
            <w:pPr>
              <w:pStyle w:val="TableTextBase"/>
              <w:rPr>
                <w:rFonts w:cs="Arial"/>
                <w:b/>
                <w:sz w:val="16"/>
                <w:szCs w:val="16"/>
              </w:rPr>
            </w:pPr>
            <w:r w:rsidRPr="00861157">
              <w:rPr>
                <w:rFonts w:cs="Arial"/>
                <w:b/>
                <w:sz w:val="16"/>
                <w:szCs w:val="16"/>
              </w:rPr>
              <w:t>Expected Performance Results</w:t>
            </w:r>
          </w:p>
        </w:tc>
      </w:tr>
      <w:tr w:rsidR="00115843" w:rsidRPr="00861157" w14:paraId="60575C35" w14:textId="77777777" w:rsidTr="00FB0D02">
        <w:trPr>
          <w:cantSplit/>
          <w:trHeight w:val="642"/>
        </w:trPr>
        <w:tc>
          <w:tcPr>
            <w:tcW w:w="873" w:type="pct"/>
            <w:vMerge w:val="restart"/>
            <w:tcBorders>
              <w:right w:val="single" w:sz="4" w:space="0" w:color="auto"/>
            </w:tcBorders>
          </w:tcPr>
          <w:p w14:paraId="524AE6A0" w14:textId="77777777" w:rsidR="00115843" w:rsidRPr="00861157" w:rsidRDefault="00115843" w:rsidP="00FB0D02">
            <w:pPr>
              <w:pStyle w:val="TableTextBase"/>
              <w:rPr>
                <w:sz w:val="16"/>
                <w:szCs w:val="16"/>
              </w:rPr>
            </w:pPr>
            <w:r w:rsidRPr="00861157">
              <w:rPr>
                <w:sz w:val="16"/>
                <w:szCs w:val="16"/>
              </w:rPr>
              <w:t xml:space="preserve">Prior year </w:t>
            </w:r>
            <w:r w:rsidRPr="00861157">
              <w:rPr>
                <w:sz w:val="16"/>
                <w:szCs w:val="16"/>
              </w:rPr>
              <w:br/>
              <w:t>2021–22 cont.</w:t>
            </w:r>
          </w:p>
        </w:tc>
        <w:tc>
          <w:tcPr>
            <w:tcW w:w="1825" w:type="pct"/>
            <w:tcBorders>
              <w:top w:val="single" w:sz="4" w:space="0" w:color="auto"/>
              <w:left w:val="single" w:sz="4" w:space="0" w:color="auto"/>
              <w:bottom w:val="single" w:sz="4" w:space="0" w:color="auto"/>
              <w:right w:val="single" w:sz="4" w:space="0" w:color="auto"/>
            </w:tcBorders>
          </w:tcPr>
          <w:p w14:paraId="1E7E6AA8"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Impact of our arts and cultural activities to support regional access and participation, indicated through:</w:t>
            </w:r>
          </w:p>
          <w:p w14:paraId="72CE8366" w14:textId="77777777" w:rsidR="00115843" w:rsidRPr="00861157" w:rsidRDefault="00115843" w:rsidP="00115843">
            <w:pPr>
              <w:numPr>
                <w:ilvl w:val="0"/>
                <w:numId w:val="240"/>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projected audience numbers/ participants involved with funded projects</w:t>
            </w:r>
          </w:p>
          <w:p w14:paraId="7793CE1F" w14:textId="77777777" w:rsidR="00115843" w:rsidRPr="00861157" w:rsidRDefault="00115843" w:rsidP="00115843">
            <w:pPr>
              <w:numPr>
                <w:ilvl w:val="0"/>
                <w:numId w:val="240"/>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number of regional/remote locations that hosted funded projects</w:t>
            </w:r>
          </w:p>
        </w:tc>
        <w:tc>
          <w:tcPr>
            <w:tcW w:w="2302" w:type="pct"/>
            <w:gridSpan w:val="2"/>
            <w:tcBorders>
              <w:top w:val="single" w:sz="4" w:space="0" w:color="auto"/>
              <w:left w:val="single" w:sz="4" w:space="0" w:color="auto"/>
              <w:bottom w:val="single" w:sz="4" w:space="0" w:color="auto"/>
            </w:tcBorders>
          </w:tcPr>
          <w:p w14:paraId="7C577504"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2021–22 data will establish a benchmark; however, it is not envisaged that the number will increase each year, given the variety of projects funded and that the programs are demand driven</w:t>
            </w:r>
          </w:p>
          <w:p w14:paraId="42312119"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No target</w:t>
            </w:r>
          </w:p>
          <w:p w14:paraId="71CFA5A7" w14:textId="77777777" w:rsidR="00115843" w:rsidRPr="00861157" w:rsidRDefault="00115843" w:rsidP="00115843">
            <w:pPr>
              <w:pStyle w:val="TableTextPortrait"/>
              <w:numPr>
                <w:ilvl w:val="0"/>
                <w:numId w:val="243"/>
              </w:numPr>
              <w:spacing w:before="60" w:after="60" w:line="240" w:lineRule="auto"/>
              <w:ind w:left="357"/>
              <w:rPr>
                <w:rFonts w:ascii="Arial" w:hAnsi="Arial" w:cs="Arial"/>
                <w:sz w:val="16"/>
                <w:szCs w:val="16"/>
              </w:rPr>
            </w:pPr>
            <w:r w:rsidRPr="00861157">
              <w:rPr>
                <w:rFonts w:ascii="Arial" w:hAnsi="Arial" w:cs="Arial"/>
                <w:sz w:val="16"/>
                <w:szCs w:val="16"/>
              </w:rPr>
              <w:t>Estimated audience: over 6.2 million</w:t>
            </w:r>
            <w:r w:rsidRPr="00861157">
              <w:rPr>
                <w:rFonts w:ascii="Arial" w:hAnsi="Arial" w:cs="Arial"/>
                <w:sz w:val="16"/>
                <w:szCs w:val="16"/>
              </w:rPr>
              <w:br/>
              <w:t>Estimated participation: over 1.1 million</w:t>
            </w:r>
          </w:p>
          <w:p w14:paraId="4612F53F" w14:textId="16E6327B" w:rsidR="00115843" w:rsidRPr="00861157" w:rsidRDefault="00115843" w:rsidP="00115843">
            <w:pPr>
              <w:pStyle w:val="TableTextPortrait"/>
              <w:numPr>
                <w:ilvl w:val="0"/>
                <w:numId w:val="243"/>
              </w:numPr>
              <w:spacing w:before="60" w:after="60" w:line="240" w:lineRule="auto"/>
              <w:ind w:left="357"/>
              <w:rPr>
                <w:rFonts w:ascii="Arial" w:eastAsia="Calibri" w:hAnsi="Arial" w:cs="Arial"/>
                <w:sz w:val="16"/>
                <w:szCs w:val="16"/>
              </w:rPr>
            </w:pPr>
            <w:r w:rsidRPr="00861157">
              <w:rPr>
                <w:rFonts w:ascii="Arial" w:hAnsi="Arial" w:cs="Arial"/>
                <w:sz w:val="16"/>
                <w:szCs w:val="16"/>
              </w:rPr>
              <w:t>Estimated number of locations: over 1,200</w:t>
            </w:r>
            <w:r w:rsidR="00861157" w:rsidRPr="00861157">
              <w:rPr>
                <w:rFonts w:ascii="Arial" w:hAnsi="Arial" w:cs="Arial"/>
                <w:sz w:val="16"/>
                <w:szCs w:val="16"/>
              </w:rPr>
              <w:t>.</w:t>
            </w:r>
          </w:p>
        </w:tc>
      </w:tr>
      <w:tr w:rsidR="00115843" w:rsidRPr="00861157" w14:paraId="03BE94C7" w14:textId="77777777" w:rsidTr="00FB0D02">
        <w:trPr>
          <w:cantSplit/>
          <w:trHeight w:hRule="exact" w:val="2389"/>
        </w:trPr>
        <w:tc>
          <w:tcPr>
            <w:tcW w:w="873" w:type="pct"/>
            <w:vMerge/>
            <w:tcBorders>
              <w:right w:val="single" w:sz="4" w:space="0" w:color="auto"/>
            </w:tcBorders>
          </w:tcPr>
          <w:p w14:paraId="127953CB" w14:textId="77777777" w:rsidR="00115843" w:rsidRPr="00861157" w:rsidRDefault="00115843" w:rsidP="00FB0D02">
            <w:pPr>
              <w:spacing w:before="60" w:after="60" w:line="240" w:lineRule="auto"/>
              <w:rPr>
                <w:sz w:val="16"/>
                <w:szCs w:val="16"/>
              </w:rPr>
            </w:pPr>
          </w:p>
        </w:tc>
        <w:tc>
          <w:tcPr>
            <w:tcW w:w="1825" w:type="pct"/>
            <w:tcBorders>
              <w:top w:val="single" w:sz="4" w:space="0" w:color="auto"/>
              <w:left w:val="single" w:sz="4" w:space="0" w:color="auto"/>
              <w:bottom w:val="single" w:sz="4" w:space="0" w:color="auto"/>
              <w:right w:val="single" w:sz="4" w:space="0" w:color="auto"/>
            </w:tcBorders>
          </w:tcPr>
          <w:p w14:paraId="539053DC"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Engagement with the national cultural institutions (NCIs), indicated through:</w:t>
            </w:r>
          </w:p>
          <w:p w14:paraId="62EDF2D7" w14:textId="77777777" w:rsidR="00115843" w:rsidRPr="00861157" w:rsidRDefault="00115843" w:rsidP="00115843">
            <w:pPr>
              <w:numPr>
                <w:ilvl w:val="0"/>
                <w:numId w:val="242"/>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number of in-person visits to engage with national collecting institutions (including on and off-site visits)</w:t>
            </w:r>
          </w:p>
          <w:p w14:paraId="5D8A0CBA" w14:textId="77777777" w:rsidR="00115843" w:rsidRPr="00861157" w:rsidRDefault="00115843" w:rsidP="00115843">
            <w:pPr>
              <w:numPr>
                <w:ilvl w:val="0"/>
                <w:numId w:val="242"/>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percentage of objects in national collections accessible online</w:t>
            </w:r>
          </w:p>
          <w:p w14:paraId="1417279F" w14:textId="77777777" w:rsidR="00115843" w:rsidRPr="00861157" w:rsidRDefault="00115843" w:rsidP="00115843">
            <w:pPr>
              <w:numPr>
                <w:ilvl w:val="0"/>
                <w:numId w:val="242"/>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number of web visits to the NCIs</w:t>
            </w:r>
            <w:r w:rsidRPr="00861157">
              <w:rPr>
                <w:rFonts w:ascii="Arial" w:eastAsia="Calibri" w:hAnsi="Arial" w:cs="Arial"/>
                <w:sz w:val="16"/>
                <w:szCs w:val="16"/>
                <w:vertAlign w:val="superscript"/>
              </w:rPr>
              <w:t>(b)</w:t>
            </w:r>
          </w:p>
        </w:tc>
        <w:tc>
          <w:tcPr>
            <w:tcW w:w="2302" w:type="pct"/>
            <w:gridSpan w:val="2"/>
            <w:tcBorders>
              <w:top w:val="single" w:sz="4" w:space="0" w:color="auto"/>
              <w:left w:val="single" w:sz="4" w:space="0" w:color="auto"/>
              <w:bottom w:val="single" w:sz="4" w:space="0" w:color="auto"/>
            </w:tcBorders>
          </w:tcPr>
          <w:p w14:paraId="5757AF64"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Maintain or increase 2021–22 annual engagement results compared to annual averages since 2012–13 (when the engagement indicators were established). In person visits will be impacted by COVID-19</w:t>
            </w:r>
          </w:p>
          <w:p w14:paraId="59F064BF" w14:textId="77777777" w:rsidR="00115843" w:rsidRPr="00861157" w:rsidRDefault="00115843" w:rsidP="00FB0D02">
            <w:pPr>
              <w:spacing w:before="120" w:after="120" w:line="240" w:lineRule="auto"/>
              <w:contextualSpacing/>
              <w:rPr>
                <w:rFonts w:ascii="Arial" w:eastAsia="Calibri" w:hAnsi="Arial" w:cs="Arial"/>
                <w:sz w:val="16"/>
                <w:szCs w:val="16"/>
              </w:rPr>
            </w:pPr>
            <w:r w:rsidRPr="00861157">
              <w:rPr>
                <w:rFonts w:ascii="Arial" w:eastAsia="Calibri" w:hAnsi="Arial" w:cs="Arial"/>
                <w:sz w:val="16"/>
                <w:szCs w:val="16"/>
              </w:rPr>
              <w:t>Target partially met</w:t>
            </w:r>
          </w:p>
          <w:p w14:paraId="7655CFEC" w14:textId="77777777" w:rsidR="00115843" w:rsidRPr="00861157" w:rsidRDefault="00115843" w:rsidP="00115843">
            <w:pPr>
              <w:pStyle w:val="TableTextPortrait"/>
              <w:numPr>
                <w:ilvl w:val="0"/>
                <w:numId w:val="245"/>
              </w:numPr>
              <w:spacing w:before="0" w:after="0"/>
              <w:rPr>
                <w:rFonts w:ascii="Arial" w:hAnsi="Arial" w:cs="Arial"/>
                <w:sz w:val="16"/>
                <w:szCs w:val="16"/>
              </w:rPr>
            </w:pPr>
            <w:r w:rsidRPr="00861157">
              <w:rPr>
                <w:rFonts w:ascii="Arial" w:hAnsi="Arial" w:cs="Arial"/>
                <w:sz w:val="16"/>
                <w:szCs w:val="16"/>
              </w:rPr>
              <w:t>target not met: 5.3 million</w:t>
            </w:r>
          </w:p>
          <w:p w14:paraId="55167716" w14:textId="77777777" w:rsidR="00115843" w:rsidRPr="00861157" w:rsidRDefault="00115843" w:rsidP="00115843">
            <w:pPr>
              <w:pStyle w:val="TableTextPortrait"/>
              <w:numPr>
                <w:ilvl w:val="0"/>
                <w:numId w:val="245"/>
              </w:numPr>
              <w:spacing w:before="0" w:after="0"/>
              <w:rPr>
                <w:rFonts w:ascii="Arial" w:hAnsi="Arial" w:cs="Arial"/>
                <w:sz w:val="16"/>
                <w:szCs w:val="16"/>
              </w:rPr>
            </w:pPr>
            <w:r w:rsidRPr="00861157">
              <w:rPr>
                <w:rFonts w:ascii="Arial" w:hAnsi="Arial" w:cs="Arial"/>
                <w:sz w:val="16"/>
                <w:szCs w:val="16"/>
              </w:rPr>
              <w:t>target met: 15.3%</w:t>
            </w:r>
          </w:p>
          <w:p w14:paraId="59E365A0" w14:textId="533E3BDE" w:rsidR="00115843" w:rsidRPr="00861157" w:rsidRDefault="00115843" w:rsidP="00115843">
            <w:pPr>
              <w:pStyle w:val="TableTextPortrait"/>
              <w:numPr>
                <w:ilvl w:val="0"/>
                <w:numId w:val="245"/>
              </w:numPr>
              <w:spacing w:before="0" w:after="60"/>
              <w:rPr>
                <w:rFonts w:ascii="Arial" w:eastAsia="Calibri" w:hAnsi="Arial" w:cs="Arial"/>
                <w:sz w:val="16"/>
                <w:szCs w:val="16"/>
              </w:rPr>
            </w:pPr>
            <w:r w:rsidRPr="00861157">
              <w:rPr>
                <w:rFonts w:ascii="Arial" w:hAnsi="Arial" w:cs="Arial"/>
                <w:sz w:val="16"/>
                <w:szCs w:val="16"/>
              </w:rPr>
              <w:t>target not met: 41.8 million</w:t>
            </w:r>
            <w:r w:rsidR="00861157" w:rsidRPr="00861157">
              <w:rPr>
                <w:rFonts w:ascii="Arial" w:hAnsi="Arial" w:cs="Arial"/>
                <w:sz w:val="16"/>
                <w:szCs w:val="16"/>
              </w:rPr>
              <w:t>.</w:t>
            </w:r>
          </w:p>
        </w:tc>
      </w:tr>
      <w:tr w:rsidR="00115843" w:rsidRPr="00861157" w14:paraId="407D3E9C" w14:textId="77777777" w:rsidTr="00FB0D02">
        <w:trPr>
          <w:cantSplit/>
          <w:trHeight w:hRule="exact" w:val="1854"/>
        </w:trPr>
        <w:tc>
          <w:tcPr>
            <w:tcW w:w="873" w:type="pct"/>
            <w:vMerge/>
            <w:tcBorders>
              <w:right w:val="single" w:sz="4" w:space="0" w:color="auto"/>
            </w:tcBorders>
          </w:tcPr>
          <w:p w14:paraId="415E4E1D" w14:textId="77777777" w:rsidR="00115843" w:rsidRPr="00861157" w:rsidRDefault="00115843" w:rsidP="00FB0D02">
            <w:pPr>
              <w:spacing w:before="60" w:after="60" w:line="240" w:lineRule="auto"/>
              <w:rPr>
                <w:sz w:val="16"/>
                <w:szCs w:val="16"/>
              </w:rPr>
            </w:pPr>
          </w:p>
        </w:tc>
        <w:tc>
          <w:tcPr>
            <w:tcW w:w="1825" w:type="pct"/>
            <w:tcBorders>
              <w:top w:val="single" w:sz="4" w:space="0" w:color="auto"/>
              <w:left w:val="single" w:sz="4" w:space="0" w:color="auto"/>
              <w:bottom w:val="single" w:sz="4" w:space="0" w:color="auto"/>
              <w:right w:val="single" w:sz="4" w:space="0" w:color="auto"/>
            </w:tcBorders>
          </w:tcPr>
          <w:p w14:paraId="59E794BC"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Effectiveness of the current Australian content framework, indicated through:</w:t>
            </w:r>
          </w:p>
          <w:p w14:paraId="2441E736" w14:textId="77777777" w:rsidR="00115843" w:rsidRPr="00861157" w:rsidRDefault="00115843" w:rsidP="00115843">
            <w:pPr>
              <w:numPr>
                <w:ilvl w:val="0"/>
                <w:numId w:val="241"/>
              </w:numPr>
              <w:spacing w:before="120" w:after="120" w:line="240" w:lineRule="auto"/>
              <w:contextualSpacing/>
              <w:rPr>
                <w:rFonts w:ascii="Arial" w:eastAsia="Calibri" w:hAnsi="Arial" w:cs="Arial"/>
                <w:sz w:val="16"/>
                <w:szCs w:val="16"/>
              </w:rPr>
            </w:pPr>
            <w:r w:rsidRPr="00861157">
              <w:rPr>
                <w:rFonts w:ascii="Arial" w:eastAsia="Calibri" w:hAnsi="Arial" w:cs="Arial"/>
                <w:sz w:val="16"/>
                <w:szCs w:val="16"/>
              </w:rPr>
              <w:t xml:space="preserve">Australian content quota compliance </w:t>
            </w:r>
          </w:p>
          <w:p w14:paraId="0F4FC036" w14:textId="77777777" w:rsidR="00115843" w:rsidRPr="00861157" w:rsidRDefault="00115843" w:rsidP="00115843">
            <w:pPr>
              <w:numPr>
                <w:ilvl w:val="0"/>
                <w:numId w:val="241"/>
              </w:numPr>
              <w:spacing w:before="120" w:after="60" w:line="240" w:lineRule="auto"/>
              <w:contextualSpacing/>
              <w:rPr>
                <w:rFonts w:ascii="Arial" w:eastAsia="Calibri" w:hAnsi="Arial" w:cs="Arial"/>
                <w:sz w:val="16"/>
                <w:szCs w:val="16"/>
              </w:rPr>
            </w:pPr>
            <w:r w:rsidRPr="00861157">
              <w:rPr>
                <w:rFonts w:ascii="Arial" w:eastAsia="Calibri" w:hAnsi="Arial" w:cs="Arial"/>
                <w:sz w:val="16"/>
                <w:szCs w:val="16"/>
              </w:rPr>
              <w:t>the existence of public data on Australian content available on streaming video on demand services</w:t>
            </w:r>
          </w:p>
        </w:tc>
        <w:tc>
          <w:tcPr>
            <w:tcW w:w="2302" w:type="pct"/>
            <w:gridSpan w:val="2"/>
            <w:tcBorders>
              <w:top w:val="single" w:sz="4" w:space="0" w:color="auto"/>
              <w:left w:val="single" w:sz="4" w:space="0" w:color="auto"/>
              <w:bottom w:val="single" w:sz="4" w:space="0" w:color="auto"/>
            </w:tcBorders>
          </w:tcPr>
          <w:p w14:paraId="018D96F0"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Reporting in 2021–22 shows frameworks are effective</w:t>
            </w:r>
          </w:p>
          <w:p w14:paraId="2FE414F5"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Target met</w:t>
            </w:r>
          </w:p>
          <w:p w14:paraId="5C04D571" w14:textId="77777777" w:rsidR="00115843" w:rsidRPr="00861157" w:rsidRDefault="00115843" w:rsidP="00FB0D02">
            <w:pPr>
              <w:pStyle w:val="TableTextBase"/>
              <w:rPr>
                <w:rFonts w:eastAsia="Calibri" w:cs="Arial"/>
                <w:sz w:val="16"/>
                <w:szCs w:val="16"/>
                <w:lang w:eastAsia="en-US"/>
              </w:rPr>
            </w:pPr>
            <w:r w:rsidRPr="00861157">
              <w:rPr>
                <w:rFonts w:eastAsia="Calibri" w:cs="Arial"/>
                <w:sz w:val="16"/>
                <w:szCs w:val="16"/>
              </w:rPr>
              <w:t>Reporting in 2020–21 showed positive results across the content framework</w:t>
            </w:r>
          </w:p>
        </w:tc>
      </w:tr>
      <w:tr w:rsidR="00115843" w:rsidRPr="00861157" w14:paraId="2F2CD974" w14:textId="77777777" w:rsidTr="00FB0D02">
        <w:trPr>
          <w:gridAfter w:val="1"/>
          <w:wAfter w:w="4" w:type="pct"/>
          <w:cantSplit/>
          <w:trHeight w:val="306"/>
        </w:trPr>
        <w:tc>
          <w:tcPr>
            <w:tcW w:w="873" w:type="pct"/>
            <w:vMerge/>
            <w:tcBorders>
              <w:right w:val="single" w:sz="4" w:space="0" w:color="auto"/>
            </w:tcBorders>
          </w:tcPr>
          <w:p w14:paraId="1FD7ADB5" w14:textId="77777777" w:rsidR="00115843" w:rsidRPr="00861157" w:rsidRDefault="00115843" w:rsidP="00FB0D02">
            <w:pPr>
              <w:spacing w:before="60" w:after="60" w:line="240" w:lineRule="auto"/>
              <w:rPr>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302FB3B9"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Effectiveness of the current copyright framework, indicated through:</w:t>
            </w:r>
          </w:p>
          <w:p w14:paraId="310E982D" w14:textId="77777777" w:rsidR="00115843" w:rsidRPr="00861157" w:rsidRDefault="00115843" w:rsidP="00115843">
            <w:pPr>
              <w:pStyle w:val="ListParagraph"/>
              <w:numPr>
                <w:ilvl w:val="0"/>
                <w:numId w:val="249"/>
              </w:numPr>
              <w:rPr>
                <w:rFonts w:ascii="Arial" w:hAnsi="Arial" w:cs="Arial"/>
                <w:sz w:val="16"/>
                <w:szCs w:val="16"/>
              </w:rPr>
            </w:pPr>
            <w:r w:rsidRPr="00861157">
              <w:rPr>
                <w:rFonts w:ascii="Arial" w:hAnsi="Arial" w:cs="Arial"/>
                <w:sz w:val="16"/>
                <w:szCs w:val="16"/>
              </w:rPr>
              <w:t>amount of copyright distributions paid to creators by the copyright collecting societies</w:t>
            </w:r>
          </w:p>
          <w:p w14:paraId="17F0B344" w14:textId="77777777" w:rsidR="00115843" w:rsidRPr="00861157" w:rsidRDefault="00115843" w:rsidP="00115843">
            <w:pPr>
              <w:pStyle w:val="ListParagraph"/>
              <w:numPr>
                <w:ilvl w:val="0"/>
                <w:numId w:val="249"/>
              </w:numPr>
              <w:spacing w:before="60" w:after="60" w:line="240" w:lineRule="auto"/>
              <w:rPr>
                <w:rFonts w:ascii="Arial" w:hAnsi="Arial" w:cs="Arial"/>
                <w:sz w:val="16"/>
                <w:szCs w:val="16"/>
              </w:rPr>
            </w:pPr>
            <w:r w:rsidRPr="00861157">
              <w:rPr>
                <w:rFonts w:ascii="Arial" w:hAnsi="Arial" w:cs="Arial"/>
                <w:sz w:val="16"/>
                <w:szCs w:val="16"/>
              </w:rPr>
              <w:t>annual Consumer Survey on Online Copyright Infringement </w:t>
            </w:r>
            <w:r w:rsidRPr="00861157">
              <w:rPr>
                <w:rFonts w:ascii="Arial" w:hAnsi="Arial" w:cs="Arial"/>
                <w:sz w:val="16"/>
                <w:szCs w:val="16"/>
                <w:vertAlign w:val="superscript"/>
              </w:rPr>
              <w:t>(b)</w:t>
            </w:r>
          </w:p>
        </w:tc>
        <w:tc>
          <w:tcPr>
            <w:tcW w:w="2298" w:type="pct"/>
            <w:tcBorders>
              <w:top w:val="single" w:sz="4" w:space="0" w:color="auto"/>
              <w:left w:val="single" w:sz="4" w:space="0" w:color="auto"/>
              <w:bottom w:val="single" w:sz="4" w:space="0" w:color="auto"/>
            </w:tcBorders>
          </w:tcPr>
          <w:p w14:paraId="081A0508" w14:textId="77777777" w:rsidR="00115843" w:rsidRPr="00861157" w:rsidRDefault="00115843" w:rsidP="00FB0D02">
            <w:pPr>
              <w:spacing w:before="60" w:after="60" w:line="240" w:lineRule="auto"/>
              <w:ind w:left="22" w:right="-12" w:hanging="22"/>
              <w:rPr>
                <w:rFonts w:ascii="Arial" w:eastAsia="Calibri" w:hAnsi="Arial" w:cs="Arial"/>
                <w:sz w:val="16"/>
                <w:szCs w:val="16"/>
              </w:rPr>
            </w:pPr>
            <w:r w:rsidRPr="00861157">
              <w:rPr>
                <w:rFonts w:ascii="Arial" w:eastAsia="Calibri" w:hAnsi="Arial" w:cs="Arial"/>
                <w:sz w:val="16"/>
                <w:szCs w:val="16"/>
              </w:rPr>
              <w:t>Reporting in 2021–22 shows frameworks are effective</w:t>
            </w:r>
          </w:p>
          <w:p w14:paraId="693FC8C3" w14:textId="77777777" w:rsidR="00115843" w:rsidRPr="00861157" w:rsidRDefault="00115843" w:rsidP="00FB0D02">
            <w:pPr>
              <w:spacing w:before="60" w:after="60" w:line="240" w:lineRule="auto"/>
              <w:ind w:left="22" w:right="-12" w:hanging="22"/>
              <w:rPr>
                <w:rFonts w:ascii="Arial" w:eastAsia="Calibri" w:hAnsi="Arial" w:cs="Arial"/>
                <w:sz w:val="16"/>
                <w:szCs w:val="16"/>
              </w:rPr>
            </w:pPr>
            <w:r w:rsidRPr="00861157">
              <w:rPr>
                <w:rFonts w:ascii="Arial" w:eastAsia="Calibri" w:hAnsi="Arial" w:cs="Arial"/>
                <w:sz w:val="16"/>
                <w:szCs w:val="16"/>
              </w:rPr>
              <w:t>Target met</w:t>
            </w:r>
          </w:p>
          <w:p w14:paraId="4F05DE45" w14:textId="77777777" w:rsidR="00115843" w:rsidRPr="00861157" w:rsidRDefault="00115843" w:rsidP="00FB0D02">
            <w:pPr>
              <w:spacing w:before="60" w:after="60" w:line="240" w:lineRule="auto"/>
              <w:ind w:left="22" w:right="-12" w:hanging="22"/>
              <w:rPr>
                <w:rFonts w:ascii="Arial" w:hAnsi="Arial"/>
                <w:b/>
                <w:sz w:val="16"/>
                <w:szCs w:val="16"/>
              </w:rPr>
            </w:pPr>
            <w:r w:rsidRPr="00861157">
              <w:rPr>
                <w:rFonts w:ascii="Arial" w:eastAsia="Calibri" w:hAnsi="Arial" w:cs="Arial"/>
                <w:sz w:val="16"/>
                <w:szCs w:val="16"/>
              </w:rPr>
              <w:t>Reporting in 2020–21 showed positive results across the copyright framework</w:t>
            </w:r>
          </w:p>
        </w:tc>
      </w:tr>
      <w:tr w:rsidR="00115843" w:rsidRPr="00861157" w14:paraId="06D1E033" w14:textId="77777777" w:rsidTr="00FB0D02">
        <w:trPr>
          <w:gridAfter w:val="1"/>
          <w:wAfter w:w="4" w:type="pct"/>
          <w:cantSplit/>
          <w:trHeight w:val="306"/>
        </w:trPr>
        <w:tc>
          <w:tcPr>
            <w:tcW w:w="873" w:type="pct"/>
            <w:vMerge/>
            <w:tcBorders>
              <w:right w:val="single" w:sz="4" w:space="0" w:color="auto"/>
            </w:tcBorders>
            <w:vAlign w:val="center"/>
          </w:tcPr>
          <w:p w14:paraId="669F0F8E" w14:textId="77777777" w:rsidR="00115843" w:rsidRPr="00861157" w:rsidRDefault="00115843" w:rsidP="00FB0D02">
            <w:pPr>
              <w:pStyle w:val="TableTextBase"/>
              <w:rPr>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7F24A14F"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Number of decisions made and proportion within statutory timeframes by:</w:t>
            </w:r>
          </w:p>
          <w:p w14:paraId="3B4D5507" w14:textId="77777777" w:rsidR="00115843" w:rsidRPr="00861157" w:rsidRDefault="00115843" w:rsidP="00115843">
            <w:pPr>
              <w:numPr>
                <w:ilvl w:val="0"/>
                <w:numId w:val="247"/>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Classification Board</w:t>
            </w:r>
          </w:p>
          <w:p w14:paraId="20C3B4CD" w14:textId="77777777" w:rsidR="00115843" w:rsidRPr="00861157" w:rsidRDefault="00115843" w:rsidP="00115843">
            <w:pPr>
              <w:numPr>
                <w:ilvl w:val="0"/>
                <w:numId w:val="247"/>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Classification Review Board</w:t>
            </w:r>
          </w:p>
        </w:tc>
        <w:tc>
          <w:tcPr>
            <w:tcW w:w="2298" w:type="pct"/>
            <w:tcBorders>
              <w:top w:val="single" w:sz="4" w:space="0" w:color="auto"/>
              <w:left w:val="single" w:sz="4" w:space="0" w:color="auto"/>
              <w:bottom w:val="single" w:sz="4" w:space="0" w:color="auto"/>
            </w:tcBorders>
          </w:tcPr>
          <w:p w14:paraId="0EFBEC59" w14:textId="77777777" w:rsidR="00115843" w:rsidRPr="00861157" w:rsidRDefault="00115843" w:rsidP="00FB0D02">
            <w:pPr>
              <w:spacing w:before="60" w:after="60" w:line="240" w:lineRule="auto"/>
              <w:ind w:left="22" w:hanging="22"/>
              <w:rPr>
                <w:rFonts w:ascii="Arial" w:eastAsia="Calibri" w:hAnsi="Arial" w:cs="Arial"/>
                <w:sz w:val="16"/>
                <w:szCs w:val="16"/>
              </w:rPr>
            </w:pPr>
            <w:r w:rsidRPr="00861157">
              <w:rPr>
                <w:rFonts w:ascii="Arial" w:eastAsia="Calibri" w:hAnsi="Arial" w:cs="Arial"/>
                <w:sz w:val="16"/>
                <w:szCs w:val="16"/>
              </w:rPr>
              <w:t>Decision-making is based on industry demand</w:t>
            </w:r>
          </w:p>
          <w:p w14:paraId="71A6DDEF" w14:textId="77777777" w:rsidR="00115843" w:rsidRPr="00861157" w:rsidRDefault="00115843" w:rsidP="00FB0D02">
            <w:pPr>
              <w:spacing w:before="60" w:after="60" w:line="240" w:lineRule="auto"/>
              <w:ind w:left="22" w:hanging="22"/>
              <w:rPr>
                <w:rFonts w:ascii="Arial" w:eastAsia="Calibri" w:hAnsi="Arial" w:cs="Arial"/>
                <w:sz w:val="16"/>
                <w:szCs w:val="16"/>
              </w:rPr>
            </w:pPr>
            <w:r w:rsidRPr="00861157">
              <w:rPr>
                <w:rFonts w:ascii="Arial" w:eastAsia="Calibri" w:hAnsi="Arial" w:cs="Arial"/>
                <w:sz w:val="16"/>
                <w:szCs w:val="16"/>
              </w:rPr>
              <w:t xml:space="preserve">Target met </w:t>
            </w:r>
          </w:p>
          <w:p w14:paraId="299CFE3B" w14:textId="77777777" w:rsidR="00115843" w:rsidRPr="00861157" w:rsidRDefault="00115843" w:rsidP="00FB0D02">
            <w:pPr>
              <w:spacing w:before="60" w:after="60" w:line="240" w:lineRule="auto"/>
              <w:ind w:left="22" w:right="-12" w:hanging="22"/>
              <w:rPr>
                <w:rFonts w:ascii="Arial" w:hAnsi="Arial"/>
                <w:b/>
                <w:sz w:val="16"/>
                <w:szCs w:val="16"/>
              </w:rPr>
            </w:pPr>
            <w:r w:rsidRPr="00861157">
              <w:rPr>
                <w:rFonts w:ascii="Arial" w:eastAsia="Calibri" w:hAnsi="Arial" w:cs="Arial"/>
                <w:sz w:val="16"/>
                <w:szCs w:val="16"/>
              </w:rPr>
              <w:t>Decisions of the Classification Board and Classification Review Board were within the specified statutory timeframes</w:t>
            </w:r>
          </w:p>
        </w:tc>
      </w:tr>
    </w:tbl>
    <w:p w14:paraId="3C92B1EF" w14:textId="77777777" w:rsidR="00115843" w:rsidRDefault="00115843" w:rsidP="00115843">
      <w:r>
        <w:br w:type="page"/>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98"/>
        <w:gridCol w:w="3523"/>
      </w:tblGrid>
      <w:tr w:rsidR="00115843" w:rsidRPr="00861157" w14:paraId="1BE0C9A1" w14:textId="77777777" w:rsidTr="00FB0D02">
        <w:trPr>
          <w:cantSplit/>
          <w:trHeight w:val="306"/>
        </w:trPr>
        <w:tc>
          <w:tcPr>
            <w:tcW w:w="877" w:type="pct"/>
            <w:tcBorders>
              <w:top w:val="double" w:sz="4" w:space="0" w:color="auto"/>
              <w:right w:val="single" w:sz="4" w:space="0" w:color="auto"/>
            </w:tcBorders>
          </w:tcPr>
          <w:p w14:paraId="62C0FA82" w14:textId="77777777" w:rsidR="00115843" w:rsidRPr="00861157" w:rsidRDefault="00115843" w:rsidP="00FB0D02">
            <w:pPr>
              <w:pStyle w:val="TableTextBase"/>
              <w:rPr>
                <w:rFonts w:cs="Arial"/>
                <w:b/>
                <w:sz w:val="16"/>
                <w:szCs w:val="16"/>
              </w:rPr>
            </w:pPr>
            <w:r w:rsidRPr="00861157">
              <w:rPr>
                <w:rFonts w:cs="Arial"/>
                <w:b/>
                <w:sz w:val="16"/>
                <w:szCs w:val="16"/>
              </w:rPr>
              <w:lastRenderedPageBreak/>
              <w:t>Year</w:t>
            </w:r>
          </w:p>
        </w:tc>
        <w:tc>
          <w:tcPr>
            <w:tcW w:w="1825" w:type="pct"/>
            <w:tcBorders>
              <w:top w:val="double" w:sz="4" w:space="0" w:color="auto"/>
              <w:left w:val="single" w:sz="4" w:space="0" w:color="auto"/>
              <w:bottom w:val="single" w:sz="4" w:space="0" w:color="auto"/>
              <w:right w:val="single" w:sz="4" w:space="0" w:color="auto"/>
            </w:tcBorders>
          </w:tcPr>
          <w:p w14:paraId="20574184"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hAnsi="Arial" w:cs="Arial"/>
                <w:b/>
                <w:sz w:val="16"/>
                <w:szCs w:val="16"/>
              </w:rPr>
              <w:t>Performance measures</w:t>
            </w:r>
          </w:p>
        </w:tc>
        <w:tc>
          <w:tcPr>
            <w:tcW w:w="2298" w:type="pct"/>
            <w:tcBorders>
              <w:top w:val="double" w:sz="4" w:space="0" w:color="auto"/>
              <w:left w:val="single" w:sz="4" w:space="0" w:color="auto"/>
              <w:bottom w:val="single" w:sz="4" w:space="0" w:color="auto"/>
            </w:tcBorders>
          </w:tcPr>
          <w:p w14:paraId="4E793B32" w14:textId="77777777" w:rsidR="00115843" w:rsidRPr="00861157" w:rsidRDefault="00115843" w:rsidP="00FB0D02">
            <w:pPr>
              <w:spacing w:before="60" w:after="60" w:line="240" w:lineRule="auto"/>
              <w:ind w:left="22" w:hanging="22"/>
              <w:rPr>
                <w:rFonts w:ascii="Arial" w:eastAsia="Calibri" w:hAnsi="Arial" w:cs="Arial"/>
                <w:sz w:val="16"/>
                <w:szCs w:val="16"/>
              </w:rPr>
            </w:pPr>
            <w:r w:rsidRPr="00861157">
              <w:rPr>
                <w:rFonts w:ascii="Arial" w:hAnsi="Arial" w:cs="Arial"/>
                <w:b/>
                <w:sz w:val="16"/>
                <w:szCs w:val="16"/>
              </w:rPr>
              <w:t>Planned Performance Results</w:t>
            </w:r>
          </w:p>
        </w:tc>
      </w:tr>
      <w:tr w:rsidR="00115843" w:rsidRPr="00861157" w14:paraId="284212A9" w14:textId="77777777" w:rsidTr="00FB0D02">
        <w:trPr>
          <w:cantSplit/>
          <w:trHeight w:val="306"/>
        </w:trPr>
        <w:tc>
          <w:tcPr>
            <w:tcW w:w="877" w:type="pct"/>
            <w:vMerge w:val="restart"/>
            <w:tcBorders>
              <w:right w:val="single" w:sz="4" w:space="0" w:color="auto"/>
            </w:tcBorders>
          </w:tcPr>
          <w:p w14:paraId="19A3DE83" w14:textId="77777777" w:rsidR="00115843" w:rsidRPr="00861157" w:rsidRDefault="00115843" w:rsidP="00FB0D02">
            <w:pPr>
              <w:spacing w:before="60" w:after="60" w:line="240" w:lineRule="auto"/>
              <w:rPr>
                <w:rFonts w:ascii="Arial" w:hAnsi="Arial" w:cs="Arial"/>
                <w:sz w:val="16"/>
                <w:szCs w:val="16"/>
              </w:rPr>
            </w:pPr>
            <w:r w:rsidRPr="00861157">
              <w:rPr>
                <w:rFonts w:ascii="Arial" w:eastAsia="Calibri" w:hAnsi="Arial" w:cs="Arial"/>
                <w:sz w:val="16"/>
                <w:szCs w:val="16"/>
              </w:rPr>
              <w:t>Budget year</w:t>
            </w:r>
            <w:r w:rsidRPr="00861157">
              <w:rPr>
                <w:rFonts w:ascii="Arial" w:eastAsia="Calibri" w:hAnsi="Arial" w:cs="Arial"/>
                <w:sz w:val="16"/>
                <w:szCs w:val="16"/>
              </w:rPr>
              <w:br/>
            </w:r>
            <w:r w:rsidRPr="00861157">
              <w:rPr>
                <w:rFonts w:ascii="Arial" w:eastAsia="Calibri" w:hAnsi="Arial" w:cs="Arial"/>
                <w:sz w:val="16"/>
                <w:szCs w:val="16"/>
                <w:lang w:eastAsia="en-US"/>
              </w:rPr>
              <w:t>2022–23</w:t>
            </w:r>
          </w:p>
        </w:tc>
        <w:tc>
          <w:tcPr>
            <w:tcW w:w="1825" w:type="pct"/>
            <w:tcBorders>
              <w:top w:val="single" w:sz="4" w:space="0" w:color="auto"/>
              <w:left w:val="single" w:sz="4" w:space="0" w:color="auto"/>
              <w:bottom w:val="single" w:sz="4" w:space="0" w:color="auto"/>
              <w:right w:val="single" w:sz="4" w:space="0" w:color="auto"/>
            </w:tcBorders>
          </w:tcPr>
          <w:p w14:paraId="024BDDB8" w14:textId="17FD6B03" w:rsidR="00115843" w:rsidRPr="00861157" w:rsidRDefault="00115843" w:rsidP="00FB0D02">
            <w:pPr>
              <w:spacing w:before="60" w:after="60" w:line="240" w:lineRule="auto"/>
              <w:rPr>
                <w:rFonts w:ascii="Arial" w:eastAsia="Calibri" w:hAnsi="Arial" w:cs="Arial"/>
                <w:i/>
                <w:sz w:val="16"/>
                <w:szCs w:val="16"/>
              </w:rPr>
            </w:pPr>
            <w:r w:rsidRPr="00861157">
              <w:rPr>
                <w:rFonts w:ascii="Arial" w:eastAsia="Calibri" w:hAnsi="Arial" w:cs="Arial"/>
                <w:i/>
                <w:sz w:val="16"/>
                <w:szCs w:val="16"/>
              </w:rPr>
              <w:t>Progress against the National Arts and Disability Associated Plan</w:t>
            </w:r>
          </w:p>
        </w:tc>
        <w:tc>
          <w:tcPr>
            <w:tcW w:w="2298" w:type="pct"/>
            <w:tcBorders>
              <w:top w:val="single" w:sz="4" w:space="0" w:color="auto"/>
              <w:left w:val="single" w:sz="4" w:space="0" w:color="auto"/>
              <w:bottom w:val="single" w:sz="4" w:space="0" w:color="auto"/>
            </w:tcBorders>
          </w:tcPr>
          <w:p w14:paraId="33859F6E" w14:textId="027692E9" w:rsidR="00115843" w:rsidRPr="00861157" w:rsidRDefault="00115843" w:rsidP="00FB0D02">
            <w:pPr>
              <w:spacing w:before="60" w:after="60" w:line="240" w:lineRule="auto"/>
              <w:ind w:left="22" w:hanging="22"/>
              <w:rPr>
                <w:rFonts w:ascii="Arial" w:hAnsi="Arial" w:cs="Arial"/>
                <w:b/>
                <w:sz w:val="16"/>
                <w:szCs w:val="16"/>
              </w:rPr>
            </w:pPr>
            <w:r w:rsidRPr="00861157">
              <w:rPr>
                <w:rFonts w:ascii="Arial" w:eastAsia="Calibri" w:hAnsi="Arial" w:cs="Arial"/>
                <w:sz w:val="16"/>
                <w:szCs w:val="16"/>
              </w:rPr>
              <w:t>The National Arts and Disability Strategy is renewed and implemented as a Commonwealth-only National Arts and Disability Associated Plan including updating and maintaining the arts and disability resource hub</w:t>
            </w:r>
            <w:r w:rsidR="00861157" w:rsidRPr="00861157">
              <w:rPr>
                <w:rFonts w:ascii="Arial" w:eastAsia="Calibri" w:hAnsi="Arial" w:cs="Arial"/>
                <w:sz w:val="16"/>
                <w:szCs w:val="16"/>
              </w:rPr>
              <w:t>.</w:t>
            </w:r>
          </w:p>
        </w:tc>
      </w:tr>
      <w:tr w:rsidR="00115843" w:rsidRPr="00861157" w14:paraId="23643B21" w14:textId="77777777" w:rsidTr="00FB0D02">
        <w:trPr>
          <w:cantSplit/>
          <w:trHeight w:val="306"/>
        </w:trPr>
        <w:tc>
          <w:tcPr>
            <w:tcW w:w="877" w:type="pct"/>
            <w:vMerge/>
            <w:tcBorders>
              <w:right w:val="single" w:sz="4" w:space="0" w:color="auto"/>
            </w:tcBorders>
          </w:tcPr>
          <w:p w14:paraId="09D2A3C1" w14:textId="77777777" w:rsidR="00115843" w:rsidRPr="00861157" w:rsidRDefault="00115843" w:rsidP="00FB0D02">
            <w:pPr>
              <w:pStyle w:val="TableTextBase"/>
              <w:rPr>
                <w:rFonts w:cs="Arial"/>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70E0EC17" w14:textId="77777777" w:rsidR="00115843" w:rsidRPr="00861157" w:rsidRDefault="00115843" w:rsidP="00FB0D02">
            <w:pPr>
              <w:pStyle w:val="TableTextBase"/>
              <w:rPr>
                <w:rFonts w:eastAsia="Calibri" w:cs="Arial"/>
                <w:sz w:val="16"/>
                <w:szCs w:val="16"/>
                <w:lang w:eastAsia="en-US"/>
              </w:rPr>
            </w:pPr>
            <w:r w:rsidRPr="00861157">
              <w:rPr>
                <w:rFonts w:eastAsia="Calibri" w:cs="Arial"/>
                <w:sz w:val="16"/>
                <w:szCs w:val="16"/>
                <w:lang w:eastAsia="en-US"/>
              </w:rPr>
              <w:t>Number of students enrolled in courses at national performing arts training organisations</w:t>
            </w:r>
          </w:p>
        </w:tc>
        <w:tc>
          <w:tcPr>
            <w:tcW w:w="2298" w:type="pct"/>
            <w:tcBorders>
              <w:top w:val="single" w:sz="4" w:space="0" w:color="auto"/>
              <w:left w:val="single" w:sz="4" w:space="0" w:color="auto"/>
              <w:bottom w:val="single" w:sz="4" w:space="0" w:color="auto"/>
            </w:tcBorders>
          </w:tcPr>
          <w:p w14:paraId="7FCE2B68" w14:textId="2E5CAC2F" w:rsidR="00115843" w:rsidRPr="00861157" w:rsidRDefault="00115843" w:rsidP="00FB0D02">
            <w:pPr>
              <w:spacing w:before="60" w:after="60" w:line="240" w:lineRule="auto"/>
              <w:ind w:left="22" w:hanging="22"/>
              <w:rPr>
                <w:rFonts w:ascii="Arial" w:hAnsi="Arial" w:cs="Arial"/>
                <w:b/>
                <w:sz w:val="16"/>
                <w:szCs w:val="16"/>
              </w:rPr>
            </w:pPr>
            <w:r w:rsidRPr="00861157">
              <w:rPr>
                <w:rFonts w:ascii="Arial" w:eastAsia="Calibri" w:hAnsi="Arial" w:cs="Arial"/>
                <w:sz w:val="16"/>
                <w:szCs w:val="16"/>
              </w:rPr>
              <w:t>≥800 students in each calendar year</w:t>
            </w:r>
            <w:r w:rsidR="00861157">
              <w:rPr>
                <w:rFonts w:ascii="Arial" w:eastAsia="Calibri" w:hAnsi="Arial" w:cs="Arial"/>
                <w:sz w:val="16"/>
                <w:szCs w:val="16"/>
              </w:rPr>
              <w:t>.</w:t>
            </w:r>
          </w:p>
        </w:tc>
      </w:tr>
      <w:tr w:rsidR="00115843" w:rsidRPr="00861157" w14:paraId="36C640E5" w14:textId="77777777" w:rsidTr="00FB0D02">
        <w:trPr>
          <w:cantSplit/>
          <w:trHeight w:val="306"/>
        </w:trPr>
        <w:tc>
          <w:tcPr>
            <w:tcW w:w="877" w:type="pct"/>
            <w:vMerge/>
            <w:tcBorders>
              <w:right w:val="single" w:sz="4" w:space="0" w:color="auto"/>
            </w:tcBorders>
          </w:tcPr>
          <w:p w14:paraId="573D2EB0" w14:textId="77777777" w:rsidR="00115843" w:rsidRPr="00861157" w:rsidRDefault="00115843" w:rsidP="00FB0D02">
            <w:pPr>
              <w:pStyle w:val="TableTextBase"/>
              <w:rPr>
                <w:rFonts w:cs="Arial"/>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6134FDA3" w14:textId="77777777" w:rsidR="00115843" w:rsidRPr="00861157" w:rsidRDefault="00115843" w:rsidP="00FB0D02">
            <w:pPr>
              <w:pStyle w:val="TableTextBase"/>
              <w:rPr>
                <w:rFonts w:cs="Arial"/>
                <w:b/>
                <w:sz w:val="16"/>
                <w:szCs w:val="16"/>
              </w:rPr>
            </w:pPr>
            <w:r w:rsidRPr="00861157">
              <w:rPr>
                <w:rFonts w:eastAsia="Calibri" w:cs="Arial"/>
                <w:sz w:val="16"/>
                <w:szCs w:val="16"/>
                <w:lang w:eastAsia="en-US"/>
              </w:rPr>
              <w:t>Number of payments made to claimants (including authors, illustrators and publishers) through lending rights</w:t>
            </w:r>
          </w:p>
        </w:tc>
        <w:tc>
          <w:tcPr>
            <w:tcW w:w="2298" w:type="pct"/>
            <w:tcBorders>
              <w:top w:val="single" w:sz="4" w:space="0" w:color="auto"/>
              <w:left w:val="single" w:sz="4" w:space="0" w:color="auto"/>
              <w:bottom w:val="single" w:sz="4" w:space="0" w:color="auto"/>
            </w:tcBorders>
          </w:tcPr>
          <w:p w14:paraId="48F33F0A" w14:textId="551DCC24" w:rsidR="00115843" w:rsidRPr="00861157" w:rsidRDefault="00115843" w:rsidP="00FB0D02">
            <w:pPr>
              <w:spacing w:before="60" w:after="60" w:line="240" w:lineRule="auto"/>
              <w:ind w:left="22" w:hanging="22"/>
              <w:rPr>
                <w:rFonts w:ascii="Arial" w:hAnsi="Arial" w:cs="Arial"/>
                <w:b/>
                <w:sz w:val="16"/>
                <w:szCs w:val="16"/>
              </w:rPr>
            </w:pPr>
            <w:r w:rsidRPr="00861157">
              <w:rPr>
                <w:rFonts w:ascii="Arial" w:eastAsia="Calibri" w:hAnsi="Arial" w:cs="Arial"/>
                <w:sz w:val="16"/>
                <w:szCs w:val="16"/>
              </w:rPr>
              <w:t>≥16,000 payments to claimants in each financial year</w:t>
            </w:r>
            <w:r w:rsidR="00861157">
              <w:rPr>
                <w:rFonts w:ascii="Arial" w:eastAsia="Calibri" w:hAnsi="Arial" w:cs="Arial"/>
                <w:sz w:val="16"/>
                <w:szCs w:val="16"/>
              </w:rPr>
              <w:t>.</w:t>
            </w:r>
          </w:p>
        </w:tc>
      </w:tr>
      <w:tr w:rsidR="00115843" w:rsidRPr="00861157" w14:paraId="4531FF41" w14:textId="77777777" w:rsidTr="00FB0D02">
        <w:trPr>
          <w:cantSplit/>
          <w:trHeight w:val="306"/>
        </w:trPr>
        <w:tc>
          <w:tcPr>
            <w:tcW w:w="877" w:type="pct"/>
            <w:vMerge/>
            <w:tcBorders>
              <w:right w:val="single" w:sz="4" w:space="0" w:color="auto"/>
            </w:tcBorders>
          </w:tcPr>
          <w:p w14:paraId="6EB457FF" w14:textId="77777777" w:rsidR="00115843" w:rsidRPr="00861157" w:rsidRDefault="00115843" w:rsidP="00FB0D02">
            <w:pPr>
              <w:pStyle w:val="TableTextBase"/>
              <w:rPr>
                <w:rFonts w:cs="Arial"/>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17A0C46E"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Number of art centres and art fairs funded through the Indigenous Visual Arts Industry Support (IVAIS) program</w:t>
            </w:r>
          </w:p>
        </w:tc>
        <w:tc>
          <w:tcPr>
            <w:tcW w:w="2298" w:type="pct"/>
            <w:tcBorders>
              <w:top w:val="single" w:sz="4" w:space="0" w:color="auto"/>
              <w:left w:val="single" w:sz="4" w:space="0" w:color="auto"/>
              <w:bottom w:val="single" w:sz="4" w:space="0" w:color="auto"/>
            </w:tcBorders>
          </w:tcPr>
          <w:p w14:paraId="0D9C6DEE" w14:textId="1ECF5B99" w:rsidR="00115843" w:rsidRPr="00861157" w:rsidRDefault="00115843" w:rsidP="00FB0D02">
            <w:pPr>
              <w:spacing w:before="60" w:after="60" w:line="240" w:lineRule="auto"/>
              <w:ind w:left="22" w:hanging="22"/>
              <w:rPr>
                <w:rFonts w:ascii="Arial" w:hAnsi="Arial" w:cs="Arial"/>
                <w:b/>
                <w:sz w:val="16"/>
                <w:szCs w:val="16"/>
              </w:rPr>
            </w:pPr>
            <w:r w:rsidRPr="00861157">
              <w:rPr>
                <w:rFonts w:ascii="Arial" w:eastAsia="Calibri" w:hAnsi="Arial" w:cs="Arial"/>
                <w:sz w:val="16"/>
                <w:szCs w:val="16"/>
              </w:rPr>
              <w:t>≥80 centres in each financial year</w:t>
            </w:r>
            <w:r w:rsidR="00861157">
              <w:rPr>
                <w:rFonts w:ascii="Arial" w:eastAsia="Calibri" w:hAnsi="Arial" w:cs="Arial"/>
                <w:sz w:val="16"/>
                <w:szCs w:val="16"/>
              </w:rPr>
              <w:t>.</w:t>
            </w:r>
          </w:p>
        </w:tc>
      </w:tr>
      <w:tr w:rsidR="00115843" w:rsidRPr="00861157" w14:paraId="6F0C36A4" w14:textId="77777777" w:rsidTr="00FB0D02">
        <w:trPr>
          <w:cantSplit/>
          <w:trHeight w:val="2578"/>
        </w:trPr>
        <w:tc>
          <w:tcPr>
            <w:tcW w:w="877" w:type="pct"/>
            <w:vMerge/>
            <w:tcBorders>
              <w:right w:val="single" w:sz="4" w:space="0" w:color="auto"/>
            </w:tcBorders>
          </w:tcPr>
          <w:p w14:paraId="2A1A3881" w14:textId="77777777" w:rsidR="00115843" w:rsidRPr="00861157" w:rsidRDefault="00115843" w:rsidP="00FB0D02">
            <w:pPr>
              <w:pStyle w:val="TableTextBase"/>
              <w:rPr>
                <w:rFonts w:cs="Arial"/>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4AF6892D"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Repatriation activities that support:</w:t>
            </w:r>
          </w:p>
          <w:p w14:paraId="6EF954CB" w14:textId="77777777" w:rsidR="00115843" w:rsidRPr="00861157" w:rsidRDefault="00115843" w:rsidP="00115843">
            <w:pPr>
              <w:numPr>
                <w:ilvl w:val="0"/>
                <w:numId w:val="246"/>
              </w:numPr>
              <w:spacing w:before="60" w:after="60" w:line="240" w:lineRule="auto"/>
              <w:ind w:left="386" w:hanging="386"/>
              <w:contextualSpacing/>
              <w:rPr>
                <w:rFonts w:ascii="Arial" w:eastAsia="Calibri" w:hAnsi="Arial" w:cs="Arial"/>
                <w:sz w:val="16"/>
                <w:szCs w:val="16"/>
              </w:rPr>
            </w:pPr>
            <w:r w:rsidRPr="00861157">
              <w:rPr>
                <w:rFonts w:ascii="Arial" w:eastAsia="Calibri" w:hAnsi="Arial" w:cs="Arial"/>
                <w:sz w:val="16"/>
                <w:szCs w:val="16"/>
              </w:rPr>
              <w:t>securing new international agreements and facilitation of the repatriation of Aboriginal and Torres Strait Islander ancestral remains (ancestors)</w:t>
            </w:r>
          </w:p>
          <w:p w14:paraId="6E36DA97" w14:textId="77777777" w:rsidR="00115843" w:rsidRPr="00861157" w:rsidRDefault="00115843" w:rsidP="00115843">
            <w:pPr>
              <w:numPr>
                <w:ilvl w:val="0"/>
                <w:numId w:val="246"/>
              </w:numPr>
              <w:spacing w:before="60" w:after="60" w:line="240" w:lineRule="auto"/>
              <w:ind w:left="386" w:hanging="386"/>
              <w:contextualSpacing/>
              <w:rPr>
                <w:rFonts w:ascii="Arial" w:eastAsia="Calibri" w:hAnsi="Arial" w:cs="Arial"/>
                <w:sz w:val="16"/>
                <w:szCs w:val="16"/>
              </w:rPr>
            </w:pPr>
            <w:r w:rsidRPr="00861157">
              <w:rPr>
                <w:rFonts w:ascii="Arial" w:hAnsi="Arial" w:cs="Arial"/>
                <w:sz w:val="16"/>
                <w:szCs w:val="16"/>
              </w:rPr>
              <w:t>funding agreements executed under the Indigenous Repatriation Program – Museum Grants and facilitation of the repatriation of ancestors and secret sacred objects</w:t>
            </w:r>
          </w:p>
        </w:tc>
        <w:tc>
          <w:tcPr>
            <w:tcW w:w="2298" w:type="pct"/>
            <w:tcBorders>
              <w:top w:val="single" w:sz="4" w:space="0" w:color="auto"/>
              <w:left w:val="single" w:sz="4" w:space="0" w:color="auto"/>
              <w:bottom w:val="single" w:sz="4" w:space="0" w:color="auto"/>
            </w:tcBorders>
          </w:tcPr>
          <w:p w14:paraId="496CD3F5" w14:textId="04397FC8" w:rsidR="00115843" w:rsidRPr="00861157" w:rsidRDefault="00115843" w:rsidP="00FB0D02">
            <w:pPr>
              <w:spacing w:before="60" w:after="60" w:line="240" w:lineRule="auto"/>
              <w:ind w:left="22" w:hanging="22"/>
              <w:rPr>
                <w:rFonts w:ascii="Arial" w:hAnsi="Arial" w:cs="Arial"/>
                <w:b/>
                <w:sz w:val="16"/>
                <w:szCs w:val="16"/>
              </w:rPr>
            </w:pPr>
            <w:r w:rsidRPr="00861157">
              <w:rPr>
                <w:rFonts w:ascii="Arial" w:eastAsia="Calibri" w:hAnsi="Arial" w:cs="Arial"/>
                <w:sz w:val="16"/>
                <w:szCs w:val="16"/>
              </w:rPr>
              <w:t>Activities are responsive to domestic and international negotiations</w:t>
            </w:r>
            <w:r w:rsidR="00861157">
              <w:rPr>
                <w:rFonts w:ascii="Arial" w:eastAsia="Calibri" w:hAnsi="Arial" w:cs="Arial"/>
                <w:sz w:val="16"/>
                <w:szCs w:val="16"/>
              </w:rPr>
              <w:t>.</w:t>
            </w:r>
          </w:p>
        </w:tc>
      </w:tr>
      <w:tr w:rsidR="00115843" w:rsidRPr="00861157" w14:paraId="70948879" w14:textId="77777777" w:rsidTr="00FB0D02">
        <w:trPr>
          <w:cantSplit/>
          <w:trHeight w:val="1823"/>
        </w:trPr>
        <w:tc>
          <w:tcPr>
            <w:tcW w:w="877" w:type="pct"/>
            <w:vMerge/>
            <w:tcBorders>
              <w:right w:val="single" w:sz="4" w:space="0" w:color="auto"/>
            </w:tcBorders>
          </w:tcPr>
          <w:p w14:paraId="42992D36" w14:textId="77777777" w:rsidR="00115843" w:rsidRPr="00861157" w:rsidRDefault="00115843" w:rsidP="00FB0D02">
            <w:pPr>
              <w:pStyle w:val="TableTextBase"/>
              <w:rPr>
                <w:rFonts w:cs="Arial"/>
                <w:b/>
                <w:sz w:val="16"/>
                <w:szCs w:val="16"/>
              </w:rPr>
            </w:pPr>
          </w:p>
        </w:tc>
        <w:tc>
          <w:tcPr>
            <w:tcW w:w="1825" w:type="pct"/>
            <w:tcBorders>
              <w:top w:val="single" w:sz="4" w:space="0" w:color="auto"/>
              <w:left w:val="single" w:sz="4" w:space="0" w:color="auto"/>
              <w:bottom w:val="single" w:sz="4" w:space="0" w:color="auto"/>
              <w:right w:val="single" w:sz="4" w:space="0" w:color="auto"/>
            </w:tcBorders>
          </w:tcPr>
          <w:p w14:paraId="09683F5F"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Impact of our arts and cultural activities to support regional access and participation, indicated through:</w:t>
            </w:r>
          </w:p>
          <w:p w14:paraId="7F53CF50" w14:textId="77777777" w:rsidR="00115843" w:rsidRPr="00861157" w:rsidRDefault="00115843" w:rsidP="00115843">
            <w:pPr>
              <w:numPr>
                <w:ilvl w:val="0"/>
                <w:numId w:val="248"/>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projected audience numbers/ participants involved with funded projects</w:t>
            </w:r>
          </w:p>
          <w:p w14:paraId="4D452BEB" w14:textId="77777777" w:rsidR="00115843" w:rsidRPr="00861157" w:rsidRDefault="00115843" w:rsidP="00115843">
            <w:pPr>
              <w:numPr>
                <w:ilvl w:val="0"/>
                <w:numId w:val="248"/>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number of regional/remote locations that hosted funded projects</w:t>
            </w:r>
          </w:p>
        </w:tc>
        <w:tc>
          <w:tcPr>
            <w:tcW w:w="2298" w:type="pct"/>
            <w:tcBorders>
              <w:top w:val="single" w:sz="4" w:space="0" w:color="auto"/>
              <w:left w:val="single" w:sz="4" w:space="0" w:color="auto"/>
              <w:bottom w:val="single" w:sz="4" w:space="0" w:color="auto"/>
            </w:tcBorders>
          </w:tcPr>
          <w:p w14:paraId="71B2B9F3" w14:textId="4F329B26" w:rsidR="00115843" w:rsidRPr="00861157" w:rsidRDefault="00115843" w:rsidP="00FB0D02">
            <w:pPr>
              <w:spacing w:before="60" w:after="60" w:line="240" w:lineRule="auto"/>
              <w:ind w:left="22" w:hanging="22"/>
              <w:rPr>
                <w:rFonts w:ascii="Arial" w:eastAsia="Calibri" w:hAnsi="Arial" w:cs="Arial"/>
                <w:sz w:val="16"/>
                <w:szCs w:val="16"/>
              </w:rPr>
            </w:pPr>
            <w:r w:rsidRPr="00861157">
              <w:rPr>
                <w:rFonts w:ascii="Arial" w:eastAsia="Calibri" w:hAnsi="Arial" w:cs="Arial"/>
                <w:sz w:val="16"/>
                <w:szCs w:val="16"/>
              </w:rPr>
              <w:t>2021–22 was the first year of data capture. It is not envisaged that the numbers will increase each year, given the variety of projects funded and that the programs are competitive grant programs</w:t>
            </w:r>
            <w:r w:rsidR="00861157">
              <w:rPr>
                <w:rFonts w:ascii="Arial" w:eastAsia="Calibri" w:hAnsi="Arial" w:cs="Arial"/>
                <w:sz w:val="16"/>
                <w:szCs w:val="16"/>
              </w:rPr>
              <w:t>.</w:t>
            </w:r>
          </w:p>
        </w:tc>
      </w:tr>
      <w:tr w:rsidR="00115843" w:rsidRPr="00861157" w14:paraId="378FF335" w14:textId="77777777" w:rsidTr="00FB0D02">
        <w:trPr>
          <w:cantSplit/>
          <w:trHeight w:val="2368"/>
        </w:trPr>
        <w:tc>
          <w:tcPr>
            <w:tcW w:w="877" w:type="pct"/>
            <w:vMerge/>
            <w:tcBorders>
              <w:bottom w:val="single" w:sz="4" w:space="0" w:color="auto"/>
              <w:right w:val="single" w:sz="4" w:space="0" w:color="auto"/>
            </w:tcBorders>
          </w:tcPr>
          <w:p w14:paraId="0D448B10" w14:textId="77777777" w:rsidR="00115843" w:rsidRPr="00861157" w:rsidRDefault="00115843" w:rsidP="00FB0D02">
            <w:pPr>
              <w:pStyle w:val="TableTextBase"/>
              <w:rPr>
                <w:rFonts w:cs="Arial"/>
                <w:sz w:val="16"/>
                <w:szCs w:val="16"/>
              </w:rPr>
            </w:pPr>
          </w:p>
        </w:tc>
        <w:tc>
          <w:tcPr>
            <w:tcW w:w="1825" w:type="pct"/>
            <w:tcBorders>
              <w:top w:val="single" w:sz="4" w:space="0" w:color="auto"/>
              <w:left w:val="single" w:sz="4" w:space="0" w:color="auto"/>
              <w:bottom w:val="single" w:sz="4" w:space="0" w:color="auto"/>
              <w:right w:val="single" w:sz="4" w:space="0" w:color="auto"/>
            </w:tcBorders>
          </w:tcPr>
          <w:p w14:paraId="19979718" w14:textId="77777777" w:rsidR="00115843" w:rsidRPr="00861157" w:rsidRDefault="00115843" w:rsidP="00FB0D02">
            <w:pPr>
              <w:pStyle w:val="TableTextBase"/>
              <w:rPr>
                <w:rFonts w:cs="Arial"/>
                <w:b/>
                <w:sz w:val="16"/>
                <w:szCs w:val="16"/>
              </w:rPr>
            </w:pPr>
            <w:r w:rsidRPr="00861157">
              <w:rPr>
                <w:rFonts w:eastAsia="Calibri" w:cs="Arial"/>
                <w:i/>
                <w:sz w:val="16"/>
                <w:szCs w:val="16"/>
                <w:lang w:eastAsia="en-US"/>
              </w:rPr>
              <w:t xml:space="preserve">Effectiveness of the current Australian content and classification frameworks </w:t>
            </w:r>
            <w:r w:rsidRPr="00861157">
              <w:rPr>
                <w:rFonts w:eastAsia="Calibri" w:cs="Arial"/>
                <w:sz w:val="16"/>
                <w:szCs w:val="16"/>
                <w:vertAlign w:val="superscript"/>
              </w:rPr>
              <w:t>(a)</w:t>
            </w:r>
            <w:r w:rsidRPr="00861157">
              <w:rPr>
                <w:rFonts w:eastAsia="Calibri" w:cs="Arial"/>
                <w:sz w:val="16"/>
                <w:szCs w:val="16"/>
                <w:vertAlign w:val="superscript"/>
                <w:lang w:eastAsia="en-US"/>
              </w:rPr>
              <w:t>(c)(d)</w:t>
            </w:r>
          </w:p>
        </w:tc>
        <w:tc>
          <w:tcPr>
            <w:tcW w:w="2298" w:type="pct"/>
            <w:tcBorders>
              <w:top w:val="single" w:sz="4" w:space="0" w:color="auto"/>
              <w:left w:val="single" w:sz="4" w:space="0" w:color="auto"/>
              <w:bottom w:val="single" w:sz="4" w:space="0" w:color="auto"/>
            </w:tcBorders>
          </w:tcPr>
          <w:p w14:paraId="678C229F"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Reporting in each financial year shows organisations are meeting or exceeding statutory obligations:</w:t>
            </w:r>
          </w:p>
          <w:p w14:paraId="061922BB" w14:textId="77777777" w:rsidR="00115843" w:rsidRPr="00861157" w:rsidRDefault="00115843" w:rsidP="00115843">
            <w:pPr>
              <w:numPr>
                <w:ilvl w:val="0"/>
                <w:numId w:val="250"/>
              </w:numPr>
              <w:spacing w:before="60" w:after="60" w:line="240" w:lineRule="auto"/>
              <w:ind w:left="465" w:right="-12"/>
              <w:contextualSpacing/>
              <w:rPr>
                <w:rFonts w:ascii="Arial" w:eastAsia="Calibri" w:hAnsi="Arial" w:cs="Arial"/>
                <w:sz w:val="16"/>
                <w:szCs w:val="16"/>
              </w:rPr>
            </w:pPr>
            <w:r w:rsidRPr="00861157">
              <w:rPr>
                <w:rFonts w:ascii="Arial" w:eastAsia="Calibri" w:hAnsi="Arial" w:cs="Arial"/>
                <w:sz w:val="16"/>
                <w:szCs w:val="16"/>
              </w:rPr>
              <w:t>Australian content quota compliance and the existence of public data on Australian content available on streaming video on demand services</w:t>
            </w:r>
          </w:p>
          <w:p w14:paraId="0D5601CE" w14:textId="4DB5236E" w:rsidR="00115843" w:rsidRPr="00861157" w:rsidRDefault="00115843" w:rsidP="00115843">
            <w:pPr>
              <w:numPr>
                <w:ilvl w:val="0"/>
                <w:numId w:val="250"/>
              </w:numPr>
              <w:spacing w:before="60" w:after="60" w:line="240" w:lineRule="auto"/>
              <w:ind w:left="465" w:right="-12"/>
              <w:contextualSpacing/>
              <w:rPr>
                <w:rFonts w:ascii="Arial" w:eastAsia="Calibri" w:hAnsi="Arial" w:cs="Arial"/>
                <w:sz w:val="16"/>
                <w:szCs w:val="16"/>
              </w:rPr>
            </w:pPr>
            <w:r w:rsidRPr="00861157">
              <w:rPr>
                <w:rFonts w:ascii="Arial" w:eastAsia="Calibri" w:hAnsi="Arial" w:cs="Arial"/>
                <w:sz w:val="16"/>
                <w:szCs w:val="16"/>
              </w:rPr>
              <w:t>100% of Classification decisions by the Classification Board and Classification Review Board made and published on the National Classification Database within statutory timeframes</w:t>
            </w:r>
            <w:r w:rsidR="00861157">
              <w:rPr>
                <w:rFonts w:ascii="Arial" w:eastAsia="Calibri" w:hAnsi="Arial" w:cs="Arial"/>
                <w:sz w:val="16"/>
                <w:szCs w:val="16"/>
              </w:rPr>
              <w:t>.</w:t>
            </w:r>
          </w:p>
        </w:tc>
      </w:tr>
    </w:tbl>
    <w:p w14:paraId="28721B03" w14:textId="77777777" w:rsidR="00115843" w:rsidRDefault="00115843" w:rsidP="00115843">
      <w:pPr>
        <w:spacing w:after="0" w:line="240" w:lineRule="auto"/>
        <w:rPr>
          <w:rFonts w:ascii="Arial" w:hAnsi="Arial" w:cs="Arial"/>
          <w:sz w:val="16"/>
        </w:rPr>
      </w:pPr>
    </w:p>
    <w:p w14:paraId="3C830500" w14:textId="77777777" w:rsidR="00115843" w:rsidRDefault="00115843" w:rsidP="00115843">
      <w:pPr>
        <w:spacing w:after="0" w:line="240" w:lineRule="auto"/>
        <w:rPr>
          <w:rFonts w:ascii="Arial" w:hAnsi="Arial" w:cs="Arial"/>
          <w:sz w:val="16"/>
        </w:rPr>
      </w:pPr>
      <w:r>
        <w:rPr>
          <w:rFonts w:ascii="Arial" w:hAnsi="Arial" w:cs="Arial"/>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861157" w14:paraId="20196F18" w14:textId="77777777" w:rsidTr="00FB0D02">
        <w:trPr>
          <w:cantSplit/>
          <w:trHeight w:val="306"/>
        </w:trPr>
        <w:tc>
          <w:tcPr>
            <w:tcW w:w="873" w:type="pct"/>
            <w:tcBorders>
              <w:top w:val="double" w:sz="4" w:space="0" w:color="auto"/>
              <w:bottom w:val="single" w:sz="4" w:space="0" w:color="auto"/>
              <w:right w:val="single" w:sz="4" w:space="0" w:color="auto"/>
            </w:tcBorders>
            <w:vAlign w:val="center"/>
          </w:tcPr>
          <w:p w14:paraId="0963B2B6" w14:textId="77777777" w:rsidR="00115843" w:rsidRPr="00861157" w:rsidRDefault="00115843" w:rsidP="00FB0D02">
            <w:pPr>
              <w:pStyle w:val="TableTextBase"/>
              <w:rPr>
                <w:sz w:val="16"/>
                <w:szCs w:val="16"/>
              </w:rPr>
            </w:pPr>
            <w:r w:rsidRPr="00861157">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vAlign w:val="center"/>
          </w:tcPr>
          <w:p w14:paraId="50CB9E33"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hAnsi="Arial"/>
                <w:b/>
                <w:sz w:val="16"/>
                <w:szCs w:val="16"/>
              </w:rPr>
              <w:t>Performance measures</w:t>
            </w:r>
          </w:p>
        </w:tc>
        <w:tc>
          <w:tcPr>
            <w:tcW w:w="2381" w:type="pct"/>
            <w:tcBorders>
              <w:top w:val="double" w:sz="4" w:space="0" w:color="auto"/>
              <w:left w:val="single" w:sz="4" w:space="0" w:color="auto"/>
              <w:bottom w:val="single" w:sz="4" w:space="0" w:color="auto"/>
            </w:tcBorders>
            <w:vAlign w:val="center"/>
          </w:tcPr>
          <w:p w14:paraId="2E80D934" w14:textId="77777777" w:rsidR="00115843" w:rsidRPr="00861157" w:rsidRDefault="00115843" w:rsidP="00FB0D02">
            <w:pPr>
              <w:spacing w:before="60" w:after="60" w:line="240" w:lineRule="auto"/>
              <w:ind w:right="-12"/>
              <w:rPr>
                <w:rFonts w:ascii="Arial" w:eastAsia="Calibri" w:hAnsi="Arial" w:cs="Arial"/>
                <w:sz w:val="16"/>
                <w:szCs w:val="16"/>
                <w:highlight w:val="yellow"/>
              </w:rPr>
            </w:pPr>
            <w:r w:rsidRPr="00861157">
              <w:rPr>
                <w:rFonts w:ascii="Arial" w:hAnsi="Arial"/>
                <w:b/>
                <w:sz w:val="16"/>
                <w:szCs w:val="16"/>
              </w:rPr>
              <w:t>Planned Performance Results</w:t>
            </w:r>
          </w:p>
        </w:tc>
      </w:tr>
      <w:tr w:rsidR="00115843" w:rsidRPr="00861157" w14:paraId="04C376F9" w14:textId="77777777" w:rsidTr="00FB0D02">
        <w:trPr>
          <w:cantSplit/>
          <w:trHeight w:val="306"/>
        </w:trPr>
        <w:tc>
          <w:tcPr>
            <w:tcW w:w="873" w:type="pct"/>
            <w:vMerge w:val="restart"/>
            <w:tcBorders>
              <w:top w:val="single" w:sz="4" w:space="0" w:color="auto"/>
              <w:right w:val="single" w:sz="4" w:space="0" w:color="auto"/>
            </w:tcBorders>
          </w:tcPr>
          <w:p w14:paraId="0AC79EF9"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Forward</w:t>
            </w:r>
            <w:r w:rsidRPr="00861157">
              <w:rPr>
                <w:rFonts w:ascii="Arial" w:eastAsia="Calibri" w:hAnsi="Arial" w:cs="Arial"/>
                <w:sz w:val="16"/>
                <w:szCs w:val="16"/>
              </w:rPr>
              <w:br/>
              <w:t>Estimates</w:t>
            </w:r>
            <w:r w:rsidRPr="00861157">
              <w:rPr>
                <w:rFonts w:ascii="Arial" w:eastAsia="Calibri" w:hAnsi="Arial" w:cs="Arial"/>
                <w:sz w:val="16"/>
                <w:szCs w:val="16"/>
              </w:rPr>
              <w:br/>
              <w:t>2023–26</w:t>
            </w:r>
          </w:p>
        </w:tc>
        <w:tc>
          <w:tcPr>
            <w:tcW w:w="1746" w:type="pct"/>
            <w:tcBorders>
              <w:top w:val="single" w:sz="4" w:space="0" w:color="auto"/>
              <w:left w:val="single" w:sz="4" w:space="0" w:color="auto"/>
              <w:bottom w:val="single" w:sz="4" w:space="0" w:color="auto"/>
              <w:right w:val="single" w:sz="4" w:space="0" w:color="auto"/>
            </w:tcBorders>
          </w:tcPr>
          <w:p w14:paraId="272A733A" w14:textId="77777777" w:rsidR="00115843" w:rsidRPr="00861157" w:rsidRDefault="00115843" w:rsidP="00FB0D02">
            <w:pPr>
              <w:pStyle w:val="TableTextBase"/>
              <w:rPr>
                <w:rFonts w:eastAsia="Calibri" w:cs="Arial"/>
                <w:i/>
                <w:sz w:val="16"/>
                <w:szCs w:val="16"/>
                <w:lang w:eastAsia="en-US"/>
              </w:rPr>
            </w:pPr>
            <w:r w:rsidRPr="00861157">
              <w:rPr>
                <w:rFonts w:eastAsia="Calibri" w:cs="Arial"/>
                <w:i/>
                <w:sz w:val="16"/>
                <w:szCs w:val="16"/>
              </w:rPr>
              <w:t>Progress against the National Arts and Disability Associated Plan</w:t>
            </w:r>
          </w:p>
        </w:tc>
        <w:tc>
          <w:tcPr>
            <w:tcW w:w="2381" w:type="pct"/>
            <w:tcBorders>
              <w:top w:val="single" w:sz="4" w:space="0" w:color="auto"/>
              <w:left w:val="single" w:sz="4" w:space="0" w:color="auto"/>
              <w:bottom w:val="single" w:sz="4" w:space="0" w:color="auto"/>
            </w:tcBorders>
          </w:tcPr>
          <w:p w14:paraId="22933776" w14:textId="4E830F66"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National Arts and Disability Associated Plan is implemented, including maintaining the arts and disability resource hub</w:t>
            </w:r>
            <w:r w:rsidR="00861157">
              <w:rPr>
                <w:rFonts w:ascii="Arial" w:eastAsia="Calibri" w:hAnsi="Arial" w:cs="Arial"/>
                <w:sz w:val="16"/>
                <w:szCs w:val="16"/>
              </w:rPr>
              <w:t>.</w:t>
            </w:r>
          </w:p>
        </w:tc>
      </w:tr>
      <w:tr w:rsidR="00115843" w:rsidRPr="00861157" w14:paraId="1041A3E4" w14:textId="77777777" w:rsidTr="00FB0D02">
        <w:trPr>
          <w:cantSplit/>
          <w:trHeight w:val="306"/>
        </w:trPr>
        <w:tc>
          <w:tcPr>
            <w:tcW w:w="873" w:type="pct"/>
            <w:vMerge/>
            <w:tcBorders>
              <w:right w:val="single" w:sz="4" w:space="0" w:color="auto"/>
            </w:tcBorders>
            <w:vAlign w:val="center"/>
          </w:tcPr>
          <w:p w14:paraId="59B7DE69" w14:textId="77777777" w:rsidR="00115843" w:rsidRPr="00861157" w:rsidRDefault="00115843" w:rsidP="00FB0D02">
            <w:pPr>
              <w:spacing w:before="60" w:after="60" w:line="240" w:lineRule="auto"/>
              <w:rPr>
                <w:rFonts w:ascii="Arial" w:eastAsia="Calibri" w:hAnsi="Arial" w:cs="Arial"/>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7DDC4592" w14:textId="77777777" w:rsidR="00115843" w:rsidRPr="00861157" w:rsidRDefault="00115843" w:rsidP="00FB0D02">
            <w:pPr>
              <w:pStyle w:val="TableTextBase"/>
              <w:rPr>
                <w:rFonts w:eastAsia="Calibri" w:cs="Arial"/>
                <w:i/>
                <w:sz w:val="16"/>
                <w:szCs w:val="16"/>
                <w:lang w:eastAsia="en-US"/>
              </w:rPr>
            </w:pPr>
            <w:r w:rsidRPr="00861157">
              <w:rPr>
                <w:rFonts w:eastAsia="Calibri" w:cs="Arial"/>
                <w:sz w:val="16"/>
                <w:szCs w:val="16"/>
                <w:lang w:eastAsia="en-US"/>
              </w:rPr>
              <w:t>Number of students enrolled in courses at national performing arts training organisations</w:t>
            </w:r>
          </w:p>
        </w:tc>
        <w:tc>
          <w:tcPr>
            <w:tcW w:w="2381" w:type="pct"/>
            <w:tcBorders>
              <w:top w:val="single" w:sz="4" w:space="0" w:color="auto"/>
              <w:left w:val="single" w:sz="4" w:space="0" w:color="auto"/>
              <w:bottom w:val="single" w:sz="4" w:space="0" w:color="auto"/>
            </w:tcBorders>
          </w:tcPr>
          <w:p w14:paraId="0665F3AB" w14:textId="138B524F"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≥800 students in each calendar year</w:t>
            </w:r>
            <w:r w:rsidR="00861157">
              <w:rPr>
                <w:rFonts w:ascii="Arial" w:eastAsia="Calibri" w:hAnsi="Arial" w:cs="Arial"/>
                <w:sz w:val="16"/>
                <w:szCs w:val="16"/>
              </w:rPr>
              <w:t>.</w:t>
            </w:r>
          </w:p>
        </w:tc>
      </w:tr>
      <w:tr w:rsidR="00115843" w:rsidRPr="00861157" w14:paraId="789F665C" w14:textId="77777777" w:rsidTr="00FB0D02">
        <w:trPr>
          <w:cantSplit/>
          <w:trHeight w:val="306"/>
        </w:trPr>
        <w:tc>
          <w:tcPr>
            <w:tcW w:w="873" w:type="pct"/>
            <w:vMerge/>
            <w:tcBorders>
              <w:right w:val="single" w:sz="4" w:space="0" w:color="auto"/>
            </w:tcBorders>
            <w:vAlign w:val="center"/>
          </w:tcPr>
          <w:p w14:paraId="41392138" w14:textId="77777777" w:rsidR="00115843" w:rsidRPr="00861157" w:rsidRDefault="00115843" w:rsidP="00FB0D02">
            <w:pPr>
              <w:spacing w:before="60" w:after="60" w:line="240" w:lineRule="auto"/>
              <w:rPr>
                <w:rFonts w:ascii="Arial" w:eastAsia="Calibri" w:hAnsi="Arial" w:cs="Arial"/>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7BC2E72" w14:textId="77777777" w:rsidR="00115843" w:rsidRPr="00861157" w:rsidRDefault="00115843" w:rsidP="00FB0D02">
            <w:pPr>
              <w:pStyle w:val="TableTextBase"/>
              <w:rPr>
                <w:rFonts w:eastAsia="Calibri" w:cs="Arial"/>
                <w:sz w:val="16"/>
                <w:szCs w:val="16"/>
                <w:lang w:eastAsia="en-US"/>
              </w:rPr>
            </w:pPr>
            <w:r w:rsidRPr="00861157">
              <w:rPr>
                <w:rFonts w:eastAsia="Calibri" w:cs="Arial"/>
                <w:sz w:val="16"/>
                <w:szCs w:val="16"/>
                <w:lang w:eastAsia="en-US"/>
              </w:rPr>
              <w:t>Number of payments made to claimants (including authors, illustrators and publishers) through lending rights</w:t>
            </w:r>
          </w:p>
        </w:tc>
        <w:tc>
          <w:tcPr>
            <w:tcW w:w="2381" w:type="pct"/>
            <w:tcBorders>
              <w:top w:val="single" w:sz="4" w:space="0" w:color="auto"/>
              <w:left w:val="single" w:sz="4" w:space="0" w:color="auto"/>
              <w:bottom w:val="single" w:sz="4" w:space="0" w:color="auto"/>
            </w:tcBorders>
          </w:tcPr>
          <w:p w14:paraId="194EA1BC" w14:textId="2132C4E1"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≥16,000 payments to claimants in each financial year</w:t>
            </w:r>
            <w:r w:rsidR="00861157">
              <w:rPr>
                <w:rFonts w:ascii="Arial" w:eastAsia="Calibri" w:hAnsi="Arial" w:cs="Arial"/>
                <w:sz w:val="16"/>
                <w:szCs w:val="16"/>
              </w:rPr>
              <w:t>.</w:t>
            </w:r>
          </w:p>
        </w:tc>
      </w:tr>
      <w:tr w:rsidR="00115843" w:rsidRPr="00861157" w14:paraId="717B3982" w14:textId="77777777" w:rsidTr="00FB0D02">
        <w:trPr>
          <w:cantSplit/>
          <w:trHeight w:val="306"/>
        </w:trPr>
        <w:tc>
          <w:tcPr>
            <w:tcW w:w="873" w:type="pct"/>
            <w:vMerge/>
            <w:tcBorders>
              <w:right w:val="single" w:sz="4" w:space="0" w:color="auto"/>
            </w:tcBorders>
            <w:vAlign w:val="center"/>
          </w:tcPr>
          <w:p w14:paraId="1626D90D" w14:textId="77777777" w:rsidR="00115843" w:rsidRPr="00861157" w:rsidRDefault="00115843" w:rsidP="00FB0D02">
            <w:pPr>
              <w:spacing w:before="60" w:after="60" w:line="240" w:lineRule="auto"/>
              <w:rPr>
                <w:rFonts w:ascii="Arial" w:eastAsia="Calibri" w:hAnsi="Arial" w:cs="Arial"/>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B61847D" w14:textId="77777777" w:rsidR="00115843" w:rsidRPr="00861157" w:rsidRDefault="00115843" w:rsidP="00FB0D02">
            <w:pPr>
              <w:pStyle w:val="TableTextBase"/>
              <w:rPr>
                <w:rFonts w:eastAsia="Calibri" w:cs="Arial"/>
                <w:sz w:val="16"/>
                <w:szCs w:val="16"/>
              </w:rPr>
            </w:pPr>
            <w:r w:rsidRPr="00861157">
              <w:rPr>
                <w:rFonts w:eastAsia="Calibri" w:cs="Arial"/>
                <w:sz w:val="16"/>
                <w:szCs w:val="16"/>
              </w:rPr>
              <w:t>Number of art centres and art fairs funded through the Indigenous Visual Arts Industry Support (IVAIS) program</w:t>
            </w:r>
          </w:p>
        </w:tc>
        <w:tc>
          <w:tcPr>
            <w:tcW w:w="2381" w:type="pct"/>
            <w:tcBorders>
              <w:top w:val="single" w:sz="4" w:space="0" w:color="auto"/>
              <w:left w:val="single" w:sz="4" w:space="0" w:color="auto"/>
              <w:bottom w:val="single" w:sz="4" w:space="0" w:color="auto"/>
            </w:tcBorders>
          </w:tcPr>
          <w:p w14:paraId="1724952A" w14:textId="097F893C"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≥80 centres in each financial year</w:t>
            </w:r>
            <w:r w:rsidR="00861157">
              <w:rPr>
                <w:rFonts w:ascii="Arial" w:eastAsia="Calibri" w:hAnsi="Arial" w:cs="Arial"/>
                <w:sz w:val="16"/>
                <w:szCs w:val="16"/>
              </w:rPr>
              <w:t>.</w:t>
            </w:r>
          </w:p>
        </w:tc>
      </w:tr>
      <w:tr w:rsidR="00115843" w:rsidRPr="00861157" w14:paraId="0FB1AF44" w14:textId="77777777" w:rsidTr="00FB0D02">
        <w:trPr>
          <w:cantSplit/>
          <w:trHeight w:val="306"/>
        </w:trPr>
        <w:tc>
          <w:tcPr>
            <w:tcW w:w="873" w:type="pct"/>
            <w:vMerge/>
            <w:tcBorders>
              <w:right w:val="single" w:sz="4" w:space="0" w:color="auto"/>
            </w:tcBorders>
            <w:vAlign w:val="center"/>
          </w:tcPr>
          <w:p w14:paraId="1F5A147C" w14:textId="77777777" w:rsidR="00115843" w:rsidRPr="00861157" w:rsidRDefault="00115843" w:rsidP="00FB0D02">
            <w:pPr>
              <w:spacing w:before="60" w:after="60" w:line="240" w:lineRule="auto"/>
              <w:rPr>
                <w:rFonts w:ascii="Arial" w:eastAsia="Calibri" w:hAnsi="Arial" w:cs="Arial"/>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5DD08E05" w14:textId="77777777" w:rsidR="00115843" w:rsidRPr="00861157" w:rsidRDefault="00115843" w:rsidP="00FB0D02">
            <w:pPr>
              <w:pStyle w:val="TableTextBase"/>
              <w:rPr>
                <w:rFonts w:eastAsia="Calibri" w:cs="Arial"/>
                <w:i/>
                <w:sz w:val="16"/>
                <w:szCs w:val="16"/>
                <w:vertAlign w:val="superscript"/>
                <w:lang w:eastAsia="en-US"/>
              </w:rPr>
            </w:pPr>
            <w:r w:rsidRPr="00861157">
              <w:rPr>
                <w:rFonts w:eastAsia="Calibri" w:cs="Arial"/>
                <w:i/>
                <w:iCs/>
                <w:sz w:val="16"/>
                <w:szCs w:val="16"/>
                <w:lang w:eastAsia="en-US"/>
              </w:rPr>
              <w:t xml:space="preserve">Impact of our activities to support Indigenous visual arts, languages and culture indicated through the number of Indigenous language centres and Indigenous art centres funded, the number of arts workers employed and artists active with funded art centres </w:t>
            </w:r>
            <w:r w:rsidRPr="00861157">
              <w:rPr>
                <w:rFonts w:eastAsia="Calibri" w:cs="Arial"/>
                <w:sz w:val="16"/>
                <w:szCs w:val="16"/>
                <w:vertAlign w:val="superscript"/>
                <w:lang w:eastAsia="en-US"/>
              </w:rPr>
              <w:t>(c)</w:t>
            </w:r>
          </w:p>
        </w:tc>
        <w:tc>
          <w:tcPr>
            <w:tcW w:w="2381" w:type="pct"/>
            <w:tcBorders>
              <w:top w:val="single" w:sz="4" w:space="0" w:color="auto"/>
              <w:left w:val="single" w:sz="4" w:space="0" w:color="auto"/>
              <w:bottom w:val="single" w:sz="4" w:space="0" w:color="auto"/>
            </w:tcBorders>
          </w:tcPr>
          <w:p w14:paraId="24E53FC4"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Reporting in each financial year shows:</w:t>
            </w:r>
          </w:p>
          <w:p w14:paraId="09CC15E7" w14:textId="77777777" w:rsidR="00115843" w:rsidRPr="00861157" w:rsidRDefault="00115843" w:rsidP="00115843">
            <w:pPr>
              <w:numPr>
                <w:ilvl w:val="0"/>
                <w:numId w:val="252"/>
              </w:numPr>
              <w:spacing w:before="60" w:after="60" w:line="240" w:lineRule="auto"/>
              <w:ind w:right="-12"/>
              <w:contextualSpacing/>
              <w:rPr>
                <w:rFonts w:ascii="Arial" w:eastAsia="Calibri" w:hAnsi="Arial" w:cs="Arial"/>
                <w:sz w:val="16"/>
                <w:szCs w:val="16"/>
              </w:rPr>
            </w:pPr>
            <w:r w:rsidRPr="00861157">
              <w:rPr>
                <w:rFonts w:ascii="Arial" w:eastAsia="Calibri" w:hAnsi="Arial" w:cs="Arial"/>
                <w:sz w:val="16"/>
                <w:szCs w:val="16"/>
              </w:rPr>
              <w:t>≥20 language centres in the financial year funded</w:t>
            </w:r>
          </w:p>
          <w:p w14:paraId="7570EE45" w14:textId="77777777" w:rsidR="00115843" w:rsidRPr="00861157" w:rsidRDefault="00115843" w:rsidP="00115843">
            <w:pPr>
              <w:numPr>
                <w:ilvl w:val="0"/>
                <w:numId w:val="252"/>
              </w:numPr>
              <w:spacing w:before="60" w:after="60" w:line="240" w:lineRule="auto"/>
              <w:ind w:right="-12"/>
              <w:contextualSpacing/>
              <w:rPr>
                <w:rFonts w:ascii="Arial" w:eastAsia="Calibri" w:hAnsi="Arial" w:cs="Arial"/>
                <w:sz w:val="16"/>
                <w:szCs w:val="16"/>
              </w:rPr>
            </w:pPr>
            <w:r w:rsidRPr="00861157">
              <w:rPr>
                <w:rFonts w:ascii="Arial" w:eastAsia="Calibri" w:hAnsi="Arial" w:cs="Arial"/>
                <w:sz w:val="16"/>
                <w:szCs w:val="16"/>
              </w:rPr>
              <w:t xml:space="preserve">≥450 Indigenous art centre workers employed; and </w:t>
            </w:r>
          </w:p>
          <w:p w14:paraId="0871C57B" w14:textId="21F44ABC" w:rsidR="00115843" w:rsidRPr="00861157" w:rsidRDefault="00115843" w:rsidP="00115843">
            <w:pPr>
              <w:numPr>
                <w:ilvl w:val="0"/>
                <w:numId w:val="252"/>
              </w:numPr>
              <w:spacing w:before="60" w:after="60" w:line="240" w:lineRule="auto"/>
              <w:ind w:right="-12"/>
              <w:contextualSpacing/>
              <w:rPr>
                <w:rFonts w:ascii="Arial" w:eastAsia="Calibri" w:hAnsi="Arial" w:cs="Arial"/>
                <w:sz w:val="16"/>
                <w:szCs w:val="16"/>
              </w:rPr>
            </w:pPr>
            <w:r w:rsidRPr="00861157">
              <w:rPr>
                <w:rFonts w:ascii="Arial" w:eastAsia="Calibri" w:hAnsi="Arial" w:cs="Arial"/>
                <w:sz w:val="16"/>
                <w:szCs w:val="16"/>
              </w:rPr>
              <w:t>≥8000 artists engaged</w:t>
            </w:r>
            <w:r w:rsidR="00861157">
              <w:rPr>
                <w:rFonts w:ascii="Arial" w:eastAsia="Calibri" w:hAnsi="Arial" w:cs="Arial"/>
                <w:sz w:val="16"/>
                <w:szCs w:val="16"/>
              </w:rPr>
              <w:t>.</w:t>
            </w:r>
          </w:p>
        </w:tc>
      </w:tr>
      <w:tr w:rsidR="00115843" w:rsidRPr="00861157" w14:paraId="55D4CF37" w14:textId="77777777" w:rsidTr="00FB0D02">
        <w:trPr>
          <w:cantSplit/>
          <w:trHeight w:val="2577"/>
        </w:trPr>
        <w:tc>
          <w:tcPr>
            <w:tcW w:w="873" w:type="pct"/>
            <w:vMerge/>
            <w:tcBorders>
              <w:right w:val="single" w:sz="4" w:space="0" w:color="auto"/>
            </w:tcBorders>
            <w:vAlign w:val="center"/>
          </w:tcPr>
          <w:p w14:paraId="2E9D844B" w14:textId="77777777" w:rsidR="00115843" w:rsidRPr="00861157" w:rsidRDefault="00115843" w:rsidP="00FB0D02">
            <w:pPr>
              <w:spacing w:before="60" w:after="60" w:line="240" w:lineRule="auto"/>
              <w:rPr>
                <w:rFonts w:ascii="Arial" w:eastAsia="Calibri" w:hAnsi="Arial" w:cs="Arial"/>
                <w:b/>
                <w:sz w:val="16"/>
                <w:szCs w:val="16"/>
              </w:rPr>
            </w:pPr>
          </w:p>
        </w:tc>
        <w:tc>
          <w:tcPr>
            <w:tcW w:w="1746" w:type="pct"/>
            <w:tcBorders>
              <w:top w:val="single" w:sz="4" w:space="0" w:color="auto"/>
              <w:left w:val="single" w:sz="4" w:space="0" w:color="auto"/>
              <w:bottom w:val="single" w:sz="4" w:space="0" w:color="auto"/>
              <w:right w:val="single" w:sz="4" w:space="0" w:color="auto"/>
            </w:tcBorders>
          </w:tcPr>
          <w:p w14:paraId="6BE8FAC0"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Repatriation activities that support:</w:t>
            </w:r>
          </w:p>
          <w:p w14:paraId="63E878DB" w14:textId="77777777" w:rsidR="00115843" w:rsidRPr="00861157" w:rsidRDefault="00115843" w:rsidP="00115843">
            <w:pPr>
              <w:numPr>
                <w:ilvl w:val="0"/>
                <w:numId w:val="251"/>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securing new international agreements and facilitation of the repatriation of Aboriginal and Torres Strait Islander ancestral remains (ancestors)</w:t>
            </w:r>
          </w:p>
          <w:p w14:paraId="687152FB" w14:textId="77777777" w:rsidR="00115843" w:rsidRPr="00861157" w:rsidRDefault="00115843" w:rsidP="00115843">
            <w:pPr>
              <w:numPr>
                <w:ilvl w:val="0"/>
                <w:numId w:val="251"/>
              </w:numPr>
              <w:spacing w:after="60" w:line="240" w:lineRule="auto"/>
              <w:contextualSpacing/>
              <w:rPr>
                <w:rFonts w:ascii="Arial" w:eastAsia="Calibri" w:hAnsi="Arial" w:cs="Arial"/>
                <w:sz w:val="16"/>
                <w:szCs w:val="16"/>
              </w:rPr>
            </w:pPr>
            <w:r w:rsidRPr="00861157">
              <w:rPr>
                <w:rFonts w:ascii="Arial" w:eastAsia="Calibri" w:hAnsi="Arial" w:cs="Arial"/>
                <w:sz w:val="16"/>
                <w:szCs w:val="16"/>
              </w:rPr>
              <w:t>funding agreements executed under the Indigenous Repatriation Program – Museum Grants and facilitation of the repatriation of ancestors and secret sacred objects</w:t>
            </w:r>
          </w:p>
        </w:tc>
        <w:tc>
          <w:tcPr>
            <w:tcW w:w="2381" w:type="pct"/>
            <w:tcBorders>
              <w:top w:val="single" w:sz="4" w:space="0" w:color="auto"/>
              <w:left w:val="single" w:sz="4" w:space="0" w:color="auto"/>
              <w:bottom w:val="single" w:sz="4" w:space="0" w:color="auto"/>
            </w:tcBorders>
          </w:tcPr>
          <w:p w14:paraId="5E8956D3" w14:textId="61186C26"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Activities are responsive to domestic and international negotiations</w:t>
            </w:r>
            <w:r w:rsidR="00861157">
              <w:rPr>
                <w:rFonts w:ascii="Arial" w:eastAsia="Calibri" w:hAnsi="Arial" w:cs="Arial"/>
                <w:sz w:val="16"/>
                <w:szCs w:val="16"/>
              </w:rPr>
              <w:t>.</w:t>
            </w:r>
          </w:p>
        </w:tc>
      </w:tr>
    </w:tbl>
    <w:p w14:paraId="601E66C4" w14:textId="77777777" w:rsidR="00115843" w:rsidRDefault="00115843" w:rsidP="0011584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115843" w:rsidRPr="00861157" w14:paraId="64C3AEC7" w14:textId="77777777" w:rsidTr="00FB0D02">
        <w:trPr>
          <w:cantSplit/>
          <w:trHeight w:val="306"/>
        </w:trPr>
        <w:tc>
          <w:tcPr>
            <w:tcW w:w="873" w:type="pct"/>
            <w:tcBorders>
              <w:top w:val="double" w:sz="4" w:space="0" w:color="auto"/>
              <w:bottom w:val="single" w:sz="4" w:space="0" w:color="auto"/>
              <w:right w:val="single" w:sz="4" w:space="0" w:color="auto"/>
            </w:tcBorders>
            <w:vAlign w:val="center"/>
          </w:tcPr>
          <w:p w14:paraId="09595BBA" w14:textId="77777777" w:rsidR="00115843" w:rsidRPr="00861157" w:rsidRDefault="00115843" w:rsidP="00FB0D02">
            <w:pPr>
              <w:pStyle w:val="TableTextBase"/>
              <w:rPr>
                <w:sz w:val="16"/>
                <w:szCs w:val="16"/>
              </w:rPr>
            </w:pPr>
            <w:r w:rsidRPr="00861157">
              <w:rPr>
                <w:b/>
                <w:sz w:val="16"/>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vAlign w:val="center"/>
          </w:tcPr>
          <w:p w14:paraId="44209EF9"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hAnsi="Arial"/>
                <w:b/>
                <w:sz w:val="16"/>
                <w:szCs w:val="16"/>
              </w:rPr>
              <w:t>Performance measures</w:t>
            </w:r>
          </w:p>
        </w:tc>
        <w:tc>
          <w:tcPr>
            <w:tcW w:w="2381" w:type="pct"/>
            <w:tcBorders>
              <w:top w:val="double" w:sz="4" w:space="0" w:color="auto"/>
              <w:left w:val="single" w:sz="4" w:space="0" w:color="auto"/>
              <w:bottom w:val="single" w:sz="4" w:space="0" w:color="auto"/>
            </w:tcBorders>
            <w:vAlign w:val="center"/>
          </w:tcPr>
          <w:p w14:paraId="327F9D56" w14:textId="77777777" w:rsidR="00115843" w:rsidRPr="00861157" w:rsidRDefault="00115843" w:rsidP="00FB0D02">
            <w:pPr>
              <w:spacing w:before="60" w:after="60" w:line="240" w:lineRule="auto"/>
              <w:ind w:right="-12"/>
              <w:rPr>
                <w:rFonts w:ascii="Arial" w:eastAsia="Calibri" w:hAnsi="Arial" w:cs="Arial"/>
                <w:sz w:val="16"/>
                <w:szCs w:val="16"/>
                <w:highlight w:val="yellow"/>
              </w:rPr>
            </w:pPr>
            <w:r w:rsidRPr="00861157">
              <w:rPr>
                <w:rFonts w:ascii="Arial" w:hAnsi="Arial"/>
                <w:b/>
                <w:sz w:val="16"/>
                <w:szCs w:val="16"/>
              </w:rPr>
              <w:t>Planned Performance Results</w:t>
            </w:r>
          </w:p>
        </w:tc>
      </w:tr>
      <w:tr w:rsidR="00115843" w:rsidRPr="00861157" w14:paraId="32960043" w14:textId="77777777" w:rsidTr="00FB0D02">
        <w:trPr>
          <w:cantSplit/>
          <w:trHeight w:val="1836"/>
        </w:trPr>
        <w:tc>
          <w:tcPr>
            <w:tcW w:w="873" w:type="pct"/>
            <w:vMerge w:val="restart"/>
            <w:tcBorders>
              <w:right w:val="single" w:sz="4" w:space="0" w:color="auto"/>
            </w:tcBorders>
          </w:tcPr>
          <w:p w14:paraId="4214ED85" w14:textId="77777777" w:rsidR="00115843" w:rsidRPr="00861157" w:rsidRDefault="00115843" w:rsidP="00FB0D02">
            <w:pPr>
              <w:pStyle w:val="TableTextBase"/>
              <w:rPr>
                <w:sz w:val="16"/>
                <w:szCs w:val="16"/>
              </w:rPr>
            </w:pPr>
            <w:r w:rsidRPr="00861157">
              <w:rPr>
                <w:rFonts w:eastAsia="Calibri" w:cs="Arial"/>
                <w:sz w:val="16"/>
                <w:szCs w:val="16"/>
              </w:rPr>
              <w:t>Forward Estimates</w:t>
            </w:r>
            <w:r w:rsidRPr="00861157">
              <w:rPr>
                <w:rFonts w:eastAsia="Calibri" w:cs="Arial"/>
                <w:sz w:val="16"/>
                <w:szCs w:val="16"/>
              </w:rPr>
              <w:br/>
              <w:t>2023–26 cont.</w:t>
            </w:r>
          </w:p>
        </w:tc>
        <w:tc>
          <w:tcPr>
            <w:tcW w:w="1746" w:type="pct"/>
            <w:tcBorders>
              <w:top w:val="single" w:sz="4" w:space="0" w:color="auto"/>
              <w:left w:val="single" w:sz="4" w:space="0" w:color="auto"/>
              <w:bottom w:val="single" w:sz="4" w:space="0" w:color="auto"/>
              <w:right w:val="single" w:sz="4" w:space="0" w:color="auto"/>
            </w:tcBorders>
          </w:tcPr>
          <w:p w14:paraId="37E8F05E" w14:textId="77777777" w:rsidR="00115843" w:rsidRPr="00861157" w:rsidRDefault="00115843" w:rsidP="00FB0D02">
            <w:pPr>
              <w:spacing w:before="60" w:after="60" w:line="240" w:lineRule="auto"/>
              <w:rPr>
                <w:rFonts w:ascii="Arial" w:eastAsia="Calibri" w:hAnsi="Arial" w:cs="Arial"/>
                <w:sz w:val="16"/>
                <w:szCs w:val="16"/>
              </w:rPr>
            </w:pPr>
            <w:r w:rsidRPr="00861157">
              <w:rPr>
                <w:rFonts w:ascii="Arial" w:eastAsia="Calibri" w:hAnsi="Arial" w:cs="Arial"/>
                <w:sz w:val="16"/>
                <w:szCs w:val="16"/>
              </w:rPr>
              <w:t>Impact of our arts and cultural activities to support regional access and participation, indicated through:</w:t>
            </w:r>
          </w:p>
          <w:p w14:paraId="7E5A12F2" w14:textId="77777777" w:rsidR="00115843" w:rsidRPr="00861157" w:rsidRDefault="00115843" w:rsidP="00115843">
            <w:pPr>
              <w:numPr>
                <w:ilvl w:val="0"/>
                <w:numId w:val="253"/>
              </w:numPr>
              <w:spacing w:before="60" w:after="60" w:line="240" w:lineRule="auto"/>
              <w:contextualSpacing/>
              <w:rPr>
                <w:rFonts w:ascii="Arial" w:eastAsia="Calibri" w:hAnsi="Arial" w:cs="Arial"/>
                <w:sz w:val="16"/>
                <w:szCs w:val="16"/>
              </w:rPr>
            </w:pPr>
            <w:r w:rsidRPr="00861157">
              <w:rPr>
                <w:rFonts w:ascii="Arial" w:eastAsia="Calibri" w:hAnsi="Arial" w:cs="Arial"/>
                <w:sz w:val="16"/>
                <w:szCs w:val="16"/>
              </w:rPr>
              <w:t>projected audience numbers/ participants involved with funded projects</w:t>
            </w:r>
          </w:p>
          <w:p w14:paraId="6095D515" w14:textId="77777777" w:rsidR="00115843" w:rsidRPr="00861157" w:rsidRDefault="00115843" w:rsidP="00115843">
            <w:pPr>
              <w:numPr>
                <w:ilvl w:val="0"/>
                <w:numId w:val="253"/>
              </w:numPr>
              <w:spacing w:before="60" w:after="60" w:line="240" w:lineRule="auto"/>
              <w:ind w:left="357" w:hanging="357"/>
              <w:rPr>
                <w:rFonts w:ascii="Arial" w:eastAsia="Calibri" w:hAnsi="Arial" w:cs="Arial"/>
                <w:sz w:val="16"/>
                <w:szCs w:val="16"/>
              </w:rPr>
            </w:pPr>
            <w:r w:rsidRPr="00861157">
              <w:rPr>
                <w:rFonts w:ascii="Arial" w:eastAsia="Calibri" w:hAnsi="Arial" w:cs="Arial"/>
                <w:sz w:val="16"/>
                <w:szCs w:val="16"/>
              </w:rPr>
              <w:t>number of regional/remote locations that hosted funded projects</w:t>
            </w:r>
          </w:p>
        </w:tc>
        <w:tc>
          <w:tcPr>
            <w:tcW w:w="2381" w:type="pct"/>
            <w:tcBorders>
              <w:top w:val="single" w:sz="4" w:space="0" w:color="auto"/>
              <w:left w:val="single" w:sz="4" w:space="0" w:color="auto"/>
              <w:bottom w:val="single" w:sz="4" w:space="0" w:color="auto"/>
            </w:tcBorders>
          </w:tcPr>
          <w:p w14:paraId="6F1C7A8A" w14:textId="77777777" w:rsidR="00115843" w:rsidRPr="00861157" w:rsidRDefault="00115843" w:rsidP="00FB0D02">
            <w:pPr>
              <w:spacing w:before="60" w:after="60" w:line="240" w:lineRule="auto"/>
              <w:ind w:right="-12"/>
              <w:rPr>
                <w:rFonts w:ascii="Arial" w:eastAsia="Calibri" w:hAnsi="Arial" w:cs="Arial"/>
                <w:sz w:val="16"/>
                <w:szCs w:val="16"/>
              </w:rPr>
            </w:pPr>
            <w:r w:rsidRPr="00861157">
              <w:rPr>
                <w:rFonts w:ascii="Arial" w:eastAsia="Calibri" w:hAnsi="Arial" w:cs="Arial"/>
                <w:sz w:val="16"/>
                <w:szCs w:val="16"/>
              </w:rPr>
              <w:t>2021–22 was the first year of data capture. It is not envisaged that the numbers will increase each year, given the variety of projects funded and that the programs are competitive grant programs</w:t>
            </w:r>
          </w:p>
        </w:tc>
      </w:tr>
      <w:tr w:rsidR="00115843" w:rsidRPr="00861157" w14:paraId="4724B64D" w14:textId="77777777" w:rsidTr="00FB0D02">
        <w:trPr>
          <w:cantSplit/>
          <w:trHeight w:val="306"/>
        </w:trPr>
        <w:tc>
          <w:tcPr>
            <w:tcW w:w="873" w:type="pct"/>
            <w:vMerge/>
            <w:tcBorders>
              <w:bottom w:val="single" w:sz="4" w:space="0" w:color="auto"/>
              <w:right w:val="single" w:sz="4" w:space="0" w:color="auto"/>
            </w:tcBorders>
            <w:vAlign w:val="center"/>
          </w:tcPr>
          <w:p w14:paraId="3F94D532" w14:textId="77777777" w:rsidR="00115843" w:rsidRPr="00861157" w:rsidRDefault="00115843" w:rsidP="00FB0D02">
            <w:pPr>
              <w:pStyle w:val="TableTextBase"/>
              <w:rPr>
                <w:sz w:val="16"/>
                <w:szCs w:val="16"/>
              </w:rPr>
            </w:pPr>
          </w:p>
        </w:tc>
        <w:tc>
          <w:tcPr>
            <w:tcW w:w="1746" w:type="pct"/>
            <w:tcBorders>
              <w:top w:val="single" w:sz="4" w:space="0" w:color="auto"/>
              <w:left w:val="single" w:sz="4" w:space="0" w:color="auto"/>
              <w:bottom w:val="single" w:sz="4" w:space="0" w:color="auto"/>
              <w:right w:val="single" w:sz="4" w:space="0" w:color="auto"/>
            </w:tcBorders>
          </w:tcPr>
          <w:p w14:paraId="4BC3A43F" w14:textId="77777777" w:rsidR="00115843" w:rsidRPr="00861157" w:rsidRDefault="00115843" w:rsidP="00FB0D02">
            <w:pPr>
              <w:spacing w:before="60" w:after="0" w:line="240" w:lineRule="auto"/>
              <w:rPr>
                <w:rFonts w:ascii="Arial" w:eastAsia="Calibri" w:hAnsi="Arial" w:cs="Arial"/>
                <w:sz w:val="16"/>
                <w:szCs w:val="16"/>
              </w:rPr>
            </w:pPr>
            <w:r w:rsidRPr="00861157">
              <w:rPr>
                <w:rFonts w:ascii="Arial" w:eastAsia="Calibri" w:hAnsi="Arial" w:cs="Arial"/>
                <w:sz w:val="16"/>
                <w:szCs w:val="16"/>
              </w:rPr>
              <w:t xml:space="preserve">Effectiveness of the current Australian content and classification frameworks </w:t>
            </w:r>
            <w:r w:rsidRPr="00861157">
              <w:rPr>
                <w:rFonts w:ascii="Arial" w:eastAsia="Calibri" w:hAnsi="Arial" w:cs="Arial"/>
                <w:sz w:val="16"/>
                <w:szCs w:val="16"/>
                <w:vertAlign w:val="superscript"/>
              </w:rPr>
              <w:t>(c)(d)</w:t>
            </w:r>
          </w:p>
        </w:tc>
        <w:tc>
          <w:tcPr>
            <w:tcW w:w="2381" w:type="pct"/>
            <w:tcBorders>
              <w:top w:val="single" w:sz="4" w:space="0" w:color="auto"/>
              <w:left w:val="single" w:sz="4" w:space="0" w:color="auto"/>
              <w:bottom w:val="single" w:sz="4" w:space="0" w:color="auto"/>
              <w:right w:val="single" w:sz="4" w:space="0" w:color="auto"/>
            </w:tcBorders>
          </w:tcPr>
          <w:p w14:paraId="2B80F0DC" w14:textId="77777777" w:rsidR="00115843" w:rsidRPr="00861157" w:rsidRDefault="00115843" w:rsidP="00FB0D02">
            <w:pPr>
              <w:pStyle w:val="TableTextBase"/>
              <w:spacing w:after="0"/>
              <w:rPr>
                <w:rFonts w:eastAsia="Calibri" w:cs="Arial"/>
                <w:i/>
                <w:sz w:val="16"/>
                <w:szCs w:val="16"/>
              </w:rPr>
            </w:pPr>
            <w:r w:rsidRPr="00861157">
              <w:rPr>
                <w:rFonts w:eastAsia="Calibri" w:cs="Arial"/>
                <w:i/>
                <w:sz w:val="16"/>
                <w:szCs w:val="16"/>
              </w:rPr>
              <w:t>Reporting in each financial year shows organisations are meeting or exceeding statutory obligations:</w:t>
            </w:r>
          </w:p>
          <w:p w14:paraId="0CA4F7F3" w14:textId="77777777" w:rsidR="00115843" w:rsidRPr="00861157" w:rsidRDefault="00115843" w:rsidP="00861157">
            <w:pPr>
              <w:numPr>
                <w:ilvl w:val="0"/>
                <w:numId w:val="272"/>
              </w:numPr>
              <w:spacing w:after="0" w:line="240" w:lineRule="auto"/>
              <w:ind w:left="251" w:right="-12" w:hanging="251"/>
              <w:contextualSpacing/>
              <w:rPr>
                <w:rFonts w:ascii="Arial" w:eastAsia="Calibri" w:hAnsi="Arial" w:cs="Arial"/>
                <w:i/>
                <w:sz w:val="16"/>
                <w:szCs w:val="16"/>
              </w:rPr>
            </w:pPr>
            <w:r w:rsidRPr="00861157">
              <w:rPr>
                <w:rFonts w:ascii="Arial" w:eastAsia="Calibri" w:hAnsi="Arial" w:cs="Arial"/>
                <w:i/>
                <w:sz w:val="16"/>
                <w:szCs w:val="16"/>
              </w:rPr>
              <w:t>Australian content quota compliance and the existence of public data on Australian content available on streaming video on demand services</w:t>
            </w:r>
          </w:p>
          <w:p w14:paraId="2FC8D874" w14:textId="00CE6E78" w:rsidR="00115843" w:rsidRPr="00861157" w:rsidDel="008E1A6E" w:rsidRDefault="00115843" w:rsidP="00861157">
            <w:pPr>
              <w:pStyle w:val="TableTextBase"/>
              <w:numPr>
                <w:ilvl w:val="0"/>
                <w:numId w:val="272"/>
              </w:numPr>
              <w:spacing w:before="0"/>
              <w:ind w:left="251" w:hanging="251"/>
              <w:rPr>
                <w:rFonts w:eastAsia="Calibri" w:cs="Arial"/>
                <w:i/>
                <w:sz w:val="16"/>
                <w:szCs w:val="16"/>
              </w:rPr>
            </w:pPr>
            <w:r w:rsidRPr="00861157">
              <w:rPr>
                <w:rFonts w:eastAsia="Calibri" w:cs="Arial"/>
                <w:i/>
                <w:sz w:val="16"/>
                <w:szCs w:val="16"/>
              </w:rPr>
              <w:t>100% of Classification decisions by the Classification Board and Classification Review Board made and published on the National Classification Database within statutory timeframes</w:t>
            </w:r>
            <w:r w:rsidR="00861157">
              <w:rPr>
                <w:rFonts w:eastAsia="Calibri" w:cs="Arial"/>
                <w:i/>
                <w:sz w:val="16"/>
                <w:szCs w:val="16"/>
              </w:rPr>
              <w:t>.</w:t>
            </w:r>
          </w:p>
        </w:tc>
      </w:tr>
    </w:tbl>
    <w:p w14:paraId="667291D8" w14:textId="77777777" w:rsidR="00115843" w:rsidRDefault="00115843" w:rsidP="00115843">
      <w:pPr>
        <w:pStyle w:val="ChartandTableFootnoteAlpha"/>
        <w:numPr>
          <w:ilvl w:val="0"/>
          <w:numId w:val="0"/>
        </w:numPr>
        <w:spacing w:before="60"/>
      </w:pPr>
      <w:r w:rsidRPr="001B2F81">
        <w:t xml:space="preserve">New or modified performance </w:t>
      </w:r>
      <w:r w:rsidRPr="00E12264">
        <w:t>measures</w:t>
      </w:r>
      <w:r w:rsidRPr="001B2F81">
        <w:t xml:space="preserve"> that reflect new or materially changed programs are shown in </w:t>
      </w:r>
      <w:r w:rsidRPr="003D46F4">
        <w:rPr>
          <w:i/>
        </w:rPr>
        <w:t>italics.</w:t>
      </w:r>
      <w:r w:rsidRPr="001B2F81">
        <w:t xml:space="preserve"> </w:t>
      </w:r>
    </w:p>
    <w:p w14:paraId="5451FE8F" w14:textId="77777777" w:rsidR="00115843" w:rsidRPr="00CE7F37" w:rsidRDefault="00115843" w:rsidP="00115843">
      <w:pPr>
        <w:pStyle w:val="ListParagraph"/>
        <w:numPr>
          <w:ilvl w:val="0"/>
          <w:numId w:val="255"/>
        </w:numPr>
        <w:spacing w:after="0" w:line="240" w:lineRule="auto"/>
        <w:ind w:left="426" w:hanging="426"/>
        <w:rPr>
          <w:rFonts w:ascii="Arial" w:hAnsi="Arial" w:cs="Arial"/>
          <w:sz w:val="16"/>
          <w:szCs w:val="16"/>
        </w:rPr>
      </w:pPr>
      <w:r w:rsidRPr="00CE7F37">
        <w:rPr>
          <w:rFonts w:ascii="Arial" w:hAnsi="Arial" w:cs="Arial"/>
          <w:sz w:val="16"/>
          <w:szCs w:val="16"/>
        </w:rPr>
        <w:t>2021–22 key activit</w:t>
      </w:r>
      <w:r>
        <w:rPr>
          <w:rFonts w:ascii="Arial" w:hAnsi="Arial" w:cs="Arial"/>
          <w:sz w:val="16"/>
          <w:szCs w:val="16"/>
        </w:rPr>
        <w:t>ies</w:t>
      </w:r>
      <w:r w:rsidRPr="00CE7F37">
        <w:rPr>
          <w:rFonts w:ascii="Arial" w:hAnsi="Arial" w:cs="Arial"/>
          <w:sz w:val="16"/>
          <w:szCs w:val="16"/>
        </w:rPr>
        <w:t xml:space="preserve"> ‘Provide policy advice and operational support to the classification regulatory framework’ </w:t>
      </w:r>
      <w:r>
        <w:rPr>
          <w:rFonts w:ascii="Arial" w:hAnsi="Arial" w:cs="Arial"/>
          <w:sz w:val="16"/>
          <w:szCs w:val="16"/>
        </w:rPr>
        <w:t>and ‘</w:t>
      </w:r>
      <w:r w:rsidRPr="00F4063B">
        <w:rPr>
          <w:rFonts w:ascii="Arial" w:hAnsi="Arial" w:cs="Arial"/>
          <w:sz w:val="16"/>
          <w:szCs w:val="16"/>
        </w:rPr>
        <w:t>Provide policy advice and program delivery on the news and media industry</w:t>
      </w:r>
      <w:r>
        <w:rPr>
          <w:rFonts w:ascii="Arial" w:hAnsi="Arial" w:cs="Arial"/>
          <w:sz w:val="16"/>
          <w:szCs w:val="16"/>
        </w:rPr>
        <w:t xml:space="preserve">, copyright and content frameworks’ </w:t>
      </w:r>
      <w:r w:rsidRPr="00CE7F37">
        <w:rPr>
          <w:rFonts w:ascii="Arial" w:hAnsi="Arial" w:cs="Arial"/>
          <w:sz w:val="16"/>
          <w:szCs w:val="16"/>
        </w:rPr>
        <w:t>referenced in the 2021–22 Corporate Plan, deleted</w:t>
      </w:r>
      <w:r>
        <w:rPr>
          <w:rFonts w:ascii="Arial" w:hAnsi="Arial" w:cs="Arial"/>
          <w:sz w:val="16"/>
          <w:szCs w:val="16"/>
        </w:rPr>
        <w:t xml:space="preserve"> as the copyright function transferred to the Attorney-General’s Department on 1 July 2022. </w:t>
      </w:r>
      <w:r w:rsidRPr="00975140">
        <w:rPr>
          <w:rFonts w:ascii="Arial" w:hAnsi="Arial" w:cs="Arial"/>
          <w:sz w:val="16"/>
          <w:szCs w:val="16"/>
        </w:rPr>
        <w:t xml:space="preserve">As a result, </w:t>
      </w:r>
      <w:r>
        <w:rPr>
          <w:rFonts w:ascii="Arial" w:hAnsi="Arial" w:cs="Arial"/>
          <w:sz w:val="16"/>
          <w:szCs w:val="16"/>
        </w:rPr>
        <w:t>the</w:t>
      </w:r>
      <w:r w:rsidRPr="00975140">
        <w:rPr>
          <w:rFonts w:ascii="Arial" w:hAnsi="Arial" w:cs="Arial"/>
          <w:sz w:val="16"/>
          <w:szCs w:val="16"/>
        </w:rPr>
        <w:t xml:space="preserve"> performance framework </w:t>
      </w:r>
      <w:r>
        <w:rPr>
          <w:rFonts w:ascii="Arial" w:hAnsi="Arial" w:cs="Arial"/>
          <w:sz w:val="16"/>
          <w:szCs w:val="16"/>
        </w:rPr>
        <w:t>has</w:t>
      </w:r>
      <w:r w:rsidRPr="00975140">
        <w:rPr>
          <w:rFonts w:ascii="Arial" w:hAnsi="Arial" w:cs="Arial"/>
          <w:sz w:val="16"/>
          <w:szCs w:val="16"/>
        </w:rPr>
        <w:t xml:space="preserve"> changes to one performance measure relating to our content and classification frameworks.</w:t>
      </w:r>
    </w:p>
    <w:p w14:paraId="689F8DC9" w14:textId="77777777" w:rsidR="00115843" w:rsidRDefault="00115843" w:rsidP="00115843">
      <w:pPr>
        <w:pStyle w:val="ListParagraph"/>
        <w:numPr>
          <w:ilvl w:val="0"/>
          <w:numId w:val="255"/>
        </w:numPr>
        <w:spacing w:after="0" w:line="240" w:lineRule="auto"/>
        <w:ind w:left="426" w:hanging="426"/>
        <w:rPr>
          <w:rFonts w:ascii="Arial" w:hAnsi="Arial" w:cs="Arial"/>
          <w:sz w:val="16"/>
          <w:szCs w:val="16"/>
        </w:rPr>
      </w:pPr>
      <w:r w:rsidRPr="00792D7C">
        <w:rPr>
          <w:rFonts w:ascii="Arial" w:hAnsi="Arial" w:cs="Arial"/>
          <w:sz w:val="16"/>
          <w:szCs w:val="16"/>
        </w:rPr>
        <w:t xml:space="preserve">Final reporting period for this measure. </w:t>
      </w:r>
      <w:r>
        <w:rPr>
          <w:rFonts w:ascii="Arial" w:hAnsi="Arial" w:cs="Arial"/>
          <w:sz w:val="16"/>
          <w:szCs w:val="16"/>
        </w:rPr>
        <w:t>Further details are</w:t>
      </w:r>
      <w:r w:rsidRPr="00792D7C">
        <w:rPr>
          <w:rFonts w:ascii="Arial" w:hAnsi="Arial" w:cs="Arial"/>
          <w:sz w:val="16"/>
          <w:szCs w:val="16"/>
        </w:rPr>
        <w:t xml:space="preserve"> included in the 2022–23 Corporate Plan</w:t>
      </w:r>
      <w:r>
        <w:rPr>
          <w:rFonts w:ascii="Arial" w:hAnsi="Arial" w:cs="Arial"/>
          <w:sz w:val="16"/>
          <w:szCs w:val="16"/>
        </w:rPr>
        <w:t>.</w:t>
      </w:r>
    </w:p>
    <w:p w14:paraId="4C0F500E" w14:textId="77777777" w:rsidR="00115843" w:rsidRDefault="00115843" w:rsidP="00115843">
      <w:pPr>
        <w:pStyle w:val="ListParagraph"/>
        <w:numPr>
          <w:ilvl w:val="0"/>
          <w:numId w:val="255"/>
        </w:numPr>
        <w:spacing w:after="0" w:line="240" w:lineRule="auto"/>
        <w:ind w:left="426" w:hanging="426"/>
        <w:rPr>
          <w:rFonts w:ascii="Arial" w:hAnsi="Arial" w:cs="Arial"/>
          <w:sz w:val="16"/>
        </w:rPr>
      </w:pPr>
      <w:r w:rsidRPr="00A93F63">
        <w:rPr>
          <w:rFonts w:ascii="Arial" w:hAnsi="Arial" w:cs="Arial"/>
          <w:sz w:val="16"/>
        </w:rPr>
        <w:t>This 2022–23 measure combines two 2021–22 measures.</w:t>
      </w:r>
    </w:p>
    <w:p w14:paraId="027F027B" w14:textId="77777777" w:rsidR="00115843" w:rsidRPr="00A93F63" w:rsidRDefault="00115843" w:rsidP="00115843">
      <w:pPr>
        <w:pStyle w:val="ListParagraph"/>
        <w:numPr>
          <w:ilvl w:val="0"/>
          <w:numId w:val="255"/>
        </w:numPr>
        <w:spacing w:after="0" w:line="240" w:lineRule="auto"/>
        <w:ind w:left="426" w:hanging="426"/>
        <w:rPr>
          <w:rFonts w:ascii="Arial" w:hAnsi="Arial" w:cs="Arial"/>
          <w:sz w:val="16"/>
        </w:rPr>
      </w:pPr>
      <w:r w:rsidRPr="00A93F63">
        <w:rPr>
          <w:rFonts w:ascii="Arial" w:hAnsi="Arial" w:cs="Arial"/>
          <w:sz w:val="16"/>
          <w:szCs w:val="14"/>
        </w:rPr>
        <w:t>This measure is linked to Program 5.1 Digital Technologies and Communications Services and Program 6.1 Arts and Cultural Development.</w:t>
      </w:r>
    </w:p>
    <w:p w14:paraId="5D8ED08B" w14:textId="77777777" w:rsidR="00115843" w:rsidRDefault="00115843" w:rsidP="00115843">
      <w:pPr>
        <w:spacing w:after="0" w:line="240" w:lineRule="auto"/>
        <w:rPr>
          <w:rFonts w:ascii="Arial" w:hAnsi="Arial" w:cs="Arial"/>
          <w:sz w:val="16"/>
        </w:rPr>
      </w:pPr>
      <w:r>
        <w:rPr>
          <w:rFonts w:ascii="Arial" w:hAnsi="Arial" w:cs="Arial"/>
          <w:sz w:val="16"/>
        </w:rPr>
        <w:br w:type="page"/>
      </w:r>
    </w:p>
    <w:p w14:paraId="4AE3569D" w14:textId="77777777" w:rsidR="00115843" w:rsidRPr="00300A68" w:rsidRDefault="00115843" w:rsidP="00115843">
      <w:pPr>
        <w:pStyle w:val="Heading2-ITRDCA"/>
      </w:pPr>
      <w:bookmarkStart w:id="43" w:name="_Toc117242353"/>
      <w:r w:rsidRPr="00300A68">
        <w:lastRenderedPageBreak/>
        <w:t>Section 3: Budgeted financial statements</w:t>
      </w:r>
      <w:bookmarkEnd w:id="43"/>
    </w:p>
    <w:p w14:paraId="0E7EA805" w14:textId="28B44FE9" w:rsidR="00115843" w:rsidRPr="00542D5C" w:rsidRDefault="00115843" w:rsidP="00115843">
      <w:r w:rsidRPr="00542D5C">
        <w:t xml:space="preserve">Section 3 presents budgeted financial statements which provide a comprehensive snapshot of </w:t>
      </w:r>
      <w:r w:rsidR="00BD7E6C">
        <w:t>the De</w:t>
      </w:r>
      <w:r w:rsidR="00077736">
        <w:t>partment’s</w:t>
      </w:r>
      <w:r w:rsidRPr="00542D5C">
        <w:t xml:space="preserve"> finances for the 2022-23</w:t>
      </w:r>
      <w:r w:rsidRPr="00542D5C">
        <w:rPr>
          <w:color w:val="00B050"/>
        </w:rPr>
        <w:t xml:space="preserve"> </w:t>
      </w:r>
      <w:r>
        <w:t>B</w:t>
      </w:r>
      <w:r w:rsidRPr="00542D5C">
        <w:t>udget year, including the impact of budget measures and resourcing on financial statements.</w:t>
      </w:r>
    </w:p>
    <w:p w14:paraId="2C007945" w14:textId="77777777" w:rsidR="00115843" w:rsidRPr="00300A68" w:rsidRDefault="00115843" w:rsidP="00115843">
      <w:pPr>
        <w:pStyle w:val="Heading3-ITRDCA"/>
      </w:pPr>
      <w:bookmarkStart w:id="44" w:name="_Toc117242354"/>
      <w:r w:rsidRPr="00300A68">
        <w:t>3.1</w:t>
      </w:r>
      <w:r w:rsidRPr="00300A68">
        <w:tab/>
        <w:t>Budgeted financial statements</w:t>
      </w:r>
      <w:bookmarkEnd w:id="44"/>
    </w:p>
    <w:p w14:paraId="29392169" w14:textId="77777777" w:rsidR="00115843" w:rsidRDefault="00115843" w:rsidP="00115843">
      <w:pPr>
        <w:pStyle w:val="Heading4"/>
      </w:pPr>
      <w:r>
        <w:t>3.1.1</w:t>
      </w:r>
      <w:r>
        <w:tab/>
      </w:r>
      <w:bookmarkStart w:id="45" w:name="_Hlk115856401"/>
      <w:r>
        <w:t>Explanatory notes and analysis of budgeted financial statements</w:t>
      </w:r>
      <w:bookmarkEnd w:id="45"/>
    </w:p>
    <w:p w14:paraId="0FC38EB7" w14:textId="77777777" w:rsidR="00115843" w:rsidRPr="00DF2931" w:rsidRDefault="00115843" w:rsidP="00115843">
      <w:pPr>
        <w:rPr>
          <w:sz w:val="22"/>
        </w:rPr>
      </w:pPr>
      <w:bookmarkStart w:id="46" w:name="_Hlk116545450"/>
      <w:r w:rsidRPr="00DF2931">
        <w:rPr>
          <w:b/>
          <w:bCs/>
        </w:rPr>
        <w:t>Departmental</w:t>
      </w:r>
    </w:p>
    <w:bookmarkEnd w:id="46"/>
    <w:p w14:paraId="5C46C697" w14:textId="77777777" w:rsidR="00115843" w:rsidRPr="001D4DEC" w:rsidRDefault="00115843" w:rsidP="00115843">
      <w:pPr>
        <w:pStyle w:val="NormalWeb"/>
        <w:spacing w:before="0" w:after="0"/>
        <w:rPr>
          <w:rFonts w:ascii="Book Antiqua" w:hAnsi="Book Antiqua"/>
          <w:color w:val="000000"/>
          <w:sz w:val="20"/>
          <w:szCs w:val="27"/>
        </w:rPr>
      </w:pPr>
      <w:r w:rsidRPr="001D4DEC">
        <w:rPr>
          <w:rFonts w:ascii="Book Antiqua" w:hAnsi="Book Antiqua"/>
          <w:color w:val="000000"/>
          <w:sz w:val="20"/>
          <w:szCs w:val="27"/>
        </w:rPr>
        <w:t>The Department is budgeting to break even in 2022-23 and the forward estimates, after adjusting for depreciation and amortisation expenses, and adjustments for leases.</w:t>
      </w:r>
    </w:p>
    <w:p w14:paraId="223D6CF8" w14:textId="77777777" w:rsidR="00115843" w:rsidRPr="001D4DEC" w:rsidRDefault="00115843" w:rsidP="00115843">
      <w:pPr>
        <w:pStyle w:val="NormalWeb"/>
        <w:spacing w:before="0" w:after="0"/>
        <w:rPr>
          <w:rFonts w:ascii="Book Antiqua" w:hAnsi="Book Antiqua"/>
          <w:color w:val="000000"/>
          <w:sz w:val="20"/>
          <w:szCs w:val="27"/>
        </w:rPr>
      </w:pPr>
      <w:r w:rsidRPr="001D4DEC">
        <w:rPr>
          <w:rFonts w:ascii="Book Antiqua" w:hAnsi="Book Antiqua"/>
          <w:color w:val="000000"/>
          <w:sz w:val="20"/>
          <w:szCs w:val="27"/>
        </w:rPr>
        <w:t>Expenses and revenue from government have increased since the 2022-23 March Budget due to new measures in the 2022-23 October Budget (including measures with 2022-23 funding) and indexation.</w:t>
      </w:r>
    </w:p>
    <w:p w14:paraId="298A1EF7" w14:textId="77777777" w:rsidR="00115843" w:rsidRPr="00542D5C" w:rsidRDefault="00115843" w:rsidP="00115843">
      <w:pPr>
        <w:pStyle w:val="NormalWeb"/>
        <w:spacing w:before="0" w:beforeAutospacing="0" w:after="0" w:afterAutospacing="0"/>
        <w:rPr>
          <w:rFonts w:ascii="Book Antiqua" w:hAnsi="Book Antiqua"/>
          <w:color w:val="000000"/>
          <w:sz w:val="20"/>
          <w:szCs w:val="27"/>
        </w:rPr>
      </w:pPr>
      <w:r w:rsidRPr="001D4DEC">
        <w:rPr>
          <w:rFonts w:ascii="Book Antiqua" w:hAnsi="Book Antiqua"/>
          <w:color w:val="000000"/>
          <w:sz w:val="20"/>
          <w:szCs w:val="27"/>
        </w:rPr>
        <w:t>The Comprehensive Income Statement (showing net cost of services) for the periods ended 30 June (Table 3.1) reflects the impacts of these changes.</w:t>
      </w:r>
    </w:p>
    <w:p w14:paraId="32D2BE67" w14:textId="77777777" w:rsidR="00115843" w:rsidRPr="00DF2931" w:rsidRDefault="00115843" w:rsidP="00D26033">
      <w:pPr>
        <w:spacing w:before="120"/>
        <w:rPr>
          <w:b/>
          <w:bCs/>
        </w:rPr>
      </w:pPr>
      <w:r w:rsidRPr="00DF2931">
        <w:rPr>
          <w:b/>
          <w:bCs/>
        </w:rPr>
        <w:t>Administered</w:t>
      </w:r>
    </w:p>
    <w:p w14:paraId="59DF32A2" w14:textId="77777777" w:rsidR="00115843" w:rsidRPr="001D4DEC" w:rsidRDefault="00115843" w:rsidP="00115843">
      <w:pPr>
        <w:pStyle w:val="NormalWeb"/>
        <w:spacing w:before="0" w:after="0"/>
        <w:rPr>
          <w:rFonts w:ascii="Book Antiqua" w:hAnsi="Book Antiqua"/>
          <w:color w:val="000000"/>
          <w:sz w:val="20"/>
          <w:szCs w:val="27"/>
        </w:rPr>
      </w:pPr>
      <w:r w:rsidRPr="001D4DEC">
        <w:rPr>
          <w:rFonts w:ascii="Book Antiqua" w:hAnsi="Book Antiqua"/>
          <w:color w:val="000000"/>
          <w:sz w:val="20"/>
          <w:szCs w:val="27"/>
        </w:rPr>
        <w:t>Administered Expenses have increased since the 2022-23 March Budget due to new measures in the 2022-23 October Budget (including measures with 2022-23 funding) and indexation. Further details on measures can be found in the 2022-23 measures table (Table 1.2).</w:t>
      </w:r>
    </w:p>
    <w:p w14:paraId="62A65A0D" w14:textId="77777777" w:rsidR="00115843" w:rsidRPr="00542D5C" w:rsidRDefault="00115843" w:rsidP="00115843">
      <w:pPr>
        <w:pStyle w:val="NormalWeb"/>
        <w:spacing w:before="0" w:beforeAutospacing="0" w:after="0" w:afterAutospacing="0"/>
        <w:rPr>
          <w:rFonts w:ascii="Book Antiqua" w:hAnsi="Book Antiqua"/>
          <w:color w:val="000000"/>
          <w:sz w:val="20"/>
          <w:szCs w:val="27"/>
        </w:rPr>
      </w:pPr>
      <w:r w:rsidRPr="001D4DEC">
        <w:rPr>
          <w:rFonts w:ascii="Book Antiqua" w:hAnsi="Book Antiqua"/>
          <w:color w:val="000000"/>
          <w:sz w:val="20"/>
          <w:szCs w:val="27"/>
        </w:rPr>
        <w:t>The Schedule of Budgeted Income and Expenses administered on behalf of Government for the periods ended 30 June (Table 3.7) reflects the impact of these changes.</w:t>
      </w:r>
    </w:p>
    <w:p w14:paraId="22D97F77" w14:textId="77777777" w:rsidR="00115843" w:rsidRDefault="00115843" w:rsidP="00115843">
      <w:pPr>
        <w:pStyle w:val="Heading3-ITRDCA"/>
      </w:pPr>
      <w:r w:rsidRPr="00E36F77">
        <w:br w:type="page"/>
      </w:r>
    </w:p>
    <w:p w14:paraId="0CFBAA70" w14:textId="77777777" w:rsidR="00115843" w:rsidRPr="00300A68" w:rsidRDefault="00115843" w:rsidP="00115843">
      <w:pPr>
        <w:pStyle w:val="Heading3-ITRDCA"/>
      </w:pPr>
      <w:bookmarkStart w:id="47" w:name="_Toc117242355"/>
      <w:r w:rsidRPr="00300A68">
        <w:rPr>
          <w:rStyle w:val="TableHeadingChar"/>
          <w:b/>
        </w:rPr>
        <w:lastRenderedPageBreak/>
        <w:t>3.2</w:t>
      </w:r>
      <w:r w:rsidRPr="00300A68">
        <w:rPr>
          <w:rStyle w:val="TableHeadingChar"/>
          <w:b/>
        </w:rPr>
        <w:tab/>
        <w:t>Budgeted financial statements tables</w:t>
      </w:r>
      <w:bookmarkEnd w:id="47"/>
    </w:p>
    <w:p w14:paraId="2DC632A0" w14:textId="77777777" w:rsidR="00115843" w:rsidRPr="00957D8A" w:rsidRDefault="00115843" w:rsidP="00115843">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165"/>
        <w:gridCol w:w="931"/>
        <w:gridCol w:w="904"/>
        <w:gridCol w:w="904"/>
        <w:gridCol w:w="904"/>
        <w:gridCol w:w="902"/>
      </w:tblGrid>
      <w:tr w:rsidR="00115843" w:rsidRPr="002A338C" w14:paraId="768CD719" w14:textId="77777777" w:rsidTr="005334F2">
        <w:trPr>
          <w:trHeight w:val="204"/>
        </w:trPr>
        <w:tc>
          <w:tcPr>
            <w:tcW w:w="2053" w:type="pct"/>
            <w:tcBorders>
              <w:top w:val="single" w:sz="4" w:space="0" w:color="auto"/>
              <w:left w:val="nil"/>
              <w:bottom w:val="nil"/>
              <w:right w:val="nil"/>
            </w:tcBorders>
            <w:shd w:val="clear" w:color="auto" w:fill="auto"/>
            <w:noWrap/>
            <w:vAlign w:val="bottom"/>
            <w:hideMark/>
          </w:tcPr>
          <w:p w14:paraId="2790F6D9"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7F5AAAAF"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E6E6E6"/>
            <w:vAlign w:val="bottom"/>
            <w:hideMark/>
          </w:tcPr>
          <w:p w14:paraId="54530332"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0FAE6651"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3097DA0A"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4C947657"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0346B372" w14:textId="77777777" w:rsidTr="005334F2">
        <w:trPr>
          <w:trHeight w:val="204"/>
        </w:trPr>
        <w:tc>
          <w:tcPr>
            <w:tcW w:w="2053" w:type="pct"/>
            <w:tcBorders>
              <w:top w:val="nil"/>
              <w:left w:val="nil"/>
              <w:bottom w:val="nil"/>
              <w:right w:val="nil"/>
            </w:tcBorders>
            <w:shd w:val="clear" w:color="auto" w:fill="auto"/>
            <w:noWrap/>
            <w:vAlign w:val="bottom"/>
            <w:hideMark/>
          </w:tcPr>
          <w:p w14:paraId="1424BEB7"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EXPENSES</w:t>
            </w:r>
          </w:p>
        </w:tc>
        <w:tc>
          <w:tcPr>
            <w:tcW w:w="604" w:type="pct"/>
            <w:tcBorders>
              <w:top w:val="nil"/>
              <w:left w:val="nil"/>
              <w:bottom w:val="nil"/>
              <w:right w:val="nil"/>
            </w:tcBorders>
            <w:shd w:val="clear" w:color="auto" w:fill="auto"/>
            <w:noWrap/>
            <w:vAlign w:val="bottom"/>
            <w:hideMark/>
          </w:tcPr>
          <w:p w14:paraId="60B523DB" w14:textId="77777777" w:rsidR="00115843" w:rsidRPr="002A338C" w:rsidRDefault="00115843" w:rsidP="00FB0D02">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noWrap/>
            <w:vAlign w:val="bottom"/>
            <w:hideMark/>
          </w:tcPr>
          <w:p w14:paraId="202D7D4D" w14:textId="77777777" w:rsidR="00115843" w:rsidRPr="002A338C" w:rsidRDefault="00115843" w:rsidP="00FB0D02">
            <w:pPr>
              <w:spacing w:after="0" w:line="240" w:lineRule="auto"/>
              <w:jc w:val="right"/>
              <w:rPr>
                <w:rFonts w:ascii="Arial" w:hAnsi="Arial" w:cs="Arial"/>
                <w:b/>
                <w:bCs/>
                <w:sz w:val="16"/>
                <w:szCs w:val="16"/>
              </w:rPr>
            </w:pPr>
            <w:r w:rsidRPr="002A338C">
              <w:rPr>
                <w:rFonts w:ascii="Arial" w:hAnsi="Arial" w:cs="Arial"/>
                <w:b/>
                <w:bCs/>
                <w:sz w:val="16"/>
                <w:szCs w:val="16"/>
              </w:rPr>
              <w:t> </w:t>
            </w:r>
          </w:p>
        </w:tc>
        <w:tc>
          <w:tcPr>
            <w:tcW w:w="586" w:type="pct"/>
            <w:tcBorders>
              <w:top w:val="nil"/>
              <w:left w:val="nil"/>
              <w:bottom w:val="nil"/>
              <w:right w:val="nil"/>
            </w:tcBorders>
            <w:shd w:val="clear" w:color="auto" w:fill="auto"/>
            <w:noWrap/>
            <w:vAlign w:val="bottom"/>
            <w:hideMark/>
          </w:tcPr>
          <w:p w14:paraId="0C2CA64D" w14:textId="77777777" w:rsidR="00115843" w:rsidRPr="002A338C" w:rsidRDefault="00115843" w:rsidP="00FB0D02">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27F49BB6" w14:textId="77777777" w:rsidR="00115843" w:rsidRPr="002A338C" w:rsidRDefault="00115843" w:rsidP="00FB0D02">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6E065062" w14:textId="77777777" w:rsidR="00115843" w:rsidRPr="002A338C" w:rsidRDefault="00115843" w:rsidP="00FB0D02">
            <w:pPr>
              <w:spacing w:after="0" w:line="240" w:lineRule="auto"/>
              <w:jc w:val="right"/>
              <w:rPr>
                <w:rFonts w:ascii="Arial" w:hAnsi="Arial" w:cs="Arial"/>
                <w:sz w:val="16"/>
                <w:szCs w:val="16"/>
              </w:rPr>
            </w:pPr>
          </w:p>
        </w:tc>
      </w:tr>
      <w:tr w:rsidR="00D26033" w:rsidRPr="002A338C" w14:paraId="60DFCD95" w14:textId="77777777" w:rsidTr="005334F2">
        <w:trPr>
          <w:trHeight w:val="204"/>
        </w:trPr>
        <w:tc>
          <w:tcPr>
            <w:tcW w:w="2053" w:type="pct"/>
            <w:tcBorders>
              <w:top w:val="nil"/>
              <w:left w:val="nil"/>
              <w:bottom w:val="nil"/>
              <w:right w:val="nil"/>
            </w:tcBorders>
            <w:shd w:val="clear" w:color="auto" w:fill="auto"/>
            <w:noWrap/>
            <w:vAlign w:val="bottom"/>
            <w:hideMark/>
          </w:tcPr>
          <w:p w14:paraId="4A5EC8FF"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Employee benefits</w:t>
            </w:r>
          </w:p>
        </w:tc>
        <w:tc>
          <w:tcPr>
            <w:tcW w:w="604" w:type="pct"/>
            <w:tcBorders>
              <w:top w:val="nil"/>
              <w:left w:val="nil"/>
              <w:bottom w:val="nil"/>
              <w:right w:val="nil"/>
            </w:tcBorders>
            <w:shd w:val="clear" w:color="auto" w:fill="auto"/>
            <w:noWrap/>
            <w:vAlign w:val="bottom"/>
            <w:hideMark/>
          </w:tcPr>
          <w:p w14:paraId="3151BB67" w14:textId="298C574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241,662</w:t>
            </w:r>
          </w:p>
        </w:tc>
        <w:tc>
          <w:tcPr>
            <w:tcW w:w="586" w:type="pct"/>
            <w:tcBorders>
              <w:top w:val="nil"/>
              <w:left w:val="nil"/>
              <w:bottom w:val="nil"/>
              <w:right w:val="nil"/>
            </w:tcBorders>
            <w:shd w:val="clear" w:color="auto" w:fill="E6E6E6"/>
            <w:noWrap/>
            <w:vAlign w:val="bottom"/>
            <w:hideMark/>
          </w:tcPr>
          <w:p w14:paraId="278F23F4" w14:textId="07FDA11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261,106</w:t>
            </w:r>
          </w:p>
        </w:tc>
        <w:tc>
          <w:tcPr>
            <w:tcW w:w="586" w:type="pct"/>
            <w:tcBorders>
              <w:top w:val="nil"/>
              <w:left w:val="nil"/>
              <w:bottom w:val="nil"/>
              <w:right w:val="nil"/>
            </w:tcBorders>
            <w:shd w:val="clear" w:color="auto" w:fill="auto"/>
            <w:noWrap/>
            <w:vAlign w:val="bottom"/>
            <w:hideMark/>
          </w:tcPr>
          <w:p w14:paraId="396310B2" w14:textId="2819450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259,514</w:t>
            </w:r>
          </w:p>
        </w:tc>
        <w:tc>
          <w:tcPr>
            <w:tcW w:w="586" w:type="pct"/>
            <w:tcBorders>
              <w:top w:val="nil"/>
              <w:left w:val="nil"/>
              <w:bottom w:val="nil"/>
              <w:right w:val="nil"/>
            </w:tcBorders>
            <w:shd w:val="clear" w:color="auto" w:fill="auto"/>
            <w:noWrap/>
            <w:vAlign w:val="bottom"/>
            <w:hideMark/>
          </w:tcPr>
          <w:p w14:paraId="28845A54" w14:textId="6C79B8F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218,644</w:t>
            </w:r>
          </w:p>
        </w:tc>
        <w:tc>
          <w:tcPr>
            <w:tcW w:w="585" w:type="pct"/>
            <w:tcBorders>
              <w:top w:val="nil"/>
              <w:left w:val="nil"/>
              <w:bottom w:val="nil"/>
              <w:right w:val="nil"/>
            </w:tcBorders>
            <w:shd w:val="clear" w:color="auto" w:fill="auto"/>
            <w:noWrap/>
            <w:vAlign w:val="bottom"/>
            <w:hideMark/>
          </w:tcPr>
          <w:p w14:paraId="7889FDF0" w14:textId="14B9C80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209,517</w:t>
            </w:r>
          </w:p>
        </w:tc>
      </w:tr>
      <w:tr w:rsidR="00D26033" w:rsidRPr="002A338C" w14:paraId="037A361E" w14:textId="77777777" w:rsidTr="005334F2">
        <w:trPr>
          <w:trHeight w:val="204"/>
        </w:trPr>
        <w:tc>
          <w:tcPr>
            <w:tcW w:w="2053" w:type="pct"/>
            <w:tcBorders>
              <w:top w:val="nil"/>
              <w:left w:val="nil"/>
              <w:bottom w:val="nil"/>
              <w:right w:val="nil"/>
            </w:tcBorders>
            <w:shd w:val="clear" w:color="auto" w:fill="auto"/>
            <w:noWrap/>
            <w:vAlign w:val="bottom"/>
            <w:hideMark/>
          </w:tcPr>
          <w:p w14:paraId="04DEAE77"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Suppliers</w:t>
            </w:r>
          </w:p>
        </w:tc>
        <w:tc>
          <w:tcPr>
            <w:tcW w:w="604" w:type="pct"/>
            <w:tcBorders>
              <w:top w:val="nil"/>
              <w:left w:val="nil"/>
              <w:bottom w:val="nil"/>
              <w:right w:val="nil"/>
            </w:tcBorders>
            <w:shd w:val="clear" w:color="auto" w:fill="auto"/>
            <w:noWrap/>
            <w:vAlign w:val="bottom"/>
            <w:hideMark/>
          </w:tcPr>
          <w:p w14:paraId="6DD7BCD5" w14:textId="363A93F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134,293</w:t>
            </w:r>
          </w:p>
        </w:tc>
        <w:tc>
          <w:tcPr>
            <w:tcW w:w="586" w:type="pct"/>
            <w:tcBorders>
              <w:top w:val="nil"/>
              <w:left w:val="nil"/>
              <w:bottom w:val="nil"/>
              <w:right w:val="nil"/>
            </w:tcBorders>
            <w:shd w:val="clear" w:color="auto" w:fill="E6E6E6"/>
            <w:noWrap/>
            <w:vAlign w:val="bottom"/>
            <w:hideMark/>
          </w:tcPr>
          <w:p w14:paraId="08741AAA" w14:textId="004B877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131,408</w:t>
            </w:r>
          </w:p>
        </w:tc>
        <w:tc>
          <w:tcPr>
            <w:tcW w:w="586" w:type="pct"/>
            <w:tcBorders>
              <w:top w:val="nil"/>
              <w:left w:val="nil"/>
              <w:bottom w:val="nil"/>
              <w:right w:val="nil"/>
            </w:tcBorders>
            <w:shd w:val="clear" w:color="auto" w:fill="auto"/>
            <w:noWrap/>
            <w:vAlign w:val="bottom"/>
            <w:hideMark/>
          </w:tcPr>
          <w:p w14:paraId="692F92CB" w14:textId="6C99533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120,538</w:t>
            </w:r>
          </w:p>
        </w:tc>
        <w:tc>
          <w:tcPr>
            <w:tcW w:w="586" w:type="pct"/>
            <w:tcBorders>
              <w:top w:val="nil"/>
              <w:left w:val="nil"/>
              <w:bottom w:val="nil"/>
              <w:right w:val="nil"/>
            </w:tcBorders>
            <w:shd w:val="clear" w:color="auto" w:fill="auto"/>
            <w:noWrap/>
            <w:vAlign w:val="bottom"/>
            <w:hideMark/>
          </w:tcPr>
          <w:p w14:paraId="611F67EF" w14:textId="511A8DD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137,429</w:t>
            </w:r>
          </w:p>
        </w:tc>
        <w:tc>
          <w:tcPr>
            <w:tcW w:w="585" w:type="pct"/>
            <w:tcBorders>
              <w:top w:val="nil"/>
              <w:left w:val="nil"/>
              <w:bottom w:val="nil"/>
              <w:right w:val="nil"/>
            </w:tcBorders>
            <w:shd w:val="clear" w:color="auto" w:fill="auto"/>
            <w:noWrap/>
            <w:vAlign w:val="bottom"/>
            <w:hideMark/>
          </w:tcPr>
          <w:p w14:paraId="0CE33523" w14:textId="02C175E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134,052</w:t>
            </w:r>
          </w:p>
        </w:tc>
      </w:tr>
      <w:tr w:rsidR="00D26033" w:rsidRPr="002A338C" w14:paraId="2E2A05AD" w14:textId="77777777" w:rsidTr="005334F2">
        <w:trPr>
          <w:trHeight w:val="204"/>
        </w:trPr>
        <w:tc>
          <w:tcPr>
            <w:tcW w:w="2053" w:type="pct"/>
            <w:tcBorders>
              <w:top w:val="nil"/>
              <w:left w:val="nil"/>
              <w:bottom w:val="nil"/>
              <w:right w:val="nil"/>
            </w:tcBorders>
            <w:shd w:val="clear" w:color="auto" w:fill="auto"/>
            <w:noWrap/>
            <w:vAlign w:val="bottom"/>
            <w:hideMark/>
          </w:tcPr>
          <w:p w14:paraId="027ACB6F"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Grants</w:t>
            </w:r>
          </w:p>
        </w:tc>
        <w:tc>
          <w:tcPr>
            <w:tcW w:w="604" w:type="pct"/>
            <w:tcBorders>
              <w:top w:val="nil"/>
              <w:left w:val="nil"/>
              <w:bottom w:val="nil"/>
              <w:right w:val="nil"/>
            </w:tcBorders>
            <w:shd w:val="clear" w:color="auto" w:fill="auto"/>
            <w:noWrap/>
            <w:vAlign w:val="bottom"/>
            <w:hideMark/>
          </w:tcPr>
          <w:p w14:paraId="3BDB0D15" w14:textId="52D5339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7,873</w:t>
            </w:r>
          </w:p>
        </w:tc>
        <w:tc>
          <w:tcPr>
            <w:tcW w:w="586" w:type="pct"/>
            <w:tcBorders>
              <w:top w:val="nil"/>
              <w:left w:val="nil"/>
              <w:bottom w:val="nil"/>
              <w:right w:val="nil"/>
            </w:tcBorders>
            <w:shd w:val="clear" w:color="auto" w:fill="E6E6E6"/>
            <w:noWrap/>
            <w:vAlign w:val="bottom"/>
            <w:hideMark/>
          </w:tcPr>
          <w:p w14:paraId="5D91BB77" w14:textId="582876A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4,400</w:t>
            </w:r>
          </w:p>
        </w:tc>
        <w:tc>
          <w:tcPr>
            <w:tcW w:w="586" w:type="pct"/>
            <w:tcBorders>
              <w:top w:val="nil"/>
              <w:left w:val="nil"/>
              <w:bottom w:val="nil"/>
              <w:right w:val="nil"/>
            </w:tcBorders>
            <w:shd w:val="clear" w:color="auto" w:fill="auto"/>
            <w:noWrap/>
            <w:vAlign w:val="bottom"/>
            <w:hideMark/>
          </w:tcPr>
          <w:p w14:paraId="3AD1B719" w14:textId="235BE25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2,200</w:t>
            </w:r>
          </w:p>
        </w:tc>
        <w:tc>
          <w:tcPr>
            <w:tcW w:w="586" w:type="pct"/>
            <w:tcBorders>
              <w:top w:val="nil"/>
              <w:left w:val="nil"/>
              <w:bottom w:val="nil"/>
              <w:right w:val="nil"/>
            </w:tcBorders>
            <w:shd w:val="clear" w:color="auto" w:fill="auto"/>
            <w:noWrap/>
            <w:vAlign w:val="bottom"/>
            <w:hideMark/>
          </w:tcPr>
          <w:p w14:paraId="1A69FF05" w14:textId="17080ED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6F691A7C" w14:textId="2B2ED82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r>
      <w:tr w:rsidR="00D26033" w:rsidRPr="002A338C" w14:paraId="497FD694" w14:textId="77777777" w:rsidTr="005334F2">
        <w:trPr>
          <w:trHeight w:val="204"/>
        </w:trPr>
        <w:tc>
          <w:tcPr>
            <w:tcW w:w="2053" w:type="pct"/>
            <w:tcBorders>
              <w:top w:val="nil"/>
              <w:left w:val="nil"/>
              <w:bottom w:val="nil"/>
              <w:right w:val="nil"/>
            </w:tcBorders>
            <w:shd w:val="clear" w:color="auto" w:fill="auto"/>
            <w:noWrap/>
            <w:vAlign w:val="bottom"/>
            <w:hideMark/>
          </w:tcPr>
          <w:p w14:paraId="1D2896CA"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 xml:space="preserve">Depreciation and amortisation </w:t>
            </w:r>
            <w:r w:rsidRPr="002A338C">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hideMark/>
          </w:tcPr>
          <w:p w14:paraId="392D8E29" w14:textId="3F28106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38,266</w:t>
            </w:r>
          </w:p>
        </w:tc>
        <w:tc>
          <w:tcPr>
            <w:tcW w:w="586" w:type="pct"/>
            <w:tcBorders>
              <w:top w:val="nil"/>
              <w:left w:val="nil"/>
              <w:bottom w:val="nil"/>
              <w:right w:val="nil"/>
            </w:tcBorders>
            <w:shd w:val="clear" w:color="auto" w:fill="E6E6E6"/>
            <w:noWrap/>
            <w:vAlign w:val="bottom"/>
            <w:hideMark/>
          </w:tcPr>
          <w:p w14:paraId="23B39F60" w14:textId="7F0A72B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36,963</w:t>
            </w:r>
          </w:p>
        </w:tc>
        <w:tc>
          <w:tcPr>
            <w:tcW w:w="586" w:type="pct"/>
            <w:tcBorders>
              <w:top w:val="nil"/>
              <w:left w:val="nil"/>
              <w:bottom w:val="nil"/>
              <w:right w:val="nil"/>
            </w:tcBorders>
            <w:shd w:val="clear" w:color="auto" w:fill="auto"/>
            <w:noWrap/>
            <w:vAlign w:val="bottom"/>
            <w:hideMark/>
          </w:tcPr>
          <w:p w14:paraId="3CF5EF9B" w14:textId="4EDFF03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36,910</w:t>
            </w:r>
          </w:p>
        </w:tc>
        <w:tc>
          <w:tcPr>
            <w:tcW w:w="586" w:type="pct"/>
            <w:tcBorders>
              <w:top w:val="nil"/>
              <w:left w:val="nil"/>
              <w:bottom w:val="nil"/>
              <w:right w:val="nil"/>
            </w:tcBorders>
            <w:shd w:val="clear" w:color="auto" w:fill="auto"/>
            <w:noWrap/>
            <w:vAlign w:val="bottom"/>
            <w:hideMark/>
          </w:tcPr>
          <w:p w14:paraId="41F5DCF5" w14:textId="000FFD2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36,910</w:t>
            </w:r>
          </w:p>
        </w:tc>
        <w:tc>
          <w:tcPr>
            <w:tcW w:w="585" w:type="pct"/>
            <w:tcBorders>
              <w:top w:val="nil"/>
              <w:left w:val="nil"/>
              <w:bottom w:val="nil"/>
              <w:right w:val="nil"/>
            </w:tcBorders>
            <w:shd w:val="clear" w:color="auto" w:fill="auto"/>
            <w:noWrap/>
            <w:vAlign w:val="bottom"/>
            <w:hideMark/>
          </w:tcPr>
          <w:p w14:paraId="102A8011" w14:textId="006F5BF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36,910</w:t>
            </w:r>
          </w:p>
        </w:tc>
      </w:tr>
      <w:tr w:rsidR="00D26033" w:rsidRPr="002A338C" w14:paraId="1F64C20F" w14:textId="77777777" w:rsidTr="005334F2">
        <w:trPr>
          <w:trHeight w:val="204"/>
        </w:trPr>
        <w:tc>
          <w:tcPr>
            <w:tcW w:w="2053" w:type="pct"/>
            <w:tcBorders>
              <w:top w:val="nil"/>
              <w:left w:val="nil"/>
              <w:bottom w:val="nil"/>
              <w:right w:val="nil"/>
            </w:tcBorders>
            <w:shd w:val="clear" w:color="auto" w:fill="auto"/>
            <w:noWrap/>
            <w:vAlign w:val="bottom"/>
            <w:hideMark/>
          </w:tcPr>
          <w:p w14:paraId="4857D3C4"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Finance costs</w:t>
            </w:r>
          </w:p>
        </w:tc>
        <w:tc>
          <w:tcPr>
            <w:tcW w:w="604" w:type="pct"/>
            <w:tcBorders>
              <w:top w:val="nil"/>
              <w:left w:val="nil"/>
              <w:bottom w:val="nil"/>
              <w:right w:val="nil"/>
            </w:tcBorders>
            <w:shd w:val="clear" w:color="auto" w:fill="auto"/>
            <w:noWrap/>
            <w:vAlign w:val="bottom"/>
            <w:hideMark/>
          </w:tcPr>
          <w:p w14:paraId="6C63E489" w14:textId="4B28FA2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1,140</w:t>
            </w:r>
          </w:p>
        </w:tc>
        <w:tc>
          <w:tcPr>
            <w:tcW w:w="586" w:type="pct"/>
            <w:tcBorders>
              <w:top w:val="nil"/>
              <w:left w:val="nil"/>
              <w:bottom w:val="nil"/>
              <w:right w:val="nil"/>
            </w:tcBorders>
            <w:shd w:val="clear" w:color="auto" w:fill="E6E6E6"/>
            <w:noWrap/>
            <w:vAlign w:val="bottom"/>
            <w:hideMark/>
          </w:tcPr>
          <w:p w14:paraId="4F434FE8" w14:textId="7E11EB0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2,008</w:t>
            </w:r>
          </w:p>
        </w:tc>
        <w:tc>
          <w:tcPr>
            <w:tcW w:w="586" w:type="pct"/>
            <w:tcBorders>
              <w:top w:val="nil"/>
              <w:left w:val="nil"/>
              <w:bottom w:val="nil"/>
              <w:right w:val="nil"/>
            </w:tcBorders>
            <w:shd w:val="clear" w:color="auto" w:fill="auto"/>
            <w:noWrap/>
            <w:vAlign w:val="bottom"/>
            <w:hideMark/>
          </w:tcPr>
          <w:p w14:paraId="645D6619" w14:textId="107332D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1,890</w:t>
            </w:r>
          </w:p>
        </w:tc>
        <w:tc>
          <w:tcPr>
            <w:tcW w:w="586" w:type="pct"/>
            <w:tcBorders>
              <w:top w:val="nil"/>
              <w:left w:val="nil"/>
              <w:bottom w:val="nil"/>
              <w:right w:val="nil"/>
            </w:tcBorders>
            <w:shd w:val="clear" w:color="auto" w:fill="auto"/>
            <w:noWrap/>
            <w:vAlign w:val="bottom"/>
            <w:hideMark/>
          </w:tcPr>
          <w:p w14:paraId="6E22BFB8" w14:textId="2E71D87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1,890</w:t>
            </w:r>
          </w:p>
        </w:tc>
        <w:tc>
          <w:tcPr>
            <w:tcW w:w="585" w:type="pct"/>
            <w:tcBorders>
              <w:top w:val="nil"/>
              <w:left w:val="nil"/>
              <w:bottom w:val="nil"/>
              <w:right w:val="nil"/>
            </w:tcBorders>
            <w:shd w:val="clear" w:color="auto" w:fill="auto"/>
            <w:noWrap/>
            <w:vAlign w:val="bottom"/>
            <w:hideMark/>
          </w:tcPr>
          <w:p w14:paraId="4621F299" w14:textId="6089305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1,890</w:t>
            </w:r>
          </w:p>
        </w:tc>
      </w:tr>
      <w:tr w:rsidR="00D26033" w:rsidRPr="002A338C" w14:paraId="23782BC5" w14:textId="77777777" w:rsidTr="005334F2">
        <w:trPr>
          <w:trHeight w:val="204"/>
        </w:trPr>
        <w:tc>
          <w:tcPr>
            <w:tcW w:w="2053" w:type="pct"/>
            <w:tcBorders>
              <w:top w:val="nil"/>
              <w:left w:val="nil"/>
              <w:bottom w:val="nil"/>
              <w:right w:val="nil"/>
            </w:tcBorders>
            <w:shd w:val="clear" w:color="auto" w:fill="auto"/>
            <w:noWrap/>
            <w:vAlign w:val="bottom"/>
            <w:hideMark/>
          </w:tcPr>
          <w:p w14:paraId="77757131"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Write-down and impairment of assets</w:t>
            </w:r>
          </w:p>
        </w:tc>
        <w:tc>
          <w:tcPr>
            <w:tcW w:w="604" w:type="pct"/>
            <w:tcBorders>
              <w:top w:val="nil"/>
              <w:left w:val="nil"/>
              <w:bottom w:val="nil"/>
              <w:right w:val="nil"/>
            </w:tcBorders>
            <w:shd w:val="clear" w:color="auto" w:fill="auto"/>
            <w:noWrap/>
            <w:vAlign w:val="bottom"/>
            <w:hideMark/>
          </w:tcPr>
          <w:p w14:paraId="6F846A65" w14:textId="0A0FF91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1,375</w:t>
            </w:r>
          </w:p>
        </w:tc>
        <w:tc>
          <w:tcPr>
            <w:tcW w:w="586" w:type="pct"/>
            <w:tcBorders>
              <w:top w:val="nil"/>
              <w:left w:val="nil"/>
              <w:bottom w:val="nil"/>
              <w:right w:val="nil"/>
            </w:tcBorders>
            <w:shd w:val="clear" w:color="auto" w:fill="E6E6E6"/>
            <w:noWrap/>
            <w:vAlign w:val="bottom"/>
            <w:hideMark/>
          </w:tcPr>
          <w:p w14:paraId="45F29FCC" w14:textId="21D36A0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07E93FBC" w14:textId="4698633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1A3ED4FC" w14:textId="5F24184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777D782C" w14:textId="06C4B5C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r>
      <w:tr w:rsidR="00D26033" w:rsidRPr="002A338C" w14:paraId="550E16E1" w14:textId="77777777" w:rsidTr="005334F2">
        <w:trPr>
          <w:trHeight w:val="204"/>
        </w:trPr>
        <w:tc>
          <w:tcPr>
            <w:tcW w:w="2053" w:type="pct"/>
            <w:tcBorders>
              <w:top w:val="nil"/>
              <w:left w:val="nil"/>
              <w:bottom w:val="nil"/>
              <w:right w:val="nil"/>
            </w:tcBorders>
            <w:shd w:val="clear" w:color="auto" w:fill="auto"/>
            <w:noWrap/>
            <w:vAlign w:val="bottom"/>
            <w:hideMark/>
          </w:tcPr>
          <w:p w14:paraId="5433DABD"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Total expenses</w:t>
            </w:r>
          </w:p>
        </w:tc>
        <w:tc>
          <w:tcPr>
            <w:tcW w:w="604" w:type="pct"/>
            <w:tcBorders>
              <w:top w:val="single" w:sz="4" w:space="0" w:color="auto"/>
              <w:left w:val="nil"/>
              <w:bottom w:val="single" w:sz="4" w:space="0" w:color="auto"/>
              <w:right w:val="nil"/>
            </w:tcBorders>
            <w:shd w:val="clear" w:color="auto" w:fill="auto"/>
            <w:noWrap/>
            <w:vAlign w:val="bottom"/>
            <w:hideMark/>
          </w:tcPr>
          <w:p w14:paraId="645B6B03" w14:textId="437DBC60"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424,609</w:t>
            </w:r>
          </w:p>
        </w:tc>
        <w:tc>
          <w:tcPr>
            <w:tcW w:w="586" w:type="pct"/>
            <w:tcBorders>
              <w:top w:val="single" w:sz="4" w:space="0" w:color="auto"/>
              <w:left w:val="nil"/>
              <w:bottom w:val="single" w:sz="4" w:space="0" w:color="auto"/>
              <w:right w:val="nil"/>
            </w:tcBorders>
            <w:shd w:val="clear" w:color="auto" w:fill="E6E6E6"/>
            <w:noWrap/>
            <w:vAlign w:val="bottom"/>
            <w:hideMark/>
          </w:tcPr>
          <w:p w14:paraId="22253094" w14:textId="49B0941A"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435,885</w:t>
            </w:r>
          </w:p>
        </w:tc>
        <w:tc>
          <w:tcPr>
            <w:tcW w:w="586" w:type="pct"/>
            <w:tcBorders>
              <w:top w:val="single" w:sz="4" w:space="0" w:color="auto"/>
              <w:left w:val="nil"/>
              <w:bottom w:val="single" w:sz="4" w:space="0" w:color="auto"/>
              <w:right w:val="nil"/>
            </w:tcBorders>
            <w:shd w:val="clear" w:color="auto" w:fill="auto"/>
            <w:noWrap/>
            <w:vAlign w:val="bottom"/>
            <w:hideMark/>
          </w:tcPr>
          <w:p w14:paraId="07C5531E" w14:textId="162E927F"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421,052</w:t>
            </w:r>
          </w:p>
        </w:tc>
        <w:tc>
          <w:tcPr>
            <w:tcW w:w="586" w:type="pct"/>
            <w:tcBorders>
              <w:top w:val="single" w:sz="4" w:space="0" w:color="auto"/>
              <w:left w:val="nil"/>
              <w:bottom w:val="single" w:sz="4" w:space="0" w:color="auto"/>
              <w:right w:val="nil"/>
            </w:tcBorders>
            <w:shd w:val="clear" w:color="auto" w:fill="auto"/>
            <w:noWrap/>
            <w:vAlign w:val="bottom"/>
            <w:hideMark/>
          </w:tcPr>
          <w:p w14:paraId="381265F7" w14:textId="13B6DEF1"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394,873</w:t>
            </w:r>
          </w:p>
        </w:tc>
        <w:tc>
          <w:tcPr>
            <w:tcW w:w="585" w:type="pct"/>
            <w:tcBorders>
              <w:top w:val="single" w:sz="4" w:space="0" w:color="auto"/>
              <w:left w:val="nil"/>
              <w:bottom w:val="single" w:sz="4" w:space="0" w:color="auto"/>
              <w:right w:val="nil"/>
            </w:tcBorders>
            <w:shd w:val="clear" w:color="auto" w:fill="auto"/>
            <w:noWrap/>
            <w:vAlign w:val="bottom"/>
            <w:hideMark/>
          </w:tcPr>
          <w:p w14:paraId="34DE73D2" w14:textId="69937DFE"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382,369</w:t>
            </w:r>
          </w:p>
        </w:tc>
      </w:tr>
      <w:tr w:rsidR="00D26033" w:rsidRPr="002A338C" w14:paraId="421BC8E7" w14:textId="77777777" w:rsidTr="005334F2">
        <w:trPr>
          <w:trHeight w:val="204"/>
        </w:trPr>
        <w:tc>
          <w:tcPr>
            <w:tcW w:w="2053" w:type="pct"/>
            <w:tcBorders>
              <w:top w:val="nil"/>
              <w:left w:val="nil"/>
              <w:bottom w:val="nil"/>
              <w:right w:val="nil"/>
            </w:tcBorders>
            <w:shd w:val="clear" w:color="auto" w:fill="auto"/>
            <w:noWrap/>
            <w:vAlign w:val="bottom"/>
            <w:hideMark/>
          </w:tcPr>
          <w:p w14:paraId="18909C8B"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 xml:space="preserve">LESS: </w:t>
            </w:r>
          </w:p>
        </w:tc>
        <w:tc>
          <w:tcPr>
            <w:tcW w:w="604" w:type="pct"/>
            <w:tcBorders>
              <w:top w:val="nil"/>
              <w:left w:val="nil"/>
              <w:bottom w:val="nil"/>
              <w:right w:val="nil"/>
            </w:tcBorders>
            <w:shd w:val="clear" w:color="auto" w:fill="auto"/>
            <w:noWrap/>
            <w:vAlign w:val="bottom"/>
            <w:hideMark/>
          </w:tcPr>
          <w:p w14:paraId="7ED23C10"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noWrap/>
            <w:vAlign w:val="bottom"/>
            <w:hideMark/>
          </w:tcPr>
          <w:p w14:paraId="62571B29" w14:textId="5A556D30"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42B9DCB8"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6F555D1A" w14:textId="77777777" w:rsidR="00D26033" w:rsidRPr="002A338C" w:rsidRDefault="00D26033" w:rsidP="00D26033">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38E19B9E"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0FEF571A" w14:textId="77777777" w:rsidTr="005334F2">
        <w:trPr>
          <w:trHeight w:val="204"/>
        </w:trPr>
        <w:tc>
          <w:tcPr>
            <w:tcW w:w="2053" w:type="pct"/>
            <w:tcBorders>
              <w:top w:val="nil"/>
              <w:left w:val="nil"/>
              <w:bottom w:val="nil"/>
              <w:right w:val="nil"/>
            </w:tcBorders>
            <w:shd w:val="clear" w:color="auto" w:fill="auto"/>
            <w:noWrap/>
            <w:vAlign w:val="bottom"/>
            <w:hideMark/>
          </w:tcPr>
          <w:p w14:paraId="3EF70ADA"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OWN-SOURCE INCOME</w:t>
            </w:r>
          </w:p>
        </w:tc>
        <w:tc>
          <w:tcPr>
            <w:tcW w:w="604" w:type="pct"/>
            <w:tcBorders>
              <w:top w:val="nil"/>
              <w:left w:val="nil"/>
              <w:bottom w:val="nil"/>
              <w:right w:val="nil"/>
            </w:tcBorders>
            <w:shd w:val="clear" w:color="auto" w:fill="auto"/>
            <w:noWrap/>
            <w:vAlign w:val="bottom"/>
            <w:hideMark/>
          </w:tcPr>
          <w:p w14:paraId="26682B3B" w14:textId="77777777" w:rsidR="00D26033" w:rsidRPr="002A338C" w:rsidRDefault="00D26033" w:rsidP="00D26033">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E6E6E6"/>
            <w:noWrap/>
            <w:vAlign w:val="bottom"/>
            <w:hideMark/>
          </w:tcPr>
          <w:p w14:paraId="054F4EB4" w14:textId="1A4AA434"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4E8B01D1"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45D19221" w14:textId="77777777" w:rsidR="00D26033" w:rsidRPr="002A338C" w:rsidRDefault="00D26033" w:rsidP="00D26033">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13DFE8B6"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24EE2797" w14:textId="77777777" w:rsidTr="005334F2">
        <w:trPr>
          <w:trHeight w:val="204"/>
        </w:trPr>
        <w:tc>
          <w:tcPr>
            <w:tcW w:w="2053" w:type="pct"/>
            <w:tcBorders>
              <w:top w:val="nil"/>
              <w:left w:val="nil"/>
              <w:bottom w:val="nil"/>
              <w:right w:val="nil"/>
            </w:tcBorders>
            <w:shd w:val="clear" w:color="auto" w:fill="auto"/>
            <w:noWrap/>
            <w:vAlign w:val="bottom"/>
            <w:hideMark/>
          </w:tcPr>
          <w:p w14:paraId="6BED30C6"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Own-source revenue</w:t>
            </w:r>
          </w:p>
        </w:tc>
        <w:tc>
          <w:tcPr>
            <w:tcW w:w="604" w:type="pct"/>
            <w:tcBorders>
              <w:top w:val="nil"/>
              <w:left w:val="nil"/>
              <w:bottom w:val="nil"/>
              <w:right w:val="nil"/>
            </w:tcBorders>
            <w:shd w:val="clear" w:color="auto" w:fill="auto"/>
            <w:noWrap/>
            <w:vAlign w:val="bottom"/>
            <w:hideMark/>
          </w:tcPr>
          <w:p w14:paraId="0574FBD8" w14:textId="77777777" w:rsidR="00D26033" w:rsidRPr="002A338C" w:rsidRDefault="00D26033" w:rsidP="00D26033">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E6E6E6"/>
            <w:noWrap/>
            <w:vAlign w:val="bottom"/>
            <w:hideMark/>
          </w:tcPr>
          <w:p w14:paraId="73EE2DC3" w14:textId="3C8A2998"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135E76B2"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29FC5106" w14:textId="77777777" w:rsidR="00D26033" w:rsidRPr="002A338C" w:rsidRDefault="00D26033" w:rsidP="00D26033">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4FBD1C29"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0A175410" w14:textId="77777777" w:rsidTr="005334F2">
        <w:trPr>
          <w:trHeight w:val="204"/>
        </w:trPr>
        <w:tc>
          <w:tcPr>
            <w:tcW w:w="2053" w:type="pct"/>
            <w:tcBorders>
              <w:top w:val="nil"/>
              <w:left w:val="nil"/>
              <w:bottom w:val="nil"/>
              <w:right w:val="nil"/>
            </w:tcBorders>
            <w:shd w:val="clear" w:color="auto" w:fill="auto"/>
            <w:noWrap/>
            <w:vAlign w:val="bottom"/>
            <w:hideMark/>
          </w:tcPr>
          <w:p w14:paraId="5F718566"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Revenue from contracts with customers</w:t>
            </w:r>
          </w:p>
        </w:tc>
        <w:tc>
          <w:tcPr>
            <w:tcW w:w="604" w:type="pct"/>
            <w:tcBorders>
              <w:top w:val="nil"/>
              <w:left w:val="nil"/>
              <w:bottom w:val="nil"/>
              <w:right w:val="nil"/>
            </w:tcBorders>
            <w:shd w:val="clear" w:color="auto" w:fill="auto"/>
            <w:noWrap/>
            <w:vAlign w:val="bottom"/>
            <w:hideMark/>
          </w:tcPr>
          <w:p w14:paraId="21178714" w14:textId="1B6A89B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7,205</w:t>
            </w:r>
          </w:p>
        </w:tc>
        <w:tc>
          <w:tcPr>
            <w:tcW w:w="586" w:type="pct"/>
            <w:tcBorders>
              <w:top w:val="nil"/>
              <w:left w:val="nil"/>
              <w:bottom w:val="nil"/>
              <w:right w:val="nil"/>
            </w:tcBorders>
            <w:shd w:val="clear" w:color="auto" w:fill="E6E6E6"/>
            <w:noWrap/>
            <w:vAlign w:val="bottom"/>
            <w:hideMark/>
          </w:tcPr>
          <w:p w14:paraId="1EA5C8C2" w14:textId="613298C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6,330</w:t>
            </w:r>
          </w:p>
        </w:tc>
        <w:tc>
          <w:tcPr>
            <w:tcW w:w="586" w:type="pct"/>
            <w:tcBorders>
              <w:top w:val="nil"/>
              <w:left w:val="nil"/>
              <w:bottom w:val="nil"/>
              <w:right w:val="nil"/>
            </w:tcBorders>
            <w:shd w:val="clear" w:color="auto" w:fill="auto"/>
            <w:noWrap/>
            <w:vAlign w:val="bottom"/>
            <w:hideMark/>
          </w:tcPr>
          <w:p w14:paraId="591380AF" w14:textId="6D1C264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6,330</w:t>
            </w:r>
          </w:p>
        </w:tc>
        <w:tc>
          <w:tcPr>
            <w:tcW w:w="586" w:type="pct"/>
            <w:tcBorders>
              <w:top w:val="nil"/>
              <w:left w:val="nil"/>
              <w:bottom w:val="nil"/>
              <w:right w:val="nil"/>
            </w:tcBorders>
            <w:shd w:val="clear" w:color="auto" w:fill="auto"/>
            <w:noWrap/>
            <w:vAlign w:val="bottom"/>
            <w:hideMark/>
          </w:tcPr>
          <w:p w14:paraId="5C3C9AFB" w14:textId="6BF5EBD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6,330</w:t>
            </w:r>
          </w:p>
        </w:tc>
        <w:tc>
          <w:tcPr>
            <w:tcW w:w="585" w:type="pct"/>
            <w:tcBorders>
              <w:top w:val="nil"/>
              <w:left w:val="nil"/>
              <w:bottom w:val="nil"/>
              <w:right w:val="nil"/>
            </w:tcBorders>
            <w:shd w:val="clear" w:color="auto" w:fill="auto"/>
            <w:noWrap/>
            <w:vAlign w:val="bottom"/>
            <w:hideMark/>
          </w:tcPr>
          <w:p w14:paraId="1C126E1F" w14:textId="5465031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6,330</w:t>
            </w:r>
          </w:p>
        </w:tc>
      </w:tr>
      <w:tr w:rsidR="00D26033" w:rsidRPr="002A338C" w14:paraId="574B52A8" w14:textId="77777777" w:rsidTr="005334F2">
        <w:trPr>
          <w:trHeight w:val="204"/>
        </w:trPr>
        <w:tc>
          <w:tcPr>
            <w:tcW w:w="2053" w:type="pct"/>
            <w:tcBorders>
              <w:top w:val="nil"/>
              <w:left w:val="nil"/>
              <w:bottom w:val="nil"/>
              <w:right w:val="nil"/>
            </w:tcBorders>
            <w:shd w:val="clear" w:color="auto" w:fill="auto"/>
            <w:noWrap/>
            <w:vAlign w:val="bottom"/>
            <w:hideMark/>
          </w:tcPr>
          <w:p w14:paraId="3C009127"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Rental income</w:t>
            </w:r>
          </w:p>
        </w:tc>
        <w:tc>
          <w:tcPr>
            <w:tcW w:w="604" w:type="pct"/>
            <w:tcBorders>
              <w:top w:val="nil"/>
              <w:left w:val="nil"/>
              <w:bottom w:val="nil"/>
              <w:right w:val="nil"/>
            </w:tcBorders>
            <w:shd w:val="clear" w:color="auto" w:fill="auto"/>
            <w:noWrap/>
            <w:vAlign w:val="bottom"/>
            <w:hideMark/>
          </w:tcPr>
          <w:p w14:paraId="7CCD4681" w14:textId="4234C34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4,869</w:t>
            </w:r>
          </w:p>
        </w:tc>
        <w:tc>
          <w:tcPr>
            <w:tcW w:w="586" w:type="pct"/>
            <w:tcBorders>
              <w:top w:val="nil"/>
              <w:left w:val="nil"/>
              <w:bottom w:val="nil"/>
              <w:right w:val="nil"/>
            </w:tcBorders>
            <w:shd w:val="clear" w:color="auto" w:fill="E6E6E6"/>
            <w:noWrap/>
            <w:vAlign w:val="bottom"/>
            <w:hideMark/>
          </w:tcPr>
          <w:p w14:paraId="6A16ABB0" w14:textId="7D33610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1,954</w:t>
            </w:r>
          </w:p>
        </w:tc>
        <w:tc>
          <w:tcPr>
            <w:tcW w:w="586" w:type="pct"/>
            <w:tcBorders>
              <w:top w:val="nil"/>
              <w:left w:val="nil"/>
              <w:bottom w:val="nil"/>
              <w:right w:val="nil"/>
            </w:tcBorders>
            <w:shd w:val="clear" w:color="auto" w:fill="auto"/>
            <w:noWrap/>
            <w:vAlign w:val="bottom"/>
            <w:hideMark/>
          </w:tcPr>
          <w:p w14:paraId="02C55D47" w14:textId="371EA0F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1,954</w:t>
            </w:r>
          </w:p>
        </w:tc>
        <w:tc>
          <w:tcPr>
            <w:tcW w:w="586" w:type="pct"/>
            <w:tcBorders>
              <w:top w:val="nil"/>
              <w:left w:val="nil"/>
              <w:bottom w:val="nil"/>
              <w:right w:val="nil"/>
            </w:tcBorders>
            <w:shd w:val="clear" w:color="auto" w:fill="auto"/>
            <w:noWrap/>
            <w:vAlign w:val="bottom"/>
            <w:hideMark/>
          </w:tcPr>
          <w:p w14:paraId="68981434" w14:textId="2D11DF9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1,954</w:t>
            </w:r>
          </w:p>
        </w:tc>
        <w:tc>
          <w:tcPr>
            <w:tcW w:w="585" w:type="pct"/>
            <w:tcBorders>
              <w:top w:val="nil"/>
              <w:left w:val="nil"/>
              <w:bottom w:val="nil"/>
              <w:right w:val="nil"/>
            </w:tcBorders>
            <w:shd w:val="clear" w:color="auto" w:fill="auto"/>
            <w:noWrap/>
            <w:vAlign w:val="bottom"/>
            <w:hideMark/>
          </w:tcPr>
          <w:p w14:paraId="2D4BFD90" w14:textId="21BBCF7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1,954</w:t>
            </w:r>
          </w:p>
        </w:tc>
      </w:tr>
      <w:tr w:rsidR="00D26033" w:rsidRPr="002A338C" w14:paraId="07C3FCCB" w14:textId="77777777" w:rsidTr="005334F2">
        <w:trPr>
          <w:trHeight w:val="204"/>
        </w:trPr>
        <w:tc>
          <w:tcPr>
            <w:tcW w:w="2053" w:type="pct"/>
            <w:tcBorders>
              <w:top w:val="nil"/>
              <w:left w:val="nil"/>
              <w:bottom w:val="nil"/>
              <w:right w:val="nil"/>
            </w:tcBorders>
            <w:shd w:val="clear" w:color="auto" w:fill="auto"/>
            <w:noWrap/>
            <w:vAlign w:val="bottom"/>
            <w:hideMark/>
          </w:tcPr>
          <w:p w14:paraId="7FAECC99"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Other revenue</w:t>
            </w:r>
          </w:p>
        </w:tc>
        <w:tc>
          <w:tcPr>
            <w:tcW w:w="604" w:type="pct"/>
            <w:tcBorders>
              <w:top w:val="nil"/>
              <w:left w:val="nil"/>
              <w:bottom w:val="nil"/>
              <w:right w:val="nil"/>
            </w:tcBorders>
            <w:shd w:val="clear" w:color="auto" w:fill="auto"/>
            <w:noWrap/>
            <w:vAlign w:val="bottom"/>
            <w:hideMark/>
          </w:tcPr>
          <w:p w14:paraId="6FEBF40D" w14:textId="3D11FA3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3,129</w:t>
            </w:r>
          </w:p>
        </w:tc>
        <w:tc>
          <w:tcPr>
            <w:tcW w:w="586" w:type="pct"/>
            <w:tcBorders>
              <w:top w:val="nil"/>
              <w:left w:val="nil"/>
              <w:bottom w:val="nil"/>
              <w:right w:val="nil"/>
            </w:tcBorders>
            <w:shd w:val="clear" w:color="auto" w:fill="E6E6E6"/>
            <w:noWrap/>
            <w:vAlign w:val="bottom"/>
            <w:hideMark/>
          </w:tcPr>
          <w:p w14:paraId="49FE9B45" w14:textId="75B9EE5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5,580</w:t>
            </w:r>
          </w:p>
        </w:tc>
        <w:tc>
          <w:tcPr>
            <w:tcW w:w="586" w:type="pct"/>
            <w:tcBorders>
              <w:top w:val="nil"/>
              <w:left w:val="nil"/>
              <w:bottom w:val="nil"/>
              <w:right w:val="nil"/>
            </w:tcBorders>
            <w:shd w:val="clear" w:color="auto" w:fill="auto"/>
            <w:noWrap/>
            <w:vAlign w:val="bottom"/>
            <w:hideMark/>
          </w:tcPr>
          <w:p w14:paraId="47978C58" w14:textId="78F98D4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6,707</w:t>
            </w:r>
          </w:p>
        </w:tc>
        <w:tc>
          <w:tcPr>
            <w:tcW w:w="586" w:type="pct"/>
            <w:tcBorders>
              <w:top w:val="nil"/>
              <w:left w:val="nil"/>
              <w:bottom w:val="nil"/>
              <w:right w:val="nil"/>
            </w:tcBorders>
            <w:shd w:val="clear" w:color="auto" w:fill="auto"/>
            <w:noWrap/>
            <w:vAlign w:val="bottom"/>
            <w:hideMark/>
          </w:tcPr>
          <w:p w14:paraId="1BEFE37D" w14:textId="18AE62A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6,707</w:t>
            </w:r>
          </w:p>
        </w:tc>
        <w:tc>
          <w:tcPr>
            <w:tcW w:w="585" w:type="pct"/>
            <w:tcBorders>
              <w:top w:val="nil"/>
              <w:left w:val="nil"/>
              <w:bottom w:val="nil"/>
              <w:right w:val="nil"/>
            </w:tcBorders>
            <w:shd w:val="clear" w:color="auto" w:fill="auto"/>
            <w:noWrap/>
            <w:vAlign w:val="bottom"/>
            <w:hideMark/>
          </w:tcPr>
          <w:p w14:paraId="5CF6EBE1" w14:textId="750C0DA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6,707</w:t>
            </w:r>
          </w:p>
        </w:tc>
      </w:tr>
      <w:tr w:rsidR="00D26033" w:rsidRPr="002A338C" w14:paraId="3D3BB003" w14:textId="77777777" w:rsidTr="005334F2">
        <w:trPr>
          <w:trHeight w:val="204"/>
        </w:trPr>
        <w:tc>
          <w:tcPr>
            <w:tcW w:w="2053" w:type="pct"/>
            <w:tcBorders>
              <w:top w:val="nil"/>
              <w:left w:val="nil"/>
              <w:bottom w:val="nil"/>
              <w:right w:val="nil"/>
            </w:tcBorders>
            <w:shd w:val="clear" w:color="auto" w:fill="auto"/>
            <w:noWrap/>
            <w:vAlign w:val="bottom"/>
            <w:hideMark/>
          </w:tcPr>
          <w:p w14:paraId="04C5BA5C" w14:textId="77777777" w:rsidR="00D26033" w:rsidRPr="002A338C" w:rsidRDefault="00D26033" w:rsidP="00F9739C">
            <w:pPr>
              <w:spacing w:after="0" w:line="240" w:lineRule="auto"/>
              <w:ind w:left="-113" w:firstLineChars="2" w:firstLine="3"/>
              <w:rPr>
                <w:rFonts w:ascii="Arial" w:hAnsi="Arial" w:cs="Arial"/>
                <w:b/>
                <w:bCs/>
                <w:sz w:val="16"/>
                <w:szCs w:val="16"/>
              </w:rPr>
            </w:pPr>
            <w:r w:rsidRPr="002A338C">
              <w:rPr>
                <w:rFonts w:ascii="Arial" w:hAnsi="Arial" w:cs="Arial"/>
                <w:b/>
                <w:bCs/>
                <w:sz w:val="16"/>
                <w:szCs w:val="16"/>
              </w:rPr>
              <w:t>Total own-source revenue</w:t>
            </w:r>
          </w:p>
        </w:tc>
        <w:tc>
          <w:tcPr>
            <w:tcW w:w="604" w:type="pct"/>
            <w:tcBorders>
              <w:top w:val="single" w:sz="4" w:space="0" w:color="auto"/>
              <w:left w:val="nil"/>
              <w:bottom w:val="single" w:sz="4" w:space="0" w:color="auto"/>
              <w:right w:val="nil"/>
            </w:tcBorders>
            <w:shd w:val="clear" w:color="auto" w:fill="auto"/>
            <w:noWrap/>
            <w:vAlign w:val="bottom"/>
            <w:hideMark/>
          </w:tcPr>
          <w:p w14:paraId="308B2142" w14:textId="6A7520E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15,203</w:t>
            </w:r>
          </w:p>
        </w:tc>
        <w:tc>
          <w:tcPr>
            <w:tcW w:w="586" w:type="pct"/>
            <w:tcBorders>
              <w:top w:val="single" w:sz="4" w:space="0" w:color="auto"/>
              <w:left w:val="nil"/>
              <w:bottom w:val="single" w:sz="4" w:space="0" w:color="auto"/>
              <w:right w:val="nil"/>
            </w:tcBorders>
            <w:shd w:val="clear" w:color="auto" w:fill="E6E6E6"/>
            <w:noWrap/>
            <w:vAlign w:val="bottom"/>
            <w:hideMark/>
          </w:tcPr>
          <w:p w14:paraId="64879F8A" w14:textId="2A7C185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13,864</w:t>
            </w:r>
          </w:p>
        </w:tc>
        <w:tc>
          <w:tcPr>
            <w:tcW w:w="586" w:type="pct"/>
            <w:tcBorders>
              <w:top w:val="single" w:sz="4" w:space="0" w:color="auto"/>
              <w:left w:val="nil"/>
              <w:bottom w:val="single" w:sz="4" w:space="0" w:color="auto"/>
              <w:right w:val="nil"/>
            </w:tcBorders>
            <w:shd w:val="clear" w:color="auto" w:fill="auto"/>
            <w:noWrap/>
            <w:vAlign w:val="bottom"/>
            <w:hideMark/>
          </w:tcPr>
          <w:p w14:paraId="420064AC" w14:textId="75BF3E1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14,991</w:t>
            </w:r>
          </w:p>
        </w:tc>
        <w:tc>
          <w:tcPr>
            <w:tcW w:w="586" w:type="pct"/>
            <w:tcBorders>
              <w:top w:val="single" w:sz="4" w:space="0" w:color="auto"/>
              <w:left w:val="nil"/>
              <w:bottom w:val="single" w:sz="4" w:space="0" w:color="auto"/>
              <w:right w:val="nil"/>
            </w:tcBorders>
            <w:shd w:val="clear" w:color="auto" w:fill="auto"/>
            <w:noWrap/>
            <w:vAlign w:val="bottom"/>
            <w:hideMark/>
          </w:tcPr>
          <w:p w14:paraId="2422F7C6" w14:textId="44BEBD5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14,991</w:t>
            </w:r>
          </w:p>
        </w:tc>
        <w:tc>
          <w:tcPr>
            <w:tcW w:w="585" w:type="pct"/>
            <w:tcBorders>
              <w:top w:val="single" w:sz="4" w:space="0" w:color="auto"/>
              <w:left w:val="nil"/>
              <w:bottom w:val="single" w:sz="4" w:space="0" w:color="auto"/>
              <w:right w:val="nil"/>
            </w:tcBorders>
            <w:shd w:val="clear" w:color="auto" w:fill="auto"/>
            <w:noWrap/>
            <w:vAlign w:val="bottom"/>
            <w:hideMark/>
          </w:tcPr>
          <w:p w14:paraId="6C881FDF" w14:textId="6471C41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14,991</w:t>
            </w:r>
          </w:p>
        </w:tc>
      </w:tr>
      <w:tr w:rsidR="00D26033" w:rsidRPr="002A338C" w14:paraId="39A5673A" w14:textId="77777777" w:rsidTr="005334F2">
        <w:trPr>
          <w:trHeight w:val="204"/>
        </w:trPr>
        <w:tc>
          <w:tcPr>
            <w:tcW w:w="2053" w:type="pct"/>
            <w:tcBorders>
              <w:top w:val="nil"/>
              <w:left w:val="nil"/>
              <w:bottom w:val="nil"/>
              <w:right w:val="nil"/>
            </w:tcBorders>
            <w:shd w:val="clear" w:color="auto" w:fill="auto"/>
            <w:noWrap/>
            <w:vAlign w:val="bottom"/>
            <w:hideMark/>
          </w:tcPr>
          <w:p w14:paraId="35DC42A0" w14:textId="77777777" w:rsidR="00D26033" w:rsidRPr="002A338C" w:rsidRDefault="00D26033" w:rsidP="00F9739C">
            <w:pPr>
              <w:spacing w:after="0" w:line="240" w:lineRule="auto"/>
              <w:ind w:left="-113" w:firstLineChars="2" w:firstLine="3"/>
              <w:rPr>
                <w:rFonts w:ascii="Arial" w:hAnsi="Arial" w:cs="Arial"/>
                <w:b/>
                <w:bCs/>
                <w:sz w:val="16"/>
                <w:szCs w:val="16"/>
              </w:rPr>
            </w:pPr>
            <w:r w:rsidRPr="002A338C">
              <w:rPr>
                <w:rFonts w:ascii="Arial" w:hAnsi="Arial" w:cs="Arial"/>
                <w:b/>
                <w:bCs/>
                <w:sz w:val="16"/>
                <w:szCs w:val="16"/>
              </w:rPr>
              <w:t>Gains</w:t>
            </w:r>
          </w:p>
        </w:tc>
        <w:tc>
          <w:tcPr>
            <w:tcW w:w="604" w:type="pct"/>
            <w:tcBorders>
              <w:top w:val="nil"/>
              <w:left w:val="nil"/>
              <w:bottom w:val="nil"/>
              <w:right w:val="nil"/>
            </w:tcBorders>
            <w:shd w:val="clear" w:color="auto" w:fill="auto"/>
            <w:noWrap/>
            <w:vAlign w:val="bottom"/>
            <w:hideMark/>
          </w:tcPr>
          <w:p w14:paraId="5DF4BE4D"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noWrap/>
            <w:vAlign w:val="bottom"/>
            <w:hideMark/>
          </w:tcPr>
          <w:p w14:paraId="1135896F" w14:textId="7B7C5CE6"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4DE62BA9"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1225BF0D" w14:textId="77777777" w:rsidR="00D26033" w:rsidRPr="002A338C" w:rsidRDefault="00D26033" w:rsidP="00D26033">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4D1F023B"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244E1A4D" w14:textId="77777777" w:rsidTr="005334F2">
        <w:trPr>
          <w:trHeight w:val="204"/>
        </w:trPr>
        <w:tc>
          <w:tcPr>
            <w:tcW w:w="2053" w:type="pct"/>
            <w:tcBorders>
              <w:top w:val="nil"/>
              <w:left w:val="nil"/>
              <w:bottom w:val="nil"/>
              <w:right w:val="nil"/>
            </w:tcBorders>
            <w:shd w:val="clear" w:color="auto" w:fill="auto"/>
            <w:noWrap/>
            <w:vAlign w:val="bottom"/>
            <w:hideMark/>
          </w:tcPr>
          <w:p w14:paraId="1975F516" w14:textId="77777777" w:rsidR="00D26033" w:rsidRPr="002A338C" w:rsidRDefault="00D26033" w:rsidP="00F9739C">
            <w:pPr>
              <w:spacing w:after="0" w:line="240" w:lineRule="auto"/>
              <w:ind w:firstLineChars="2" w:firstLine="3"/>
              <w:rPr>
                <w:rFonts w:ascii="Arial" w:hAnsi="Arial" w:cs="Arial"/>
                <w:sz w:val="16"/>
                <w:szCs w:val="16"/>
              </w:rPr>
            </w:pPr>
            <w:r w:rsidRPr="002A338C">
              <w:rPr>
                <w:rFonts w:ascii="Arial" w:hAnsi="Arial" w:cs="Arial"/>
                <w:sz w:val="16"/>
                <w:szCs w:val="16"/>
              </w:rPr>
              <w:t>Other gains</w:t>
            </w:r>
          </w:p>
        </w:tc>
        <w:tc>
          <w:tcPr>
            <w:tcW w:w="604" w:type="pct"/>
            <w:tcBorders>
              <w:top w:val="nil"/>
              <w:left w:val="nil"/>
              <w:bottom w:val="nil"/>
              <w:right w:val="nil"/>
            </w:tcBorders>
            <w:shd w:val="clear" w:color="auto" w:fill="auto"/>
            <w:noWrap/>
            <w:vAlign w:val="bottom"/>
            <w:hideMark/>
          </w:tcPr>
          <w:p w14:paraId="5D481EBD" w14:textId="6D04ECB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298</w:t>
            </w:r>
          </w:p>
        </w:tc>
        <w:tc>
          <w:tcPr>
            <w:tcW w:w="586" w:type="pct"/>
            <w:tcBorders>
              <w:top w:val="nil"/>
              <w:left w:val="nil"/>
              <w:bottom w:val="nil"/>
              <w:right w:val="nil"/>
            </w:tcBorders>
            <w:shd w:val="clear" w:color="auto" w:fill="E6E6E6"/>
            <w:noWrap/>
            <w:vAlign w:val="bottom"/>
            <w:hideMark/>
          </w:tcPr>
          <w:p w14:paraId="32D01905" w14:textId="70FB4BB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570</w:t>
            </w:r>
          </w:p>
        </w:tc>
        <w:tc>
          <w:tcPr>
            <w:tcW w:w="586" w:type="pct"/>
            <w:tcBorders>
              <w:top w:val="nil"/>
              <w:left w:val="nil"/>
              <w:bottom w:val="nil"/>
              <w:right w:val="nil"/>
            </w:tcBorders>
            <w:shd w:val="clear" w:color="auto" w:fill="auto"/>
            <w:noWrap/>
            <w:vAlign w:val="bottom"/>
            <w:hideMark/>
          </w:tcPr>
          <w:p w14:paraId="745C9EEB" w14:textId="73941D0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570</w:t>
            </w:r>
          </w:p>
        </w:tc>
        <w:tc>
          <w:tcPr>
            <w:tcW w:w="586" w:type="pct"/>
            <w:tcBorders>
              <w:top w:val="nil"/>
              <w:left w:val="nil"/>
              <w:bottom w:val="nil"/>
              <w:right w:val="nil"/>
            </w:tcBorders>
            <w:shd w:val="clear" w:color="auto" w:fill="auto"/>
            <w:noWrap/>
            <w:vAlign w:val="bottom"/>
            <w:hideMark/>
          </w:tcPr>
          <w:p w14:paraId="20498FDD" w14:textId="142A208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570</w:t>
            </w:r>
          </w:p>
        </w:tc>
        <w:tc>
          <w:tcPr>
            <w:tcW w:w="585" w:type="pct"/>
            <w:tcBorders>
              <w:top w:val="nil"/>
              <w:left w:val="nil"/>
              <w:bottom w:val="nil"/>
              <w:right w:val="nil"/>
            </w:tcBorders>
            <w:shd w:val="clear" w:color="auto" w:fill="auto"/>
            <w:noWrap/>
            <w:vAlign w:val="bottom"/>
            <w:hideMark/>
          </w:tcPr>
          <w:p w14:paraId="4120D9BE" w14:textId="2F2FDC6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570</w:t>
            </w:r>
          </w:p>
        </w:tc>
      </w:tr>
      <w:tr w:rsidR="00D26033" w:rsidRPr="002A338C" w14:paraId="109E363D" w14:textId="77777777" w:rsidTr="005334F2">
        <w:trPr>
          <w:trHeight w:val="204"/>
        </w:trPr>
        <w:tc>
          <w:tcPr>
            <w:tcW w:w="2053" w:type="pct"/>
            <w:tcBorders>
              <w:top w:val="nil"/>
              <w:left w:val="nil"/>
              <w:bottom w:val="nil"/>
              <w:right w:val="nil"/>
            </w:tcBorders>
            <w:shd w:val="clear" w:color="auto" w:fill="auto"/>
            <w:noWrap/>
            <w:vAlign w:val="bottom"/>
            <w:hideMark/>
          </w:tcPr>
          <w:p w14:paraId="6353D25D" w14:textId="77777777" w:rsidR="00D26033" w:rsidRPr="002A338C" w:rsidRDefault="00D26033" w:rsidP="00F9739C">
            <w:pPr>
              <w:spacing w:after="0" w:line="240" w:lineRule="auto"/>
              <w:ind w:left="-113" w:firstLineChars="2" w:firstLine="3"/>
              <w:rPr>
                <w:rFonts w:ascii="Arial" w:hAnsi="Arial" w:cs="Arial"/>
                <w:b/>
                <w:bCs/>
                <w:sz w:val="16"/>
                <w:szCs w:val="16"/>
              </w:rPr>
            </w:pPr>
            <w:r w:rsidRPr="002A338C">
              <w:rPr>
                <w:rFonts w:ascii="Arial" w:hAnsi="Arial" w:cs="Arial"/>
                <w:b/>
                <w:bCs/>
                <w:sz w:val="16"/>
                <w:szCs w:val="16"/>
              </w:rPr>
              <w:t>Total gains</w:t>
            </w:r>
          </w:p>
        </w:tc>
        <w:tc>
          <w:tcPr>
            <w:tcW w:w="604" w:type="pct"/>
            <w:tcBorders>
              <w:top w:val="single" w:sz="4" w:space="0" w:color="auto"/>
              <w:left w:val="nil"/>
              <w:bottom w:val="single" w:sz="4" w:space="0" w:color="auto"/>
              <w:right w:val="nil"/>
            </w:tcBorders>
            <w:shd w:val="clear" w:color="auto" w:fill="auto"/>
            <w:noWrap/>
            <w:vAlign w:val="bottom"/>
            <w:hideMark/>
          </w:tcPr>
          <w:p w14:paraId="21BA242F" w14:textId="5A2715B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298</w:t>
            </w:r>
          </w:p>
        </w:tc>
        <w:tc>
          <w:tcPr>
            <w:tcW w:w="586" w:type="pct"/>
            <w:tcBorders>
              <w:top w:val="single" w:sz="4" w:space="0" w:color="auto"/>
              <w:left w:val="nil"/>
              <w:bottom w:val="single" w:sz="4" w:space="0" w:color="auto"/>
              <w:right w:val="nil"/>
            </w:tcBorders>
            <w:shd w:val="clear" w:color="auto" w:fill="E6E6E6"/>
            <w:noWrap/>
            <w:vAlign w:val="bottom"/>
            <w:hideMark/>
          </w:tcPr>
          <w:p w14:paraId="7D0AF636" w14:textId="2878CD19"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570</w:t>
            </w:r>
          </w:p>
        </w:tc>
        <w:tc>
          <w:tcPr>
            <w:tcW w:w="586" w:type="pct"/>
            <w:tcBorders>
              <w:top w:val="single" w:sz="4" w:space="0" w:color="auto"/>
              <w:left w:val="nil"/>
              <w:bottom w:val="single" w:sz="4" w:space="0" w:color="auto"/>
              <w:right w:val="nil"/>
            </w:tcBorders>
            <w:shd w:val="clear" w:color="auto" w:fill="auto"/>
            <w:noWrap/>
            <w:vAlign w:val="bottom"/>
            <w:hideMark/>
          </w:tcPr>
          <w:p w14:paraId="28947F56" w14:textId="3D60F3BA"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570</w:t>
            </w:r>
          </w:p>
        </w:tc>
        <w:tc>
          <w:tcPr>
            <w:tcW w:w="586" w:type="pct"/>
            <w:tcBorders>
              <w:top w:val="single" w:sz="4" w:space="0" w:color="auto"/>
              <w:left w:val="nil"/>
              <w:bottom w:val="single" w:sz="4" w:space="0" w:color="auto"/>
              <w:right w:val="nil"/>
            </w:tcBorders>
            <w:shd w:val="clear" w:color="auto" w:fill="auto"/>
            <w:noWrap/>
            <w:vAlign w:val="bottom"/>
            <w:hideMark/>
          </w:tcPr>
          <w:p w14:paraId="63E5DAAF" w14:textId="4B72F08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570</w:t>
            </w:r>
          </w:p>
        </w:tc>
        <w:tc>
          <w:tcPr>
            <w:tcW w:w="585" w:type="pct"/>
            <w:tcBorders>
              <w:top w:val="single" w:sz="4" w:space="0" w:color="auto"/>
              <w:left w:val="nil"/>
              <w:bottom w:val="single" w:sz="4" w:space="0" w:color="auto"/>
              <w:right w:val="nil"/>
            </w:tcBorders>
            <w:shd w:val="clear" w:color="auto" w:fill="auto"/>
            <w:noWrap/>
            <w:vAlign w:val="bottom"/>
            <w:hideMark/>
          </w:tcPr>
          <w:p w14:paraId="0403609E" w14:textId="1382293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570</w:t>
            </w:r>
          </w:p>
        </w:tc>
      </w:tr>
      <w:tr w:rsidR="00D26033" w:rsidRPr="002A338C" w14:paraId="28851E98" w14:textId="77777777" w:rsidTr="005334F2">
        <w:trPr>
          <w:trHeight w:val="204"/>
        </w:trPr>
        <w:tc>
          <w:tcPr>
            <w:tcW w:w="2053" w:type="pct"/>
            <w:tcBorders>
              <w:top w:val="nil"/>
              <w:left w:val="nil"/>
              <w:bottom w:val="nil"/>
              <w:right w:val="nil"/>
            </w:tcBorders>
            <w:shd w:val="clear" w:color="auto" w:fill="auto"/>
            <w:noWrap/>
            <w:vAlign w:val="bottom"/>
            <w:hideMark/>
          </w:tcPr>
          <w:p w14:paraId="2093756A"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Total own-source income</w:t>
            </w:r>
          </w:p>
        </w:tc>
        <w:tc>
          <w:tcPr>
            <w:tcW w:w="604" w:type="pct"/>
            <w:tcBorders>
              <w:top w:val="single" w:sz="4" w:space="0" w:color="auto"/>
              <w:left w:val="nil"/>
              <w:bottom w:val="single" w:sz="4" w:space="0" w:color="auto"/>
              <w:right w:val="nil"/>
            </w:tcBorders>
            <w:shd w:val="clear" w:color="auto" w:fill="auto"/>
            <w:noWrap/>
            <w:vAlign w:val="bottom"/>
            <w:hideMark/>
          </w:tcPr>
          <w:p w14:paraId="540C2046" w14:textId="0374B380"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15,501</w:t>
            </w:r>
          </w:p>
        </w:tc>
        <w:tc>
          <w:tcPr>
            <w:tcW w:w="586" w:type="pct"/>
            <w:tcBorders>
              <w:top w:val="single" w:sz="4" w:space="0" w:color="auto"/>
              <w:left w:val="nil"/>
              <w:bottom w:val="single" w:sz="4" w:space="0" w:color="auto"/>
              <w:right w:val="nil"/>
            </w:tcBorders>
            <w:shd w:val="clear" w:color="auto" w:fill="E6E6E6"/>
            <w:noWrap/>
            <w:vAlign w:val="bottom"/>
            <w:hideMark/>
          </w:tcPr>
          <w:p w14:paraId="703F032E" w14:textId="2F16DAAA"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14,434</w:t>
            </w:r>
          </w:p>
        </w:tc>
        <w:tc>
          <w:tcPr>
            <w:tcW w:w="586" w:type="pct"/>
            <w:tcBorders>
              <w:top w:val="single" w:sz="4" w:space="0" w:color="auto"/>
              <w:left w:val="nil"/>
              <w:bottom w:val="single" w:sz="4" w:space="0" w:color="auto"/>
              <w:right w:val="nil"/>
            </w:tcBorders>
            <w:shd w:val="clear" w:color="auto" w:fill="auto"/>
            <w:noWrap/>
            <w:vAlign w:val="bottom"/>
            <w:hideMark/>
          </w:tcPr>
          <w:p w14:paraId="3C69EF2D" w14:textId="1ACF893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15,561</w:t>
            </w:r>
          </w:p>
        </w:tc>
        <w:tc>
          <w:tcPr>
            <w:tcW w:w="586" w:type="pct"/>
            <w:tcBorders>
              <w:top w:val="single" w:sz="4" w:space="0" w:color="auto"/>
              <w:left w:val="nil"/>
              <w:bottom w:val="single" w:sz="4" w:space="0" w:color="auto"/>
              <w:right w:val="nil"/>
            </w:tcBorders>
            <w:shd w:val="clear" w:color="auto" w:fill="auto"/>
            <w:noWrap/>
            <w:vAlign w:val="bottom"/>
            <w:hideMark/>
          </w:tcPr>
          <w:p w14:paraId="470967BD" w14:textId="26CF0A0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15,561</w:t>
            </w:r>
          </w:p>
        </w:tc>
        <w:tc>
          <w:tcPr>
            <w:tcW w:w="585" w:type="pct"/>
            <w:tcBorders>
              <w:top w:val="single" w:sz="4" w:space="0" w:color="auto"/>
              <w:left w:val="nil"/>
              <w:bottom w:val="single" w:sz="4" w:space="0" w:color="auto"/>
              <w:right w:val="nil"/>
            </w:tcBorders>
            <w:shd w:val="clear" w:color="auto" w:fill="auto"/>
            <w:noWrap/>
            <w:vAlign w:val="bottom"/>
            <w:hideMark/>
          </w:tcPr>
          <w:p w14:paraId="4EDDA80F" w14:textId="6FC141C1"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15,561</w:t>
            </w:r>
          </w:p>
        </w:tc>
      </w:tr>
      <w:tr w:rsidR="00D26033" w:rsidRPr="002A338C" w14:paraId="32ED6D3F" w14:textId="77777777" w:rsidTr="005334F2">
        <w:trPr>
          <w:trHeight w:val="204"/>
        </w:trPr>
        <w:tc>
          <w:tcPr>
            <w:tcW w:w="2053" w:type="pct"/>
            <w:tcBorders>
              <w:top w:val="nil"/>
              <w:left w:val="nil"/>
              <w:bottom w:val="nil"/>
              <w:right w:val="nil"/>
            </w:tcBorders>
            <w:shd w:val="clear" w:color="auto" w:fill="auto"/>
            <w:vAlign w:val="bottom"/>
            <w:hideMark/>
          </w:tcPr>
          <w:p w14:paraId="15F36A37"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(cost of)/contribution by services</w:t>
            </w:r>
          </w:p>
        </w:tc>
        <w:tc>
          <w:tcPr>
            <w:tcW w:w="604" w:type="pct"/>
            <w:tcBorders>
              <w:top w:val="nil"/>
              <w:left w:val="nil"/>
              <w:bottom w:val="single" w:sz="4" w:space="0" w:color="auto"/>
              <w:right w:val="nil"/>
            </w:tcBorders>
            <w:shd w:val="clear" w:color="auto" w:fill="auto"/>
            <w:noWrap/>
            <w:vAlign w:val="bottom"/>
            <w:hideMark/>
          </w:tcPr>
          <w:p w14:paraId="363E6DEA" w14:textId="34E63C64"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(409,108)</w:t>
            </w:r>
          </w:p>
        </w:tc>
        <w:tc>
          <w:tcPr>
            <w:tcW w:w="586" w:type="pct"/>
            <w:tcBorders>
              <w:top w:val="nil"/>
              <w:left w:val="nil"/>
              <w:bottom w:val="single" w:sz="4" w:space="0" w:color="auto"/>
              <w:right w:val="nil"/>
            </w:tcBorders>
            <w:shd w:val="clear" w:color="auto" w:fill="E6E6E6"/>
            <w:noWrap/>
            <w:vAlign w:val="bottom"/>
            <w:hideMark/>
          </w:tcPr>
          <w:p w14:paraId="140B6AC0" w14:textId="58B26F15"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(421,451)</w:t>
            </w:r>
          </w:p>
        </w:tc>
        <w:tc>
          <w:tcPr>
            <w:tcW w:w="586" w:type="pct"/>
            <w:tcBorders>
              <w:top w:val="nil"/>
              <w:left w:val="nil"/>
              <w:bottom w:val="single" w:sz="4" w:space="0" w:color="auto"/>
              <w:right w:val="nil"/>
            </w:tcBorders>
            <w:shd w:val="clear" w:color="auto" w:fill="auto"/>
            <w:noWrap/>
            <w:vAlign w:val="bottom"/>
            <w:hideMark/>
          </w:tcPr>
          <w:p w14:paraId="150AF8D5" w14:textId="02D44040"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(405,491)</w:t>
            </w:r>
          </w:p>
        </w:tc>
        <w:tc>
          <w:tcPr>
            <w:tcW w:w="586" w:type="pct"/>
            <w:tcBorders>
              <w:top w:val="nil"/>
              <w:left w:val="nil"/>
              <w:bottom w:val="single" w:sz="4" w:space="0" w:color="auto"/>
              <w:right w:val="nil"/>
            </w:tcBorders>
            <w:shd w:val="clear" w:color="auto" w:fill="auto"/>
            <w:noWrap/>
            <w:vAlign w:val="bottom"/>
            <w:hideMark/>
          </w:tcPr>
          <w:p w14:paraId="60F8B5E1" w14:textId="6C605C09"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(379,312)</w:t>
            </w:r>
          </w:p>
        </w:tc>
        <w:tc>
          <w:tcPr>
            <w:tcW w:w="585" w:type="pct"/>
            <w:tcBorders>
              <w:top w:val="nil"/>
              <w:left w:val="nil"/>
              <w:bottom w:val="single" w:sz="4" w:space="0" w:color="auto"/>
              <w:right w:val="nil"/>
            </w:tcBorders>
            <w:shd w:val="clear" w:color="auto" w:fill="auto"/>
            <w:noWrap/>
            <w:vAlign w:val="bottom"/>
            <w:hideMark/>
          </w:tcPr>
          <w:p w14:paraId="406662E9" w14:textId="6F816BB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(366,808)</w:t>
            </w:r>
          </w:p>
        </w:tc>
      </w:tr>
      <w:tr w:rsidR="00D26033" w:rsidRPr="002A338C" w14:paraId="265ECF63" w14:textId="77777777" w:rsidTr="005334F2">
        <w:trPr>
          <w:trHeight w:val="204"/>
        </w:trPr>
        <w:tc>
          <w:tcPr>
            <w:tcW w:w="2053" w:type="pct"/>
            <w:tcBorders>
              <w:top w:val="nil"/>
              <w:left w:val="nil"/>
              <w:bottom w:val="nil"/>
              <w:right w:val="nil"/>
            </w:tcBorders>
            <w:shd w:val="clear" w:color="auto" w:fill="auto"/>
            <w:noWrap/>
            <w:vAlign w:val="bottom"/>
            <w:hideMark/>
          </w:tcPr>
          <w:p w14:paraId="5984D33E"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Revenue from Government</w:t>
            </w:r>
          </w:p>
        </w:tc>
        <w:tc>
          <w:tcPr>
            <w:tcW w:w="604" w:type="pct"/>
            <w:tcBorders>
              <w:top w:val="nil"/>
              <w:left w:val="nil"/>
              <w:bottom w:val="single" w:sz="4" w:space="0" w:color="auto"/>
              <w:right w:val="nil"/>
            </w:tcBorders>
            <w:shd w:val="clear" w:color="auto" w:fill="auto"/>
            <w:noWrap/>
            <w:vAlign w:val="bottom"/>
            <w:hideMark/>
          </w:tcPr>
          <w:p w14:paraId="57A8C4B1" w14:textId="6404695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414,308</w:t>
            </w:r>
          </w:p>
        </w:tc>
        <w:tc>
          <w:tcPr>
            <w:tcW w:w="586" w:type="pct"/>
            <w:tcBorders>
              <w:top w:val="nil"/>
              <w:left w:val="nil"/>
              <w:bottom w:val="single" w:sz="4" w:space="0" w:color="auto"/>
              <w:right w:val="nil"/>
            </w:tcBorders>
            <w:shd w:val="clear" w:color="auto" w:fill="E6E6E6"/>
            <w:noWrap/>
            <w:vAlign w:val="bottom"/>
            <w:hideMark/>
          </w:tcPr>
          <w:p w14:paraId="008EABF9" w14:textId="1849515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404,420</w:t>
            </w:r>
          </w:p>
        </w:tc>
        <w:tc>
          <w:tcPr>
            <w:tcW w:w="586" w:type="pct"/>
            <w:tcBorders>
              <w:top w:val="nil"/>
              <w:left w:val="nil"/>
              <w:bottom w:val="single" w:sz="4" w:space="0" w:color="auto"/>
              <w:right w:val="nil"/>
            </w:tcBorders>
            <w:shd w:val="clear" w:color="auto" w:fill="auto"/>
            <w:noWrap/>
            <w:vAlign w:val="bottom"/>
            <w:hideMark/>
          </w:tcPr>
          <w:p w14:paraId="7C68119F" w14:textId="4FC18B2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388,576</w:t>
            </w:r>
          </w:p>
        </w:tc>
        <w:tc>
          <w:tcPr>
            <w:tcW w:w="586" w:type="pct"/>
            <w:tcBorders>
              <w:top w:val="nil"/>
              <w:left w:val="nil"/>
              <w:bottom w:val="single" w:sz="4" w:space="0" w:color="auto"/>
              <w:right w:val="nil"/>
            </w:tcBorders>
            <w:shd w:val="clear" w:color="auto" w:fill="auto"/>
            <w:noWrap/>
            <w:vAlign w:val="bottom"/>
            <w:hideMark/>
          </w:tcPr>
          <w:p w14:paraId="3F78FA5F" w14:textId="4F046B9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362,397</w:t>
            </w:r>
          </w:p>
        </w:tc>
        <w:tc>
          <w:tcPr>
            <w:tcW w:w="585" w:type="pct"/>
            <w:tcBorders>
              <w:top w:val="nil"/>
              <w:left w:val="nil"/>
              <w:bottom w:val="single" w:sz="4" w:space="0" w:color="auto"/>
              <w:right w:val="nil"/>
            </w:tcBorders>
            <w:shd w:val="clear" w:color="auto" w:fill="auto"/>
            <w:noWrap/>
            <w:vAlign w:val="bottom"/>
            <w:hideMark/>
          </w:tcPr>
          <w:p w14:paraId="1F29EC66" w14:textId="77A0C64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349,893</w:t>
            </w:r>
          </w:p>
        </w:tc>
      </w:tr>
      <w:tr w:rsidR="00D26033" w:rsidRPr="002A338C" w14:paraId="34544E1C" w14:textId="77777777" w:rsidTr="00FB0D02">
        <w:trPr>
          <w:trHeight w:val="204"/>
        </w:trPr>
        <w:tc>
          <w:tcPr>
            <w:tcW w:w="2053" w:type="pct"/>
            <w:tcBorders>
              <w:top w:val="nil"/>
              <w:left w:val="nil"/>
              <w:bottom w:val="nil"/>
              <w:right w:val="nil"/>
            </w:tcBorders>
            <w:shd w:val="clear" w:color="auto" w:fill="auto"/>
            <w:vAlign w:val="bottom"/>
            <w:hideMark/>
          </w:tcPr>
          <w:p w14:paraId="1E46C3A3"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Surplus/(deficit) attributable to the Australian Government</w:t>
            </w:r>
          </w:p>
        </w:tc>
        <w:tc>
          <w:tcPr>
            <w:tcW w:w="604" w:type="pct"/>
            <w:tcBorders>
              <w:top w:val="nil"/>
              <w:left w:val="nil"/>
              <w:bottom w:val="single" w:sz="4" w:space="0" w:color="auto"/>
              <w:right w:val="nil"/>
            </w:tcBorders>
            <w:shd w:val="clear" w:color="auto" w:fill="auto"/>
            <w:noWrap/>
            <w:vAlign w:val="bottom"/>
            <w:hideMark/>
          </w:tcPr>
          <w:p w14:paraId="1BCC004F" w14:textId="6DE2F7F1"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5,200</w:t>
            </w:r>
          </w:p>
        </w:tc>
        <w:tc>
          <w:tcPr>
            <w:tcW w:w="586" w:type="pct"/>
            <w:tcBorders>
              <w:top w:val="single" w:sz="4" w:space="0" w:color="auto"/>
              <w:left w:val="nil"/>
              <w:bottom w:val="single" w:sz="4" w:space="0" w:color="auto"/>
              <w:right w:val="nil"/>
            </w:tcBorders>
            <w:shd w:val="clear" w:color="auto" w:fill="E6E6E6"/>
            <w:noWrap/>
            <w:vAlign w:val="bottom"/>
            <w:hideMark/>
          </w:tcPr>
          <w:p w14:paraId="7C34A419" w14:textId="6EFC6094"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(17,031)</w:t>
            </w:r>
          </w:p>
        </w:tc>
        <w:tc>
          <w:tcPr>
            <w:tcW w:w="586" w:type="pct"/>
            <w:tcBorders>
              <w:top w:val="nil"/>
              <w:left w:val="nil"/>
              <w:bottom w:val="single" w:sz="4" w:space="0" w:color="auto"/>
              <w:right w:val="nil"/>
            </w:tcBorders>
            <w:shd w:val="clear" w:color="auto" w:fill="auto"/>
            <w:noWrap/>
            <w:vAlign w:val="bottom"/>
            <w:hideMark/>
          </w:tcPr>
          <w:p w14:paraId="0A884547" w14:textId="45898208"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(16,915)</w:t>
            </w:r>
          </w:p>
        </w:tc>
        <w:tc>
          <w:tcPr>
            <w:tcW w:w="586" w:type="pct"/>
            <w:tcBorders>
              <w:top w:val="nil"/>
              <w:left w:val="nil"/>
              <w:bottom w:val="single" w:sz="4" w:space="0" w:color="auto"/>
              <w:right w:val="nil"/>
            </w:tcBorders>
            <w:shd w:val="clear" w:color="auto" w:fill="auto"/>
            <w:noWrap/>
            <w:vAlign w:val="bottom"/>
            <w:hideMark/>
          </w:tcPr>
          <w:p w14:paraId="28D66161" w14:textId="21B7B6A8"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(16,915)</w:t>
            </w:r>
          </w:p>
        </w:tc>
        <w:tc>
          <w:tcPr>
            <w:tcW w:w="585" w:type="pct"/>
            <w:tcBorders>
              <w:top w:val="nil"/>
              <w:left w:val="nil"/>
              <w:bottom w:val="single" w:sz="4" w:space="0" w:color="auto"/>
              <w:right w:val="nil"/>
            </w:tcBorders>
            <w:shd w:val="clear" w:color="auto" w:fill="auto"/>
            <w:noWrap/>
            <w:vAlign w:val="bottom"/>
            <w:hideMark/>
          </w:tcPr>
          <w:p w14:paraId="43627CA3" w14:textId="7BC7328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(16,915)</w:t>
            </w:r>
          </w:p>
        </w:tc>
      </w:tr>
      <w:tr w:rsidR="00D26033" w:rsidRPr="002A338C" w14:paraId="0A50C4EE" w14:textId="77777777" w:rsidTr="00FB0D02">
        <w:trPr>
          <w:trHeight w:val="204"/>
        </w:trPr>
        <w:tc>
          <w:tcPr>
            <w:tcW w:w="2053" w:type="pct"/>
            <w:tcBorders>
              <w:top w:val="nil"/>
              <w:left w:val="nil"/>
              <w:bottom w:val="nil"/>
              <w:right w:val="nil"/>
            </w:tcBorders>
            <w:shd w:val="clear" w:color="auto" w:fill="auto"/>
            <w:noWrap/>
            <w:vAlign w:val="bottom"/>
            <w:hideMark/>
          </w:tcPr>
          <w:p w14:paraId="21455A4C"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OTHER COMPREHENSIVE INCOME</w:t>
            </w:r>
          </w:p>
        </w:tc>
        <w:tc>
          <w:tcPr>
            <w:tcW w:w="604" w:type="pct"/>
            <w:tcBorders>
              <w:top w:val="nil"/>
              <w:left w:val="nil"/>
              <w:bottom w:val="nil"/>
              <w:right w:val="nil"/>
            </w:tcBorders>
            <w:shd w:val="clear" w:color="auto" w:fill="auto"/>
            <w:noWrap/>
            <w:vAlign w:val="bottom"/>
            <w:hideMark/>
          </w:tcPr>
          <w:p w14:paraId="7CA5CC14"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noWrap/>
            <w:vAlign w:val="bottom"/>
            <w:hideMark/>
          </w:tcPr>
          <w:p w14:paraId="7F931D7D" w14:textId="374EBF4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49DF38EC" w14:textId="77777777" w:rsidR="00D26033" w:rsidRPr="002A338C" w:rsidRDefault="00D26033" w:rsidP="00D26033">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auto"/>
            <w:noWrap/>
            <w:vAlign w:val="bottom"/>
            <w:hideMark/>
          </w:tcPr>
          <w:p w14:paraId="1397A0F6" w14:textId="77777777" w:rsidR="00D26033" w:rsidRPr="002A338C" w:rsidRDefault="00D26033" w:rsidP="00D26033">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3B06AE12"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50211140" w14:textId="77777777" w:rsidTr="00FB0D02">
        <w:trPr>
          <w:trHeight w:val="204"/>
        </w:trPr>
        <w:tc>
          <w:tcPr>
            <w:tcW w:w="2053" w:type="pct"/>
            <w:tcBorders>
              <w:top w:val="nil"/>
              <w:left w:val="nil"/>
              <w:bottom w:val="nil"/>
              <w:right w:val="nil"/>
            </w:tcBorders>
            <w:shd w:val="clear" w:color="auto" w:fill="auto"/>
            <w:noWrap/>
            <w:vAlign w:val="bottom"/>
            <w:hideMark/>
          </w:tcPr>
          <w:p w14:paraId="579F9083"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Changes in asset revaluation surplus</w:t>
            </w:r>
          </w:p>
        </w:tc>
        <w:tc>
          <w:tcPr>
            <w:tcW w:w="604" w:type="pct"/>
            <w:tcBorders>
              <w:top w:val="nil"/>
              <w:left w:val="nil"/>
              <w:bottom w:val="single" w:sz="4" w:space="0" w:color="auto"/>
              <w:right w:val="nil"/>
            </w:tcBorders>
            <w:shd w:val="clear" w:color="auto" w:fill="auto"/>
            <w:noWrap/>
            <w:vAlign w:val="bottom"/>
            <w:hideMark/>
          </w:tcPr>
          <w:p w14:paraId="1F77D852" w14:textId="630CE1D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4,606</w:t>
            </w:r>
          </w:p>
        </w:tc>
        <w:tc>
          <w:tcPr>
            <w:tcW w:w="586" w:type="pct"/>
            <w:tcBorders>
              <w:top w:val="nil"/>
              <w:left w:val="nil"/>
              <w:bottom w:val="single" w:sz="4" w:space="0" w:color="auto"/>
              <w:right w:val="nil"/>
            </w:tcBorders>
            <w:shd w:val="clear" w:color="auto" w:fill="E6E6E6"/>
            <w:noWrap/>
            <w:vAlign w:val="bottom"/>
            <w:hideMark/>
          </w:tcPr>
          <w:p w14:paraId="53B27663" w14:textId="00407675"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6" w:type="pct"/>
            <w:tcBorders>
              <w:top w:val="nil"/>
              <w:left w:val="nil"/>
              <w:bottom w:val="single" w:sz="4" w:space="0" w:color="auto"/>
              <w:right w:val="nil"/>
            </w:tcBorders>
            <w:shd w:val="clear" w:color="auto" w:fill="auto"/>
            <w:noWrap/>
            <w:vAlign w:val="bottom"/>
            <w:hideMark/>
          </w:tcPr>
          <w:p w14:paraId="0074A170" w14:textId="440D245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6" w:type="pct"/>
            <w:tcBorders>
              <w:top w:val="nil"/>
              <w:left w:val="nil"/>
              <w:bottom w:val="single" w:sz="4" w:space="0" w:color="auto"/>
              <w:right w:val="nil"/>
            </w:tcBorders>
            <w:shd w:val="clear" w:color="auto" w:fill="auto"/>
            <w:noWrap/>
            <w:vAlign w:val="bottom"/>
            <w:hideMark/>
          </w:tcPr>
          <w:p w14:paraId="156207A1" w14:textId="47373203"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5" w:type="pct"/>
            <w:tcBorders>
              <w:top w:val="nil"/>
              <w:left w:val="nil"/>
              <w:bottom w:val="single" w:sz="4" w:space="0" w:color="auto"/>
              <w:right w:val="nil"/>
            </w:tcBorders>
            <w:shd w:val="clear" w:color="auto" w:fill="auto"/>
            <w:noWrap/>
            <w:vAlign w:val="bottom"/>
            <w:hideMark/>
          </w:tcPr>
          <w:p w14:paraId="6CCB58F8" w14:textId="2B86653F"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r>
      <w:tr w:rsidR="00D26033" w:rsidRPr="002A338C" w14:paraId="4159A5B6" w14:textId="77777777" w:rsidTr="00FB0D02">
        <w:trPr>
          <w:trHeight w:val="204"/>
        </w:trPr>
        <w:tc>
          <w:tcPr>
            <w:tcW w:w="2053" w:type="pct"/>
            <w:tcBorders>
              <w:top w:val="nil"/>
              <w:left w:val="nil"/>
              <w:bottom w:val="nil"/>
              <w:right w:val="nil"/>
            </w:tcBorders>
            <w:shd w:val="clear" w:color="auto" w:fill="auto"/>
            <w:noWrap/>
            <w:vAlign w:val="bottom"/>
            <w:hideMark/>
          </w:tcPr>
          <w:p w14:paraId="1F9F9CBE"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 xml:space="preserve">Total other comprehensive income </w:t>
            </w:r>
          </w:p>
        </w:tc>
        <w:tc>
          <w:tcPr>
            <w:tcW w:w="604" w:type="pct"/>
            <w:tcBorders>
              <w:top w:val="single" w:sz="4" w:space="0" w:color="auto"/>
              <w:left w:val="nil"/>
              <w:bottom w:val="single" w:sz="4" w:space="0" w:color="auto"/>
              <w:right w:val="nil"/>
            </w:tcBorders>
            <w:shd w:val="clear" w:color="auto" w:fill="auto"/>
            <w:noWrap/>
            <w:vAlign w:val="bottom"/>
            <w:hideMark/>
          </w:tcPr>
          <w:p w14:paraId="494CEC5B" w14:textId="5DE6F8A7"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4,606</w:t>
            </w:r>
          </w:p>
        </w:tc>
        <w:tc>
          <w:tcPr>
            <w:tcW w:w="586" w:type="pct"/>
            <w:tcBorders>
              <w:top w:val="single" w:sz="4" w:space="0" w:color="auto"/>
              <w:left w:val="nil"/>
              <w:bottom w:val="single" w:sz="4" w:space="0" w:color="auto"/>
              <w:right w:val="nil"/>
            </w:tcBorders>
            <w:shd w:val="clear" w:color="auto" w:fill="E6E6E6"/>
            <w:noWrap/>
            <w:vAlign w:val="bottom"/>
            <w:hideMark/>
          </w:tcPr>
          <w:p w14:paraId="271435E7" w14:textId="00DE058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6" w:type="pct"/>
            <w:tcBorders>
              <w:top w:val="single" w:sz="4" w:space="0" w:color="auto"/>
              <w:left w:val="nil"/>
              <w:bottom w:val="single" w:sz="4" w:space="0" w:color="auto"/>
              <w:right w:val="nil"/>
            </w:tcBorders>
            <w:shd w:val="clear" w:color="auto" w:fill="auto"/>
            <w:noWrap/>
            <w:vAlign w:val="bottom"/>
            <w:hideMark/>
          </w:tcPr>
          <w:p w14:paraId="4D64A666" w14:textId="60878E65"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6" w:type="pct"/>
            <w:tcBorders>
              <w:top w:val="single" w:sz="4" w:space="0" w:color="auto"/>
              <w:left w:val="nil"/>
              <w:bottom w:val="single" w:sz="4" w:space="0" w:color="auto"/>
              <w:right w:val="nil"/>
            </w:tcBorders>
            <w:shd w:val="clear" w:color="auto" w:fill="auto"/>
            <w:noWrap/>
            <w:vAlign w:val="bottom"/>
            <w:hideMark/>
          </w:tcPr>
          <w:p w14:paraId="29507BD6" w14:textId="4B6E9DE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5" w:type="pct"/>
            <w:tcBorders>
              <w:top w:val="single" w:sz="4" w:space="0" w:color="auto"/>
              <w:left w:val="nil"/>
              <w:bottom w:val="single" w:sz="4" w:space="0" w:color="auto"/>
              <w:right w:val="nil"/>
            </w:tcBorders>
            <w:shd w:val="clear" w:color="auto" w:fill="auto"/>
            <w:noWrap/>
            <w:vAlign w:val="bottom"/>
            <w:hideMark/>
          </w:tcPr>
          <w:p w14:paraId="0FAB7FFC" w14:textId="6DAD34E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r>
      <w:tr w:rsidR="00D26033" w:rsidRPr="002A338C" w14:paraId="135F09FB" w14:textId="77777777" w:rsidTr="005334F2">
        <w:trPr>
          <w:trHeight w:val="204"/>
        </w:trPr>
        <w:tc>
          <w:tcPr>
            <w:tcW w:w="2053" w:type="pct"/>
            <w:tcBorders>
              <w:top w:val="nil"/>
              <w:left w:val="nil"/>
              <w:bottom w:val="single" w:sz="4" w:space="0" w:color="auto"/>
              <w:right w:val="nil"/>
            </w:tcBorders>
            <w:shd w:val="clear" w:color="auto" w:fill="auto"/>
            <w:vAlign w:val="bottom"/>
            <w:hideMark/>
          </w:tcPr>
          <w:p w14:paraId="273715AE"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Total comprehensive income/(loss) attributable to the Australian Government</w:t>
            </w:r>
          </w:p>
        </w:tc>
        <w:tc>
          <w:tcPr>
            <w:tcW w:w="604" w:type="pct"/>
            <w:tcBorders>
              <w:top w:val="single" w:sz="4" w:space="0" w:color="auto"/>
              <w:left w:val="nil"/>
              <w:bottom w:val="single" w:sz="4" w:space="0" w:color="auto"/>
              <w:right w:val="nil"/>
            </w:tcBorders>
            <w:shd w:val="clear" w:color="auto" w:fill="auto"/>
            <w:noWrap/>
            <w:vAlign w:val="bottom"/>
            <w:hideMark/>
          </w:tcPr>
          <w:p w14:paraId="07477088" w14:textId="28D2AD40"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9,806</w:t>
            </w:r>
          </w:p>
        </w:tc>
        <w:tc>
          <w:tcPr>
            <w:tcW w:w="586" w:type="pct"/>
            <w:tcBorders>
              <w:top w:val="single" w:sz="4" w:space="0" w:color="auto"/>
              <w:left w:val="nil"/>
              <w:bottom w:val="single" w:sz="4" w:space="0" w:color="auto"/>
              <w:right w:val="nil"/>
            </w:tcBorders>
            <w:shd w:val="clear" w:color="auto" w:fill="E6E6E6"/>
            <w:noWrap/>
            <w:vAlign w:val="bottom"/>
            <w:hideMark/>
          </w:tcPr>
          <w:p w14:paraId="5AB4CD59" w14:textId="3F33D22E"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(17,031)</w:t>
            </w:r>
          </w:p>
        </w:tc>
        <w:tc>
          <w:tcPr>
            <w:tcW w:w="586" w:type="pct"/>
            <w:tcBorders>
              <w:top w:val="single" w:sz="4" w:space="0" w:color="auto"/>
              <w:left w:val="nil"/>
              <w:bottom w:val="single" w:sz="4" w:space="0" w:color="auto"/>
              <w:right w:val="nil"/>
            </w:tcBorders>
            <w:shd w:val="clear" w:color="auto" w:fill="auto"/>
            <w:noWrap/>
            <w:vAlign w:val="bottom"/>
            <w:hideMark/>
          </w:tcPr>
          <w:p w14:paraId="6536B528" w14:textId="70610DB3"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(16,915)</w:t>
            </w:r>
          </w:p>
        </w:tc>
        <w:tc>
          <w:tcPr>
            <w:tcW w:w="586" w:type="pct"/>
            <w:tcBorders>
              <w:top w:val="single" w:sz="4" w:space="0" w:color="auto"/>
              <w:left w:val="nil"/>
              <w:bottom w:val="single" w:sz="4" w:space="0" w:color="auto"/>
              <w:right w:val="nil"/>
            </w:tcBorders>
            <w:shd w:val="clear" w:color="auto" w:fill="auto"/>
            <w:noWrap/>
            <w:vAlign w:val="bottom"/>
            <w:hideMark/>
          </w:tcPr>
          <w:p w14:paraId="7ED0B9F6" w14:textId="77D9831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(16,915)</w:t>
            </w:r>
          </w:p>
        </w:tc>
        <w:tc>
          <w:tcPr>
            <w:tcW w:w="585" w:type="pct"/>
            <w:tcBorders>
              <w:top w:val="single" w:sz="4" w:space="0" w:color="auto"/>
              <w:left w:val="nil"/>
              <w:bottom w:val="single" w:sz="4" w:space="0" w:color="auto"/>
              <w:right w:val="nil"/>
            </w:tcBorders>
            <w:shd w:val="clear" w:color="auto" w:fill="auto"/>
            <w:noWrap/>
            <w:vAlign w:val="bottom"/>
            <w:hideMark/>
          </w:tcPr>
          <w:p w14:paraId="287B0AEE" w14:textId="671D7E09"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(16,915)</w:t>
            </w:r>
          </w:p>
        </w:tc>
      </w:tr>
    </w:tbl>
    <w:p w14:paraId="400E9A88" w14:textId="77777777" w:rsidR="00115843" w:rsidRPr="002A338C" w:rsidRDefault="00115843" w:rsidP="00115843">
      <w:pPr>
        <w:pStyle w:val="TableHeadingNoTable"/>
        <w:spacing w:after="0"/>
        <w:rPr>
          <w:rFonts w:cs="Arial"/>
          <w:sz w:val="16"/>
          <w:szCs w:val="16"/>
        </w:rPr>
      </w:pPr>
      <w:r w:rsidRPr="002A338C">
        <w:rPr>
          <w:rFonts w:cs="Arial"/>
          <w:sz w:val="16"/>
          <w:szCs w:val="16"/>
        </w:rPr>
        <w:t>Note: Impact of net cash appropriation arrangements</w:t>
      </w:r>
    </w:p>
    <w:tbl>
      <w:tblPr>
        <w:tblW w:w="5000" w:type="pct"/>
        <w:tblLook w:val="04A0" w:firstRow="1" w:lastRow="0" w:firstColumn="1" w:lastColumn="0" w:noHBand="0" w:noVBand="1"/>
      </w:tblPr>
      <w:tblGrid>
        <w:gridCol w:w="3295"/>
        <w:gridCol w:w="822"/>
        <w:gridCol w:w="899"/>
        <w:gridCol w:w="899"/>
        <w:gridCol w:w="899"/>
        <w:gridCol w:w="896"/>
      </w:tblGrid>
      <w:tr w:rsidR="00D26033" w:rsidRPr="002A338C" w14:paraId="0FCC8346" w14:textId="77777777" w:rsidTr="005334F2">
        <w:trPr>
          <w:trHeight w:val="204"/>
        </w:trPr>
        <w:tc>
          <w:tcPr>
            <w:tcW w:w="2137" w:type="pct"/>
            <w:tcBorders>
              <w:top w:val="single" w:sz="4" w:space="0" w:color="auto"/>
              <w:left w:val="nil"/>
              <w:bottom w:val="nil"/>
              <w:right w:val="nil"/>
            </w:tcBorders>
            <w:shd w:val="clear" w:color="auto" w:fill="auto"/>
            <w:vAlign w:val="bottom"/>
            <w:hideMark/>
          </w:tcPr>
          <w:p w14:paraId="0B4B1DAA"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Total comprehensive income/(loss) as per statement of Comprehensive Income</w:t>
            </w:r>
          </w:p>
        </w:tc>
        <w:tc>
          <w:tcPr>
            <w:tcW w:w="533" w:type="pct"/>
            <w:tcBorders>
              <w:top w:val="single" w:sz="4" w:space="0" w:color="auto"/>
              <w:left w:val="nil"/>
              <w:bottom w:val="nil"/>
              <w:right w:val="nil"/>
            </w:tcBorders>
            <w:shd w:val="clear" w:color="auto" w:fill="auto"/>
            <w:noWrap/>
            <w:vAlign w:val="bottom"/>
            <w:hideMark/>
          </w:tcPr>
          <w:p w14:paraId="5BBDB675" w14:textId="2F63F6A2"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9,806</w:t>
            </w:r>
          </w:p>
        </w:tc>
        <w:tc>
          <w:tcPr>
            <w:tcW w:w="583" w:type="pct"/>
            <w:tcBorders>
              <w:top w:val="single" w:sz="4" w:space="0" w:color="auto"/>
              <w:left w:val="nil"/>
              <w:bottom w:val="nil"/>
              <w:right w:val="nil"/>
            </w:tcBorders>
            <w:shd w:val="clear" w:color="auto" w:fill="E6E6E6"/>
            <w:noWrap/>
            <w:vAlign w:val="bottom"/>
            <w:hideMark/>
          </w:tcPr>
          <w:p w14:paraId="180D8D15" w14:textId="094920AE"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(17,031)</w:t>
            </w:r>
          </w:p>
        </w:tc>
        <w:tc>
          <w:tcPr>
            <w:tcW w:w="583" w:type="pct"/>
            <w:tcBorders>
              <w:top w:val="single" w:sz="4" w:space="0" w:color="auto"/>
              <w:left w:val="nil"/>
              <w:bottom w:val="nil"/>
              <w:right w:val="nil"/>
            </w:tcBorders>
            <w:shd w:val="clear" w:color="auto" w:fill="auto"/>
            <w:noWrap/>
            <w:vAlign w:val="bottom"/>
            <w:hideMark/>
          </w:tcPr>
          <w:p w14:paraId="5AEA2BA7" w14:textId="60FBBBFD"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(16,915)</w:t>
            </w:r>
          </w:p>
        </w:tc>
        <w:tc>
          <w:tcPr>
            <w:tcW w:w="583" w:type="pct"/>
            <w:tcBorders>
              <w:top w:val="single" w:sz="4" w:space="0" w:color="auto"/>
              <w:left w:val="nil"/>
              <w:bottom w:val="nil"/>
              <w:right w:val="nil"/>
            </w:tcBorders>
            <w:shd w:val="clear" w:color="auto" w:fill="auto"/>
            <w:noWrap/>
            <w:vAlign w:val="bottom"/>
            <w:hideMark/>
          </w:tcPr>
          <w:p w14:paraId="64999B61" w14:textId="092482B8"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(16,915)</w:t>
            </w:r>
          </w:p>
        </w:tc>
        <w:tc>
          <w:tcPr>
            <w:tcW w:w="581" w:type="pct"/>
            <w:tcBorders>
              <w:top w:val="single" w:sz="4" w:space="0" w:color="auto"/>
              <w:left w:val="nil"/>
              <w:bottom w:val="nil"/>
              <w:right w:val="nil"/>
            </w:tcBorders>
            <w:shd w:val="clear" w:color="auto" w:fill="auto"/>
            <w:noWrap/>
            <w:vAlign w:val="bottom"/>
            <w:hideMark/>
          </w:tcPr>
          <w:p w14:paraId="73EABFC9" w14:textId="131E9753"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(16,915)</w:t>
            </w:r>
          </w:p>
        </w:tc>
      </w:tr>
      <w:tr w:rsidR="00D26033" w:rsidRPr="002A338C" w14:paraId="1556A82A" w14:textId="77777777" w:rsidTr="005334F2">
        <w:trPr>
          <w:trHeight w:val="204"/>
        </w:trPr>
        <w:tc>
          <w:tcPr>
            <w:tcW w:w="2137" w:type="pct"/>
            <w:tcBorders>
              <w:top w:val="nil"/>
              <w:left w:val="nil"/>
              <w:bottom w:val="nil"/>
              <w:right w:val="nil"/>
            </w:tcBorders>
            <w:shd w:val="clear" w:color="auto" w:fill="auto"/>
            <w:vAlign w:val="bottom"/>
            <w:hideMark/>
          </w:tcPr>
          <w:p w14:paraId="33D4D4A5" w14:textId="77777777" w:rsidR="00D26033" w:rsidRPr="002A338C" w:rsidRDefault="00D26033" w:rsidP="00D26033">
            <w:pPr>
              <w:spacing w:after="0" w:line="240" w:lineRule="auto"/>
              <w:ind w:left="113"/>
              <w:rPr>
                <w:rFonts w:ascii="Arial" w:hAnsi="Arial" w:cs="Arial"/>
                <w:color w:val="000000"/>
                <w:sz w:val="16"/>
                <w:szCs w:val="16"/>
              </w:rPr>
            </w:pPr>
            <w:r w:rsidRPr="002A338C">
              <w:rPr>
                <w:rFonts w:ascii="Arial" w:hAnsi="Arial" w:cs="Arial"/>
                <w:color w:val="000000"/>
                <w:sz w:val="16"/>
                <w:szCs w:val="16"/>
              </w:rPr>
              <w:t>plus: depreciation/amortisation of assets previously funded through appropriations </w:t>
            </w:r>
            <w:r w:rsidRPr="002A338C">
              <w:rPr>
                <w:rFonts w:ascii="Arial" w:hAnsi="Arial" w:cs="Arial"/>
                <w:color w:val="000000"/>
                <w:sz w:val="16"/>
                <w:szCs w:val="16"/>
                <w:vertAlign w:val="superscript"/>
              </w:rPr>
              <w:t>(a)</w:t>
            </w:r>
          </w:p>
        </w:tc>
        <w:tc>
          <w:tcPr>
            <w:tcW w:w="533" w:type="pct"/>
            <w:tcBorders>
              <w:top w:val="nil"/>
              <w:left w:val="nil"/>
              <w:bottom w:val="nil"/>
              <w:right w:val="nil"/>
            </w:tcBorders>
            <w:shd w:val="clear" w:color="auto" w:fill="auto"/>
            <w:noWrap/>
            <w:vAlign w:val="bottom"/>
            <w:hideMark/>
          </w:tcPr>
          <w:p w14:paraId="06EE8AF9" w14:textId="28F96D4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16,666</w:t>
            </w:r>
          </w:p>
        </w:tc>
        <w:tc>
          <w:tcPr>
            <w:tcW w:w="583" w:type="pct"/>
            <w:tcBorders>
              <w:top w:val="nil"/>
              <w:left w:val="nil"/>
              <w:bottom w:val="nil"/>
              <w:right w:val="nil"/>
            </w:tcBorders>
            <w:shd w:val="clear" w:color="auto" w:fill="E6E6E6"/>
            <w:noWrap/>
            <w:vAlign w:val="bottom"/>
            <w:hideMark/>
          </w:tcPr>
          <w:p w14:paraId="08561B72" w14:textId="03E33BF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16,795</w:t>
            </w:r>
          </w:p>
        </w:tc>
        <w:tc>
          <w:tcPr>
            <w:tcW w:w="583" w:type="pct"/>
            <w:tcBorders>
              <w:top w:val="nil"/>
              <w:left w:val="nil"/>
              <w:bottom w:val="nil"/>
              <w:right w:val="nil"/>
            </w:tcBorders>
            <w:shd w:val="clear" w:color="auto" w:fill="auto"/>
            <w:noWrap/>
            <w:vAlign w:val="bottom"/>
            <w:hideMark/>
          </w:tcPr>
          <w:p w14:paraId="6A67A599" w14:textId="3F80BC3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16,678</w:t>
            </w:r>
          </w:p>
        </w:tc>
        <w:tc>
          <w:tcPr>
            <w:tcW w:w="583" w:type="pct"/>
            <w:tcBorders>
              <w:top w:val="nil"/>
              <w:left w:val="nil"/>
              <w:bottom w:val="nil"/>
              <w:right w:val="nil"/>
            </w:tcBorders>
            <w:shd w:val="clear" w:color="auto" w:fill="auto"/>
            <w:noWrap/>
            <w:vAlign w:val="bottom"/>
            <w:hideMark/>
          </w:tcPr>
          <w:p w14:paraId="2548DFD6" w14:textId="48C14E0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16,678</w:t>
            </w:r>
          </w:p>
        </w:tc>
        <w:tc>
          <w:tcPr>
            <w:tcW w:w="581" w:type="pct"/>
            <w:tcBorders>
              <w:top w:val="nil"/>
              <w:left w:val="nil"/>
              <w:bottom w:val="nil"/>
              <w:right w:val="nil"/>
            </w:tcBorders>
            <w:shd w:val="clear" w:color="auto" w:fill="auto"/>
            <w:noWrap/>
            <w:vAlign w:val="bottom"/>
            <w:hideMark/>
          </w:tcPr>
          <w:p w14:paraId="77BFD4E1" w14:textId="3ADAC69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16,678</w:t>
            </w:r>
          </w:p>
        </w:tc>
      </w:tr>
      <w:tr w:rsidR="00D26033" w:rsidRPr="002A338C" w14:paraId="027763A2" w14:textId="77777777" w:rsidTr="005334F2">
        <w:trPr>
          <w:trHeight w:val="204"/>
        </w:trPr>
        <w:tc>
          <w:tcPr>
            <w:tcW w:w="2137" w:type="pct"/>
            <w:tcBorders>
              <w:top w:val="nil"/>
              <w:left w:val="nil"/>
              <w:bottom w:val="nil"/>
              <w:right w:val="nil"/>
            </w:tcBorders>
            <w:shd w:val="clear" w:color="auto" w:fill="auto"/>
            <w:vAlign w:val="bottom"/>
            <w:hideMark/>
          </w:tcPr>
          <w:p w14:paraId="387E0071" w14:textId="77777777" w:rsidR="00D26033" w:rsidRPr="002A338C" w:rsidRDefault="00D26033" w:rsidP="00D26033">
            <w:pPr>
              <w:spacing w:after="0" w:line="240" w:lineRule="auto"/>
              <w:ind w:left="113"/>
              <w:rPr>
                <w:rFonts w:ascii="Arial" w:hAnsi="Arial" w:cs="Arial"/>
                <w:color w:val="000000"/>
                <w:sz w:val="16"/>
                <w:szCs w:val="16"/>
              </w:rPr>
            </w:pPr>
            <w:r w:rsidRPr="002A338C">
              <w:rPr>
                <w:rFonts w:ascii="Arial" w:hAnsi="Arial" w:cs="Arial"/>
                <w:color w:val="000000"/>
                <w:sz w:val="16"/>
                <w:szCs w:val="16"/>
              </w:rPr>
              <w:t xml:space="preserve">plus: depreciation of ROU </w:t>
            </w:r>
            <w:r w:rsidRPr="002A338C">
              <w:rPr>
                <w:rFonts w:ascii="Arial" w:hAnsi="Arial" w:cs="Arial"/>
                <w:color w:val="000000"/>
                <w:sz w:val="16"/>
                <w:szCs w:val="16"/>
                <w:vertAlign w:val="superscript"/>
              </w:rPr>
              <w:t>(b)</w:t>
            </w:r>
          </w:p>
        </w:tc>
        <w:tc>
          <w:tcPr>
            <w:tcW w:w="533" w:type="pct"/>
            <w:tcBorders>
              <w:top w:val="nil"/>
              <w:left w:val="nil"/>
              <w:bottom w:val="nil"/>
              <w:right w:val="nil"/>
            </w:tcBorders>
            <w:shd w:val="clear" w:color="auto" w:fill="auto"/>
            <w:noWrap/>
            <w:vAlign w:val="bottom"/>
            <w:hideMark/>
          </w:tcPr>
          <w:p w14:paraId="54E3B6D5" w14:textId="7601989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21,600</w:t>
            </w:r>
          </w:p>
        </w:tc>
        <w:tc>
          <w:tcPr>
            <w:tcW w:w="583" w:type="pct"/>
            <w:tcBorders>
              <w:top w:val="nil"/>
              <w:left w:val="nil"/>
              <w:bottom w:val="nil"/>
              <w:right w:val="nil"/>
            </w:tcBorders>
            <w:shd w:val="clear" w:color="auto" w:fill="E6E6E6"/>
            <w:noWrap/>
            <w:vAlign w:val="bottom"/>
            <w:hideMark/>
          </w:tcPr>
          <w:p w14:paraId="3EE9E3AB" w14:textId="364713B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20,168</w:t>
            </w:r>
          </w:p>
        </w:tc>
        <w:tc>
          <w:tcPr>
            <w:tcW w:w="583" w:type="pct"/>
            <w:tcBorders>
              <w:top w:val="nil"/>
              <w:left w:val="nil"/>
              <w:bottom w:val="nil"/>
              <w:right w:val="nil"/>
            </w:tcBorders>
            <w:shd w:val="clear" w:color="auto" w:fill="auto"/>
            <w:noWrap/>
            <w:vAlign w:val="bottom"/>
            <w:hideMark/>
          </w:tcPr>
          <w:p w14:paraId="2DCFEC3E" w14:textId="5FCB7AD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20,232</w:t>
            </w:r>
          </w:p>
        </w:tc>
        <w:tc>
          <w:tcPr>
            <w:tcW w:w="583" w:type="pct"/>
            <w:tcBorders>
              <w:top w:val="nil"/>
              <w:left w:val="nil"/>
              <w:bottom w:val="nil"/>
              <w:right w:val="nil"/>
            </w:tcBorders>
            <w:shd w:val="clear" w:color="auto" w:fill="auto"/>
            <w:noWrap/>
            <w:vAlign w:val="bottom"/>
            <w:hideMark/>
          </w:tcPr>
          <w:p w14:paraId="1CA6C730" w14:textId="1C34688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20,232</w:t>
            </w:r>
          </w:p>
        </w:tc>
        <w:tc>
          <w:tcPr>
            <w:tcW w:w="581" w:type="pct"/>
            <w:tcBorders>
              <w:top w:val="nil"/>
              <w:left w:val="nil"/>
              <w:bottom w:val="nil"/>
              <w:right w:val="nil"/>
            </w:tcBorders>
            <w:shd w:val="clear" w:color="auto" w:fill="auto"/>
            <w:noWrap/>
            <w:vAlign w:val="bottom"/>
            <w:hideMark/>
          </w:tcPr>
          <w:p w14:paraId="45344CE9" w14:textId="219A64B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20,232</w:t>
            </w:r>
          </w:p>
        </w:tc>
      </w:tr>
      <w:tr w:rsidR="00D26033" w:rsidRPr="002A338C" w14:paraId="41F600A2" w14:textId="77777777" w:rsidTr="005334F2">
        <w:trPr>
          <w:trHeight w:val="204"/>
        </w:trPr>
        <w:tc>
          <w:tcPr>
            <w:tcW w:w="2137" w:type="pct"/>
            <w:tcBorders>
              <w:top w:val="nil"/>
              <w:left w:val="nil"/>
              <w:bottom w:val="nil"/>
              <w:right w:val="nil"/>
            </w:tcBorders>
            <w:shd w:val="clear" w:color="auto" w:fill="auto"/>
            <w:vAlign w:val="bottom"/>
            <w:hideMark/>
          </w:tcPr>
          <w:p w14:paraId="3936014A" w14:textId="0F1F9FD7" w:rsidR="00D26033" w:rsidRPr="002A338C" w:rsidRDefault="00F9739C" w:rsidP="00D26033">
            <w:pPr>
              <w:spacing w:after="0" w:line="240" w:lineRule="auto"/>
              <w:ind w:left="113"/>
              <w:rPr>
                <w:rFonts w:ascii="Arial" w:hAnsi="Arial" w:cs="Arial"/>
                <w:color w:val="000000"/>
                <w:sz w:val="16"/>
                <w:szCs w:val="16"/>
              </w:rPr>
            </w:pPr>
            <w:r>
              <w:rPr>
                <w:rFonts w:ascii="Arial" w:hAnsi="Arial" w:cs="Arial"/>
                <w:color w:val="000000"/>
                <w:sz w:val="16"/>
                <w:szCs w:val="16"/>
              </w:rPr>
              <w:t>l</w:t>
            </w:r>
            <w:r w:rsidR="00D26033" w:rsidRPr="002A338C">
              <w:rPr>
                <w:rFonts w:ascii="Arial" w:hAnsi="Arial" w:cs="Arial"/>
                <w:color w:val="000000"/>
                <w:sz w:val="16"/>
                <w:szCs w:val="16"/>
              </w:rPr>
              <w:t>ess</w:t>
            </w:r>
            <w:r w:rsidR="00D26033">
              <w:rPr>
                <w:rFonts w:ascii="Arial" w:hAnsi="Arial" w:cs="Arial"/>
                <w:color w:val="000000"/>
                <w:sz w:val="16"/>
                <w:szCs w:val="16"/>
              </w:rPr>
              <w:t>:</w:t>
            </w:r>
            <w:r w:rsidR="00D26033" w:rsidRPr="002A338C">
              <w:rPr>
                <w:rFonts w:ascii="Arial" w:hAnsi="Arial" w:cs="Arial"/>
                <w:color w:val="000000"/>
                <w:sz w:val="16"/>
                <w:szCs w:val="16"/>
              </w:rPr>
              <w:t xml:space="preserve"> principal repayments </w:t>
            </w:r>
            <w:r w:rsidR="00D26033" w:rsidRPr="002A338C">
              <w:rPr>
                <w:rFonts w:ascii="Arial" w:hAnsi="Arial" w:cs="Arial"/>
                <w:color w:val="000000"/>
                <w:sz w:val="16"/>
                <w:szCs w:val="16"/>
                <w:vertAlign w:val="superscript"/>
              </w:rPr>
              <w:t>(b)</w:t>
            </w:r>
          </w:p>
        </w:tc>
        <w:tc>
          <w:tcPr>
            <w:tcW w:w="533" w:type="pct"/>
            <w:tcBorders>
              <w:top w:val="nil"/>
              <w:left w:val="nil"/>
              <w:bottom w:val="nil"/>
              <w:right w:val="nil"/>
            </w:tcBorders>
            <w:shd w:val="clear" w:color="auto" w:fill="auto"/>
            <w:noWrap/>
            <w:vAlign w:val="bottom"/>
            <w:hideMark/>
          </w:tcPr>
          <w:p w14:paraId="67DC39A4" w14:textId="72BC2B1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(21,666)</w:t>
            </w:r>
          </w:p>
        </w:tc>
        <w:tc>
          <w:tcPr>
            <w:tcW w:w="583" w:type="pct"/>
            <w:tcBorders>
              <w:top w:val="nil"/>
              <w:left w:val="nil"/>
              <w:bottom w:val="nil"/>
              <w:right w:val="nil"/>
            </w:tcBorders>
            <w:shd w:val="clear" w:color="auto" w:fill="E6E6E6"/>
            <w:noWrap/>
            <w:vAlign w:val="bottom"/>
            <w:hideMark/>
          </w:tcPr>
          <w:p w14:paraId="069C3D8C" w14:textId="792DD98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(19,932)</w:t>
            </w:r>
          </w:p>
        </w:tc>
        <w:tc>
          <w:tcPr>
            <w:tcW w:w="583" w:type="pct"/>
            <w:tcBorders>
              <w:top w:val="nil"/>
              <w:left w:val="nil"/>
              <w:bottom w:val="nil"/>
              <w:right w:val="nil"/>
            </w:tcBorders>
            <w:shd w:val="clear" w:color="auto" w:fill="auto"/>
            <w:noWrap/>
            <w:vAlign w:val="bottom"/>
            <w:hideMark/>
          </w:tcPr>
          <w:p w14:paraId="32F1C5BA" w14:textId="6E2D137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(19,995)</w:t>
            </w:r>
          </w:p>
        </w:tc>
        <w:tc>
          <w:tcPr>
            <w:tcW w:w="583" w:type="pct"/>
            <w:tcBorders>
              <w:top w:val="nil"/>
              <w:left w:val="nil"/>
              <w:bottom w:val="nil"/>
              <w:right w:val="nil"/>
            </w:tcBorders>
            <w:shd w:val="clear" w:color="auto" w:fill="auto"/>
            <w:noWrap/>
            <w:vAlign w:val="bottom"/>
            <w:hideMark/>
          </w:tcPr>
          <w:p w14:paraId="003B4E4F" w14:textId="588873A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(19,995)</w:t>
            </w:r>
          </w:p>
        </w:tc>
        <w:tc>
          <w:tcPr>
            <w:tcW w:w="581" w:type="pct"/>
            <w:tcBorders>
              <w:top w:val="nil"/>
              <w:left w:val="nil"/>
              <w:bottom w:val="nil"/>
              <w:right w:val="nil"/>
            </w:tcBorders>
            <w:shd w:val="clear" w:color="auto" w:fill="auto"/>
            <w:noWrap/>
            <w:vAlign w:val="bottom"/>
            <w:hideMark/>
          </w:tcPr>
          <w:p w14:paraId="7E37E917" w14:textId="12BBE0B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(19,995)</w:t>
            </w:r>
          </w:p>
        </w:tc>
      </w:tr>
      <w:tr w:rsidR="00D26033" w:rsidRPr="002A338C" w14:paraId="74CD6879" w14:textId="77777777" w:rsidTr="005334F2">
        <w:trPr>
          <w:trHeight w:val="204"/>
        </w:trPr>
        <w:tc>
          <w:tcPr>
            <w:tcW w:w="2137" w:type="pct"/>
            <w:tcBorders>
              <w:top w:val="nil"/>
              <w:left w:val="nil"/>
              <w:bottom w:val="single" w:sz="4" w:space="0" w:color="auto"/>
              <w:right w:val="nil"/>
            </w:tcBorders>
            <w:shd w:val="clear" w:color="auto" w:fill="auto"/>
            <w:vAlign w:val="bottom"/>
            <w:hideMark/>
          </w:tcPr>
          <w:p w14:paraId="158310A9"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Cash Operating Surplus/(Deficit)</w:t>
            </w:r>
          </w:p>
        </w:tc>
        <w:tc>
          <w:tcPr>
            <w:tcW w:w="533" w:type="pct"/>
            <w:tcBorders>
              <w:top w:val="single" w:sz="4" w:space="0" w:color="auto"/>
              <w:left w:val="nil"/>
              <w:bottom w:val="single" w:sz="4" w:space="0" w:color="auto"/>
              <w:right w:val="nil"/>
            </w:tcBorders>
            <w:shd w:val="clear" w:color="auto" w:fill="auto"/>
            <w:vAlign w:val="bottom"/>
            <w:hideMark/>
          </w:tcPr>
          <w:p w14:paraId="6022D3A6" w14:textId="3B15EB3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26,406</w:t>
            </w:r>
          </w:p>
        </w:tc>
        <w:tc>
          <w:tcPr>
            <w:tcW w:w="583" w:type="pct"/>
            <w:tcBorders>
              <w:top w:val="single" w:sz="4" w:space="0" w:color="auto"/>
              <w:left w:val="nil"/>
              <w:bottom w:val="single" w:sz="4" w:space="0" w:color="auto"/>
              <w:right w:val="nil"/>
            </w:tcBorders>
            <w:shd w:val="clear" w:color="auto" w:fill="E6E6E6"/>
            <w:vAlign w:val="bottom"/>
            <w:hideMark/>
          </w:tcPr>
          <w:p w14:paraId="331E603F" w14:textId="52ED5BB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3" w:type="pct"/>
            <w:tcBorders>
              <w:top w:val="single" w:sz="4" w:space="0" w:color="auto"/>
              <w:left w:val="nil"/>
              <w:bottom w:val="single" w:sz="4" w:space="0" w:color="auto"/>
              <w:right w:val="nil"/>
            </w:tcBorders>
            <w:shd w:val="clear" w:color="auto" w:fill="auto"/>
            <w:vAlign w:val="bottom"/>
            <w:hideMark/>
          </w:tcPr>
          <w:p w14:paraId="2F5F1BAB" w14:textId="76E396C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3" w:type="pct"/>
            <w:tcBorders>
              <w:top w:val="single" w:sz="4" w:space="0" w:color="auto"/>
              <w:left w:val="nil"/>
              <w:bottom w:val="single" w:sz="4" w:space="0" w:color="auto"/>
              <w:right w:val="nil"/>
            </w:tcBorders>
            <w:shd w:val="clear" w:color="auto" w:fill="auto"/>
            <w:vAlign w:val="bottom"/>
            <w:hideMark/>
          </w:tcPr>
          <w:p w14:paraId="6EB52D3C" w14:textId="141C2557"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81" w:type="pct"/>
            <w:tcBorders>
              <w:top w:val="single" w:sz="4" w:space="0" w:color="auto"/>
              <w:left w:val="nil"/>
              <w:bottom w:val="single" w:sz="4" w:space="0" w:color="auto"/>
              <w:right w:val="nil"/>
            </w:tcBorders>
            <w:shd w:val="clear" w:color="auto" w:fill="auto"/>
            <w:vAlign w:val="bottom"/>
            <w:hideMark/>
          </w:tcPr>
          <w:p w14:paraId="379546E4" w14:textId="16D13461"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r>
    </w:tbl>
    <w:p w14:paraId="072DED63" w14:textId="77777777" w:rsidR="00115843" w:rsidRPr="002A338C" w:rsidRDefault="00115843" w:rsidP="00115843">
      <w:pPr>
        <w:spacing w:before="60" w:after="0" w:line="240" w:lineRule="auto"/>
        <w:rPr>
          <w:rFonts w:ascii="Arial" w:hAnsi="Arial" w:cs="Arial"/>
          <w:sz w:val="16"/>
          <w:szCs w:val="16"/>
        </w:rPr>
      </w:pPr>
      <w:r w:rsidRPr="002A338C">
        <w:rPr>
          <w:rFonts w:ascii="Arial" w:hAnsi="Arial" w:cs="Arial"/>
          <w:sz w:val="16"/>
          <w:szCs w:val="16"/>
        </w:rPr>
        <w:t>Prepared on Australian Accounting Standards basis.</w:t>
      </w:r>
    </w:p>
    <w:p w14:paraId="07F89329" w14:textId="77777777" w:rsidR="00115843" w:rsidRPr="002A338C" w:rsidRDefault="00115843" w:rsidP="00115843">
      <w:pPr>
        <w:pStyle w:val="ListParagraph"/>
        <w:numPr>
          <w:ilvl w:val="4"/>
          <w:numId w:val="179"/>
        </w:numPr>
        <w:spacing w:after="0" w:line="240" w:lineRule="auto"/>
        <w:ind w:left="426" w:hanging="426"/>
        <w:rPr>
          <w:rFonts w:ascii="Arial" w:hAnsi="Arial" w:cs="Arial"/>
          <w:sz w:val="16"/>
          <w:szCs w:val="16"/>
        </w:rPr>
      </w:pPr>
      <w:r w:rsidRPr="002A338C">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6632351A" w14:textId="0083B1D5" w:rsidR="00115843" w:rsidRPr="00276F69" w:rsidRDefault="00115843" w:rsidP="00115843">
      <w:pPr>
        <w:pStyle w:val="ListParagraph"/>
        <w:numPr>
          <w:ilvl w:val="4"/>
          <w:numId w:val="179"/>
        </w:numPr>
        <w:spacing w:after="0" w:line="240" w:lineRule="auto"/>
        <w:ind w:left="426" w:hanging="426"/>
        <w:rPr>
          <w:rFonts w:ascii="Arial" w:hAnsi="Arial" w:cs="Arial"/>
          <w:sz w:val="16"/>
        </w:rPr>
      </w:pPr>
      <w:r w:rsidRPr="002A338C">
        <w:rPr>
          <w:rFonts w:ascii="Arial" w:hAnsi="Arial" w:cs="Arial"/>
          <w:sz w:val="16"/>
          <w:szCs w:val="16"/>
        </w:rPr>
        <w:t>Applies to lease arrangements under AASB 16 Leases</w:t>
      </w:r>
      <w:r w:rsidR="00F9739C">
        <w:rPr>
          <w:rFonts w:ascii="Arial" w:hAnsi="Arial" w:cs="Arial"/>
          <w:sz w:val="16"/>
          <w:szCs w:val="16"/>
        </w:rPr>
        <w:t>.</w:t>
      </w:r>
      <w:r>
        <w:br w:type="page"/>
      </w:r>
    </w:p>
    <w:p w14:paraId="2F2C22E7" w14:textId="77777777" w:rsidR="00115843" w:rsidRDefault="00115843" w:rsidP="00115843">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130"/>
        <w:gridCol w:w="976"/>
        <w:gridCol w:w="901"/>
        <w:gridCol w:w="901"/>
        <w:gridCol w:w="901"/>
        <w:gridCol w:w="901"/>
      </w:tblGrid>
      <w:tr w:rsidR="00115843" w:rsidRPr="002A338C" w14:paraId="56DDC94D" w14:textId="77777777" w:rsidTr="005334F2">
        <w:trPr>
          <w:trHeight w:val="204"/>
        </w:trPr>
        <w:tc>
          <w:tcPr>
            <w:tcW w:w="2030" w:type="pct"/>
            <w:tcBorders>
              <w:top w:val="single" w:sz="4" w:space="0" w:color="auto"/>
              <w:left w:val="nil"/>
              <w:bottom w:val="nil"/>
              <w:right w:val="nil"/>
            </w:tcBorders>
            <w:shd w:val="clear" w:color="auto" w:fill="auto"/>
            <w:noWrap/>
            <w:vAlign w:val="bottom"/>
            <w:hideMark/>
          </w:tcPr>
          <w:p w14:paraId="4B43C671"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bottom"/>
            <w:hideMark/>
          </w:tcPr>
          <w:p w14:paraId="0220C4AE"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3E2602B4"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534295C6"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C78AA5E"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7C2C9F07"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2ADB220C" w14:textId="77777777" w:rsidTr="005334F2">
        <w:trPr>
          <w:trHeight w:val="204"/>
        </w:trPr>
        <w:tc>
          <w:tcPr>
            <w:tcW w:w="2030" w:type="pct"/>
            <w:tcBorders>
              <w:top w:val="nil"/>
              <w:left w:val="nil"/>
              <w:bottom w:val="nil"/>
              <w:right w:val="nil"/>
            </w:tcBorders>
            <w:shd w:val="clear" w:color="auto" w:fill="auto"/>
            <w:noWrap/>
            <w:vAlign w:val="bottom"/>
            <w:hideMark/>
          </w:tcPr>
          <w:p w14:paraId="15806F42"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bottom"/>
            <w:hideMark/>
          </w:tcPr>
          <w:p w14:paraId="7B38FA1C" w14:textId="77777777" w:rsidR="00115843" w:rsidRPr="002A338C" w:rsidRDefault="00115843" w:rsidP="00FB0D02">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53DFFAC8" w14:textId="77777777" w:rsidR="00115843" w:rsidRPr="002A338C" w:rsidRDefault="00115843" w:rsidP="00FB0D02">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2A4B92D" w14:textId="77777777" w:rsidR="00115843" w:rsidRPr="002A338C" w:rsidRDefault="00115843" w:rsidP="00FB0D02">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460CA1E" w14:textId="77777777" w:rsidR="00115843" w:rsidRPr="002A338C" w:rsidRDefault="00115843" w:rsidP="00FB0D02">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6036A169" w14:textId="77777777" w:rsidR="00115843" w:rsidRPr="002A338C" w:rsidRDefault="00115843" w:rsidP="00FB0D02">
            <w:pPr>
              <w:spacing w:after="0" w:line="240" w:lineRule="auto"/>
              <w:jc w:val="right"/>
              <w:rPr>
                <w:rFonts w:ascii="Arial" w:hAnsi="Arial" w:cs="Arial"/>
                <w:sz w:val="16"/>
                <w:szCs w:val="16"/>
              </w:rPr>
            </w:pPr>
          </w:p>
        </w:tc>
      </w:tr>
      <w:tr w:rsidR="00115843" w:rsidRPr="002A338C" w14:paraId="4216257E" w14:textId="77777777" w:rsidTr="005334F2">
        <w:trPr>
          <w:trHeight w:val="204"/>
        </w:trPr>
        <w:tc>
          <w:tcPr>
            <w:tcW w:w="2030" w:type="pct"/>
            <w:tcBorders>
              <w:top w:val="nil"/>
              <w:left w:val="nil"/>
              <w:bottom w:val="nil"/>
              <w:right w:val="nil"/>
            </w:tcBorders>
            <w:shd w:val="clear" w:color="auto" w:fill="auto"/>
            <w:noWrap/>
            <w:vAlign w:val="bottom"/>
            <w:hideMark/>
          </w:tcPr>
          <w:p w14:paraId="33B5E53A" w14:textId="77777777" w:rsidR="00115843" w:rsidRPr="002A338C" w:rsidRDefault="00115843" w:rsidP="00FB0D02">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bottom"/>
            <w:hideMark/>
          </w:tcPr>
          <w:p w14:paraId="6427A4C1" w14:textId="77777777" w:rsidR="00115843" w:rsidRPr="002A338C" w:rsidRDefault="00115843" w:rsidP="00FB0D02">
            <w:pPr>
              <w:spacing w:after="0" w:line="240" w:lineRule="auto"/>
              <w:ind w:firstLineChars="100" w:firstLine="161"/>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5FE87347" w14:textId="77777777" w:rsidR="00115843" w:rsidRPr="002A338C" w:rsidRDefault="00115843" w:rsidP="00FB0D02">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39B4B99" w14:textId="77777777" w:rsidR="00115843" w:rsidRPr="002A338C" w:rsidRDefault="00115843" w:rsidP="00FB0D02">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7B0207F" w14:textId="77777777" w:rsidR="00115843" w:rsidRPr="002A338C" w:rsidRDefault="00115843" w:rsidP="00FB0D02">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2ADB81FA" w14:textId="77777777" w:rsidR="00115843" w:rsidRPr="002A338C" w:rsidRDefault="00115843" w:rsidP="00FB0D02">
            <w:pPr>
              <w:spacing w:after="0" w:line="240" w:lineRule="auto"/>
              <w:jc w:val="right"/>
              <w:rPr>
                <w:rFonts w:ascii="Arial" w:hAnsi="Arial" w:cs="Arial"/>
                <w:sz w:val="16"/>
                <w:szCs w:val="16"/>
              </w:rPr>
            </w:pPr>
          </w:p>
        </w:tc>
      </w:tr>
      <w:tr w:rsidR="00D26033" w:rsidRPr="002A338C" w14:paraId="4C1D6F29" w14:textId="77777777" w:rsidTr="005334F2">
        <w:trPr>
          <w:trHeight w:val="204"/>
        </w:trPr>
        <w:tc>
          <w:tcPr>
            <w:tcW w:w="2030" w:type="pct"/>
            <w:tcBorders>
              <w:top w:val="nil"/>
              <w:left w:val="nil"/>
              <w:bottom w:val="nil"/>
              <w:right w:val="nil"/>
            </w:tcBorders>
            <w:shd w:val="clear" w:color="auto" w:fill="auto"/>
            <w:noWrap/>
            <w:vAlign w:val="bottom"/>
            <w:hideMark/>
          </w:tcPr>
          <w:p w14:paraId="66A92C29"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 xml:space="preserve">Cash </w:t>
            </w:r>
            <w:r w:rsidRPr="002A338C">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0310157D" w14:textId="3F8A3C8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17,339</w:t>
            </w:r>
          </w:p>
        </w:tc>
        <w:tc>
          <w:tcPr>
            <w:tcW w:w="584" w:type="pct"/>
            <w:tcBorders>
              <w:top w:val="nil"/>
              <w:left w:val="nil"/>
              <w:bottom w:val="nil"/>
              <w:right w:val="nil"/>
            </w:tcBorders>
            <w:shd w:val="clear" w:color="auto" w:fill="E6E6E6"/>
            <w:noWrap/>
            <w:vAlign w:val="bottom"/>
            <w:hideMark/>
          </w:tcPr>
          <w:p w14:paraId="1B1501CD" w14:textId="3540900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18,384</w:t>
            </w:r>
          </w:p>
        </w:tc>
        <w:tc>
          <w:tcPr>
            <w:tcW w:w="584" w:type="pct"/>
            <w:tcBorders>
              <w:top w:val="nil"/>
              <w:left w:val="nil"/>
              <w:bottom w:val="nil"/>
              <w:right w:val="nil"/>
            </w:tcBorders>
            <w:shd w:val="clear" w:color="auto" w:fill="auto"/>
            <w:noWrap/>
            <w:vAlign w:val="bottom"/>
            <w:hideMark/>
          </w:tcPr>
          <w:p w14:paraId="0FF2E175" w14:textId="08E27B5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18,384</w:t>
            </w:r>
          </w:p>
        </w:tc>
        <w:tc>
          <w:tcPr>
            <w:tcW w:w="584" w:type="pct"/>
            <w:tcBorders>
              <w:top w:val="nil"/>
              <w:left w:val="nil"/>
              <w:bottom w:val="nil"/>
              <w:right w:val="nil"/>
            </w:tcBorders>
            <w:shd w:val="clear" w:color="auto" w:fill="auto"/>
            <w:noWrap/>
            <w:vAlign w:val="bottom"/>
            <w:hideMark/>
          </w:tcPr>
          <w:p w14:paraId="73BFF0A9" w14:textId="73A1A84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18,384</w:t>
            </w:r>
          </w:p>
        </w:tc>
        <w:tc>
          <w:tcPr>
            <w:tcW w:w="584" w:type="pct"/>
            <w:tcBorders>
              <w:top w:val="nil"/>
              <w:left w:val="nil"/>
              <w:bottom w:val="nil"/>
              <w:right w:val="nil"/>
            </w:tcBorders>
            <w:shd w:val="clear" w:color="auto" w:fill="auto"/>
            <w:noWrap/>
            <w:vAlign w:val="bottom"/>
            <w:hideMark/>
          </w:tcPr>
          <w:p w14:paraId="25807536" w14:textId="1BC2253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18,384</w:t>
            </w:r>
          </w:p>
        </w:tc>
      </w:tr>
      <w:tr w:rsidR="00D26033" w:rsidRPr="002A338C" w14:paraId="3F80B321" w14:textId="77777777" w:rsidTr="005334F2">
        <w:trPr>
          <w:trHeight w:val="204"/>
        </w:trPr>
        <w:tc>
          <w:tcPr>
            <w:tcW w:w="2030" w:type="pct"/>
            <w:tcBorders>
              <w:top w:val="nil"/>
              <w:left w:val="nil"/>
              <w:bottom w:val="nil"/>
              <w:right w:val="nil"/>
            </w:tcBorders>
            <w:shd w:val="clear" w:color="auto" w:fill="auto"/>
            <w:noWrap/>
            <w:vAlign w:val="bottom"/>
            <w:hideMark/>
          </w:tcPr>
          <w:p w14:paraId="203E49DE"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Trade and other receivables</w:t>
            </w:r>
          </w:p>
        </w:tc>
        <w:tc>
          <w:tcPr>
            <w:tcW w:w="633" w:type="pct"/>
            <w:tcBorders>
              <w:top w:val="nil"/>
              <w:left w:val="nil"/>
              <w:bottom w:val="nil"/>
              <w:right w:val="nil"/>
            </w:tcBorders>
            <w:shd w:val="clear" w:color="auto" w:fill="auto"/>
            <w:noWrap/>
            <w:vAlign w:val="bottom"/>
            <w:hideMark/>
          </w:tcPr>
          <w:p w14:paraId="10A4988D" w14:textId="021B162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161,719</w:t>
            </w:r>
          </w:p>
        </w:tc>
        <w:tc>
          <w:tcPr>
            <w:tcW w:w="584" w:type="pct"/>
            <w:tcBorders>
              <w:top w:val="nil"/>
              <w:left w:val="nil"/>
              <w:bottom w:val="nil"/>
              <w:right w:val="nil"/>
            </w:tcBorders>
            <w:shd w:val="clear" w:color="auto" w:fill="E6E6E6"/>
            <w:noWrap/>
            <w:vAlign w:val="bottom"/>
            <w:hideMark/>
          </w:tcPr>
          <w:p w14:paraId="157D16F7" w14:textId="642CFE0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144,069</w:t>
            </w:r>
          </w:p>
        </w:tc>
        <w:tc>
          <w:tcPr>
            <w:tcW w:w="584" w:type="pct"/>
            <w:tcBorders>
              <w:top w:val="nil"/>
              <w:left w:val="nil"/>
              <w:bottom w:val="nil"/>
              <w:right w:val="nil"/>
            </w:tcBorders>
            <w:shd w:val="clear" w:color="auto" w:fill="auto"/>
            <w:noWrap/>
            <w:vAlign w:val="bottom"/>
            <w:hideMark/>
          </w:tcPr>
          <w:p w14:paraId="7AE6CEFA" w14:textId="2D1B218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143,509</w:t>
            </w:r>
          </w:p>
        </w:tc>
        <w:tc>
          <w:tcPr>
            <w:tcW w:w="584" w:type="pct"/>
            <w:tcBorders>
              <w:top w:val="nil"/>
              <w:left w:val="nil"/>
              <w:bottom w:val="nil"/>
              <w:right w:val="nil"/>
            </w:tcBorders>
            <w:shd w:val="clear" w:color="auto" w:fill="auto"/>
            <w:noWrap/>
            <w:vAlign w:val="bottom"/>
            <w:hideMark/>
          </w:tcPr>
          <w:p w14:paraId="039F5771" w14:textId="04E2ED2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143,704</w:t>
            </w:r>
          </w:p>
        </w:tc>
        <w:tc>
          <w:tcPr>
            <w:tcW w:w="584" w:type="pct"/>
            <w:tcBorders>
              <w:top w:val="nil"/>
              <w:left w:val="nil"/>
              <w:bottom w:val="nil"/>
              <w:right w:val="nil"/>
            </w:tcBorders>
            <w:shd w:val="clear" w:color="auto" w:fill="auto"/>
            <w:noWrap/>
            <w:vAlign w:val="bottom"/>
            <w:hideMark/>
          </w:tcPr>
          <w:p w14:paraId="12EA3F07" w14:textId="10AFA25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143,899</w:t>
            </w:r>
          </w:p>
        </w:tc>
      </w:tr>
      <w:tr w:rsidR="00D26033" w:rsidRPr="002A338C" w14:paraId="71D20598" w14:textId="77777777" w:rsidTr="005334F2">
        <w:trPr>
          <w:trHeight w:val="204"/>
        </w:trPr>
        <w:tc>
          <w:tcPr>
            <w:tcW w:w="2030" w:type="pct"/>
            <w:tcBorders>
              <w:top w:val="nil"/>
              <w:left w:val="nil"/>
              <w:bottom w:val="nil"/>
              <w:right w:val="nil"/>
            </w:tcBorders>
            <w:shd w:val="clear" w:color="auto" w:fill="auto"/>
            <w:noWrap/>
            <w:vAlign w:val="bottom"/>
            <w:hideMark/>
          </w:tcPr>
          <w:p w14:paraId="4764CCAF"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Other financial assets</w:t>
            </w:r>
          </w:p>
        </w:tc>
        <w:tc>
          <w:tcPr>
            <w:tcW w:w="633" w:type="pct"/>
            <w:tcBorders>
              <w:top w:val="nil"/>
              <w:left w:val="nil"/>
              <w:bottom w:val="nil"/>
              <w:right w:val="nil"/>
            </w:tcBorders>
            <w:shd w:val="clear" w:color="auto" w:fill="auto"/>
            <w:noWrap/>
            <w:vAlign w:val="bottom"/>
            <w:hideMark/>
          </w:tcPr>
          <w:p w14:paraId="010D2B4C" w14:textId="3CF4BD6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3,431</w:t>
            </w:r>
          </w:p>
        </w:tc>
        <w:tc>
          <w:tcPr>
            <w:tcW w:w="584" w:type="pct"/>
            <w:tcBorders>
              <w:top w:val="nil"/>
              <w:left w:val="nil"/>
              <w:bottom w:val="nil"/>
              <w:right w:val="nil"/>
            </w:tcBorders>
            <w:shd w:val="clear" w:color="auto" w:fill="E6E6E6"/>
            <w:noWrap/>
            <w:vAlign w:val="bottom"/>
            <w:hideMark/>
          </w:tcPr>
          <w:p w14:paraId="7142AE4A" w14:textId="1412D65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3,431</w:t>
            </w:r>
          </w:p>
        </w:tc>
        <w:tc>
          <w:tcPr>
            <w:tcW w:w="584" w:type="pct"/>
            <w:tcBorders>
              <w:top w:val="nil"/>
              <w:left w:val="nil"/>
              <w:bottom w:val="nil"/>
              <w:right w:val="nil"/>
            </w:tcBorders>
            <w:shd w:val="clear" w:color="auto" w:fill="auto"/>
            <w:noWrap/>
            <w:vAlign w:val="bottom"/>
            <w:hideMark/>
          </w:tcPr>
          <w:p w14:paraId="2625491E" w14:textId="31B46FE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3,431</w:t>
            </w:r>
          </w:p>
        </w:tc>
        <w:tc>
          <w:tcPr>
            <w:tcW w:w="584" w:type="pct"/>
            <w:tcBorders>
              <w:top w:val="nil"/>
              <w:left w:val="nil"/>
              <w:bottom w:val="nil"/>
              <w:right w:val="nil"/>
            </w:tcBorders>
            <w:shd w:val="clear" w:color="auto" w:fill="auto"/>
            <w:noWrap/>
            <w:vAlign w:val="bottom"/>
            <w:hideMark/>
          </w:tcPr>
          <w:p w14:paraId="7F72C90E" w14:textId="7235337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3,431</w:t>
            </w:r>
          </w:p>
        </w:tc>
        <w:tc>
          <w:tcPr>
            <w:tcW w:w="584" w:type="pct"/>
            <w:tcBorders>
              <w:top w:val="nil"/>
              <w:left w:val="nil"/>
              <w:bottom w:val="nil"/>
              <w:right w:val="nil"/>
            </w:tcBorders>
            <w:shd w:val="clear" w:color="auto" w:fill="auto"/>
            <w:noWrap/>
            <w:vAlign w:val="bottom"/>
            <w:hideMark/>
          </w:tcPr>
          <w:p w14:paraId="71981106" w14:textId="7E04AB4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3,431</w:t>
            </w:r>
          </w:p>
        </w:tc>
      </w:tr>
      <w:tr w:rsidR="00D26033" w:rsidRPr="002A338C" w14:paraId="375DBBA8" w14:textId="77777777" w:rsidTr="005334F2">
        <w:trPr>
          <w:trHeight w:val="204"/>
        </w:trPr>
        <w:tc>
          <w:tcPr>
            <w:tcW w:w="2030" w:type="pct"/>
            <w:tcBorders>
              <w:top w:val="nil"/>
              <w:left w:val="nil"/>
              <w:bottom w:val="nil"/>
              <w:right w:val="nil"/>
            </w:tcBorders>
            <w:shd w:val="clear" w:color="auto" w:fill="auto"/>
            <w:noWrap/>
            <w:vAlign w:val="bottom"/>
            <w:hideMark/>
          </w:tcPr>
          <w:p w14:paraId="212D8026"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6999E2E1" w14:textId="13D9A0D8"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182,489</w:t>
            </w:r>
          </w:p>
        </w:tc>
        <w:tc>
          <w:tcPr>
            <w:tcW w:w="584" w:type="pct"/>
            <w:tcBorders>
              <w:top w:val="single" w:sz="4" w:space="0" w:color="000000"/>
              <w:left w:val="nil"/>
              <w:bottom w:val="single" w:sz="4" w:space="0" w:color="000000"/>
              <w:right w:val="nil"/>
            </w:tcBorders>
            <w:shd w:val="clear" w:color="auto" w:fill="E6E6E6"/>
            <w:noWrap/>
            <w:vAlign w:val="bottom"/>
            <w:hideMark/>
          </w:tcPr>
          <w:p w14:paraId="4FA1D0F7" w14:textId="1751FBD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165,884</w:t>
            </w:r>
          </w:p>
        </w:tc>
        <w:tc>
          <w:tcPr>
            <w:tcW w:w="584" w:type="pct"/>
            <w:tcBorders>
              <w:top w:val="single" w:sz="4" w:space="0" w:color="000000"/>
              <w:left w:val="nil"/>
              <w:bottom w:val="single" w:sz="4" w:space="0" w:color="000000"/>
              <w:right w:val="nil"/>
            </w:tcBorders>
            <w:shd w:val="clear" w:color="auto" w:fill="auto"/>
            <w:noWrap/>
            <w:vAlign w:val="bottom"/>
            <w:hideMark/>
          </w:tcPr>
          <w:p w14:paraId="0DDA7DE8" w14:textId="0ECF35BB"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165,324</w:t>
            </w:r>
          </w:p>
        </w:tc>
        <w:tc>
          <w:tcPr>
            <w:tcW w:w="584" w:type="pct"/>
            <w:tcBorders>
              <w:top w:val="single" w:sz="4" w:space="0" w:color="000000"/>
              <w:left w:val="nil"/>
              <w:bottom w:val="single" w:sz="4" w:space="0" w:color="000000"/>
              <w:right w:val="nil"/>
            </w:tcBorders>
            <w:shd w:val="clear" w:color="auto" w:fill="auto"/>
            <w:noWrap/>
            <w:vAlign w:val="bottom"/>
            <w:hideMark/>
          </w:tcPr>
          <w:p w14:paraId="121CEF85" w14:textId="29643543"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165,519</w:t>
            </w:r>
          </w:p>
        </w:tc>
        <w:tc>
          <w:tcPr>
            <w:tcW w:w="584" w:type="pct"/>
            <w:tcBorders>
              <w:top w:val="single" w:sz="4" w:space="0" w:color="000000"/>
              <w:left w:val="nil"/>
              <w:bottom w:val="single" w:sz="4" w:space="0" w:color="000000"/>
              <w:right w:val="nil"/>
            </w:tcBorders>
            <w:shd w:val="clear" w:color="auto" w:fill="auto"/>
            <w:noWrap/>
            <w:vAlign w:val="bottom"/>
            <w:hideMark/>
          </w:tcPr>
          <w:p w14:paraId="7B1D8AAB" w14:textId="0D33A99F"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165,714</w:t>
            </w:r>
          </w:p>
        </w:tc>
      </w:tr>
      <w:tr w:rsidR="00D26033" w:rsidRPr="002A338C" w14:paraId="25CF28DE" w14:textId="77777777" w:rsidTr="005334F2">
        <w:trPr>
          <w:trHeight w:val="204"/>
        </w:trPr>
        <w:tc>
          <w:tcPr>
            <w:tcW w:w="2030" w:type="pct"/>
            <w:tcBorders>
              <w:top w:val="nil"/>
              <w:left w:val="nil"/>
              <w:bottom w:val="nil"/>
              <w:right w:val="nil"/>
            </w:tcBorders>
            <w:shd w:val="clear" w:color="auto" w:fill="auto"/>
            <w:noWrap/>
            <w:vAlign w:val="bottom"/>
            <w:hideMark/>
          </w:tcPr>
          <w:p w14:paraId="21F4E77C"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4B615684" w14:textId="77777777" w:rsidR="00D26033" w:rsidRPr="002A338C" w:rsidRDefault="00D26033" w:rsidP="00D26033">
            <w:pPr>
              <w:spacing w:after="0" w:line="240" w:lineRule="auto"/>
              <w:jc w:val="right"/>
              <w:rPr>
                <w:rFonts w:ascii="Arial" w:hAnsi="Arial" w:cs="Arial"/>
                <w:b/>
                <w:bCs/>
                <w:i/>
                <w:iCs/>
                <w:color w:val="000000"/>
                <w:sz w:val="16"/>
                <w:szCs w:val="16"/>
              </w:rPr>
            </w:pPr>
          </w:p>
        </w:tc>
        <w:tc>
          <w:tcPr>
            <w:tcW w:w="584" w:type="pct"/>
            <w:tcBorders>
              <w:top w:val="nil"/>
              <w:left w:val="nil"/>
              <w:bottom w:val="nil"/>
              <w:right w:val="nil"/>
            </w:tcBorders>
            <w:shd w:val="clear" w:color="auto" w:fill="E6E6E6"/>
            <w:noWrap/>
            <w:vAlign w:val="bottom"/>
            <w:hideMark/>
          </w:tcPr>
          <w:p w14:paraId="7040D0F4" w14:textId="11FEE499"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19D1A07"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2FC3BEA"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21932A6C"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0EEC1041" w14:textId="77777777" w:rsidTr="005334F2">
        <w:trPr>
          <w:trHeight w:val="204"/>
        </w:trPr>
        <w:tc>
          <w:tcPr>
            <w:tcW w:w="2030" w:type="pct"/>
            <w:tcBorders>
              <w:top w:val="nil"/>
              <w:left w:val="nil"/>
              <w:bottom w:val="nil"/>
              <w:right w:val="nil"/>
            </w:tcBorders>
            <w:shd w:val="clear" w:color="auto" w:fill="auto"/>
            <w:noWrap/>
            <w:vAlign w:val="bottom"/>
            <w:hideMark/>
          </w:tcPr>
          <w:p w14:paraId="175F9D9C"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Land and buildings</w:t>
            </w:r>
          </w:p>
        </w:tc>
        <w:tc>
          <w:tcPr>
            <w:tcW w:w="633" w:type="pct"/>
            <w:tcBorders>
              <w:top w:val="nil"/>
              <w:left w:val="nil"/>
              <w:bottom w:val="nil"/>
              <w:right w:val="nil"/>
            </w:tcBorders>
            <w:shd w:val="clear" w:color="auto" w:fill="auto"/>
            <w:noWrap/>
            <w:vAlign w:val="bottom"/>
            <w:hideMark/>
          </w:tcPr>
          <w:p w14:paraId="4A2E3A68" w14:textId="7A947F0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113,261</w:t>
            </w:r>
          </w:p>
        </w:tc>
        <w:tc>
          <w:tcPr>
            <w:tcW w:w="584" w:type="pct"/>
            <w:tcBorders>
              <w:top w:val="nil"/>
              <w:left w:val="nil"/>
              <w:bottom w:val="nil"/>
              <w:right w:val="nil"/>
            </w:tcBorders>
            <w:shd w:val="clear" w:color="auto" w:fill="E6E6E6"/>
            <w:noWrap/>
            <w:vAlign w:val="bottom"/>
            <w:hideMark/>
          </w:tcPr>
          <w:p w14:paraId="6A8389F9" w14:textId="2DD9E0E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91,123</w:t>
            </w:r>
          </w:p>
        </w:tc>
        <w:tc>
          <w:tcPr>
            <w:tcW w:w="584" w:type="pct"/>
            <w:tcBorders>
              <w:top w:val="nil"/>
              <w:left w:val="nil"/>
              <w:bottom w:val="nil"/>
              <w:right w:val="nil"/>
            </w:tcBorders>
            <w:shd w:val="clear" w:color="auto" w:fill="auto"/>
            <w:noWrap/>
            <w:vAlign w:val="bottom"/>
            <w:hideMark/>
          </w:tcPr>
          <w:p w14:paraId="5351040D" w14:textId="1A968C3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68,941</w:t>
            </w:r>
          </w:p>
        </w:tc>
        <w:tc>
          <w:tcPr>
            <w:tcW w:w="584" w:type="pct"/>
            <w:tcBorders>
              <w:top w:val="nil"/>
              <w:left w:val="nil"/>
              <w:bottom w:val="nil"/>
              <w:right w:val="nil"/>
            </w:tcBorders>
            <w:shd w:val="clear" w:color="auto" w:fill="auto"/>
            <w:noWrap/>
            <w:vAlign w:val="bottom"/>
            <w:hideMark/>
          </w:tcPr>
          <w:p w14:paraId="66154475" w14:textId="1C8CC7B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46,853</w:t>
            </w:r>
          </w:p>
        </w:tc>
        <w:tc>
          <w:tcPr>
            <w:tcW w:w="584" w:type="pct"/>
            <w:tcBorders>
              <w:top w:val="nil"/>
              <w:left w:val="nil"/>
              <w:bottom w:val="nil"/>
              <w:right w:val="nil"/>
            </w:tcBorders>
            <w:shd w:val="clear" w:color="auto" w:fill="auto"/>
            <w:noWrap/>
            <w:vAlign w:val="bottom"/>
            <w:hideMark/>
          </w:tcPr>
          <w:p w14:paraId="58F01F42" w14:textId="5FD736E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22,946</w:t>
            </w:r>
          </w:p>
        </w:tc>
      </w:tr>
      <w:tr w:rsidR="00D26033" w:rsidRPr="002A338C" w14:paraId="2FA9E3B6" w14:textId="77777777" w:rsidTr="005334F2">
        <w:trPr>
          <w:trHeight w:val="204"/>
        </w:trPr>
        <w:tc>
          <w:tcPr>
            <w:tcW w:w="2030" w:type="pct"/>
            <w:tcBorders>
              <w:top w:val="nil"/>
              <w:left w:val="nil"/>
              <w:bottom w:val="nil"/>
              <w:right w:val="nil"/>
            </w:tcBorders>
            <w:shd w:val="clear" w:color="auto" w:fill="auto"/>
            <w:noWrap/>
            <w:vAlign w:val="bottom"/>
            <w:hideMark/>
          </w:tcPr>
          <w:p w14:paraId="113848F6"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Property, plant and equipment</w:t>
            </w:r>
          </w:p>
        </w:tc>
        <w:tc>
          <w:tcPr>
            <w:tcW w:w="633" w:type="pct"/>
            <w:tcBorders>
              <w:top w:val="nil"/>
              <w:left w:val="nil"/>
              <w:bottom w:val="nil"/>
              <w:right w:val="nil"/>
            </w:tcBorders>
            <w:shd w:val="clear" w:color="auto" w:fill="auto"/>
            <w:noWrap/>
            <w:vAlign w:val="bottom"/>
            <w:hideMark/>
          </w:tcPr>
          <w:p w14:paraId="3753B373" w14:textId="5E626AA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20,318</w:t>
            </w:r>
          </w:p>
        </w:tc>
        <w:tc>
          <w:tcPr>
            <w:tcW w:w="584" w:type="pct"/>
            <w:tcBorders>
              <w:top w:val="nil"/>
              <w:left w:val="nil"/>
              <w:bottom w:val="nil"/>
              <w:right w:val="nil"/>
            </w:tcBorders>
            <w:shd w:val="clear" w:color="auto" w:fill="E6E6E6"/>
            <w:noWrap/>
            <w:vAlign w:val="bottom"/>
            <w:hideMark/>
          </w:tcPr>
          <w:p w14:paraId="21181174" w14:textId="00A252A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16,620</w:t>
            </w:r>
          </w:p>
        </w:tc>
        <w:tc>
          <w:tcPr>
            <w:tcW w:w="584" w:type="pct"/>
            <w:tcBorders>
              <w:top w:val="nil"/>
              <w:left w:val="nil"/>
              <w:bottom w:val="nil"/>
              <w:right w:val="nil"/>
            </w:tcBorders>
            <w:shd w:val="clear" w:color="auto" w:fill="auto"/>
            <w:noWrap/>
            <w:vAlign w:val="bottom"/>
            <w:hideMark/>
          </w:tcPr>
          <w:p w14:paraId="33625E57" w14:textId="6E48825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15,368</w:t>
            </w:r>
          </w:p>
        </w:tc>
        <w:tc>
          <w:tcPr>
            <w:tcW w:w="584" w:type="pct"/>
            <w:tcBorders>
              <w:top w:val="nil"/>
              <w:left w:val="nil"/>
              <w:bottom w:val="nil"/>
              <w:right w:val="nil"/>
            </w:tcBorders>
            <w:shd w:val="clear" w:color="auto" w:fill="auto"/>
            <w:noWrap/>
            <w:vAlign w:val="bottom"/>
            <w:hideMark/>
          </w:tcPr>
          <w:p w14:paraId="5FCA0938" w14:textId="6EBC2E1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12,098</w:t>
            </w:r>
          </w:p>
        </w:tc>
        <w:tc>
          <w:tcPr>
            <w:tcW w:w="584" w:type="pct"/>
            <w:tcBorders>
              <w:top w:val="nil"/>
              <w:left w:val="nil"/>
              <w:bottom w:val="nil"/>
              <w:right w:val="nil"/>
            </w:tcBorders>
            <w:shd w:val="clear" w:color="auto" w:fill="auto"/>
            <w:noWrap/>
            <w:vAlign w:val="bottom"/>
            <w:hideMark/>
          </w:tcPr>
          <w:p w14:paraId="64D08C79" w14:textId="444258C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11,598</w:t>
            </w:r>
          </w:p>
        </w:tc>
      </w:tr>
      <w:tr w:rsidR="00D26033" w:rsidRPr="002A338C" w14:paraId="39C2EF91" w14:textId="77777777" w:rsidTr="005334F2">
        <w:trPr>
          <w:trHeight w:val="204"/>
        </w:trPr>
        <w:tc>
          <w:tcPr>
            <w:tcW w:w="2030" w:type="pct"/>
            <w:tcBorders>
              <w:top w:val="nil"/>
              <w:left w:val="nil"/>
              <w:bottom w:val="nil"/>
              <w:right w:val="nil"/>
            </w:tcBorders>
            <w:shd w:val="clear" w:color="auto" w:fill="auto"/>
            <w:noWrap/>
            <w:vAlign w:val="bottom"/>
            <w:hideMark/>
          </w:tcPr>
          <w:p w14:paraId="23918A38"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Intangibles</w:t>
            </w:r>
          </w:p>
        </w:tc>
        <w:tc>
          <w:tcPr>
            <w:tcW w:w="633" w:type="pct"/>
            <w:tcBorders>
              <w:top w:val="nil"/>
              <w:left w:val="nil"/>
              <w:bottom w:val="nil"/>
              <w:right w:val="nil"/>
            </w:tcBorders>
            <w:shd w:val="clear" w:color="auto" w:fill="auto"/>
            <w:noWrap/>
            <w:vAlign w:val="bottom"/>
            <w:hideMark/>
          </w:tcPr>
          <w:p w14:paraId="21705CAA" w14:textId="40543AA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53,563</w:t>
            </w:r>
          </w:p>
        </w:tc>
        <w:tc>
          <w:tcPr>
            <w:tcW w:w="584" w:type="pct"/>
            <w:tcBorders>
              <w:top w:val="nil"/>
              <w:left w:val="nil"/>
              <w:bottom w:val="nil"/>
              <w:right w:val="nil"/>
            </w:tcBorders>
            <w:shd w:val="clear" w:color="auto" w:fill="E6E6E6"/>
            <w:noWrap/>
            <w:vAlign w:val="bottom"/>
            <w:hideMark/>
          </w:tcPr>
          <w:p w14:paraId="6E9FA2D2" w14:textId="7A5A341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76,254</w:t>
            </w:r>
          </w:p>
        </w:tc>
        <w:tc>
          <w:tcPr>
            <w:tcW w:w="584" w:type="pct"/>
            <w:tcBorders>
              <w:top w:val="nil"/>
              <w:left w:val="nil"/>
              <w:bottom w:val="nil"/>
              <w:right w:val="nil"/>
            </w:tcBorders>
            <w:shd w:val="clear" w:color="auto" w:fill="auto"/>
            <w:noWrap/>
            <w:vAlign w:val="bottom"/>
            <w:hideMark/>
          </w:tcPr>
          <w:p w14:paraId="7D3653E9" w14:textId="718E1F8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75,402</w:t>
            </w:r>
          </w:p>
        </w:tc>
        <w:tc>
          <w:tcPr>
            <w:tcW w:w="584" w:type="pct"/>
            <w:tcBorders>
              <w:top w:val="nil"/>
              <w:left w:val="nil"/>
              <w:bottom w:val="nil"/>
              <w:right w:val="nil"/>
            </w:tcBorders>
            <w:shd w:val="clear" w:color="auto" w:fill="auto"/>
            <w:noWrap/>
            <w:vAlign w:val="bottom"/>
            <w:hideMark/>
          </w:tcPr>
          <w:p w14:paraId="283E1B24" w14:textId="745BE2D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74,517</w:t>
            </w:r>
          </w:p>
        </w:tc>
        <w:tc>
          <w:tcPr>
            <w:tcW w:w="584" w:type="pct"/>
            <w:tcBorders>
              <w:top w:val="nil"/>
              <w:left w:val="nil"/>
              <w:bottom w:val="nil"/>
              <w:right w:val="nil"/>
            </w:tcBorders>
            <w:shd w:val="clear" w:color="auto" w:fill="auto"/>
            <w:noWrap/>
            <w:vAlign w:val="bottom"/>
            <w:hideMark/>
          </w:tcPr>
          <w:p w14:paraId="71A3F38A" w14:textId="041A54D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72,659</w:t>
            </w:r>
          </w:p>
        </w:tc>
      </w:tr>
      <w:tr w:rsidR="00D26033" w:rsidRPr="002A338C" w14:paraId="141654B2" w14:textId="77777777" w:rsidTr="005334F2">
        <w:trPr>
          <w:trHeight w:val="204"/>
        </w:trPr>
        <w:tc>
          <w:tcPr>
            <w:tcW w:w="2030" w:type="pct"/>
            <w:tcBorders>
              <w:top w:val="nil"/>
              <w:left w:val="nil"/>
              <w:bottom w:val="nil"/>
              <w:right w:val="nil"/>
            </w:tcBorders>
            <w:shd w:val="clear" w:color="auto" w:fill="auto"/>
            <w:noWrap/>
            <w:vAlign w:val="bottom"/>
            <w:hideMark/>
          </w:tcPr>
          <w:p w14:paraId="066D6007"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Heritage and cultural assets</w:t>
            </w:r>
          </w:p>
        </w:tc>
        <w:tc>
          <w:tcPr>
            <w:tcW w:w="633" w:type="pct"/>
            <w:tcBorders>
              <w:top w:val="nil"/>
              <w:left w:val="nil"/>
              <w:bottom w:val="nil"/>
              <w:right w:val="nil"/>
            </w:tcBorders>
            <w:shd w:val="clear" w:color="auto" w:fill="auto"/>
            <w:noWrap/>
            <w:vAlign w:val="bottom"/>
            <w:hideMark/>
          </w:tcPr>
          <w:p w14:paraId="2D09918F" w14:textId="01362E0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42,516</w:t>
            </w:r>
          </w:p>
        </w:tc>
        <w:tc>
          <w:tcPr>
            <w:tcW w:w="584" w:type="pct"/>
            <w:tcBorders>
              <w:top w:val="nil"/>
              <w:left w:val="nil"/>
              <w:bottom w:val="nil"/>
              <w:right w:val="nil"/>
            </w:tcBorders>
            <w:shd w:val="clear" w:color="auto" w:fill="E6E6E6"/>
            <w:noWrap/>
            <w:vAlign w:val="bottom"/>
            <w:hideMark/>
          </w:tcPr>
          <w:p w14:paraId="6321EA72" w14:textId="1691700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42,374</w:t>
            </w:r>
          </w:p>
        </w:tc>
        <w:tc>
          <w:tcPr>
            <w:tcW w:w="584" w:type="pct"/>
            <w:tcBorders>
              <w:top w:val="nil"/>
              <w:left w:val="nil"/>
              <w:bottom w:val="nil"/>
              <w:right w:val="nil"/>
            </w:tcBorders>
            <w:shd w:val="clear" w:color="auto" w:fill="auto"/>
            <w:noWrap/>
            <w:vAlign w:val="bottom"/>
            <w:hideMark/>
          </w:tcPr>
          <w:p w14:paraId="272C0CE7" w14:textId="64849FE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42,232</w:t>
            </w:r>
          </w:p>
        </w:tc>
        <w:tc>
          <w:tcPr>
            <w:tcW w:w="584" w:type="pct"/>
            <w:tcBorders>
              <w:top w:val="nil"/>
              <w:left w:val="nil"/>
              <w:bottom w:val="nil"/>
              <w:right w:val="nil"/>
            </w:tcBorders>
            <w:shd w:val="clear" w:color="auto" w:fill="auto"/>
            <w:noWrap/>
            <w:vAlign w:val="bottom"/>
            <w:hideMark/>
          </w:tcPr>
          <w:p w14:paraId="5FF7CC90" w14:textId="4EF8407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42,090</w:t>
            </w:r>
          </w:p>
        </w:tc>
        <w:tc>
          <w:tcPr>
            <w:tcW w:w="584" w:type="pct"/>
            <w:tcBorders>
              <w:top w:val="nil"/>
              <w:left w:val="nil"/>
              <w:bottom w:val="nil"/>
              <w:right w:val="nil"/>
            </w:tcBorders>
            <w:shd w:val="clear" w:color="auto" w:fill="auto"/>
            <w:noWrap/>
            <w:vAlign w:val="bottom"/>
            <w:hideMark/>
          </w:tcPr>
          <w:p w14:paraId="406F9790" w14:textId="24CD227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41,948</w:t>
            </w:r>
          </w:p>
        </w:tc>
      </w:tr>
      <w:tr w:rsidR="00D26033" w:rsidRPr="002A338C" w14:paraId="5A453CC3" w14:textId="77777777" w:rsidTr="005334F2">
        <w:trPr>
          <w:trHeight w:val="204"/>
        </w:trPr>
        <w:tc>
          <w:tcPr>
            <w:tcW w:w="2030" w:type="pct"/>
            <w:tcBorders>
              <w:top w:val="nil"/>
              <w:left w:val="nil"/>
              <w:bottom w:val="nil"/>
              <w:right w:val="nil"/>
            </w:tcBorders>
            <w:shd w:val="clear" w:color="auto" w:fill="auto"/>
            <w:noWrap/>
            <w:vAlign w:val="bottom"/>
            <w:hideMark/>
          </w:tcPr>
          <w:p w14:paraId="37BBDAED"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Other non-financial assets</w:t>
            </w:r>
          </w:p>
        </w:tc>
        <w:tc>
          <w:tcPr>
            <w:tcW w:w="633" w:type="pct"/>
            <w:tcBorders>
              <w:top w:val="nil"/>
              <w:left w:val="nil"/>
              <w:bottom w:val="nil"/>
              <w:right w:val="nil"/>
            </w:tcBorders>
            <w:shd w:val="clear" w:color="auto" w:fill="auto"/>
            <w:noWrap/>
            <w:vAlign w:val="bottom"/>
            <w:hideMark/>
          </w:tcPr>
          <w:p w14:paraId="3CCA7AA8" w14:textId="6CAF186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7,335</w:t>
            </w:r>
          </w:p>
        </w:tc>
        <w:tc>
          <w:tcPr>
            <w:tcW w:w="584" w:type="pct"/>
            <w:tcBorders>
              <w:top w:val="nil"/>
              <w:left w:val="nil"/>
              <w:bottom w:val="nil"/>
              <w:right w:val="nil"/>
            </w:tcBorders>
            <w:shd w:val="clear" w:color="auto" w:fill="E6E6E6"/>
            <w:noWrap/>
            <w:vAlign w:val="bottom"/>
            <w:hideMark/>
          </w:tcPr>
          <w:p w14:paraId="3ED06097" w14:textId="1447E89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7,335</w:t>
            </w:r>
          </w:p>
        </w:tc>
        <w:tc>
          <w:tcPr>
            <w:tcW w:w="584" w:type="pct"/>
            <w:tcBorders>
              <w:top w:val="nil"/>
              <w:left w:val="nil"/>
              <w:bottom w:val="nil"/>
              <w:right w:val="nil"/>
            </w:tcBorders>
            <w:shd w:val="clear" w:color="auto" w:fill="auto"/>
            <w:noWrap/>
            <w:vAlign w:val="bottom"/>
            <w:hideMark/>
          </w:tcPr>
          <w:p w14:paraId="5B16475D" w14:textId="25B35D5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7,335</w:t>
            </w:r>
          </w:p>
        </w:tc>
        <w:tc>
          <w:tcPr>
            <w:tcW w:w="584" w:type="pct"/>
            <w:tcBorders>
              <w:top w:val="nil"/>
              <w:left w:val="nil"/>
              <w:bottom w:val="nil"/>
              <w:right w:val="nil"/>
            </w:tcBorders>
            <w:shd w:val="clear" w:color="auto" w:fill="auto"/>
            <w:noWrap/>
            <w:vAlign w:val="bottom"/>
            <w:hideMark/>
          </w:tcPr>
          <w:p w14:paraId="00BC91B5" w14:textId="6D10ED6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7,335</w:t>
            </w:r>
          </w:p>
        </w:tc>
        <w:tc>
          <w:tcPr>
            <w:tcW w:w="584" w:type="pct"/>
            <w:tcBorders>
              <w:top w:val="nil"/>
              <w:left w:val="nil"/>
              <w:bottom w:val="nil"/>
              <w:right w:val="nil"/>
            </w:tcBorders>
            <w:shd w:val="clear" w:color="auto" w:fill="auto"/>
            <w:noWrap/>
            <w:vAlign w:val="bottom"/>
            <w:hideMark/>
          </w:tcPr>
          <w:p w14:paraId="5D2E74D7" w14:textId="3D7092F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7,335</w:t>
            </w:r>
          </w:p>
        </w:tc>
      </w:tr>
      <w:tr w:rsidR="00D26033" w:rsidRPr="002A338C" w14:paraId="163C97E5" w14:textId="77777777" w:rsidTr="005334F2">
        <w:trPr>
          <w:trHeight w:val="204"/>
        </w:trPr>
        <w:tc>
          <w:tcPr>
            <w:tcW w:w="2030" w:type="pct"/>
            <w:tcBorders>
              <w:top w:val="nil"/>
              <w:left w:val="nil"/>
              <w:bottom w:val="nil"/>
              <w:right w:val="nil"/>
            </w:tcBorders>
            <w:shd w:val="clear" w:color="auto" w:fill="auto"/>
            <w:noWrap/>
            <w:vAlign w:val="bottom"/>
            <w:hideMark/>
          </w:tcPr>
          <w:p w14:paraId="2D38F648"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7D4D0224" w14:textId="3892C49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236,993</w:t>
            </w:r>
          </w:p>
        </w:tc>
        <w:tc>
          <w:tcPr>
            <w:tcW w:w="584" w:type="pct"/>
            <w:tcBorders>
              <w:top w:val="single" w:sz="4" w:space="0" w:color="000000"/>
              <w:left w:val="nil"/>
              <w:bottom w:val="single" w:sz="4" w:space="0" w:color="000000"/>
              <w:right w:val="nil"/>
            </w:tcBorders>
            <w:shd w:val="clear" w:color="auto" w:fill="E6E6E6"/>
            <w:noWrap/>
            <w:vAlign w:val="bottom"/>
            <w:hideMark/>
          </w:tcPr>
          <w:p w14:paraId="0E58250E" w14:textId="6B026811"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233,706</w:t>
            </w:r>
          </w:p>
        </w:tc>
        <w:tc>
          <w:tcPr>
            <w:tcW w:w="584" w:type="pct"/>
            <w:tcBorders>
              <w:top w:val="single" w:sz="4" w:space="0" w:color="000000"/>
              <w:left w:val="nil"/>
              <w:bottom w:val="single" w:sz="4" w:space="0" w:color="000000"/>
              <w:right w:val="nil"/>
            </w:tcBorders>
            <w:shd w:val="clear" w:color="auto" w:fill="auto"/>
            <w:noWrap/>
            <w:vAlign w:val="bottom"/>
            <w:hideMark/>
          </w:tcPr>
          <w:p w14:paraId="669234DE" w14:textId="2C69E1EC"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209,278</w:t>
            </w:r>
          </w:p>
        </w:tc>
        <w:tc>
          <w:tcPr>
            <w:tcW w:w="584" w:type="pct"/>
            <w:tcBorders>
              <w:top w:val="single" w:sz="4" w:space="0" w:color="000000"/>
              <w:left w:val="nil"/>
              <w:bottom w:val="single" w:sz="4" w:space="0" w:color="000000"/>
              <w:right w:val="nil"/>
            </w:tcBorders>
            <w:shd w:val="clear" w:color="auto" w:fill="auto"/>
            <w:noWrap/>
            <w:vAlign w:val="bottom"/>
            <w:hideMark/>
          </w:tcPr>
          <w:p w14:paraId="12031DFD" w14:textId="65C71DAF"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182,893</w:t>
            </w:r>
          </w:p>
        </w:tc>
        <w:tc>
          <w:tcPr>
            <w:tcW w:w="584" w:type="pct"/>
            <w:tcBorders>
              <w:top w:val="single" w:sz="4" w:space="0" w:color="000000"/>
              <w:left w:val="nil"/>
              <w:bottom w:val="single" w:sz="4" w:space="0" w:color="000000"/>
              <w:right w:val="nil"/>
            </w:tcBorders>
            <w:shd w:val="clear" w:color="auto" w:fill="auto"/>
            <w:noWrap/>
            <w:vAlign w:val="bottom"/>
            <w:hideMark/>
          </w:tcPr>
          <w:p w14:paraId="1CA2379F" w14:textId="2DD3AD1B"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156,486</w:t>
            </w:r>
          </w:p>
        </w:tc>
      </w:tr>
      <w:tr w:rsidR="00D26033" w:rsidRPr="002A338C" w14:paraId="7949E62F" w14:textId="77777777" w:rsidTr="005334F2">
        <w:trPr>
          <w:trHeight w:val="204"/>
        </w:trPr>
        <w:tc>
          <w:tcPr>
            <w:tcW w:w="2030" w:type="pct"/>
            <w:tcBorders>
              <w:top w:val="nil"/>
              <w:left w:val="nil"/>
              <w:bottom w:val="nil"/>
              <w:right w:val="nil"/>
            </w:tcBorders>
            <w:shd w:val="clear" w:color="auto" w:fill="auto"/>
            <w:noWrap/>
            <w:vAlign w:val="bottom"/>
            <w:hideMark/>
          </w:tcPr>
          <w:p w14:paraId="2D9BEA75"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517E622B" w14:textId="4189FC4A"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419,482</w:t>
            </w:r>
          </w:p>
        </w:tc>
        <w:tc>
          <w:tcPr>
            <w:tcW w:w="584" w:type="pct"/>
            <w:tcBorders>
              <w:top w:val="nil"/>
              <w:left w:val="nil"/>
              <w:bottom w:val="single" w:sz="4" w:space="0" w:color="000000"/>
              <w:right w:val="nil"/>
            </w:tcBorders>
            <w:shd w:val="clear" w:color="auto" w:fill="E6E6E6"/>
            <w:noWrap/>
            <w:vAlign w:val="bottom"/>
            <w:hideMark/>
          </w:tcPr>
          <w:p w14:paraId="7888F963" w14:textId="1F09F268"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399,590</w:t>
            </w:r>
          </w:p>
        </w:tc>
        <w:tc>
          <w:tcPr>
            <w:tcW w:w="584" w:type="pct"/>
            <w:tcBorders>
              <w:top w:val="nil"/>
              <w:left w:val="nil"/>
              <w:bottom w:val="single" w:sz="4" w:space="0" w:color="000000"/>
              <w:right w:val="nil"/>
            </w:tcBorders>
            <w:shd w:val="clear" w:color="auto" w:fill="auto"/>
            <w:noWrap/>
            <w:vAlign w:val="bottom"/>
            <w:hideMark/>
          </w:tcPr>
          <w:p w14:paraId="39D44F24" w14:textId="07D8CBF8"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374,602</w:t>
            </w:r>
          </w:p>
        </w:tc>
        <w:tc>
          <w:tcPr>
            <w:tcW w:w="584" w:type="pct"/>
            <w:tcBorders>
              <w:top w:val="nil"/>
              <w:left w:val="nil"/>
              <w:bottom w:val="single" w:sz="4" w:space="0" w:color="000000"/>
              <w:right w:val="nil"/>
            </w:tcBorders>
            <w:shd w:val="clear" w:color="auto" w:fill="auto"/>
            <w:noWrap/>
            <w:vAlign w:val="bottom"/>
            <w:hideMark/>
          </w:tcPr>
          <w:p w14:paraId="20ECDB71" w14:textId="12EF9731"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348,412</w:t>
            </w:r>
          </w:p>
        </w:tc>
        <w:tc>
          <w:tcPr>
            <w:tcW w:w="584" w:type="pct"/>
            <w:tcBorders>
              <w:top w:val="nil"/>
              <w:left w:val="nil"/>
              <w:bottom w:val="single" w:sz="4" w:space="0" w:color="000000"/>
              <w:right w:val="nil"/>
            </w:tcBorders>
            <w:shd w:val="clear" w:color="auto" w:fill="auto"/>
            <w:noWrap/>
            <w:vAlign w:val="bottom"/>
            <w:hideMark/>
          </w:tcPr>
          <w:p w14:paraId="39AB3CD7" w14:textId="3635E7B0"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322,200</w:t>
            </w:r>
          </w:p>
        </w:tc>
      </w:tr>
      <w:tr w:rsidR="00D26033" w:rsidRPr="002A338C" w14:paraId="14395DCD" w14:textId="77777777" w:rsidTr="005334F2">
        <w:trPr>
          <w:trHeight w:val="204"/>
        </w:trPr>
        <w:tc>
          <w:tcPr>
            <w:tcW w:w="2030" w:type="pct"/>
            <w:tcBorders>
              <w:top w:val="nil"/>
              <w:left w:val="nil"/>
              <w:bottom w:val="nil"/>
              <w:right w:val="nil"/>
            </w:tcBorders>
            <w:shd w:val="clear" w:color="auto" w:fill="auto"/>
            <w:noWrap/>
            <w:vAlign w:val="bottom"/>
            <w:hideMark/>
          </w:tcPr>
          <w:p w14:paraId="2310905D"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4D7EF9DB" w14:textId="77777777" w:rsidR="00D26033" w:rsidRPr="002A338C" w:rsidRDefault="00D26033" w:rsidP="00D26033">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1B4417A2" w14:textId="4D062573"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E4B69DC"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E28E5C0"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1202E5DF"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765D49F8" w14:textId="77777777" w:rsidTr="005334F2">
        <w:trPr>
          <w:trHeight w:val="204"/>
        </w:trPr>
        <w:tc>
          <w:tcPr>
            <w:tcW w:w="2030" w:type="pct"/>
            <w:tcBorders>
              <w:top w:val="nil"/>
              <w:left w:val="nil"/>
              <w:bottom w:val="nil"/>
              <w:right w:val="nil"/>
            </w:tcBorders>
            <w:shd w:val="clear" w:color="auto" w:fill="auto"/>
            <w:noWrap/>
            <w:vAlign w:val="bottom"/>
            <w:hideMark/>
          </w:tcPr>
          <w:p w14:paraId="77D04761"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0C4F4023"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E6E6E6"/>
            <w:noWrap/>
            <w:vAlign w:val="bottom"/>
            <w:hideMark/>
          </w:tcPr>
          <w:p w14:paraId="575C47C5" w14:textId="7FD796CC"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A3A2E3B"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50C42DB"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726DB8F3"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63D5FD3C" w14:textId="77777777" w:rsidTr="005334F2">
        <w:trPr>
          <w:trHeight w:val="204"/>
        </w:trPr>
        <w:tc>
          <w:tcPr>
            <w:tcW w:w="2030" w:type="pct"/>
            <w:tcBorders>
              <w:top w:val="nil"/>
              <w:left w:val="nil"/>
              <w:bottom w:val="nil"/>
              <w:right w:val="nil"/>
            </w:tcBorders>
            <w:shd w:val="clear" w:color="auto" w:fill="auto"/>
            <w:noWrap/>
            <w:vAlign w:val="bottom"/>
            <w:hideMark/>
          </w:tcPr>
          <w:p w14:paraId="73EBAD7F"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Suppliers</w:t>
            </w:r>
          </w:p>
        </w:tc>
        <w:tc>
          <w:tcPr>
            <w:tcW w:w="633" w:type="pct"/>
            <w:tcBorders>
              <w:top w:val="nil"/>
              <w:left w:val="nil"/>
              <w:bottom w:val="nil"/>
              <w:right w:val="nil"/>
            </w:tcBorders>
            <w:shd w:val="clear" w:color="auto" w:fill="auto"/>
            <w:noWrap/>
            <w:vAlign w:val="bottom"/>
            <w:hideMark/>
          </w:tcPr>
          <w:p w14:paraId="336BCB76" w14:textId="0CC1112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28,166</w:t>
            </w:r>
          </w:p>
        </w:tc>
        <w:tc>
          <w:tcPr>
            <w:tcW w:w="584" w:type="pct"/>
            <w:tcBorders>
              <w:top w:val="nil"/>
              <w:left w:val="nil"/>
              <w:bottom w:val="nil"/>
              <w:right w:val="nil"/>
            </w:tcBorders>
            <w:shd w:val="clear" w:color="auto" w:fill="E6E6E6"/>
            <w:noWrap/>
            <w:vAlign w:val="bottom"/>
            <w:hideMark/>
          </w:tcPr>
          <w:p w14:paraId="49693E1D" w14:textId="65BB3D7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25,966</w:t>
            </w:r>
          </w:p>
        </w:tc>
        <w:tc>
          <w:tcPr>
            <w:tcW w:w="584" w:type="pct"/>
            <w:tcBorders>
              <w:top w:val="nil"/>
              <w:left w:val="nil"/>
              <w:bottom w:val="nil"/>
              <w:right w:val="nil"/>
            </w:tcBorders>
            <w:shd w:val="clear" w:color="auto" w:fill="auto"/>
            <w:noWrap/>
            <w:vAlign w:val="bottom"/>
            <w:hideMark/>
          </w:tcPr>
          <w:p w14:paraId="6580CCFA" w14:textId="5B31B83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27,598</w:t>
            </w:r>
          </w:p>
        </w:tc>
        <w:tc>
          <w:tcPr>
            <w:tcW w:w="584" w:type="pct"/>
            <w:tcBorders>
              <w:top w:val="nil"/>
              <w:left w:val="nil"/>
              <w:bottom w:val="nil"/>
              <w:right w:val="nil"/>
            </w:tcBorders>
            <w:shd w:val="clear" w:color="auto" w:fill="auto"/>
            <w:noWrap/>
            <w:vAlign w:val="bottom"/>
            <w:hideMark/>
          </w:tcPr>
          <w:p w14:paraId="194488FC" w14:textId="1D75532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34,715</w:t>
            </w:r>
          </w:p>
        </w:tc>
        <w:tc>
          <w:tcPr>
            <w:tcW w:w="584" w:type="pct"/>
            <w:tcBorders>
              <w:top w:val="nil"/>
              <w:left w:val="nil"/>
              <w:bottom w:val="nil"/>
              <w:right w:val="nil"/>
            </w:tcBorders>
            <w:shd w:val="clear" w:color="auto" w:fill="auto"/>
            <w:noWrap/>
            <w:vAlign w:val="bottom"/>
            <w:hideMark/>
          </w:tcPr>
          <w:p w14:paraId="7547F02E" w14:textId="3904B17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30,812</w:t>
            </w:r>
          </w:p>
        </w:tc>
      </w:tr>
      <w:tr w:rsidR="00D26033" w:rsidRPr="002A338C" w14:paraId="5DAF670E" w14:textId="77777777" w:rsidTr="005334F2">
        <w:trPr>
          <w:trHeight w:val="204"/>
        </w:trPr>
        <w:tc>
          <w:tcPr>
            <w:tcW w:w="2030" w:type="pct"/>
            <w:tcBorders>
              <w:top w:val="nil"/>
              <w:left w:val="nil"/>
              <w:bottom w:val="nil"/>
              <w:right w:val="nil"/>
            </w:tcBorders>
            <w:shd w:val="clear" w:color="auto" w:fill="auto"/>
            <w:noWrap/>
            <w:vAlign w:val="bottom"/>
            <w:hideMark/>
          </w:tcPr>
          <w:p w14:paraId="2360CFA0"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Other payables</w:t>
            </w:r>
          </w:p>
        </w:tc>
        <w:tc>
          <w:tcPr>
            <w:tcW w:w="633" w:type="pct"/>
            <w:tcBorders>
              <w:top w:val="nil"/>
              <w:left w:val="nil"/>
              <w:bottom w:val="nil"/>
              <w:right w:val="nil"/>
            </w:tcBorders>
            <w:shd w:val="clear" w:color="auto" w:fill="auto"/>
            <w:noWrap/>
            <w:vAlign w:val="bottom"/>
            <w:hideMark/>
          </w:tcPr>
          <w:p w14:paraId="5409E505" w14:textId="04195DC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5,246</w:t>
            </w:r>
          </w:p>
        </w:tc>
        <w:tc>
          <w:tcPr>
            <w:tcW w:w="584" w:type="pct"/>
            <w:tcBorders>
              <w:top w:val="nil"/>
              <w:left w:val="nil"/>
              <w:bottom w:val="nil"/>
              <w:right w:val="nil"/>
            </w:tcBorders>
            <w:shd w:val="clear" w:color="auto" w:fill="E6E6E6"/>
            <w:noWrap/>
            <w:vAlign w:val="bottom"/>
            <w:hideMark/>
          </w:tcPr>
          <w:p w14:paraId="1AA3DDFD" w14:textId="5C2F679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5,246</w:t>
            </w:r>
          </w:p>
        </w:tc>
        <w:tc>
          <w:tcPr>
            <w:tcW w:w="584" w:type="pct"/>
            <w:tcBorders>
              <w:top w:val="nil"/>
              <w:left w:val="nil"/>
              <w:bottom w:val="nil"/>
              <w:right w:val="nil"/>
            </w:tcBorders>
            <w:shd w:val="clear" w:color="auto" w:fill="auto"/>
            <w:noWrap/>
            <w:vAlign w:val="bottom"/>
            <w:hideMark/>
          </w:tcPr>
          <w:p w14:paraId="1B87FF57" w14:textId="21A5226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7,579</w:t>
            </w:r>
          </w:p>
        </w:tc>
        <w:tc>
          <w:tcPr>
            <w:tcW w:w="584" w:type="pct"/>
            <w:tcBorders>
              <w:top w:val="nil"/>
              <w:left w:val="nil"/>
              <w:bottom w:val="nil"/>
              <w:right w:val="nil"/>
            </w:tcBorders>
            <w:shd w:val="clear" w:color="auto" w:fill="auto"/>
            <w:noWrap/>
            <w:vAlign w:val="bottom"/>
            <w:hideMark/>
          </w:tcPr>
          <w:p w14:paraId="4B5B6A92" w14:textId="5726C05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1,293</w:t>
            </w:r>
          </w:p>
        </w:tc>
        <w:tc>
          <w:tcPr>
            <w:tcW w:w="584" w:type="pct"/>
            <w:tcBorders>
              <w:top w:val="nil"/>
              <w:left w:val="nil"/>
              <w:bottom w:val="nil"/>
              <w:right w:val="nil"/>
            </w:tcBorders>
            <w:shd w:val="clear" w:color="auto" w:fill="auto"/>
            <w:noWrap/>
            <w:vAlign w:val="bottom"/>
            <w:hideMark/>
          </w:tcPr>
          <w:p w14:paraId="0D144533" w14:textId="04AE609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5,939</w:t>
            </w:r>
          </w:p>
        </w:tc>
      </w:tr>
      <w:tr w:rsidR="00D26033" w:rsidRPr="002A338C" w14:paraId="22E9F361" w14:textId="77777777" w:rsidTr="005334F2">
        <w:trPr>
          <w:trHeight w:val="204"/>
        </w:trPr>
        <w:tc>
          <w:tcPr>
            <w:tcW w:w="2030" w:type="pct"/>
            <w:tcBorders>
              <w:top w:val="nil"/>
              <w:left w:val="nil"/>
              <w:bottom w:val="nil"/>
              <w:right w:val="nil"/>
            </w:tcBorders>
            <w:shd w:val="clear" w:color="auto" w:fill="auto"/>
            <w:noWrap/>
            <w:vAlign w:val="bottom"/>
            <w:hideMark/>
          </w:tcPr>
          <w:p w14:paraId="2D116066"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0EABFA81" w14:textId="0FDBA567"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33,412</w:t>
            </w:r>
          </w:p>
        </w:tc>
        <w:tc>
          <w:tcPr>
            <w:tcW w:w="584" w:type="pct"/>
            <w:tcBorders>
              <w:top w:val="single" w:sz="4" w:space="0" w:color="000000"/>
              <w:left w:val="nil"/>
              <w:bottom w:val="single" w:sz="4" w:space="0" w:color="000000"/>
              <w:right w:val="nil"/>
            </w:tcBorders>
            <w:shd w:val="clear" w:color="auto" w:fill="E6E6E6"/>
            <w:noWrap/>
            <w:vAlign w:val="bottom"/>
            <w:hideMark/>
          </w:tcPr>
          <w:p w14:paraId="76B5EB58" w14:textId="0BC0989E"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31,212</w:t>
            </w:r>
          </w:p>
        </w:tc>
        <w:tc>
          <w:tcPr>
            <w:tcW w:w="584" w:type="pct"/>
            <w:tcBorders>
              <w:top w:val="single" w:sz="4" w:space="0" w:color="000000"/>
              <w:left w:val="nil"/>
              <w:bottom w:val="single" w:sz="4" w:space="0" w:color="000000"/>
              <w:right w:val="nil"/>
            </w:tcBorders>
            <w:shd w:val="clear" w:color="auto" w:fill="auto"/>
            <w:noWrap/>
            <w:vAlign w:val="bottom"/>
            <w:hideMark/>
          </w:tcPr>
          <w:p w14:paraId="3C128FEC" w14:textId="14297FD3"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35,178</w:t>
            </w:r>
          </w:p>
        </w:tc>
        <w:tc>
          <w:tcPr>
            <w:tcW w:w="584" w:type="pct"/>
            <w:tcBorders>
              <w:top w:val="single" w:sz="4" w:space="0" w:color="000000"/>
              <w:left w:val="nil"/>
              <w:bottom w:val="single" w:sz="4" w:space="0" w:color="000000"/>
              <w:right w:val="nil"/>
            </w:tcBorders>
            <w:shd w:val="clear" w:color="auto" w:fill="auto"/>
            <w:noWrap/>
            <w:vAlign w:val="bottom"/>
            <w:hideMark/>
          </w:tcPr>
          <w:p w14:paraId="2F281B70" w14:textId="5E36929F"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36,008</w:t>
            </w:r>
          </w:p>
        </w:tc>
        <w:tc>
          <w:tcPr>
            <w:tcW w:w="584" w:type="pct"/>
            <w:tcBorders>
              <w:top w:val="single" w:sz="4" w:space="0" w:color="000000"/>
              <w:left w:val="nil"/>
              <w:bottom w:val="single" w:sz="4" w:space="0" w:color="000000"/>
              <w:right w:val="nil"/>
            </w:tcBorders>
            <w:shd w:val="clear" w:color="auto" w:fill="auto"/>
            <w:noWrap/>
            <w:vAlign w:val="bottom"/>
            <w:hideMark/>
          </w:tcPr>
          <w:p w14:paraId="30B17533" w14:textId="24CA15AF"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36,751</w:t>
            </w:r>
          </w:p>
        </w:tc>
      </w:tr>
      <w:tr w:rsidR="00D26033" w:rsidRPr="002A338C" w14:paraId="40240E6C" w14:textId="77777777" w:rsidTr="005334F2">
        <w:trPr>
          <w:trHeight w:val="204"/>
        </w:trPr>
        <w:tc>
          <w:tcPr>
            <w:tcW w:w="2030" w:type="pct"/>
            <w:tcBorders>
              <w:top w:val="nil"/>
              <w:left w:val="nil"/>
              <w:bottom w:val="nil"/>
              <w:right w:val="nil"/>
            </w:tcBorders>
            <w:shd w:val="clear" w:color="auto" w:fill="auto"/>
            <w:noWrap/>
            <w:vAlign w:val="bottom"/>
            <w:hideMark/>
          </w:tcPr>
          <w:p w14:paraId="042A9F84"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Interest bearing liabilities</w:t>
            </w:r>
          </w:p>
        </w:tc>
        <w:tc>
          <w:tcPr>
            <w:tcW w:w="633" w:type="pct"/>
            <w:tcBorders>
              <w:top w:val="nil"/>
              <w:left w:val="nil"/>
              <w:bottom w:val="nil"/>
              <w:right w:val="nil"/>
            </w:tcBorders>
            <w:shd w:val="clear" w:color="auto" w:fill="auto"/>
            <w:noWrap/>
            <w:vAlign w:val="bottom"/>
            <w:hideMark/>
          </w:tcPr>
          <w:p w14:paraId="7236452B" w14:textId="77777777" w:rsidR="00D26033" w:rsidRPr="002A338C" w:rsidRDefault="00D26033" w:rsidP="00D26033">
            <w:pPr>
              <w:spacing w:after="0" w:line="240" w:lineRule="auto"/>
              <w:jc w:val="right"/>
              <w:rPr>
                <w:rFonts w:ascii="Arial" w:hAnsi="Arial" w:cs="Arial"/>
                <w:b/>
                <w:bCs/>
                <w:i/>
                <w:iCs/>
                <w:color w:val="000000"/>
                <w:sz w:val="16"/>
                <w:szCs w:val="16"/>
              </w:rPr>
            </w:pPr>
          </w:p>
        </w:tc>
        <w:tc>
          <w:tcPr>
            <w:tcW w:w="584" w:type="pct"/>
            <w:tcBorders>
              <w:top w:val="nil"/>
              <w:left w:val="nil"/>
              <w:bottom w:val="nil"/>
              <w:right w:val="nil"/>
            </w:tcBorders>
            <w:shd w:val="clear" w:color="auto" w:fill="E6E6E6"/>
            <w:noWrap/>
            <w:vAlign w:val="bottom"/>
            <w:hideMark/>
          </w:tcPr>
          <w:p w14:paraId="270887FF" w14:textId="77AE8DD2"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D560167"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7809600"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5B073FB6"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4DAC5FBD" w14:textId="77777777" w:rsidTr="005334F2">
        <w:trPr>
          <w:trHeight w:val="204"/>
        </w:trPr>
        <w:tc>
          <w:tcPr>
            <w:tcW w:w="2030" w:type="pct"/>
            <w:tcBorders>
              <w:top w:val="nil"/>
              <w:left w:val="nil"/>
              <w:bottom w:val="nil"/>
              <w:right w:val="nil"/>
            </w:tcBorders>
            <w:shd w:val="clear" w:color="auto" w:fill="auto"/>
            <w:noWrap/>
            <w:vAlign w:val="bottom"/>
            <w:hideMark/>
          </w:tcPr>
          <w:p w14:paraId="424A0EE4"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Leases</w:t>
            </w:r>
          </w:p>
        </w:tc>
        <w:tc>
          <w:tcPr>
            <w:tcW w:w="633" w:type="pct"/>
            <w:tcBorders>
              <w:top w:val="nil"/>
              <w:left w:val="nil"/>
              <w:bottom w:val="nil"/>
              <w:right w:val="nil"/>
            </w:tcBorders>
            <w:shd w:val="clear" w:color="auto" w:fill="auto"/>
            <w:noWrap/>
            <w:vAlign w:val="bottom"/>
            <w:hideMark/>
          </w:tcPr>
          <w:p w14:paraId="2E2A0983" w14:textId="7E83BAC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98,148</w:t>
            </w:r>
          </w:p>
        </w:tc>
        <w:tc>
          <w:tcPr>
            <w:tcW w:w="584" w:type="pct"/>
            <w:tcBorders>
              <w:top w:val="nil"/>
              <w:left w:val="nil"/>
              <w:bottom w:val="nil"/>
              <w:right w:val="nil"/>
            </w:tcBorders>
            <w:shd w:val="clear" w:color="auto" w:fill="E6E6E6"/>
            <w:noWrap/>
            <w:vAlign w:val="bottom"/>
            <w:hideMark/>
          </w:tcPr>
          <w:p w14:paraId="1DBBA169" w14:textId="1EA1707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79,457</w:t>
            </w:r>
          </w:p>
        </w:tc>
        <w:tc>
          <w:tcPr>
            <w:tcW w:w="584" w:type="pct"/>
            <w:tcBorders>
              <w:top w:val="nil"/>
              <w:left w:val="nil"/>
              <w:bottom w:val="nil"/>
              <w:right w:val="nil"/>
            </w:tcBorders>
            <w:shd w:val="clear" w:color="auto" w:fill="auto"/>
            <w:noWrap/>
            <w:vAlign w:val="bottom"/>
            <w:hideMark/>
          </w:tcPr>
          <w:p w14:paraId="422C032D" w14:textId="3265193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60,712</w:t>
            </w:r>
          </w:p>
        </w:tc>
        <w:tc>
          <w:tcPr>
            <w:tcW w:w="584" w:type="pct"/>
            <w:tcBorders>
              <w:top w:val="nil"/>
              <w:left w:val="nil"/>
              <w:bottom w:val="nil"/>
              <w:right w:val="nil"/>
            </w:tcBorders>
            <w:shd w:val="clear" w:color="auto" w:fill="auto"/>
            <w:noWrap/>
            <w:vAlign w:val="bottom"/>
            <w:hideMark/>
          </w:tcPr>
          <w:p w14:paraId="2D829A82" w14:textId="6B8445F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40,717</w:t>
            </w:r>
          </w:p>
        </w:tc>
        <w:tc>
          <w:tcPr>
            <w:tcW w:w="584" w:type="pct"/>
            <w:tcBorders>
              <w:top w:val="nil"/>
              <w:left w:val="nil"/>
              <w:bottom w:val="nil"/>
              <w:right w:val="nil"/>
            </w:tcBorders>
            <w:shd w:val="clear" w:color="auto" w:fill="auto"/>
            <w:noWrap/>
            <w:vAlign w:val="bottom"/>
            <w:hideMark/>
          </w:tcPr>
          <w:p w14:paraId="066E39CF" w14:textId="4C7CF46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20,722</w:t>
            </w:r>
          </w:p>
        </w:tc>
      </w:tr>
      <w:tr w:rsidR="00D26033" w:rsidRPr="002A338C" w14:paraId="7109EBE6" w14:textId="77777777" w:rsidTr="005334F2">
        <w:trPr>
          <w:trHeight w:val="204"/>
        </w:trPr>
        <w:tc>
          <w:tcPr>
            <w:tcW w:w="2030" w:type="pct"/>
            <w:tcBorders>
              <w:top w:val="nil"/>
              <w:left w:val="nil"/>
              <w:bottom w:val="nil"/>
              <w:right w:val="nil"/>
            </w:tcBorders>
            <w:shd w:val="clear" w:color="auto" w:fill="auto"/>
            <w:noWrap/>
            <w:vAlign w:val="bottom"/>
            <w:hideMark/>
          </w:tcPr>
          <w:p w14:paraId="68E1AF92"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interest bearing liabilities</w:t>
            </w:r>
          </w:p>
        </w:tc>
        <w:tc>
          <w:tcPr>
            <w:tcW w:w="633" w:type="pct"/>
            <w:tcBorders>
              <w:top w:val="single" w:sz="4" w:space="0" w:color="000000"/>
              <w:left w:val="nil"/>
              <w:bottom w:val="single" w:sz="4" w:space="0" w:color="000000"/>
              <w:right w:val="nil"/>
            </w:tcBorders>
            <w:shd w:val="clear" w:color="auto" w:fill="auto"/>
            <w:noWrap/>
            <w:vAlign w:val="bottom"/>
            <w:hideMark/>
          </w:tcPr>
          <w:p w14:paraId="3519730B" w14:textId="3B3D443E"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98,148</w:t>
            </w:r>
          </w:p>
        </w:tc>
        <w:tc>
          <w:tcPr>
            <w:tcW w:w="584" w:type="pct"/>
            <w:tcBorders>
              <w:top w:val="single" w:sz="4" w:space="0" w:color="000000"/>
              <w:left w:val="nil"/>
              <w:bottom w:val="single" w:sz="4" w:space="0" w:color="000000"/>
              <w:right w:val="nil"/>
            </w:tcBorders>
            <w:shd w:val="clear" w:color="auto" w:fill="E6E6E6"/>
            <w:noWrap/>
            <w:vAlign w:val="bottom"/>
            <w:hideMark/>
          </w:tcPr>
          <w:p w14:paraId="2C5F4244" w14:textId="6C86A5AC"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79,457</w:t>
            </w:r>
          </w:p>
        </w:tc>
        <w:tc>
          <w:tcPr>
            <w:tcW w:w="584" w:type="pct"/>
            <w:tcBorders>
              <w:top w:val="single" w:sz="4" w:space="0" w:color="000000"/>
              <w:left w:val="nil"/>
              <w:bottom w:val="single" w:sz="4" w:space="0" w:color="000000"/>
              <w:right w:val="nil"/>
            </w:tcBorders>
            <w:shd w:val="clear" w:color="auto" w:fill="auto"/>
            <w:noWrap/>
            <w:vAlign w:val="bottom"/>
            <w:hideMark/>
          </w:tcPr>
          <w:p w14:paraId="5D7DF94D" w14:textId="5AB7696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60,712</w:t>
            </w:r>
          </w:p>
        </w:tc>
        <w:tc>
          <w:tcPr>
            <w:tcW w:w="584" w:type="pct"/>
            <w:tcBorders>
              <w:top w:val="single" w:sz="4" w:space="0" w:color="000000"/>
              <w:left w:val="nil"/>
              <w:bottom w:val="single" w:sz="4" w:space="0" w:color="000000"/>
              <w:right w:val="nil"/>
            </w:tcBorders>
            <w:shd w:val="clear" w:color="auto" w:fill="auto"/>
            <w:noWrap/>
            <w:vAlign w:val="bottom"/>
            <w:hideMark/>
          </w:tcPr>
          <w:p w14:paraId="44D1ED91" w14:textId="20B9401E"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40,717</w:t>
            </w:r>
          </w:p>
        </w:tc>
        <w:tc>
          <w:tcPr>
            <w:tcW w:w="584" w:type="pct"/>
            <w:tcBorders>
              <w:top w:val="single" w:sz="4" w:space="0" w:color="000000"/>
              <w:left w:val="nil"/>
              <w:bottom w:val="single" w:sz="4" w:space="0" w:color="000000"/>
              <w:right w:val="nil"/>
            </w:tcBorders>
            <w:shd w:val="clear" w:color="auto" w:fill="auto"/>
            <w:noWrap/>
            <w:vAlign w:val="bottom"/>
            <w:hideMark/>
          </w:tcPr>
          <w:p w14:paraId="4493B169" w14:textId="77F339E0"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20,722</w:t>
            </w:r>
          </w:p>
        </w:tc>
      </w:tr>
      <w:tr w:rsidR="00D26033" w:rsidRPr="002A338C" w14:paraId="337B34D6" w14:textId="77777777" w:rsidTr="005334F2">
        <w:trPr>
          <w:trHeight w:val="204"/>
        </w:trPr>
        <w:tc>
          <w:tcPr>
            <w:tcW w:w="2030" w:type="pct"/>
            <w:tcBorders>
              <w:top w:val="nil"/>
              <w:left w:val="nil"/>
              <w:bottom w:val="nil"/>
              <w:right w:val="nil"/>
            </w:tcBorders>
            <w:shd w:val="clear" w:color="auto" w:fill="auto"/>
            <w:noWrap/>
            <w:vAlign w:val="bottom"/>
            <w:hideMark/>
          </w:tcPr>
          <w:p w14:paraId="24ABBFD5"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6BEB09CB" w14:textId="77777777" w:rsidR="00D26033" w:rsidRPr="002A338C" w:rsidRDefault="00D26033" w:rsidP="00D26033">
            <w:pPr>
              <w:spacing w:after="0" w:line="240" w:lineRule="auto"/>
              <w:jc w:val="right"/>
              <w:rPr>
                <w:rFonts w:ascii="Arial" w:hAnsi="Arial" w:cs="Arial"/>
                <w:b/>
                <w:bCs/>
                <w:i/>
                <w:iCs/>
                <w:color w:val="000000"/>
                <w:sz w:val="16"/>
                <w:szCs w:val="16"/>
              </w:rPr>
            </w:pPr>
          </w:p>
        </w:tc>
        <w:tc>
          <w:tcPr>
            <w:tcW w:w="584" w:type="pct"/>
            <w:tcBorders>
              <w:top w:val="nil"/>
              <w:left w:val="nil"/>
              <w:bottom w:val="nil"/>
              <w:right w:val="nil"/>
            </w:tcBorders>
            <w:shd w:val="clear" w:color="auto" w:fill="E6E6E6"/>
            <w:noWrap/>
            <w:vAlign w:val="bottom"/>
            <w:hideMark/>
          </w:tcPr>
          <w:p w14:paraId="32E3B286" w14:textId="490041DB"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444893B"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451925F"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38691C9B"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7E9C0B00" w14:textId="77777777" w:rsidTr="005334F2">
        <w:trPr>
          <w:trHeight w:val="204"/>
        </w:trPr>
        <w:tc>
          <w:tcPr>
            <w:tcW w:w="2030" w:type="pct"/>
            <w:tcBorders>
              <w:top w:val="nil"/>
              <w:left w:val="nil"/>
              <w:bottom w:val="nil"/>
              <w:right w:val="nil"/>
            </w:tcBorders>
            <w:shd w:val="clear" w:color="auto" w:fill="auto"/>
            <w:noWrap/>
            <w:vAlign w:val="bottom"/>
            <w:hideMark/>
          </w:tcPr>
          <w:p w14:paraId="18A6B702"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Employee provisions</w:t>
            </w:r>
          </w:p>
        </w:tc>
        <w:tc>
          <w:tcPr>
            <w:tcW w:w="633" w:type="pct"/>
            <w:tcBorders>
              <w:top w:val="nil"/>
              <w:left w:val="nil"/>
              <w:bottom w:val="nil"/>
              <w:right w:val="nil"/>
            </w:tcBorders>
            <w:shd w:val="clear" w:color="auto" w:fill="auto"/>
            <w:noWrap/>
            <w:vAlign w:val="bottom"/>
            <w:hideMark/>
          </w:tcPr>
          <w:p w14:paraId="4EC78338" w14:textId="29EB559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78,579</w:t>
            </w:r>
          </w:p>
        </w:tc>
        <w:tc>
          <w:tcPr>
            <w:tcW w:w="584" w:type="pct"/>
            <w:tcBorders>
              <w:top w:val="nil"/>
              <w:left w:val="nil"/>
              <w:bottom w:val="nil"/>
              <w:right w:val="nil"/>
            </w:tcBorders>
            <w:shd w:val="clear" w:color="auto" w:fill="E6E6E6"/>
            <w:noWrap/>
            <w:vAlign w:val="bottom"/>
            <w:hideMark/>
          </w:tcPr>
          <w:p w14:paraId="5701DDB9" w14:textId="443F2BF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84,153</w:t>
            </w:r>
          </w:p>
        </w:tc>
        <w:tc>
          <w:tcPr>
            <w:tcW w:w="584" w:type="pct"/>
            <w:tcBorders>
              <w:top w:val="nil"/>
              <w:left w:val="nil"/>
              <w:bottom w:val="nil"/>
              <w:right w:val="nil"/>
            </w:tcBorders>
            <w:shd w:val="clear" w:color="auto" w:fill="auto"/>
            <w:noWrap/>
            <w:vAlign w:val="bottom"/>
            <w:hideMark/>
          </w:tcPr>
          <w:p w14:paraId="7DA3EF00" w14:textId="46867FB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78,213</w:t>
            </w:r>
          </w:p>
        </w:tc>
        <w:tc>
          <w:tcPr>
            <w:tcW w:w="584" w:type="pct"/>
            <w:tcBorders>
              <w:top w:val="nil"/>
              <w:left w:val="nil"/>
              <w:bottom w:val="nil"/>
              <w:right w:val="nil"/>
            </w:tcBorders>
            <w:shd w:val="clear" w:color="auto" w:fill="auto"/>
            <w:noWrap/>
            <w:vAlign w:val="bottom"/>
            <w:hideMark/>
          </w:tcPr>
          <w:p w14:paraId="1514C951" w14:textId="30DE794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77,383</w:t>
            </w:r>
          </w:p>
        </w:tc>
        <w:tc>
          <w:tcPr>
            <w:tcW w:w="584" w:type="pct"/>
            <w:tcBorders>
              <w:top w:val="nil"/>
              <w:left w:val="nil"/>
              <w:bottom w:val="nil"/>
              <w:right w:val="nil"/>
            </w:tcBorders>
            <w:shd w:val="clear" w:color="auto" w:fill="auto"/>
            <w:noWrap/>
            <w:vAlign w:val="bottom"/>
            <w:hideMark/>
          </w:tcPr>
          <w:p w14:paraId="597BD4B5" w14:textId="61DF84E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76,640</w:t>
            </w:r>
          </w:p>
        </w:tc>
      </w:tr>
      <w:tr w:rsidR="00D26033" w:rsidRPr="002A338C" w14:paraId="485A0F04" w14:textId="77777777" w:rsidTr="005334F2">
        <w:trPr>
          <w:trHeight w:val="204"/>
        </w:trPr>
        <w:tc>
          <w:tcPr>
            <w:tcW w:w="2030" w:type="pct"/>
            <w:tcBorders>
              <w:top w:val="nil"/>
              <w:left w:val="nil"/>
              <w:bottom w:val="nil"/>
              <w:right w:val="nil"/>
            </w:tcBorders>
            <w:shd w:val="clear" w:color="auto" w:fill="auto"/>
            <w:noWrap/>
            <w:vAlign w:val="bottom"/>
            <w:hideMark/>
          </w:tcPr>
          <w:p w14:paraId="435F0ABE"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Other provisions</w:t>
            </w:r>
          </w:p>
        </w:tc>
        <w:tc>
          <w:tcPr>
            <w:tcW w:w="633" w:type="pct"/>
            <w:tcBorders>
              <w:top w:val="nil"/>
              <w:left w:val="nil"/>
              <w:bottom w:val="nil"/>
              <w:right w:val="nil"/>
            </w:tcBorders>
            <w:shd w:val="clear" w:color="auto" w:fill="auto"/>
            <w:noWrap/>
            <w:vAlign w:val="bottom"/>
            <w:hideMark/>
          </w:tcPr>
          <w:p w14:paraId="302BEBB9" w14:textId="56FAE2F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631</w:t>
            </w:r>
          </w:p>
        </w:tc>
        <w:tc>
          <w:tcPr>
            <w:tcW w:w="584" w:type="pct"/>
            <w:tcBorders>
              <w:top w:val="nil"/>
              <w:left w:val="nil"/>
              <w:bottom w:val="nil"/>
              <w:right w:val="nil"/>
            </w:tcBorders>
            <w:shd w:val="clear" w:color="auto" w:fill="E6E6E6"/>
            <w:noWrap/>
            <w:vAlign w:val="bottom"/>
            <w:hideMark/>
          </w:tcPr>
          <w:p w14:paraId="1FFEE3BD" w14:textId="71E2156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631</w:t>
            </w:r>
          </w:p>
        </w:tc>
        <w:tc>
          <w:tcPr>
            <w:tcW w:w="584" w:type="pct"/>
            <w:tcBorders>
              <w:top w:val="nil"/>
              <w:left w:val="nil"/>
              <w:bottom w:val="nil"/>
              <w:right w:val="nil"/>
            </w:tcBorders>
            <w:shd w:val="clear" w:color="auto" w:fill="auto"/>
            <w:noWrap/>
            <w:vAlign w:val="bottom"/>
            <w:hideMark/>
          </w:tcPr>
          <w:p w14:paraId="107380BC" w14:textId="095B7A3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631</w:t>
            </w:r>
          </w:p>
        </w:tc>
        <w:tc>
          <w:tcPr>
            <w:tcW w:w="584" w:type="pct"/>
            <w:tcBorders>
              <w:top w:val="nil"/>
              <w:left w:val="nil"/>
              <w:bottom w:val="nil"/>
              <w:right w:val="nil"/>
            </w:tcBorders>
            <w:shd w:val="clear" w:color="auto" w:fill="auto"/>
            <w:noWrap/>
            <w:vAlign w:val="bottom"/>
            <w:hideMark/>
          </w:tcPr>
          <w:p w14:paraId="3A1E732E" w14:textId="156D58F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631</w:t>
            </w:r>
          </w:p>
        </w:tc>
        <w:tc>
          <w:tcPr>
            <w:tcW w:w="584" w:type="pct"/>
            <w:tcBorders>
              <w:top w:val="nil"/>
              <w:left w:val="nil"/>
              <w:bottom w:val="nil"/>
              <w:right w:val="nil"/>
            </w:tcBorders>
            <w:shd w:val="clear" w:color="auto" w:fill="auto"/>
            <w:noWrap/>
            <w:vAlign w:val="bottom"/>
            <w:hideMark/>
          </w:tcPr>
          <w:p w14:paraId="3D357F1B" w14:textId="1EFBD22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631</w:t>
            </w:r>
          </w:p>
        </w:tc>
      </w:tr>
      <w:tr w:rsidR="00D26033" w:rsidRPr="002A338C" w14:paraId="6A7ED7B0" w14:textId="77777777" w:rsidTr="005334F2">
        <w:trPr>
          <w:trHeight w:val="204"/>
        </w:trPr>
        <w:tc>
          <w:tcPr>
            <w:tcW w:w="2030" w:type="pct"/>
            <w:tcBorders>
              <w:top w:val="nil"/>
              <w:left w:val="nil"/>
              <w:bottom w:val="nil"/>
              <w:right w:val="nil"/>
            </w:tcBorders>
            <w:shd w:val="clear" w:color="auto" w:fill="auto"/>
            <w:noWrap/>
            <w:vAlign w:val="bottom"/>
            <w:hideMark/>
          </w:tcPr>
          <w:p w14:paraId="41FEEEFC" w14:textId="77777777" w:rsidR="00D26033" w:rsidRPr="002A338C" w:rsidRDefault="00D26033" w:rsidP="00D26033">
            <w:pPr>
              <w:spacing w:after="0" w:line="240" w:lineRule="auto"/>
              <w:ind w:firstLineChars="100" w:firstLine="161"/>
              <w:rPr>
                <w:rFonts w:ascii="Arial" w:hAnsi="Arial" w:cs="Arial"/>
                <w:b/>
                <w:bCs/>
                <w:i/>
                <w:iCs/>
                <w:color w:val="000000"/>
                <w:sz w:val="16"/>
                <w:szCs w:val="16"/>
              </w:rPr>
            </w:pPr>
            <w:r w:rsidRPr="002A338C">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6C230DEA" w14:textId="5639EAC8"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79,210</w:t>
            </w:r>
          </w:p>
        </w:tc>
        <w:tc>
          <w:tcPr>
            <w:tcW w:w="584" w:type="pct"/>
            <w:tcBorders>
              <w:top w:val="single" w:sz="4" w:space="0" w:color="000000"/>
              <w:left w:val="nil"/>
              <w:bottom w:val="single" w:sz="4" w:space="0" w:color="000000"/>
              <w:right w:val="nil"/>
            </w:tcBorders>
            <w:shd w:val="clear" w:color="auto" w:fill="E6E6E6"/>
            <w:noWrap/>
            <w:vAlign w:val="bottom"/>
            <w:hideMark/>
          </w:tcPr>
          <w:p w14:paraId="17D9B815" w14:textId="0813816D"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84,784</w:t>
            </w:r>
          </w:p>
        </w:tc>
        <w:tc>
          <w:tcPr>
            <w:tcW w:w="584" w:type="pct"/>
            <w:tcBorders>
              <w:top w:val="single" w:sz="4" w:space="0" w:color="000000"/>
              <w:left w:val="nil"/>
              <w:bottom w:val="single" w:sz="4" w:space="0" w:color="000000"/>
              <w:right w:val="nil"/>
            </w:tcBorders>
            <w:shd w:val="clear" w:color="auto" w:fill="auto"/>
            <w:noWrap/>
            <w:vAlign w:val="bottom"/>
            <w:hideMark/>
          </w:tcPr>
          <w:p w14:paraId="1677AAAA" w14:textId="27D5A9B3"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78,844</w:t>
            </w:r>
          </w:p>
        </w:tc>
        <w:tc>
          <w:tcPr>
            <w:tcW w:w="584" w:type="pct"/>
            <w:tcBorders>
              <w:top w:val="single" w:sz="4" w:space="0" w:color="000000"/>
              <w:left w:val="nil"/>
              <w:bottom w:val="single" w:sz="4" w:space="0" w:color="000000"/>
              <w:right w:val="nil"/>
            </w:tcBorders>
            <w:shd w:val="clear" w:color="auto" w:fill="auto"/>
            <w:noWrap/>
            <w:vAlign w:val="bottom"/>
            <w:hideMark/>
          </w:tcPr>
          <w:p w14:paraId="07DAF59B" w14:textId="14AD7C4C"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78,014</w:t>
            </w:r>
          </w:p>
        </w:tc>
        <w:tc>
          <w:tcPr>
            <w:tcW w:w="584" w:type="pct"/>
            <w:tcBorders>
              <w:top w:val="single" w:sz="4" w:space="0" w:color="000000"/>
              <w:left w:val="nil"/>
              <w:bottom w:val="single" w:sz="4" w:space="0" w:color="000000"/>
              <w:right w:val="nil"/>
            </w:tcBorders>
            <w:shd w:val="clear" w:color="auto" w:fill="auto"/>
            <w:noWrap/>
            <w:vAlign w:val="bottom"/>
            <w:hideMark/>
          </w:tcPr>
          <w:p w14:paraId="760CF779" w14:textId="3AC71FE9"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77,271</w:t>
            </w:r>
          </w:p>
        </w:tc>
      </w:tr>
      <w:tr w:rsidR="00D26033" w:rsidRPr="002A338C" w14:paraId="741579E4" w14:textId="77777777" w:rsidTr="005334F2">
        <w:trPr>
          <w:trHeight w:val="204"/>
        </w:trPr>
        <w:tc>
          <w:tcPr>
            <w:tcW w:w="2030" w:type="pct"/>
            <w:tcBorders>
              <w:top w:val="nil"/>
              <w:left w:val="nil"/>
              <w:bottom w:val="nil"/>
              <w:right w:val="nil"/>
            </w:tcBorders>
            <w:shd w:val="clear" w:color="auto" w:fill="auto"/>
            <w:noWrap/>
            <w:vAlign w:val="bottom"/>
            <w:hideMark/>
          </w:tcPr>
          <w:p w14:paraId="1F256929"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Total liabilities</w:t>
            </w:r>
          </w:p>
        </w:tc>
        <w:tc>
          <w:tcPr>
            <w:tcW w:w="633" w:type="pct"/>
            <w:tcBorders>
              <w:top w:val="single" w:sz="4" w:space="0" w:color="auto"/>
              <w:left w:val="nil"/>
              <w:bottom w:val="single" w:sz="4" w:space="0" w:color="auto"/>
              <w:right w:val="nil"/>
            </w:tcBorders>
            <w:shd w:val="clear" w:color="auto" w:fill="auto"/>
            <w:noWrap/>
            <w:vAlign w:val="bottom"/>
            <w:hideMark/>
          </w:tcPr>
          <w:p w14:paraId="794004C9" w14:textId="355FCEB8"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210,770</w:t>
            </w:r>
          </w:p>
        </w:tc>
        <w:tc>
          <w:tcPr>
            <w:tcW w:w="584" w:type="pct"/>
            <w:tcBorders>
              <w:top w:val="single" w:sz="4" w:space="0" w:color="auto"/>
              <w:left w:val="nil"/>
              <w:bottom w:val="single" w:sz="4" w:space="0" w:color="auto"/>
              <w:right w:val="nil"/>
            </w:tcBorders>
            <w:shd w:val="clear" w:color="auto" w:fill="E6E6E6"/>
            <w:noWrap/>
            <w:vAlign w:val="bottom"/>
            <w:hideMark/>
          </w:tcPr>
          <w:p w14:paraId="28048A62" w14:textId="4BDA2CB9"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195,453</w:t>
            </w:r>
          </w:p>
        </w:tc>
        <w:tc>
          <w:tcPr>
            <w:tcW w:w="584" w:type="pct"/>
            <w:tcBorders>
              <w:top w:val="single" w:sz="4" w:space="0" w:color="auto"/>
              <w:left w:val="nil"/>
              <w:bottom w:val="single" w:sz="4" w:space="0" w:color="auto"/>
              <w:right w:val="nil"/>
            </w:tcBorders>
            <w:shd w:val="clear" w:color="auto" w:fill="auto"/>
            <w:noWrap/>
            <w:vAlign w:val="bottom"/>
            <w:hideMark/>
          </w:tcPr>
          <w:p w14:paraId="513D92B7" w14:textId="7565BDAC"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174,734</w:t>
            </w:r>
          </w:p>
        </w:tc>
        <w:tc>
          <w:tcPr>
            <w:tcW w:w="584" w:type="pct"/>
            <w:tcBorders>
              <w:top w:val="single" w:sz="4" w:space="0" w:color="auto"/>
              <w:left w:val="nil"/>
              <w:bottom w:val="single" w:sz="4" w:space="0" w:color="auto"/>
              <w:right w:val="nil"/>
            </w:tcBorders>
            <w:shd w:val="clear" w:color="auto" w:fill="auto"/>
            <w:noWrap/>
            <w:vAlign w:val="bottom"/>
            <w:hideMark/>
          </w:tcPr>
          <w:p w14:paraId="42324A66" w14:textId="4CD450AF"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154,739</w:t>
            </w:r>
          </w:p>
        </w:tc>
        <w:tc>
          <w:tcPr>
            <w:tcW w:w="584" w:type="pct"/>
            <w:tcBorders>
              <w:top w:val="single" w:sz="4" w:space="0" w:color="auto"/>
              <w:left w:val="nil"/>
              <w:bottom w:val="single" w:sz="4" w:space="0" w:color="auto"/>
              <w:right w:val="nil"/>
            </w:tcBorders>
            <w:shd w:val="clear" w:color="auto" w:fill="auto"/>
            <w:noWrap/>
            <w:vAlign w:val="bottom"/>
            <w:hideMark/>
          </w:tcPr>
          <w:p w14:paraId="1E5D15AE" w14:textId="3EFC983B"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134,744</w:t>
            </w:r>
          </w:p>
        </w:tc>
      </w:tr>
      <w:tr w:rsidR="00D26033" w:rsidRPr="002A338C" w14:paraId="11993D70" w14:textId="77777777" w:rsidTr="005334F2">
        <w:trPr>
          <w:trHeight w:val="204"/>
        </w:trPr>
        <w:tc>
          <w:tcPr>
            <w:tcW w:w="2030" w:type="pct"/>
            <w:tcBorders>
              <w:top w:val="nil"/>
              <w:left w:val="nil"/>
              <w:bottom w:val="nil"/>
              <w:right w:val="nil"/>
            </w:tcBorders>
            <w:shd w:val="clear" w:color="auto" w:fill="auto"/>
            <w:noWrap/>
            <w:vAlign w:val="bottom"/>
            <w:hideMark/>
          </w:tcPr>
          <w:p w14:paraId="76F21D2E"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41566991" w14:textId="50F29BFF"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208,712</w:t>
            </w:r>
          </w:p>
        </w:tc>
        <w:tc>
          <w:tcPr>
            <w:tcW w:w="584" w:type="pct"/>
            <w:tcBorders>
              <w:top w:val="nil"/>
              <w:left w:val="nil"/>
              <w:bottom w:val="single" w:sz="4" w:space="0" w:color="auto"/>
              <w:right w:val="nil"/>
            </w:tcBorders>
            <w:shd w:val="clear" w:color="auto" w:fill="E6E6E6"/>
            <w:noWrap/>
            <w:vAlign w:val="bottom"/>
            <w:hideMark/>
          </w:tcPr>
          <w:p w14:paraId="2B1CC342" w14:textId="006C0F0D"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204,137</w:t>
            </w:r>
          </w:p>
        </w:tc>
        <w:tc>
          <w:tcPr>
            <w:tcW w:w="584" w:type="pct"/>
            <w:tcBorders>
              <w:top w:val="nil"/>
              <w:left w:val="nil"/>
              <w:bottom w:val="single" w:sz="4" w:space="0" w:color="auto"/>
              <w:right w:val="nil"/>
            </w:tcBorders>
            <w:shd w:val="clear" w:color="auto" w:fill="auto"/>
            <w:noWrap/>
            <w:vAlign w:val="bottom"/>
            <w:hideMark/>
          </w:tcPr>
          <w:p w14:paraId="097B7DD1" w14:textId="40495B65"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199,868</w:t>
            </w:r>
          </w:p>
        </w:tc>
        <w:tc>
          <w:tcPr>
            <w:tcW w:w="584" w:type="pct"/>
            <w:tcBorders>
              <w:top w:val="nil"/>
              <w:left w:val="nil"/>
              <w:bottom w:val="single" w:sz="4" w:space="0" w:color="auto"/>
              <w:right w:val="nil"/>
            </w:tcBorders>
            <w:shd w:val="clear" w:color="auto" w:fill="auto"/>
            <w:noWrap/>
            <w:vAlign w:val="bottom"/>
            <w:hideMark/>
          </w:tcPr>
          <w:p w14:paraId="61966F4D" w14:textId="6DC33A1F"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193,673</w:t>
            </w:r>
          </w:p>
        </w:tc>
        <w:tc>
          <w:tcPr>
            <w:tcW w:w="584" w:type="pct"/>
            <w:tcBorders>
              <w:top w:val="nil"/>
              <w:left w:val="nil"/>
              <w:bottom w:val="single" w:sz="4" w:space="0" w:color="auto"/>
              <w:right w:val="nil"/>
            </w:tcBorders>
            <w:shd w:val="clear" w:color="auto" w:fill="auto"/>
            <w:noWrap/>
            <w:vAlign w:val="bottom"/>
            <w:hideMark/>
          </w:tcPr>
          <w:p w14:paraId="6338B589" w14:textId="2FD5977B"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187,456</w:t>
            </w:r>
          </w:p>
        </w:tc>
      </w:tr>
      <w:tr w:rsidR="00D26033" w:rsidRPr="002A338C" w14:paraId="4F19FABF" w14:textId="77777777" w:rsidTr="005334F2">
        <w:trPr>
          <w:trHeight w:val="204"/>
        </w:trPr>
        <w:tc>
          <w:tcPr>
            <w:tcW w:w="2030" w:type="pct"/>
            <w:tcBorders>
              <w:top w:val="nil"/>
              <w:left w:val="nil"/>
              <w:bottom w:val="nil"/>
              <w:right w:val="nil"/>
            </w:tcBorders>
            <w:shd w:val="clear" w:color="auto" w:fill="auto"/>
            <w:noWrap/>
            <w:vAlign w:val="bottom"/>
            <w:hideMark/>
          </w:tcPr>
          <w:p w14:paraId="3ED69E0C"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4A79FA37" w14:textId="77777777" w:rsidR="00D26033" w:rsidRPr="002A338C" w:rsidRDefault="00D26033" w:rsidP="00D26033">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4480F13D" w14:textId="30210A33"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1B38229"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E951FEE"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39F6E0C7"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5DA2B3DA" w14:textId="77777777" w:rsidTr="005334F2">
        <w:trPr>
          <w:trHeight w:val="204"/>
        </w:trPr>
        <w:tc>
          <w:tcPr>
            <w:tcW w:w="2030" w:type="pct"/>
            <w:tcBorders>
              <w:top w:val="nil"/>
              <w:left w:val="nil"/>
              <w:bottom w:val="nil"/>
              <w:right w:val="nil"/>
            </w:tcBorders>
            <w:shd w:val="clear" w:color="auto" w:fill="auto"/>
            <w:noWrap/>
            <w:vAlign w:val="bottom"/>
            <w:hideMark/>
          </w:tcPr>
          <w:p w14:paraId="32B56407"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73CB36EF"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E6E6E6"/>
            <w:noWrap/>
            <w:vAlign w:val="bottom"/>
            <w:hideMark/>
          </w:tcPr>
          <w:p w14:paraId="56075939" w14:textId="7E91090F"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2F6B6D9" w14:textId="77777777" w:rsidR="00D26033" w:rsidRPr="002A338C" w:rsidRDefault="00D26033" w:rsidP="00D26033">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DD1862F" w14:textId="77777777" w:rsidR="00D26033" w:rsidRPr="002A338C" w:rsidRDefault="00D26033" w:rsidP="00D26033">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6A15B3E1"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6DA63D8E" w14:textId="77777777" w:rsidTr="005334F2">
        <w:trPr>
          <w:trHeight w:val="204"/>
        </w:trPr>
        <w:tc>
          <w:tcPr>
            <w:tcW w:w="2030" w:type="pct"/>
            <w:tcBorders>
              <w:top w:val="nil"/>
              <w:left w:val="nil"/>
              <w:bottom w:val="nil"/>
              <w:right w:val="nil"/>
            </w:tcBorders>
            <w:shd w:val="clear" w:color="auto" w:fill="auto"/>
            <w:noWrap/>
            <w:vAlign w:val="bottom"/>
            <w:hideMark/>
          </w:tcPr>
          <w:p w14:paraId="45DA885D"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Contributed equity</w:t>
            </w:r>
          </w:p>
        </w:tc>
        <w:tc>
          <w:tcPr>
            <w:tcW w:w="633" w:type="pct"/>
            <w:tcBorders>
              <w:top w:val="nil"/>
              <w:left w:val="nil"/>
              <w:bottom w:val="nil"/>
              <w:right w:val="nil"/>
            </w:tcBorders>
            <w:shd w:val="clear" w:color="auto" w:fill="auto"/>
            <w:noWrap/>
            <w:vAlign w:val="bottom"/>
            <w:hideMark/>
          </w:tcPr>
          <w:p w14:paraId="6BAE2D47" w14:textId="1D15900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32,826</w:t>
            </w:r>
          </w:p>
        </w:tc>
        <w:tc>
          <w:tcPr>
            <w:tcW w:w="584" w:type="pct"/>
            <w:tcBorders>
              <w:top w:val="nil"/>
              <w:left w:val="nil"/>
              <w:bottom w:val="nil"/>
              <w:right w:val="nil"/>
            </w:tcBorders>
            <w:shd w:val="clear" w:color="auto" w:fill="E6E6E6"/>
            <w:noWrap/>
            <w:vAlign w:val="bottom"/>
            <w:hideMark/>
          </w:tcPr>
          <w:p w14:paraId="140BE04D" w14:textId="5F43B8C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45,282</w:t>
            </w:r>
          </w:p>
        </w:tc>
        <w:tc>
          <w:tcPr>
            <w:tcW w:w="584" w:type="pct"/>
            <w:tcBorders>
              <w:top w:val="nil"/>
              <w:left w:val="nil"/>
              <w:bottom w:val="nil"/>
              <w:right w:val="nil"/>
            </w:tcBorders>
            <w:shd w:val="clear" w:color="auto" w:fill="auto"/>
            <w:noWrap/>
            <w:vAlign w:val="bottom"/>
            <w:hideMark/>
          </w:tcPr>
          <w:p w14:paraId="26A8A5D8" w14:textId="4413BE3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56,493</w:t>
            </w:r>
          </w:p>
        </w:tc>
        <w:tc>
          <w:tcPr>
            <w:tcW w:w="584" w:type="pct"/>
            <w:tcBorders>
              <w:top w:val="nil"/>
              <w:left w:val="nil"/>
              <w:bottom w:val="nil"/>
              <w:right w:val="nil"/>
            </w:tcBorders>
            <w:shd w:val="clear" w:color="auto" w:fill="auto"/>
            <w:noWrap/>
            <w:vAlign w:val="bottom"/>
            <w:hideMark/>
          </w:tcPr>
          <w:p w14:paraId="2EEF07F7" w14:textId="4476539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67,018</w:t>
            </w:r>
          </w:p>
        </w:tc>
        <w:tc>
          <w:tcPr>
            <w:tcW w:w="584" w:type="pct"/>
            <w:tcBorders>
              <w:top w:val="nil"/>
              <w:left w:val="nil"/>
              <w:bottom w:val="nil"/>
              <w:right w:val="nil"/>
            </w:tcBorders>
            <w:shd w:val="clear" w:color="auto" w:fill="auto"/>
            <w:noWrap/>
            <w:vAlign w:val="bottom"/>
            <w:hideMark/>
          </w:tcPr>
          <w:p w14:paraId="231166EC" w14:textId="0A70FC5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77,521</w:t>
            </w:r>
          </w:p>
        </w:tc>
      </w:tr>
      <w:tr w:rsidR="00D26033" w:rsidRPr="002A338C" w14:paraId="65653B99" w14:textId="77777777" w:rsidTr="005334F2">
        <w:trPr>
          <w:trHeight w:val="204"/>
        </w:trPr>
        <w:tc>
          <w:tcPr>
            <w:tcW w:w="2030" w:type="pct"/>
            <w:tcBorders>
              <w:top w:val="nil"/>
              <w:left w:val="nil"/>
              <w:bottom w:val="nil"/>
              <w:right w:val="nil"/>
            </w:tcBorders>
            <w:shd w:val="clear" w:color="auto" w:fill="auto"/>
            <w:noWrap/>
            <w:vAlign w:val="bottom"/>
            <w:hideMark/>
          </w:tcPr>
          <w:p w14:paraId="1D9457EA"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Reserves</w:t>
            </w:r>
          </w:p>
        </w:tc>
        <w:tc>
          <w:tcPr>
            <w:tcW w:w="633" w:type="pct"/>
            <w:tcBorders>
              <w:top w:val="nil"/>
              <w:left w:val="nil"/>
              <w:bottom w:val="nil"/>
              <w:right w:val="nil"/>
            </w:tcBorders>
            <w:shd w:val="clear" w:color="auto" w:fill="auto"/>
            <w:noWrap/>
            <w:vAlign w:val="bottom"/>
            <w:hideMark/>
          </w:tcPr>
          <w:p w14:paraId="5EFD7210" w14:textId="2B8CF8C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46,607</w:t>
            </w:r>
          </w:p>
        </w:tc>
        <w:tc>
          <w:tcPr>
            <w:tcW w:w="584" w:type="pct"/>
            <w:tcBorders>
              <w:top w:val="nil"/>
              <w:left w:val="nil"/>
              <w:bottom w:val="nil"/>
              <w:right w:val="nil"/>
            </w:tcBorders>
            <w:shd w:val="clear" w:color="auto" w:fill="E6E6E6"/>
            <w:noWrap/>
            <w:vAlign w:val="bottom"/>
            <w:hideMark/>
          </w:tcPr>
          <w:p w14:paraId="3C0DC9A5" w14:textId="5A3006F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46,607</w:t>
            </w:r>
          </w:p>
        </w:tc>
        <w:tc>
          <w:tcPr>
            <w:tcW w:w="584" w:type="pct"/>
            <w:tcBorders>
              <w:top w:val="nil"/>
              <w:left w:val="nil"/>
              <w:bottom w:val="nil"/>
              <w:right w:val="nil"/>
            </w:tcBorders>
            <w:shd w:val="clear" w:color="auto" w:fill="auto"/>
            <w:noWrap/>
            <w:vAlign w:val="bottom"/>
            <w:hideMark/>
          </w:tcPr>
          <w:p w14:paraId="77FDA61D" w14:textId="7F87049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46,607</w:t>
            </w:r>
          </w:p>
        </w:tc>
        <w:tc>
          <w:tcPr>
            <w:tcW w:w="584" w:type="pct"/>
            <w:tcBorders>
              <w:top w:val="nil"/>
              <w:left w:val="nil"/>
              <w:bottom w:val="nil"/>
              <w:right w:val="nil"/>
            </w:tcBorders>
            <w:shd w:val="clear" w:color="auto" w:fill="auto"/>
            <w:noWrap/>
            <w:vAlign w:val="bottom"/>
            <w:hideMark/>
          </w:tcPr>
          <w:p w14:paraId="58DAAB4F" w14:textId="79C737A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46,607</w:t>
            </w:r>
          </w:p>
        </w:tc>
        <w:tc>
          <w:tcPr>
            <w:tcW w:w="584" w:type="pct"/>
            <w:tcBorders>
              <w:top w:val="nil"/>
              <w:left w:val="nil"/>
              <w:bottom w:val="nil"/>
              <w:right w:val="nil"/>
            </w:tcBorders>
            <w:shd w:val="clear" w:color="auto" w:fill="auto"/>
            <w:noWrap/>
            <w:vAlign w:val="bottom"/>
            <w:hideMark/>
          </w:tcPr>
          <w:p w14:paraId="57EACA71" w14:textId="6AAE904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46,607</w:t>
            </w:r>
          </w:p>
        </w:tc>
      </w:tr>
      <w:tr w:rsidR="00D26033" w:rsidRPr="002A338C" w14:paraId="3C20AFF6" w14:textId="77777777" w:rsidTr="005334F2">
        <w:trPr>
          <w:trHeight w:val="204"/>
        </w:trPr>
        <w:tc>
          <w:tcPr>
            <w:tcW w:w="2030" w:type="pct"/>
            <w:tcBorders>
              <w:top w:val="nil"/>
              <w:left w:val="nil"/>
              <w:bottom w:val="nil"/>
              <w:right w:val="nil"/>
            </w:tcBorders>
            <w:shd w:val="clear" w:color="auto" w:fill="auto"/>
            <w:vAlign w:val="bottom"/>
            <w:hideMark/>
          </w:tcPr>
          <w:p w14:paraId="77AC41A8"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Accumulated surplus</w:t>
            </w:r>
          </w:p>
        </w:tc>
        <w:tc>
          <w:tcPr>
            <w:tcW w:w="633" w:type="pct"/>
            <w:tcBorders>
              <w:top w:val="nil"/>
              <w:left w:val="nil"/>
              <w:bottom w:val="nil"/>
              <w:right w:val="nil"/>
            </w:tcBorders>
            <w:shd w:val="clear" w:color="auto" w:fill="auto"/>
            <w:noWrap/>
            <w:vAlign w:val="bottom"/>
            <w:hideMark/>
          </w:tcPr>
          <w:p w14:paraId="265FCB82" w14:textId="45E1DDD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129,279</w:t>
            </w:r>
          </w:p>
        </w:tc>
        <w:tc>
          <w:tcPr>
            <w:tcW w:w="584" w:type="pct"/>
            <w:tcBorders>
              <w:top w:val="nil"/>
              <w:left w:val="nil"/>
              <w:bottom w:val="nil"/>
              <w:right w:val="nil"/>
            </w:tcBorders>
            <w:shd w:val="clear" w:color="auto" w:fill="E6E6E6"/>
            <w:noWrap/>
            <w:vAlign w:val="bottom"/>
            <w:hideMark/>
          </w:tcPr>
          <w:p w14:paraId="440F0F45" w14:textId="0507759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112,248</w:t>
            </w:r>
          </w:p>
        </w:tc>
        <w:tc>
          <w:tcPr>
            <w:tcW w:w="584" w:type="pct"/>
            <w:tcBorders>
              <w:top w:val="nil"/>
              <w:left w:val="nil"/>
              <w:bottom w:val="nil"/>
              <w:right w:val="nil"/>
            </w:tcBorders>
            <w:shd w:val="clear" w:color="auto" w:fill="auto"/>
            <w:noWrap/>
            <w:vAlign w:val="bottom"/>
            <w:hideMark/>
          </w:tcPr>
          <w:p w14:paraId="10C9AA21" w14:textId="0A36F37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96,768</w:t>
            </w:r>
          </w:p>
        </w:tc>
        <w:tc>
          <w:tcPr>
            <w:tcW w:w="584" w:type="pct"/>
            <w:tcBorders>
              <w:top w:val="nil"/>
              <w:left w:val="nil"/>
              <w:bottom w:val="nil"/>
              <w:right w:val="nil"/>
            </w:tcBorders>
            <w:shd w:val="clear" w:color="auto" w:fill="auto"/>
            <w:noWrap/>
            <w:vAlign w:val="bottom"/>
            <w:hideMark/>
          </w:tcPr>
          <w:p w14:paraId="23906239" w14:textId="79267B8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80,048</w:t>
            </w:r>
          </w:p>
        </w:tc>
        <w:tc>
          <w:tcPr>
            <w:tcW w:w="584" w:type="pct"/>
            <w:tcBorders>
              <w:top w:val="nil"/>
              <w:left w:val="nil"/>
              <w:bottom w:val="nil"/>
              <w:right w:val="nil"/>
            </w:tcBorders>
            <w:shd w:val="clear" w:color="auto" w:fill="auto"/>
            <w:noWrap/>
            <w:vAlign w:val="bottom"/>
            <w:hideMark/>
          </w:tcPr>
          <w:p w14:paraId="7514DAF4" w14:textId="545F15A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63,328</w:t>
            </w:r>
          </w:p>
        </w:tc>
      </w:tr>
      <w:tr w:rsidR="00D26033" w:rsidRPr="002A338C" w14:paraId="03D9D0F5" w14:textId="77777777" w:rsidTr="005334F2">
        <w:trPr>
          <w:trHeight w:val="204"/>
        </w:trPr>
        <w:tc>
          <w:tcPr>
            <w:tcW w:w="2030" w:type="pct"/>
            <w:tcBorders>
              <w:top w:val="nil"/>
              <w:left w:val="nil"/>
              <w:bottom w:val="nil"/>
              <w:right w:val="nil"/>
            </w:tcBorders>
            <w:shd w:val="clear" w:color="auto" w:fill="auto"/>
            <w:noWrap/>
            <w:vAlign w:val="bottom"/>
            <w:hideMark/>
          </w:tcPr>
          <w:p w14:paraId="4D0B4ACE" w14:textId="77777777" w:rsidR="00D26033" w:rsidRPr="002A338C" w:rsidRDefault="00D26033" w:rsidP="00D26033">
            <w:pPr>
              <w:spacing w:after="0" w:line="240" w:lineRule="auto"/>
              <w:ind w:firstLineChars="100" w:firstLine="161"/>
              <w:rPr>
                <w:rFonts w:ascii="Arial" w:hAnsi="Arial" w:cs="Arial"/>
                <w:b/>
                <w:bCs/>
                <w:i/>
                <w:iCs/>
                <w:color w:val="000000"/>
                <w:sz w:val="16"/>
                <w:szCs w:val="16"/>
              </w:rPr>
            </w:pPr>
            <w:r w:rsidRPr="002A338C">
              <w:rPr>
                <w:rFonts w:ascii="Arial" w:hAnsi="Arial" w:cs="Arial"/>
                <w:b/>
                <w:bCs/>
                <w:i/>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4541A3E4" w14:textId="5ECEBFD9"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208,712</w:t>
            </w:r>
          </w:p>
        </w:tc>
        <w:tc>
          <w:tcPr>
            <w:tcW w:w="584" w:type="pct"/>
            <w:tcBorders>
              <w:top w:val="single" w:sz="4" w:space="0" w:color="000000"/>
              <w:left w:val="nil"/>
              <w:bottom w:val="single" w:sz="4" w:space="0" w:color="000000"/>
              <w:right w:val="nil"/>
            </w:tcBorders>
            <w:shd w:val="clear" w:color="auto" w:fill="E6E6E6"/>
            <w:noWrap/>
            <w:vAlign w:val="bottom"/>
            <w:hideMark/>
          </w:tcPr>
          <w:p w14:paraId="0239409E" w14:textId="3CA2BE4D"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204,137</w:t>
            </w:r>
          </w:p>
        </w:tc>
        <w:tc>
          <w:tcPr>
            <w:tcW w:w="584" w:type="pct"/>
            <w:tcBorders>
              <w:top w:val="single" w:sz="4" w:space="0" w:color="000000"/>
              <w:left w:val="nil"/>
              <w:bottom w:val="single" w:sz="4" w:space="0" w:color="000000"/>
              <w:right w:val="nil"/>
            </w:tcBorders>
            <w:shd w:val="clear" w:color="auto" w:fill="auto"/>
            <w:noWrap/>
            <w:vAlign w:val="bottom"/>
            <w:hideMark/>
          </w:tcPr>
          <w:p w14:paraId="69709841" w14:textId="4A6B5AF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199,868</w:t>
            </w:r>
          </w:p>
        </w:tc>
        <w:tc>
          <w:tcPr>
            <w:tcW w:w="584" w:type="pct"/>
            <w:tcBorders>
              <w:top w:val="single" w:sz="4" w:space="0" w:color="000000"/>
              <w:left w:val="nil"/>
              <w:bottom w:val="single" w:sz="4" w:space="0" w:color="000000"/>
              <w:right w:val="nil"/>
            </w:tcBorders>
            <w:shd w:val="clear" w:color="auto" w:fill="auto"/>
            <w:noWrap/>
            <w:vAlign w:val="bottom"/>
            <w:hideMark/>
          </w:tcPr>
          <w:p w14:paraId="1F8DF1ED" w14:textId="138DFBD8"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193,673</w:t>
            </w:r>
          </w:p>
        </w:tc>
        <w:tc>
          <w:tcPr>
            <w:tcW w:w="584" w:type="pct"/>
            <w:tcBorders>
              <w:top w:val="single" w:sz="4" w:space="0" w:color="000000"/>
              <w:left w:val="nil"/>
              <w:bottom w:val="single" w:sz="4" w:space="0" w:color="000000"/>
              <w:right w:val="nil"/>
            </w:tcBorders>
            <w:shd w:val="clear" w:color="auto" w:fill="auto"/>
            <w:noWrap/>
            <w:vAlign w:val="bottom"/>
            <w:hideMark/>
          </w:tcPr>
          <w:p w14:paraId="2386C254" w14:textId="49034AD6"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187,456</w:t>
            </w:r>
          </w:p>
        </w:tc>
      </w:tr>
      <w:tr w:rsidR="00D26033" w:rsidRPr="002A338C" w14:paraId="44E07F17" w14:textId="77777777" w:rsidTr="005334F2">
        <w:trPr>
          <w:trHeight w:val="204"/>
        </w:trPr>
        <w:tc>
          <w:tcPr>
            <w:tcW w:w="2030" w:type="pct"/>
            <w:tcBorders>
              <w:top w:val="nil"/>
              <w:left w:val="nil"/>
              <w:bottom w:val="single" w:sz="4" w:space="0" w:color="000000"/>
              <w:right w:val="nil"/>
            </w:tcBorders>
            <w:shd w:val="clear" w:color="auto" w:fill="auto"/>
            <w:noWrap/>
            <w:vAlign w:val="bottom"/>
            <w:hideMark/>
          </w:tcPr>
          <w:p w14:paraId="56320292"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57998463" w14:textId="1E5AC484"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208,712</w:t>
            </w:r>
          </w:p>
        </w:tc>
        <w:tc>
          <w:tcPr>
            <w:tcW w:w="584" w:type="pct"/>
            <w:tcBorders>
              <w:top w:val="nil"/>
              <w:left w:val="nil"/>
              <w:bottom w:val="single" w:sz="4" w:space="0" w:color="000000"/>
              <w:right w:val="nil"/>
            </w:tcBorders>
            <w:shd w:val="clear" w:color="auto" w:fill="E6E6E6"/>
            <w:noWrap/>
            <w:vAlign w:val="bottom"/>
            <w:hideMark/>
          </w:tcPr>
          <w:p w14:paraId="3778B2A4" w14:textId="1B31CE74"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204,137</w:t>
            </w:r>
          </w:p>
        </w:tc>
        <w:tc>
          <w:tcPr>
            <w:tcW w:w="584" w:type="pct"/>
            <w:tcBorders>
              <w:top w:val="nil"/>
              <w:left w:val="nil"/>
              <w:bottom w:val="single" w:sz="4" w:space="0" w:color="000000"/>
              <w:right w:val="nil"/>
            </w:tcBorders>
            <w:shd w:val="clear" w:color="auto" w:fill="auto"/>
            <w:noWrap/>
            <w:vAlign w:val="bottom"/>
            <w:hideMark/>
          </w:tcPr>
          <w:p w14:paraId="2C6A0DE7" w14:textId="60C9EB17"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199,868</w:t>
            </w:r>
          </w:p>
        </w:tc>
        <w:tc>
          <w:tcPr>
            <w:tcW w:w="584" w:type="pct"/>
            <w:tcBorders>
              <w:top w:val="nil"/>
              <w:left w:val="nil"/>
              <w:bottom w:val="single" w:sz="4" w:space="0" w:color="000000"/>
              <w:right w:val="nil"/>
            </w:tcBorders>
            <w:shd w:val="clear" w:color="auto" w:fill="auto"/>
            <w:noWrap/>
            <w:vAlign w:val="bottom"/>
            <w:hideMark/>
          </w:tcPr>
          <w:p w14:paraId="7BA425F7" w14:textId="3D4CBEFA"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193,673</w:t>
            </w:r>
          </w:p>
        </w:tc>
        <w:tc>
          <w:tcPr>
            <w:tcW w:w="584" w:type="pct"/>
            <w:tcBorders>
              <w:top w:val="nil"/>
              <w:left w:val="nil"/>
              <w:bottom w:val="single" w:sz="4" w:space="0" w:color="000000"/>
              <w:right w:val="nil"/>
            </w:tcBorders>
            <w:shd w:val="clear" w:color="auto" w:fill="auto"/>
            <w:noWrap/>
            <w:vAlign w:val="bottom"/>
            <w:hideMark/>
          </w:tcPr>
          <w:p w14:paraId="635166C5" w14:textId="44474CB2"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187,456</w:t>
            </w:r>
          </w:p>
        </w:tc>
      </w:tr>
    </w:tbl>
    <w:p w14:paraId="6C51D9B9" w14:textId="71B0D5C1" w:rsidR="00115843" w:rsidRPr="003D12A2" w:rsidRDefault="00115843" w:rsidP="003D12A2">
      <w:pPr>
        <w:spacing w:before="60" w:after="0" w:line="240" w:lineRule="auto"/>
        <w:rPr>
          <w:rStyle w:val="TableHeadingChar"/>
        </w:rPr>
      </w:pPr>
      <w:r w:rsidRPr="00E84E69">
        <w:rPr>
          <w:rFonts w:ascii="Arial" w:hAnsi="Arial" w:cs="Arial"/>
          <w:sz w:val="16"/>
        </w:rPr>
        <w:t>Prepared on Australian Accounting Standards basis.</w:t>
      </w:r>
      <w:r>
        <w:br w:type="page"/>
      </w:r>
      <w:r w:rsidRPr="003D12A2">
        <w:rPr>
          <w:rStyle w:val="TableHeadingChar"/>
        </w:rPr>
        <w:lastRenderedPageBreak/>
        <w:t>Table 3.3: Departmental statement of changes in equity — summary of movement (Budget year 2022-23)</w:t>
      </w:r>
    </w:p>
    <w:tbl>
      <w:tblPr>
        <w:tblW w:w="5000" w:type="pct"/>
        <w:tblLook w:val="04A0" w:firstRow="1" w:lastRow="0" w:firstColumn="1" w:lastColumn="0" w:noHBand="0" w:noVBand="1"/>
      </w:tblPr>
      <w:tblGrid>
        <w:gridCol w:w="3387"/>
        <w:gridCol w:w="1080"/>
        <w:gridCol w:w="1082"/>
        <w:gridCol w:w="1082"/>
        <w:gridCol w:w="1079"/>
      </w:tblGrid>
      <w:tr w:rsidR="00115843" w:rsidRPr="002A338C" w14:paraId="01524566" w14:textId="77777777" w:rsidTr="00FB0D02">
        <w:trPr>
          <w:trHeight w:val="204"/>
        </w:trPr>
        <w:tc>
          <w:tcPr>
            <w:tcW w:w="2196" w:type="pct"/>
            <w:tcBorders>
              <w:top w:val="single" w:sz="4" w:space="0" w:color="auto"/>
              <w:left w:val="nil"/>
              <w:bottom w:val="nil"/>
              <w:right w:val="nil"/>
            </w:tcBorders>
            <w:shd w:val="clear" w:color="auto" w:fill="auto"/>
            <w:noWrap/>
            <w:vAlign w:val="bottom"/>
            <w:hideMark/>
          </w:tcPr>
          <w:p w14:paraId="1B1A8E90"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 </w:t>
            </w:r>
          </w:p>
        </w:tc>
        <w:tc>
          <w:tcPr>
            <w:tcW w:w="700" w:type="pct"/>
            <w:tcBorders>
              <w:top w:val="single" w:sz="4" w:space="0" w:color="auto"/>
              <w:left w:val="nil"/>
              <w:bottom w:val="single" w:sz="4" w:space="0" w:color="000000"/>
              <w:right w:val="nil"/>
            </w:tcBorders>
            <w:shd w:val="clear" w:color="auto" w:fill="auto"/>
            <w:vAlign w:val="bottom"/>
            <w:hideMark/>
          </w:tcPr>
          <w:p w14:paraId="64DBE3A1"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Retained</w:t>
            </w:r>
            <w:r w:rsidRPr="002A338C">
              <w:rPr>
                <w:rFonts w:ascii="Arial" w:hAnsi="Arial" w:cs="Arial"/>
                <w:color w:val="000000"/>
                <w:sz w:val="16"/>
                <w:szCs w:val="16"/>
              </w:rPr>
              <w:br/>
              <w:t>earnings</w:t>
            </w:r>
            <w:r w:rsidRPr="002A338C">
              <w:rPr>
                <w:rFonts w:ascii="Arial" w:hAnsi="Arial" w:cs="Arial"/>
                <w:color w:val="000000"/>
                <w:sz w:val="16"/>
                <w:szCs w:val="16"/>
              </w:rPr>
              <w:br/>
            </w:r>
            <w:r w:rsidRPr="002A338C">
              <w:rPr>
                <w:rFonts w:ascii="Arial" w:hAnsi="Arial" w:cs="Arial"/>
                <w:color w:val="000000"/>
                <w:sz w:val="16"/>
                <w:szCs w:val="16"/>
              </w:rPr>
              <w:br/>
              <w:t>$'000</w:t>
            </w:r>
          </w:p>
        </w:tc>
        <w:tc>
          <w:tcPr>
            <w:tcW w:w="702" w:type="pct"/>
            <w:tcBorders>
              <w:top w:val="single" w:sz="4" w:space="0" w:color="auto"/>
              <w:left w:val="nil"/>
              <w:bottom w:val="single" w:sz="4" w:space="0" w:color="000000"/>
              <w:right w:val="nil"/>
            </w:tcBorders>
            <w:shd w:val="clear" w:color="auto" w:fill="auto"/>
            <w:vAlign w:val="bottom"/>
            <w:hideMark/>
          </w:tcPr>
          <w:p w14:paraId="62B895F7"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Asset</w:t>
            </w:r>
            <w:r w:rsidRPr="002A338C">
              <w:rPr>
                <w:rFonts w:ascii="Arial" w:hAnsi="Arial" w:cs="Arial"/>
                <w:color w:val="000000"/>
                <w:sz w:val="16"/>
                <w:szCs w:val="16"/>
              </w:rPr>
              <w:br/>
              <w:t>revaluation</w:t>
            </w:r>
            <w:r w:rsidRPr="002A338C">
              <w:rPr>
                <w:rFonts w:ascii="Arial" w:hAnsi="Arial" w:cs="Arial"/>
                <w:color w:val="000000"/>
                <w:sz w:val="16"/>
                <w:szCs w:val="16"/>
              </w:rPr>
              <w:br/>
              <w:t>reserve</w:t>
            </w:r>
            <w:r w:rsidRPr="002A338C">
              <w:rPr>
                <w:rFonts w:ascii="Arial" w:hAnsi="Arial" w:cs="Arial"/>
                <w:color w:val="000000"/>
                <w:sz w:val="16"/>
                <w:szCs w:val="16"/>
              </w:rPr>
              <w:br/>
              <w:t>$'000</w:t>
            </w:r>
          </w:p>
        </w:tc>
        <w:tc>
          <w:tcPr>
            <w:tcW w:w="702" w:type="pct"/>
            <w:tcBorders>
              <w:top w:val="single" w:sz="4" w:space="0" w:color="auto"/>
              <w:left w:val="nil"/>
              <w:bottom w:val="single" w:sz="4" w:space="0" w:color="000000"/>
              <w:right w:val="nil"/>
            </w:tcBorders>
            <w:shd w:val="clear" w:color="auto" w:fill="auto"/>
            <w:vAlign w:val="bottom"/>
            <w:hideMark/>
          </w:tcPr>
          <w:p w14:paraId="5E5E15F2"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Contributed</w:t>
            </w:r>
            <w:r w:rsidRPr="002A338C">
              <w:rPr>
                <w:rFonts w:ascii="Arial" w:hAnsi="Arial" w:cs="Arial"/>
                <w:color w:val="000000"/>
                <w:sz w:val="16"/>
                <w:szCs w:val="16"/>
              </w:rPr>
              <w:br/>
              <w:t>equity/</w:t>
            </w:r>
            <w:r w:rsidRPr="002A338C">
              <w:rPr>
                <w:rFonts w:ascii="Arial" w:hAnsi="Arial" w:cs="Arial"/>
                <w:color w:val="000000"/>
                <w:sz w:val="16"/>
                <w:szCs w:val="16"/>
              </w:rPr>
              <w:br/>
              <w:t>capital</w:t>
            </w:r>
            <w:r w:rsidRPr="002A338C">
              <w:rPr>
                <w:rFonts w:ascii="Arial" w:hAnsi="Arial" w:cs="Arial"/>
                <w:color w:val="000000"/>
                <w:sz w:val="16"/>
                <w:szCs w:val="16"/>
              </w:rPr>
              <w:br/>
              <w:t>$'000</w:t>
            </w:r>
          </w:p>
        </w:tc>
        <w:tc>
          <w:tcPr>
            <w:tcW w:w="700" w:type="pct"/>
            <w:tcBorders>
              <w:top w:val="single" w:sz="4" w:space="0" w:color="auto"/>
              <w:left w:val="nil"/>
              <w:bottom w:val="single" w:sz="4" w:space="0" w:color="000000"/>
              <w:right w:val="nil"/>
            </w:tcBorders>
            <w:shd w:val="clear" w:color="auto" w:fill="auto"/>
            <w:vAlign w:val="bottom"/>
            <w:hideMark/>
          </w:tcPr>
          <w:p w14:paraId="5A7CD05C"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Total</w:t>
            </w:r>
            <w:r w:rsidRPr="002A338C">
              <w:rPr>
                <w:rFonts w:ascii="Arial" w:hAnsi="Arial" w:cs="Arial"/>
                <w:color w:val="000000"/>
                <w:sz w:val="16"/>
                <w:szCs w:val="16"/>
              </w:rPr>
              <w:br/>
              <w:t xml:space="preserve">equity </w:t>
            </w:r>
            <w:r w:rsidRPr="002A338C">
              <w:rPr>
                <w:rFonts w:ascii="Arial" w:hAnsi="Arial" w:cs="Arial"/>
                <w:color w:val="000000"/>
                <w:sz w:val="16"/>
                <w:szCs w:val="16"/>
              </w:rPr>
              <w:br/>
            </w:r>
            <w:r w:rsidRPr="002A338C">
              <w:rPr>
                <w:rFonts w:ascii="Arial" w:hAnsi="Arial" w:cs="Arial"/>
                <w:color w:val="000000"/>
                <w:sz w:val="16"/>
                <w:szCs w:val="16"/>
              </w:rPr>
              <w:br/>
              <w:t>$'000</w:t>
            </w:r>
          </w:p>
        </w:tc>
      </w:tr>
      <w:tr w:rsidR="00115843" w:rsidRPr="002A338C" w14:paraId="6E890E30" w14:textId="77777777" w:rsidTr="00FB0D02">
        <w:trPr>
          <w:trHeight w:val="204"/>
        </w:trPr>
        <w:tc>
          <w:tcPr>
            <w:tcW w:w="2196" w:type="pct"/>
            <w:tcBorders>
              <w:top w:val="nil"/>
              <w:left w:val="nil"/>
              <w:bottom w:val="nil"/>
              <w:right w:val="nil"/>
            </w:tcBorders>
            <w:shd w:val="clear" w:color="auto" w:fill="auto"/>
            <w:vAlign w:val="bottom"/>
            <w:hideMark/>
          </w:tcPr>
          <w:p w14:paraId="4C3D03B7"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Opening balance as at 1 July 2022</w:t>
            </w:r>
          </w:p>
        </w:tc>
        <w:tc>
          <w:tcPr>
            <w:tcW w:w="700" w:type="pct"/>
            <w:tcBorders>
              <w:top w:val="nil"/>
              <w:left w:val="nil"/>
              <w:bottom w:val="nil"/>
              <w:right w:val="nil"/>
            </w:tcBorders>
            <w:shd w:val="clear" w:color="auto" w:fill="auto"/>
            <w:noWrap/>
            <w:vAlign w:val="bottom"/>
            <w:hideMark/>
          </w:tcPr>
          <w:p w14:paraId="5BC45D05" w14:textId="77777777" w:rsidR="00115843" w:rsidRPr="002A338C" w:rsidRDefault="00115843" w:rsidP="00FB0D02">
            <w:pPr>
              <w:spacing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bottom"/>
            <w:hideMark/>
          </w:tcPr>
          <w:p w14:paraId="17317072" w14:textId="77777777" w:rsidR="00115843" w:rsidRPr="002A338C" w:rsidRDefault="00115843" w:rsidP="00FB0D02">
            <w:pPr>
              <w:spacing w:after="0" w:line="240" w:lineRule="auto"/>
              <w:jc w:val="right"/>
              <w:rPr>
                <w:rFonts w:ascii="Arial" w:hAnsi="Arial" w:cs="Arial"/>
                <w:sz w:val="16"/>
                <w:szCs w:val="16"/>
              </w:rPr>
            </w:pPr>
          </w:p>
        </w:tc>
        <w:tc>
          <w:tcPr>
            <w:tcW w:w="702" w:type="pct"/>
            <w:tcBorders>
              <w:top w:val="nil"/>
              <w:left w:val="nil"/>
              <w:bottom w:val="nil"/>
              <w:right w:val="nil"/>
            </w:tcBorders>
            <w:shd w:val="clear" w:color="auto" w:fill="auto"/>
            <w:noWrap/>
            <w:vAlign w:val="bottom"/>
            <w:hideMark/>
          </w:tcPr>
          <w:p w14:paraId="5EB380E8" w14:textId="77777777" w:rsidR="00115843" w:rsidRPr="002A338C" w:rsidRDefault="00115843" w:rsidP="00FB0D02">
            <w:pPr>
              <w:spacing w:after="0" w:line="240" w:lineRule="auto"/>
              <w:jc w:val="right"/>
              <w:rPr>
                <w:rFonts w:ascii="Arial" w:hAnsi="Arial" w:cs="Arial"/>
                <w:sz w:val="16"/>
                <w:szCs w:val="16"/>
              </w:rPr>
            </w:pPr>
          </w:p>
        </w:tc>
        <w:tc>
          <w:tcPr>
            <w:tcW w:w="700" w:type="pct"/>
            <w:tcBorders>
              <w:top w:val="nil"/>
              <w:left w:val="nil"/>
              <w:bottom w:val="nil"/>
              <w:right w:val="nil"/>
            </w:tcBorders>
            <w:shd w:val="clear" w:color="auto" w:fill="auto"/>
            <w:noWrap/>
            <w:vAlign w:val="bottom"/>
            <w:hideMark/>
          </w:tcPr>
          <w:p w14:paraId="276526AA" w14:textId="77777777" w:rsidR="00115843" w:rsidRPr="002A338C" w:rsidRDefault="00115843" w:rsidP="00FB0D02">
            <w:pPr>
              <w:spacing w:after="0" w:line="240" w:lineRule="auto"/>
              <w:jc w:val="right"/>
              <w:rPr>
                <w:rFonts w:ascii="Arial" w:hAnsi="Arial" w:cs="Arial"/>
                <w:sz w:val="16"/>
                <w:szCs w:val="16"/>
              </w:rPr>
            </w:pPr>
          </w:p>
        </w:tc>
      </w:tr>
      <w:tr w:rsidR="00D26033" w:rsidRPr="002A338C" w14:paraId="43A30F8D" w14:textId="77777777" w:rsidTr="00FB0D02">
        <w:trPr>
          <w:trHeight w:val="204"/>
        </w:trPr>
        <w:tc>
          <w:tcPr>
            <w:tcW w:w="2196" w:type="pct"/>
            <w:tcBorders>
              <w:top w:val="nil"/>
              <w:left w:val="nil"/>
              <w:bottom w:val="nil"/>
              <w:right w:val="nil"/>
            </w:tcBorders>
            <w:shd w:val="clear" w:color="auto" w:fill="auto"/>
            <w:vAlign w:val="bottom"/>
            <w:hideMark/>
          </w:tcPr>
          <w:p w14:paraId="1AF23DC0" w14:textId="77777777" w:rsidR="00D26033" w:rsidRPr="002A338C" w:rsidRDefault="00D26033" w:rsidP="00D26033">
            <w:pPr>
              <w:spacing w:after="0" w:line="240" w:lineRule="auto"/>
              <w:ind w:left="113"/>
              <w:rPr>
                <w:rFonts w:ascii="Arial" w:hAnsi="Arial" w:cs="Arial"/>
                <w:color w:val="000000"/>
                <w:sz w:val="16"/>
                <w:szCs w:val="16"/>
              </w:rPr>
            </w:pPr>
            <w:r w:rsidRPr="002A338C">
              <w:rPr>
                <w:rFonts w:ascii="Arial" w:hAnsi="Arial" w:cs="Arial"/>
                <w:color w:val="000000"/>
                <w:sz w:val="16"/>
                <w:szCs w:val="16"/>
              </w:rPr>
              <w:t>Balance carried forward from previous period</w:t>
            </w:r>
          </w:p>
        </w:tc>
        <w:tc>
          <w:tcPr>
            <w:tcW w:w="700" w:type="pct"/>
            <w:tcBorders>
              <w:top w:val="nil"/>
              <w:left w:val="nil"/>
              <w:bottom w:val="nil"/>
              <w:right w:val="nil"/>
            </w:tcBorders>
            <w:shd w:val="clear" w:color="auto" w:fill="auto"/>
            <w:noWrap/>
            <w:vAlign w:val="bottom"/>
            <w:hideMark/>
          </w:tcPr>
          <w:p w14:paraId="5A37C165" w14:textId="696C90D8"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129,279</w:t>
            </w:r>
          </w:p>
        </w:tc>
        <w:tc>
          <w:tcPr>
            <w:tcW w:w="702" w:type="pct"/>
            <w:tcBorders>
              <w:top w:val="nil"/>
              <w:left w:val="nil"/>
              <w:bottom w:val="nil"/>
              <w:right w:val="nil"/>
            </w:tcBorders>
            <w:shd w:val="clear" w:color="auto" w:fill="auto"/>
            <w:noWrap/>
            <w:vAlign w:val="bottom"/>
            <w:hideMark/>
          </w:tcPr>
          <w:p w14:paraId="280326F2" w14:textId="04FD8F5B"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46,607</w:t>
            </w:r>
          </w:p>
        </w:tc>
        <w:tc>
          <w:tcPr>
            <w:tcW w:w="702" w:type="pct"/>
            <w:tcBorders>
              <w:top w:val="nil"/>
              <w:left w:val="nil"/>
              <w:bottom w:val="nil"/>
              <w:right w:val="nil"/>
            </w:tcBorders>
            <w:shd w:val="clear" w:color="auto" w:fill="auto"/>
            <w:noWrap/>
            <w:vAlign w:val="bottom"/>
            <w:hideMark/>
          </w:tcPr>
          <w:p w14:paraId="1BF9D0EE" w14:textId="0E714438"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32,826</w:t>
            </w:r>
          </w:p>
        </w:tc>
        <w:tc>
          <w:tcPr>
            <w:tcW w:w="700" w:type="pct"/>
            <w:tcBorders>
              <w:top w:val="nil"/>
              <w:left w:val="nil"/>
              <w:bottom w:val="nil"/>
              <w:right w:val="nil"/>
            </w:tcBorders>
            <w:shd w:val="clear" w:color="auto" w:fill="auto"/>
            <w:noWrap/>
            <w:vAlign w:val="bottom"/>
            <w:hideMark/>
          </w:tcPr>
          <w:p w14:paraId="59D10B15" w14:textId="2A52C7A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208,712</w:t>
            </w:r>
          </w:p>
        </w:tc>
      </w:tr>
      <w:tr w:rsidR="00D26033" w:rsidRPr="002A338C" w14:paraId="2852852F" w14:textId="77777777" w:rsidTr="00FB0D02">
        <w:trPr>
          <w:trHeight w:val="204"/>
        </w:trPr>
        <w:tc>
          <w:tcPr>
            <w:tcW w:w="2196" w:type="pct"/>
            <w:tcBorders>
              <w:top w:val="nil"/>
              <w:left w:val="nil"/>
              <w:bottom w:val="nil"/>
              <w:right w:val="nil"/>
            </w:tcBorders>
            <w:shd w:val="clear" w:color="auto" w:fill="auto"/>
            <w:vAlign w:val="bottom"/>
            <w:hideMark/>
          </w:tcPr>
          <w:p w14:paraId="619875C7" w14:textId="77777777" w:rsidR="00D26033" w:rsidRPr="002A338C" w:rsidRDefault="00D26033" w:rsidP="00D26033">
            <w:pPr>
              <w:spacing w:after="0" w:line="240" w:lineRule="auto"/>
              <w:rPr>
                <w:rFonts w:ascii="Arial" w:hAnsi="Arial" w:cs="Arial"/>
                <w:b/>
                <w:bCs/>
                <w:i/>
                <w:iCs/>
                <w:color w:val="000000"/>
                <w:sz w:val="16"/>
                <w:szCs w:val="16"/>
              </w:rPr>
            </w:pPr>
            <w:r w:rsidRPr="002A338C">
              <w:rPr>
                <w:rFonts w:ascii="Arial" w:hAnsi="Arial" w:cs="Arial"/>
                <w:b/>
                <w:bCs/>
                <w:i/>
                <w:iCs/>
                <w:color w:val="000000"/>
                <w:sz w:val="16"/>
                <w:szCs w:val="16"/>
              </w:rPr>
              <w:t>Adjusted opening balance</w:t>
            </w:r>
          </w:p>
        </w:tc>
        <w:tc>
          <w:tcPr>
            <w:tcW w:w="700" w:type="pct"/>
            <w:tcBorders>
              <w:top w:val="single" w:sz="4" w:space="0" w:color="000000"/>
              <w:left w:val="nil"/>
              <w:bottom w:val="single" w:sz="4" w:space="0" w:color="000000"/>
              <w:right w:val="nil"/>
            </w:tcBorders>
            <w:shd w:val="clear" w:color="auto" w:fill="auto"/>
            <w:noWrap/>
            <w:vAlign w:val="bottom"/>
            <w:hideMark/>
          </w:tcPr>
          <w:p w14:paraId="30EB402A" w14:textId="44C1103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129,279</w:t>
            </w:r>
          </w:p>
        </w:tc>
        <w:tc>
          <w:tcPr>
            <w:tcW w:w="702" w:type="pct"/>
            <w:tcBorders>
              <w:top w:val="single" w:sz="4" w:space="0" w:color="000000"/>
              <w:left w:val="nil"/>
              <w:bottom w:val="single" w:sz="4" w:space="0" w:color="000000"/>
              <w:right w:val="nil"/>
            </w:tcBorders>
            <w:shd w:val="clear" w:color="auto" w:fill="auto"/>
            <w:noWrap/>
            <w:vAlign w:val="bottom"/>
            <w:hideMark/>
          </w:tcPr>
          <w:p w14:paraId="4C09622D" w14:textId="3D9774E1"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46,607</w:t>
            </w:r>
          </w:p>
        </w:tc>
        <w:tc>
          <w:tcPr>
            <w:tcW w:w="702" w:type="pct"/>
            <w:tcBorders>
              <w:top w:val="single" w:sz="4" w:space="0" w:color="000000"/>
              <w:left w:val="nil"/>
              <w:bottom w:val="single" w:sz="4" w:space="0" w:color="000000"/>
              <w:right w:val="nil"/>
            </w:tcBorders>
            <w:shd w:val="clear" w:color="auto" w:fill="auto"/>
            <w:noWrap/>
            <w:vAlign w:val="bottom"/>
            <w:hideMark/>
          </w:tcPr>
          <w:p w14:paraId="1F0826CD" w14:textId="766BBB58"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32,826</w:t>
            </w:r>
          </w:p>
        </w:tc>
        <w:tc>
          <w:tcPr>
            <w:tcW w:w="700" w:type="pct"/>
            <w:tcBorders>
              <w:top w:val="single" w:sz="4" w:space="0" w:color="000000"/>
              <w:left w:val="nil"/>
              <w:bottom w:val="single" w:sz="4" w:space="0" w:color="000000"/>
              <w:right w:val="nil"/>
            </w:tcBorders>
            <w:shd w:val="clear" w:color="auto" w:fill="auto"/>
            <w:noWrap/>
            <w:vAlign w:val="bottom"/>
            <w:hideMark/>
          </w:tcPr>
          <w:p w14:paraId="16C540C5" w14:textId="1DFF167B"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208,712</w:t>
            </w:r>
          </w:p>
        </w:tc>
      </w:tr>
      <w:tr w:rsidR="00D26033" w:rsidRPr="002A338C" w14:paraId="474F315D" w14:textId="77777777" w:rsidTr="00FB0D02">
        <w:trPr>
          <w:trHeight w:val="204"/>
        </w:trPr>
        <w:tc>
          <w:tcPr>
            <w:tcW w:w="2196" w:type="pct"/>
            <w:tcBorders>
              <w:top w:val="nil"/>
              <w:left w:val="nil"/>
              <w:bottom w:val="nil"/>
              <w:right w:val="nil"/>
            </w:tcBorders>
            <w:shd w:val="clear" w:color="auto" w:fill="auto"/>
            <w:noWrap/>
            <w:vAlign w:val="bottom"/>
            <w:hideMark/>
          </w:tcPr>
          <w:p w14:paraId="00CC17B9"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Comprehensive income</w:t>
            </w:r>
          </w:p>
        </w:tc>
        <w:tc>
          <w:tcPr>
            <w:tcW w:w="700" w:type="pct"/>
            <w:tcBorders>
              <w:top w:val="nil"/>
              <w:left w:val="nil"/>
              <w:bottom w:val="nil"/>
              <w:right w:val="nil"/>
            </w:tcBorders>
            <w:shd w:val="clear" w:color="auto" w:fill="auto"/>
            <w:noWrap/>
            <w:vAlign w:val="bottom"/>
            <w:hideMark/>
          </w:tcPr>
          <w:p w14:paraId="30B6B7CD" w14:textId="77777777" w:rsidR="00D26033" w:rsidRPr="002A338C" w:rsidRDefault="00D26033" w:rsidP="00D26033">
            <w:pPr>
              <w:spacing w:after="0" w:line="240" w:lineRule="auto"/>
              <w:jc w:val="right"/>
              <w:rPr>
                <w:rFonts w:ascii="Arial" w:hAnsi="Arial" w:cs="Arial"/>
                <w:b/>
                <w:bCs/>
                <w:i/>
                <w:iCs/>
                <w:color w:val="000000"/>
                <w:sz w:val="16"/>
                <w:szCs w:val="16"/>
              </w:rPr>
            </w:pPr>
          </w:p>
        </w:tc>
        <w:tc>
          <w:tcPr>
            <w:tcW w:w="702" w:type="pct"/>
            <w:tcBorders>
              <w:top w:val="nil"/>
              <w:left w:val="nil"/>
              <w:bottom w:val="nil"/>
              <w:right w:val="nil"/>
            </w:tcBorders>
            <w:shd w:val="clear" w:color="auto" w:fill="auto"/>
            <w:noWrap/>
            <w:vAlign w:val="bottom"/>
            <w:hideMark/>
          </w:tcPr>
          <w:p w14:paraId="6CB5F1A9" w14:textId="77777777" w:rsidR="00D26033" w:rsidRPr="002A338C" w:rsidRDefault="00D26033" w:rsidP="00D26033">
            <w:pPr>
              <w:spacing w:after="0" w:line="240" w:lineRule="auto"/>
              <w:jc w:val="right"/>
              <w:rPr>
                <w:rFonts w:ascii="Arial" w:hAnsi="Arial" w:cs="Arial"/>
                <w:sz w:val="16"/>
                <w:szCs w:val="16"/>
              </w:rPr>
            </w:pPr>
          </w:p>
        </w:tc>
        <w:tc>
          <w:tcPr>
            <w:tcW w:w="702" w:type="pct"/>
            <w:tcBorders>
              <w:top w:val="nil"/>
              <w:left w:val="nil"/>
              <w:bottom w:val="nil"/>
              <w:right w:val="nil"/>
            </w:tcBorders>
            <w:shd w:val="clear" w:color="auto" w:fill="auto"/>
            <w:noWrap/>
            <w:vAlign w:val="bottom"/>
            <w:hideMark/>
          </w:tcPr>
          <w:p w14:paraId="1B04E2F6" w14:textId="77777777" w:rsidR="00D26033" w:rsidRPr="002A338C" w:rsidRDefault="00D26033" w:rsidP="00D26033">
            <w:pPr>
              <w:spacing w:after="0" w:line="240" w:lineRule="auto"/>
              <w:jc w:val="right"/>
              <w:rPr>
                <w:rFonts w:ascii="Arial" w:hAnsi="Arial" w:cs="Arial"/>
                <w:sz w:val="16"/>
                <w:szCs w:val="16"/>
              </w:rPr>
            </w:pPr>
          </w:p>
        </w:tc>
        <w:tc>
          <w:tcPr>
            <w:tcW w:w="700" w:type="pct"/>
            <w:tcBorders>
              <w:top w:val="nil"/>
              <w:left w:val="nil"/>
              <w:bottom w:val="nil"/>
              <w:right w:val="nil"/>
            </w:tcBorders>
            <w:shd w:val="clear" w:color="auto" w:fill="auto"/>
            <w:noWrap/>
            <w:vAlign w:val="bottom"/>
            <w:hideMark/>
          </w:tcPr>
          <w:p w14:paraId="2583AB4B"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441A508E" w14:textId="77777777" w:rsidTr="00FB0D02">
        <w:trPr>
          <w:trHeight w:val="204"/>
        </w:trPr>
        <w:tc>
          <w:tcPr>
            <w:tcW w:w="2196" w:type="pct"/>
            <w:tcBorders>
              <w:top w:val="nil"/>
              <w:left w:val="nil"/>
              <w:bottom w:val="nil"/>
              <w:right w:val="nil"/>
            </w:tcBorders>
            <w:shd w:val="clear" w:color="auto" w:fill="auto"/>
            <w:noWrap/>
            <w:vAlign w:val="bottom"/>
            <w:hideMark/>
          </w:tcPr>
          <w:p w14:paraId="4425A3D0"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Surplus/(deficit) for the period</w:t>
            </w:r>
          </w:p>
        </w:tc>
        <w:tc>
          <w:tcPr>
            <w:tcW w:w="700" w:type="pct"/>
            <w:tcBorders>
              <w:top w:val="nil"/>
              <w:left w:val="nil"/>
              <w:bottom w:val="nil"/>
              <w:right w:val="nil"/>
            </w:tcBorders>
            <w:shd w:val="clear" w:color="auto" w:fill="auto"/>
            <w:noWrap/>
            <w:vAlign w:val="bottom"/>
            <w:hideMark/>
          </w:tcPr>
          <w:p w14:paraId="730A3308" w14:textId="71E4DB02"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(17,031)</w:t>
            </w:r>
          </w:p>
        </w:tc>
        <w:tc>
          <w:tcPr>
            <w:tcW w:w="702" w:type="pct"/>
            <w:tcBorders>
              <w:top w:val="nil"/>
              <w:left w:val="nil"/>
              <w:bottom w:val="nil"/>
              <w:right w:val="nil"/>
            </w:tcBorders>
            <w:shd w:val="clear" w:color="auto" w:fill="auto"/>
            <w:noWrap/>
            <w:vAlign w:val="bottom"/>
            <w:hideMark/>
          </w:tcPr>
          <w:p w14:paraId="6954BD41" w14:textId="5E0E3BBB"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2" w:type="pct"/>
            <w:tcBorders>
              <w:top w:val="nil"/>
              <w:left w:val="nil"/>
              <w:bottom w:val="nil"/>
              <w:right w:val="nil"/>
            </w:tcBorders>
            <w:shd w:val="clear" w:color="auto" w:fill="auto"/>
            <w:noWrap/>
            <w:vAlign w:val="bottom"/>
            <w:hideMark/>
          </w:tcPr>
          <w:p w14:paraId="72ED507C" w14:textId="631666F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0" w:type="pct"/>
            <w:tcBorders>
              <w:top w:val="nil"/>
              <w:left w:val="nil"/>
              <w:bottom w:val="nil"/>
              <w:right w:val="nil"/>
            </w:tcBorders>
            <w:shd w:val="clear" w:color="auto" w:fill="auto"/>
            <w:noWrap/>
            <w:vAlign w:val="bottom"/>
            <w:hideMark/>
          </w:tcPr>
          <w:p w14:paraId="15359824" w14:textId="1DB0809D"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(17,031)</w:t>
            </w:r>
          </w:p>
        </w:tc>
      </w:tr>
      <w:tr w:rsidR="00D26033" w:rsidRPr="002A338C" w14:paraId="359E4643" w14:textId="77777777" w:rsidTr="00FB0D02">
        <w:trPr>
          <w:trHeight w:val="204"/>
        </w:trPr>
        <w:tc>
          <w:tcPr>
            <w:tcW w:w="2196" w:type="pct"/>
            <w:tcBorders>
              <w:top w:val="nil"/>
              <w:left w:val="nil"/>
              <w:bottom w:val="nil"/>
              <w:right w:val="nil"/>
            </w:tcBorders>
            <w:shd w:val="clear" w:color="auto" w:fill="auto"/>
            <w:vAlign w:val="bottom"/>
            <w:hideMark/>
          </w:tcPr>
          <w:p w14:paraId="40912942" w14:textId="77777777" w:rsidR="00D26033" w:rsidRPr="002A338C" w:rsidRDefault="00D26033" w:rsidP="00D26033">
            <w:pPr>
              <w:spacing w:after="0" w:line="240" w:lineRule="auto"/>
              <w:rPr>
                <w:rFonts w:ascii="Arial" w:hAnsi="Arial" w:cs="Arial"/>
                <w:b/>
                <w:bCs/>
                <w:i/>
                <w:iCs/>
                <w:color w:val="000000"/>
                <w:sz w:val="16"/>
                <w:szCs w:val="16"/>
              </w:rPr>
            </w:pPr>
            <w:r w:rsidRPr="002A338C">
              <w:rPr>
                <w:rFonts w:ascii="Arial" w:hAnsi="Arial" w:cs="Arial"/>
                <w:b/>
                <w:bCs/>
                <w:i/>
                <w:iCs/>
                <w:color w:val="000000"/>
                <w:sz w:val="16"/>
                <w:szCs w:val="16"/>
              </w:rPr>
              <w:t>Total comprehensive income</w:t>
            </w:r>
          </w:p>
        </w:tc>
        <w:tc>
          <w:tcPr>
            <w:tcW w:w="700" w:type="pct"/>
            <w:tcBorders>
              <w:top w:val="single" w:sz="4" w:space="0" w:color="000000"/>
              <w:left w:val="nil"/>
              <w:bottom w:val="nil"/>
              <w:right w:val="nil"/>
            </w:tcBorders>
            <w:shd w:val="clear" w:color="auto" w:fill="auto"/>
            <w:noWrap/>
            <w:vAlign w:val="bottom"/>
            <w:hideMark/>
          </w:tcPr>
          <w:p w14:paraId="1BE8A25E" w14:textId="79CB594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(17,031)</w:t>
            </w:r>
          </w:p>
        </w:tc>
        <w:tc>
          <w:tcPr>
            <w:tcW w:w="702" w:type="pct"/>
            <w:tcBorders>
              <w:top w:val="single" w:sz="4" w:space="0" w:color="000000"/>
              <w:left w:val="nil"/>
              <w:bottom w:val="nil"/>
              <w:right w:val="nil"/>
            </w:tcBorders>
            <w:shd w:val="clear" w:color="auto" w:fill="auto"/>
            <w:noWrap/>
            <w:vAlign w:val="bottom"/>
            <w:hideMark/>
          </w:tcPr>
          <w:p w14:paraId="46A9BE60" w14:textId="6D7949D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2" w:type="pct"/>
            <w:tcBorders>
              <w:top w:val="single" w:sz="4" w:space="0" w:color="000000"/>
              <w:left w:val="nil"/>
              <w:bottom w:val="nil"/>
              <w:right w:val="nil"/>
            </w:tcBorders>
            <w:shd w:val="clear" w:color="auto" w:fill="auto"/>
            <w:noWrap/>
            <w:vAlign w:val="bottom"/>
            <w:hideMark/>
          </w:tcPr>
          <w:p w14:paraId="78F934A0" w14:textId="61122F0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0" w:type="pct"/>
            <w:tcBorders>
              <w:top w:val="single" w:sz="4" w:space="0" w:color="000000"/>
              <w:left w:val="nil"/>
              <w:bottom w:val="nil"/>
              <w:right w:val="nil"/>
            </w:tcBorders>
            <w:shd w:val="clear" w:color="auto" w:fill="auto"/>
            <w:noWrap/>
            <w:vAlign w:val="bottom"/>
            <w:hideMark/>
          </w:tcPr>
          <w:p w14:paraId="0B64D078" w14:textId="4DEA6860"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(17,031)</w:t>
            </w:r>
          </w:p>
        </w:tc>
      </w:tr>
      <w:tr w:rsidR="00D26033" w:rsidRPr="002A338C" w14:paraId="3FA7DFD5" w14:textId="77777777" w:rsidTr="000723E3">
        <w:trPr>
          <w:trHeight w:val="204"/>
        </w:trPr>
        <w:tc>
          <w:tcPr>
            <w:tcW w:w="2196" w:type="pct"/>
            <w:tcBorders>
              <w:top w:val="nil"/>
              <w:left w:val="nil"/>
              <w:bottom w:val="nil"/>
              <w:right w:val="nil"/>
            </w:tcBorders>
            <w:shd w:val="clear" w:color="auto" w:fill="auto"/>
            <w:noWrap/>
            <w:vAlign w:val="bottom"/>
            <w:hideMark/>
          </w:tcPr>
          <w:p w14:paraId="13FA5ACC" w14:textId="77777777" w:rsidR="00D26033" w:rsidRPr="002A338C" w:rsidRDefault="00D26033" w:rsidP="00D26033">
            <w:pPr>
              <w:spacing w:after="0" w:line="240" w:lineRule="auto"/>
              <w:ind w:left="113"/>
              <w:rPr>
                <w:rFonts w:ascii="Arial" w:hAnsi="Arial" w:cs="Arial"/>
                <w:color w:val="000000"/>
                <w:sz w:val="16"/>
                <w:szCs w:val="16"/>
              </w:rPr>
            </w:pPr>
            <w:r w:rsidRPr="002A338C">
              <w:rPr>
                <w:rFonts w:ascii="Arial" w:hAnsi="Arial" w:cs="Arial"/>
                <w:color w:val="000000"/>
                <w:sz w:val="16"/>
                <w:szCs w:val="16"/>
              </w:rPr>
              <w:t>of which:</w:t>
            </w:r>
          </w:p>
        </w:tc>
        <w:tc>
          <w:tcPr>
            <w:tcW w:w="700" w:type="pct"/>
            <w:tcBorders>
              <w:top w:val="single" w:sz="4" w:space="0" w:color="000000"/>
              <w:left w:val="nil"/>
              <w:right w:val="nil"/>
            </w:tcBorders>
            <w:shd w:val="clear" w:color="auto" w:fill="auto"/>
            <w:noWrap/>
            <w:vAlign w:val="bottom"/>
            <w:hideMark/>
          </w:tcPr>
          <w:p w14:paraId="067A1184" w14:textId="11A2A6F7" w:rsidR="00D26033" w:rsidRPr="002A338C" w:rsidRDefault="00D26033" w:rsidP="00D26033">
            <w:pPr>
              <w:spacing w:after="0" w:line="240" w:lineRule="auto"/>
              <w:jc w:val="right"/>
              <w:rPr>
                <w:rFonts w:ascii="Arial" w:hAnsi="Arial" w:cs="Arial"/>
                <w:color w:val="000000"/>
                <w:sz w:val="16"/>
                <w:szCs w:val="16"/>
              </w:rPr>
            </w:pPr>
          </w:p>
        </w:tc>
        <w:tc>
          <w:tcPr>
            <w:tcW w:w="702" w:type="pct"/>
            <w:tcBorders>
              <w:top w:val="single" w:sz="4" w:space="0" w:color="000000"/>
              <w:left w:val="nil"/>
              <w:right w:val="nil"/>
            </w:tcBorders>
            <w:shd w:val="clear" w:color="auto" w:fill="auto"/>
            <w:noWrap/>
            <w:vAlign w:val="bottom"/>
            <w:hideMark/>
          </w:tcPr>
          <w:p w14:paraId="13FE9A6C" w14:textId="27EC0489" w:rsidR="00D26033" w:rsidRPr="002A338C" w:rsidRDefault="00D26033" w:rsidP="00D26033">
            <w:pPr>
              <w:spacing w:after="0" w:line="240" w:lineRule="auto"/>
              <w:jc w:val="right"/>
              <w:rPr>
                <w:rFonts w:ascii="Arial" w:hAnsi="Arial" w:cs="Arial"/>
                <w:color w:val="000000"/>
                <w:sz w:val="16"/>
                <w:szCs w:val="16"/>
              </w:rPr>
            </w:pPr>
          </w:p>
        </w:tc>
        <w:tc>
          <w:tcPr>
            <w:tcW w:w="702" w:type="pct"/>
            <w:tcBorders>
              <w:top w:val="single" w:sz="4" w:space="0" w:color="000000"/>
              <w:left w:val="nil"/>
              <w:right w:val="nil"/>
            </w:tcBorders>
            <w:shd w:val="clear" w:color="auto" w:fill="auto"/>
            <w:noWrap/>
            <w:vAlign w:val="bottom"/>
            <w:hideMark/>
          </w:tcPr>
          <w:p w14:paraId="2976CDD2" w14:textId="2476B517" w:rsidR="00D26033" w:rsidRPr="002A338C" w:rsidRDefault="00D26033" w:rsidP="00D26033">
            <w:pPr>
              <w:spacing w:after="0" w:line="240" w:lineRule="auto"/>
              <w:jc w:val="right"/>
              <w:rPr>
                <w:rFonts w:ascii="Arial" w:hAnsi="Arial" w:cs="Arial"/>
                <w:color w:val="000000"/>
                <w:sz w:val="16"/>
                <w:szCs w:val="16"/>
              </w:rPr>
            </w:pPr>
          </w:p>
        </w:tc>
        <w:tc>
          <w:tcPr>
            <w:tcW w:w="700" w:type="pct"/>
            <w:tcBorders>
              <w:top w:val="single" w:sz="4" w:space="0" w:color="000000"/>
              <w:left w:val="nil"/>
              <w:right w:val="nil"/>
            </w:tcBorders>
            <w:shd w:val="clear" w:color="auto" w:fill="auto"/>
            <w:noWrap/>
            <w:vAlign w:val="bottom"/>
            <w:hideMark/>
          </w:tcPr>
          <w:p w14:paraId="4DC2A7B0" w14:textId="790E0B78" w:rsidR="00D26033" w:rsidRPr="002A338C" w:rsidRDefault="00D26033" w:rsidP="00D26033">
            <w:pPr>
              <w:spacing w:after="0" w:line="240" w:lineRule="auto"/>
              <w:jc w:val="right"/>
              <w:rPr>
                <w:rFonts w:ascii="Arial" w:hAnsi="Arial" w:cs="Arial"/>
                <w:color w:val="000000"/>
                <w:sz w:val="16"/>
                <w:szCs w:val="16"/>
              </w:rPr>
            </w:pPr>
          </w:p>
        </w:tc>
      </w:tr>
      <w:tr w:rsidR="00D26033" w:rsidRPr="002A338C" w14:paraId="0123857D" w14:textId="77777777" w:rsidTr="000723E3">
        <w:trPr>
          <w:trHeight w:val="204"/>
        </w:trPr>
        <w:tc>
          <w:tcPr>
            <w:tcW w:w="2196" w:type="pct"/>
            <w:tcBorders>
              <w:top w:val="nil"/>
              <w:left w:val="nil"/>
              <w:bottom w:val="nil"/>
              <w:right w:val="nil"/>
            </w:tcBorders>
            <w:shd w:val="clear" w:color="auto" w:fill="auto"/>
            <w:vAlign w:val="bottom"/>
            <w:hideMark/>
          </w:tcPr>
          <w:p w14:paraId="2642C081"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Attributable to the Australian Government</w:t>
            </w:r>
          </w:p>
        </w:tc>
        <w:tc>
          <w:tcPr>
            <w:tcW w:w="700" w:type="pct"/>
            <w:tcBorders>
              <w:top w:val="nil"/>
              <w:left w:val="nil"/>
              <w:bottom w:val="single" w:sz="4" w:space="0" w:color="auto"/>
              <w:right w:val="nil"/>
            </w:tcBorders>
            <w:shd w:val="clear" w:color="auto" w:fill="auto"/>
            <w:noWrap/>
            <w:vAlign w:val="bottom"/>
            <w:hideMark/>
          </w:tcPr>
          <w:p w14:paraId="69DFCB55" w14:textId="510FC796"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(17,031)</w:t>
            </w:r>
          </w:p>
        </w:tc>
        <w:tc>
          <w:tcPr>
            <w:tcW w:w="702" w:type="pct"/>
            <w:tcBorders>
              <w:top w:val="nil"/>
              <w:left w:val="nil"/>
              <w:bottom w:val="single" w:sz="4" w:space="0" w:color="auto"/>
              <w:right w:val="nil"/>
            </w:tcBorders>
            <w:shd w:val="clear" w:color="auto" w:fill="auto"/>
            <w:noWrap/>
            <w:vAlign w:val="bottom"/>
            <w:hideMark/>
          </w:tcPr>
          <w:p w14:paraId="49887E1B" w14:textId="2ADAEBD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2" w:type="pct"/>
            <w:tcBorders>
              <w:top w:val="nil"/>
              <w:left w:val="nil"/>
              <w:bottom w:val="single" w:sz="4" w:space="0" w:color="auto"/>
              <w:right w:val="nil"/>
            </w:tcBorders>
            <w:shd w:val="clear" w:color="auto" w:fill="auto"/>
            <w:noWrap/>
            <w:vAlign w:val="bottom"/>
            <w:hideMark/>
          </w:tcPr>
          <w:p w14:paraId="145A9FD0" w14:textId="2B954FB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0" w:type="pct"/>
            <w:tcBorders>
              <w:top w:val="nil"/>
              <w:left w:val="nil"/>
              <w:bottom w:val="single" w:sz="4" w:space="0" w:color="auto"/>
              <w:right w:val="nil"/>
            </w:tcBorders>
            <w:shd w:val="clear" w:color="auto" w:fill="auto"/>
            <w:noWrap/>
            <w:vAlign w:val="bottom"/>
            <w:hideMark/>
          </w:tcPr>
          <w:p w14:paraId="73B1A568" w14:textId="4EB8908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(17,031)</w:t>
            </w:r>
          </w:p>
        </w:tc>
      </w:tr>
      <w:tr w:rsidR="00D26033" w:rsidRPr="002A338C" w14:paraId="16D3F97B" w14:textId="77777777" w:rsidTr="000723E3">
        <w:trPr>
          <w:trHeight w:val="204"/>
        </w:trPr>
        <w:tc>
          <w:tcPr>
            <w:tcW w:w="2196" w:type="pct"/>
            <w:tcBorders>
              <w:top w:val="nil"/>
              <w:left w:val="nil"/>
              <w:bottom w:val="nil"/>
              <w:right w:val="nil"/>
            </w:tcBorders>
            <w:shd w:val="clear" w:color="auto" w:fill="auto"/>
            <w:noWrap/>
            <w:vAlign w:val="bottom"/>
            <w:hideMark/>
          </w:tcPr>
          <w:p w14:paraId="4AC4C5E1"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Transactions with owners</w:t>
            </w:r>
          </w:p>
        </w:tc>
        <w:tc>
          <w:tcPr>
            <w:tcW w:w="700" w:type="pct"/>
            <w:tcBorders>
              <w:top w:val="single" w:sz="4" w:space="0" w:color="auto"/>
              <w:left w:val="nil"/>
              <w:bottom w:val="nil"/>
              <w:right w:val="nil"/>
            </w:tcBorders>
            <w:shd w:val="clear" w:color="auto" w:fill="auto"/>
            <w:noWrap/>
            <w:vAlign w:val="bottom"/>
            <w:hideMark/>
          </w:tcPr>
          <w:p w14:paraId="79E82ECA" w14:textId="77777777" w:rsidR="00D26033" w:rsidRPr="002A338C" w:rsidRDefault="00D26033" w:rsidP="00D26033">
            <w:pPr>
              <w:spacing w:after="0" w:line="240" w:lineRule="auto"/>
              <w:jc w:val="right"/>
              <w:rPr>
                <w:rFonts w:ascii="Arial" w:hAnsi="Arial" w:cs="Arial"/>
                <w:color w:val="000000"/>
                <w:sz w:val="16"/>
                <w:szCs w:val="16"/>
              </w:rPr>
            </w:pPr>
          </w:p>
        </w:tc>
        <w:tc>
          <w:tcPr>
            <w:tcW w:w="702" w:type="pct"/>
            <w:tcBorders>
              <w:top w:val="single" w:sz="4" w:space="0" w:color="auto"/>
              <w:left w:val="nil"/>
              <w:bottom w:val="nil"/>
              <w:right w:val="nil"/>
            </w:tcBorders>
            <w:shd w:val="clear" w:color="auto" w:fill="auto"/>
            <w:noWrap/>
            <w:vAlign w:val="bottom"/>
            <w:hideMark/>
          </w:tcPr>
          <w:p w14:paraId="5B57EFD2" w14:textId="77777777" w:rsidR="00D26033" w:rsidRPr="002A338C" w:rsidRDefault="00D26033" w:rsidP="00D26033">
            <w:pPr>
              <w:spacing w:after="0" w:line="240" w:lineRule="auto"/>
              <w:jc w:val="right"/>
              <w:rPr>
                <w:rFonts w:ascii="Arial" w:hAnsi="Arial" w:cs="Arial"/>
                <w:sz w:val="16"/>
                <w:szCs w:val="16"/>
              </w:rPr>
            </w:pPr>
          </w:p>
        </w:tc>
        <w:tc>
          <w:tcPr>
            <w:tcW w:w="702" w:type="pct"/>
            <w:tcBorders>
              <w:top w:val="single" w:sz="4" w:space="0" w:color="auto"/>
              <w:left w:val="nil"/>
              <w:bottom w:val="nil"/>
              <w:right w:val="nil"/>
            </w:tcBorders>
            <w:shd w:val="clear" w:color="auto" w:fill="auto"/>
            <w:noWrap/>
            <w:vAlign w:val="bottom"/>
            <w:hideMark/>
          </w:tcPr>
          <w:p w14:paraId="57982F9E" w14:textId="77777777" w:rsidR="00D26033" w:rsidRPr="002A338C" w:rsidRDefault="00D26033" w:rsidP="00D26033">
            <w:pPr>
              <w:spacing w:after="0" w:line="240" w:lineRule="auto"/>
              <w:jc w:val="right"/>
              <w:rPr>
                <w:rFonts w:ascii="Arial" w:hAnsi="Arial" w:cs="Arial"/>
                <w:sz w:val="16"/>
                <w:szCs w:val="16"/>
              </w:rPr>
            </w:pPr>
          </w:p>
        </w:tc>
        <w:tc>
          <w:tcPr>
            <w:tcW w:w="700" w:type="pct"/>
            <w:tcBorders>
              <w:top w:val="single" w:sz="4" w:space="0" w:color="auto"/>
              <w:left w:val="nil"/>
              <w:bottom w:val="nil"/>
              <w:right w:val="nil"/>
            </w:tcBorders>
            <w:shd w:val="clear" w:color="auto" w:fill="auto"/>
            <w:noWrap/>
            <w:vAlign w:val="bottom"/>
            <w:hideMark/>
          </w:tcPr>
          <w:p w14:paraId="0467A28F"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1E54A1E0" w14:textId="77777777" w:rsidTr="00FB0D02">
        <w:trPr>
          <w:trHeight w:val="204"/>
        </w:trPr>
        <w:tc>
          <w:tcPr>
            <w:tcW w:w="2196" w:type="pct"/>
            <w:tcBorders>
              <w:top w:val="nil"/>
              <w:left w:val="nil"/>
              <w:bottom w:val="nil"/>
              <w:right w:val="nil"/>
            </w:tcBorders>
            <w:shd w:val="clear" w:color="auto" w:fill="auto"/>
            <w:noWrap/>
            <w:vAlign w:val="bottom"/>
            <w:hideMark/>
          </w:tcPr>
          <w:p w14:paraId="5D1699A1" w14:textId="77777777" w:rsidR="00D26033" w:rsidRPr="002A338C" w:rsidRDefault="00D26033" w:rsidP="00D26033">
            <w:pPr>
              <w:spacing w:after="0" w:line="240" w:lineRule="auto"/>
              <w:ind w:left="113"/>
              <w:rPr>
                <w:rFonts w:ascii="Arial" w:hAnsi="Arial" w:cs="Arial"/>
                <w:color w:val="000000"/>
                <w:sz w:val="16"/>
                <w:szCs w:val="16"/>
              </w:rPr>
            </w:pPr>
            <w:r w:rsidRPr="002A338C">
              <w:rPr>
                <w:rFonts w:ascii="Arial" w:hAnsi="Arial" w:cs="Arial"/>
                <w:color w:val="000000"/>
                <w:sz w:val="16"/>
                <w:szCs w:val="16"/>
              </w:rPr>
              <w:t>Departmental capital budget (DCB)</w:t>
            </w:r>
          </w:p>
        </w:tc>
        <w:tc>
          <w:tcPr>
            <w:tcW w:w="700" w:type="pct"/>
            <w:tcBorders>
              <w:top w:val="nil"/>
              <w:left w:val="nil"/>
              <w:bottom w:val="nil"/>
              <w:right w:val="nil"/>
            </w:tcBorders>
            <w:shd w:val="clear" w:color="auto" w:fill="auto"/>
            <w:noWrap/>
            <w:vAlign w:val="bottom"/>
            <w:hideMark/>
          </w:tcPr>
          <w:p w14:paraId="4710AD4C" w14:textId="1A2038C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2" w:type="pct"/>
            <w:tcBorders>
              <w:top w:val="nil"/>
              <w:left w:val="nil"/>
              <w:bottom w:val="nil"/>
              <w:right w:val="nil"/>
            </w:tcBorders>
            <w:shd w:val="clear" w:color="auto" w:fill="auto"/>
            <w:noWrap/>
            <w:vAlign w:val="bottom"/>
            <w:hideMark/>
          </w:tcPr>
          <w:p w14:paraId="65D52775" w14:textId="612F42EC"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2" w:type="pct"/>
            <w:tcBorders>
              <w:top w:val="nil"/>
              <w:left w:val="nil"/>
              <w:bottom w:val="nil"/>
              <w:right w:val="nil"/>
            </w:tcBorders>
            <w:shd w:val="clear" w:color="auto" w:fill="auto"/>
            <w:noWrap/>
            <w:vAlign w:val="bottom"/>
            <w:hideMark/>
          </w:tcPr>
          <w:p w14:paraId="3D578E18" w14:textId="6D2731A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12,456</w:t>
            </w:r>
          </w:p>
        </w:tc>
        <w:tc>
          <w:tcPr>
            <w:tcW w:w="700" w:type="pct"/>
            <w:tcBorders>
              <w:top w:val="nil"/>
              <w:left w:val="nil"/>
              <w:bottom w:val="nil"/>
              <w:right w:val="nil"/>
            </w:tcBorders>
            <w:shd w:val="clear" w:color="auto" w:fill="auto"/>
            <w:noWrap/>
            <w:vAlign w:val="bottom"/>
            <w:hideMark/>
          </w:tcPr>
          <w:p w14:paraId="62F2F958" w14:textId="13A885F3"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12,456</w:t>
            </w:r>
          </w:p>
        </w:tc>
      </w:tr>
      <w:tr w:rsidR="00D26033" w:rsidRPr="002A338C" w14:paraId="2095E2C0" w14:textId="77777777" w:rsidTr="00FB0D02">
        <w:trPr>
          <w:trHeight w:val="204"/>
        </w:trPr>
        <w:tc>
          <w:tcPr>
            <w:tcW w:w="2196" w:type="pct"/>
            <w:tcBorders>
              <w:top w:val="nil"/>
              <w:left w:val="nil"/>
              <w:bottom w:val="nil"/>
              <w:right w:val="nil"/>
            </w:tcBorders>
            <w:shd w:val="clear" w:color="auto" w:fill="auto"/>
            <w:vAlign w:val="bottom"/>
            <w:hideMark/>
          </w:tcPr>
          <w:p w14:paraId="2FD2E059" w14:textId="77777777" w:rsidR="00D26033" w:rsidRPr="002A338C" w:rsidRDefault="00D26033" w:rsidP="00D26033">
            <w:pPr>
              <w:spacing w:after="0" w:line="240" w:lineRule="auto"/>
              <w:rPr>
                <w:rFonts w:ascii="Arial" w:hAnsi="Arial" w:cs="Arial"/>
                <w:b/>
                <w:bCs/>
                <w:i/>
                <w:iCs/>
                <w:color w:val="000000"/>
                <w:sz w:val="16"/>
                <w:szCs w:val="16"/>
              </w:rPr>
            </w:pPr>
            <w:r w:rsidRPr="002A338C">
              <w:rPr>
                <w:rFonts w:ascii="Arial" w:hAnsi="Arial" w:cs="Arial"/>
                <w:b/>
                <w:bCs/>
                <w:i/>
                <w:iCs/>
                <w:color w:val="000000"/>
                <w:sz w:val="16"/>
                <w:szCs w:val="16"/>
              </w:rPr>
              <w:t>Sub-total transactions with owners</w:t>
            </w:r>
          </w:p>
        </w:tc>
        <w:tc>
          <w:tcPr>
            <w:tcW w:w="700" w:type="pct"/>
            <w:tcBorders>
              <w:top w:val="single" w:sz="4" w:space="0" w:color="000000"/>
              <w:left w:val="nil"/>
              <w:bottom w:val="single" w:sz="4" w:space="0" w:color="000000"/>
              <w:right w:val="nil"/>
            </w:tcBorders>
            <w:shd w:val="clear" w:color="auto" w:fill="auto"/>
            <w:noWrap/>
            <w:vAlign w:val="bottom"/>
            <w:hideMark/>
          </w:tcPr>
          <w:p w14:paraId="47F5853B" w14:textId="43276A42"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2" w:type="pct"/>
            <w:tcBorders>
              <w:top w:val="single" w:sz="4" w:space="0" w:color="000000"/>
              <w:left w:val="nil"/>
              <w:bottom w:val="single" w:sz="4" w:space="0" w:color="000000"/>
              <w:right w:val="nil"/>
            </w:tcBorders>
            <w:shd w:val="clear" w:color="auto" w:fill="auto"/>
            <w:noWrap/>
            <w:vAlign w:val="bottom"/>
            <w:hideMark/>
          </w:tcPr>
          <w:p w14:paraId="31050C8A" w14:textId="5A243B8B"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02" w:type="pct"/>
            <w:tcBorders>
              <w:top w:val="single" w:sz="4" w:space="0" w:color="000000"/>
              <w:left w:val="nil"/>
              <w:bottom w:val="single" w:sz="4" w:space="0" w:color="000000"/>
              <w:right w:val="nil"/>
            </w:tcBorders>
            <w:shd w:val="clear" w:color="auto" w:fill="auto"/>
            <w:noWrap/>
            <w:vAlign w:val="bottom"/>
            <w:hideMark/>
          </w:tcPr>
          <w:p w14:paraId="29BED763" w14:textId="3B0D2DF8"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12,456</w:t>
            </w:r>
          </w:p>
        </w:tc>
        <w:tc>
          <w:tcPr>
            <w:tcW w:w="700" w:type="pct"/>
            <w:tcBorders>
              <w:top w:val="single" w:sz="4" w:space="0" w:color="000000"/>
              <w:left w:val="nil"/>
              <w:bottom w:val="single" w:sz="4" w:space="0" w:color="000000"/>
              <w:right w:val="nil"/>
            </w:tcBorders>
            <w:shd w:val="clear" w:color="auto" w:fill="auto"/>
            <w:noWrap/>
            <w:vAlign w:val="bottom"/>
            <w:hideMark/>
          </w:tcPr>
          <w:p w14:paraId="1959AEDC" w14:textId="03A96135"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12,456</w:t>
            </w:r>
          </w:p>
        </w:tc>
      </w:tr>
      <w:tr w:rsidR="00D26033" w:rsidRPr="002A338C" w14:paraId="079941EC" w14:textId="77777777" w:rsidTr="00FB0D02">
        <w:trPr>
          <w:trHeight w:val="204"/>
        </w:trPr>
        <w:tc>
          <w:tcPr>
            <w:tcW w:w="2196" w:type="pct"/>
            <w:tcBorders>
              <w:top w:val="nil"/>
              <w:left w:val="nil"/>
              <w:bottom w:val="nil"/>
              <w:right w:val="nil"/>
            </w:tcBorders>
            <w:shd w:val="clear" w:color="auto" w:fill="auto"/>
            <w:vAlign w:val="bottom"/>
            <w:hideMark/>
          </w:tcPr>
          <w:p w14:paraId="31289566"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Estimated closing balance as at 30 June 2023</w:t>
            </w:r>
          </w:p>
        </w:tc>
        <w:tc>
          <w:tcPr>
            <w:tcW w:w="700" w:type="pct"/>
            <w:tcBorders>
              <w:top w:val="nil"/>
              <w:left w:val="nil"/>
              <w:bottom w:val="single" w:sz="4" w:space="0" w:color="auto"/>
              <w:right w:val="nil"/>
            </w:tcBorders>
            <w:shd w:val="clear" w:color="auto" w:fill="auto"/>
            <w:noWrap/>
            <w:vAlign w:val="bottom"/>
            <w:hideMark/>
          </w:tcPr>
          <w:p w14:paraId="7CF845FD" w14:textId="1402E721"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112,248</w:t>
            </w:r>
          </w:p>
        </w:tc>
        <w:tc>
          <w:tcPr>
            <w:tcW w:w="702" w:type="pct"/>
            <w:tcBorders>
              <w:top w:val="nil"/>
              <w:left w:val="nil"/>
              <w:bottom w:val="single" w:sz="4" w:space="0" w:color="auto"/>
              <w:right w:val="nil"/>
            </w:tcBorders>
            <w:shd w:val="clear" w:color="auto" w:fill="auto"/>
            <w:noWrap/>
            <w:vAlign w:val="bottom"/>
            <w:hideMark/>
          </w:tcPr>
          <w:p w14:paraId="5BA1F63E" w14:textId="4E698B4B"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46,607</w:t>
            </w:r>
          </w:p>
        </w:tc>
        <w:tc>
          <w:tcPr>
            <w:tcW w:w="702" w:type="pct"/>
            <w:tcBorders>
              <w:top w:val="nil"/>
              <w:left w:val="nil"/>
              <w:bottom w:val="single" w:sz="4" w:space="0" w:color="auto"/>
              <w:right w:val="nil"/>
            </w:tcBorders>
            <w:shd w:val="clear" w:color="auto" w:fill="auto"/>
            <w:noWrap/>
            <w:vAlign w:val="bottom"/>
            <w:hideMark/>
          </w:tcPr>
          <w:p w14:paraId="6F7081C3" w14:textId="42119FD3"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45,282</w:t>
            </w:r>
          </w:p>
        </w:tc>
        <w:tc>
          <w:tcPr>
            <w:tcW w:w="700" w:type="pct"/>
            <w:tcBorders>
              <w:top w:val="nil"/>
              <w:left w:val="nil"/>
              <w:bottom w:val="single" w:sz="4" w:space="0" w:color="auto"/>
              <w:right w:val="nil"/>
            </w:tcBorders>
            <w:shd w:val="clear" w:color="auto" w:fill="auto"/>
            <w:noWrap/>
            <w:vAlign w:val="bottom"/>
            <w:hideMark/>
          </w:tcPr>
          <w:p w14:paraId="4A2EFC7E" w14:textId="392D4ADA"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204,137</w:t>
            </w:r>
          </w:p>
        </w:tc>
      </w:tr>
      <w:tr w:rsidR="00D26033" w:rsidRPr="002A338C" w14:paraId="3A628AD8" w14:textId="77777777" w:rsidTr="00FB0D02">
        <w:trPr>
          <w:trHeight w:val="204"/>
        </w:trPr>
        <w:tc>
          <w:tcPr>
            <w:tcW w:w="2196" w:type="pct"/>
            <w:tcBorders>
              <w:top w:val="nil"/>
              <w:left w:val="nil"/>
              <w:bottom w:val="single" w:sz="4" w:space="0" w:color="000000"/>
              <w:right w:val="nil"/>
            </w:tcBorders>
            <w:shd w:val="clear" w:color="auto" w:fill="auto"/>
            <w:vAlign w:val="bottom"/>
            <w:hideMark/>
          </w:tcPr>
          <w:p w14:paraId="1D82AD8A"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Closing balance attributable to the Australian Government</w:t>
            </w:r>
          </w:p>
        </w:tc>
        <w:tc>
          <w:tcPr>
            <w:tcW w:w="700" w:type="pct"/>
            <w:tcBorders>
              <w:top w:val="nil"/>
              <w:left w:val="nil"/>
              <w:bottom w:val="single" w:sz="4" w:space="0" w:color="auto"/>
              <w:right w:val="nil"/>
            </w:tcBorders>
            <w:shd w:val="clear" w:color="auto" w:fill="auto"/>
            <w:noWrap/>
            <w:vAlign w:val="bottom"/>
            <w:hideMark/>
          </w:tcPr>
          <w:p w14:paraId="39484074" w14:textId="199D67F0"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112,248</w:t>
            </w:r>
          </w:p>
        </w:tc>
        <w:tc>
          <w:tcPr>
            <w:tcW w:w="702" w:type="pct"/>
            <w:tcBorders>
              <w:top w:val="nil"/>
              <w:left w:val="nil"/>
              <w:bottom w:val="single" w:sz="4" w:space="0" w:color="auto"/>
              <w:right w:val="nil"/>
            </w:tcBorders>
            <w:shd w:val="clear" w:color="auto" w:fill="auto"/>
            <w:noWrap/>
            <w:vAlign w:val="bottom"/>
            <w:hideMark/>
          </w:tcPr>
          <w:p w14:paraId="23DD7A42" w14:textId="46A91464"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46,607</w:t>
            </w:r>
          </w:p>
        </w:tc>
        <w:tc>
          <w:tcPr>
            <w:tcW w:w="702" w:type="pct"/>
            <w:tcBorders>
              <w:top w:val="nil"/>
              <w:left w:val="nil"/>
              <w:bottom w:val="single" w:sz="4" w:space="0" w:color="auto"/>
              <w:right w:val="nil"/>
            </w:tcBorders>
            <w:shd w:val="clear" w:color="auto" w:fill="auto"/>
            <w:noWrap/>
            <w:vAlign w:val="bottom"/>
            <w:hideMark/>
          </w:tcPr>
          <w:p w14:paraId="02A800D6" w14:textId="5F800EA0"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45,282</w:t>
            </w:r>
          </w:p>
        </w:tc>
        <w:tc>
          <w:tcPr>
            <w:tcW w:w="700" w:type="pct"/>
            <w:tcBorders>
              <w:top w:val="nil"/>
              <w:left w:val="nil"/>
              <w:bottom w:val="single" w:sz="4" w:space="0" w:color="auto"/>
              <w:right w:val="nil"/>
            </w:tcBorders>
            <w:shd w:val="clear" w:color="auto" w:fill="auto"/>
            <w:noWrap/>
            <w:vAlign w:val="bottom"/>
            <w:hideMark/>
          </w:tcPr>
          <w:p w14:paraId="0234B078" w14:textId="4EBE0935"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204,137</w:t>
            </w:r>
          </w:p>
        </w:tc>
      </w:tr>
    </w:tbl>
    <w:p w14:paraId="71754120" w14:textId="77777777" w:rsidR="00115843" w:rsidRPr="000E5662" w:rsidRDefault="00115843" w:rsidP="00115843">
      <w:pPr>
        <w:pStyle w:val="TableGraphic"/>
        <w:spacing w:before="60"/>
        <w:rPr>
          <w:rFonts w:ascii="Arial" w:hAnsi="Arial" w:cs="Arial"/>
          <w:sz w:val="16"/>
          <w:szCs w:val="16"/>
        </w:rPr>
      </w:pPr>
      <w:r w:rsidRPr="000E5662">
        <w:rPr>
          <w:rFonts w:ascii="Arial" w:hAnsi="Arial" w:cs="Arial"/>
          <w:sz w:val="16"/>
        </w:rPr>
        <w:t>Prepared on Australian Accounting Standards basis</w:t>
      </w:r>
      <w:r>
        <w:rPr>
          <w:rFonts w:ascii="Arial" w:hAnsi="Arial" w:cs="Arial"/>
          <w:sz w:val="16"/>
        </w:rPr>
        <w:t>.</w:t>
      </w:r>
    </w:p>
    <w:p w14:paraId="3A5057D2" w14:textId="77777777" w:rsidR="00115843" w:rsidRPr="00A00283" w:rsidRDefault="00115843" w:rsidP="00115843">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450"/>
        <w:gridCol w:w="928"/>
        <w:gridCol w:w="813"/>
        <w:gridCol w:w="840"/>
        <w:gridCol w:w="840"/>
        <w:gridCol w:w="839"/>
      </w:tblGrid>
      <w:tr w:rsidR="00115843" w:rsidRPr="002A338C" w14:paraId="41FBDD41" w14:textId="77777777" w:rsidTr="005334F2">
        <w:trPr>
          <w:trHeight w:val="204"/>
        </w:trPr>
        <w:tc>
          <w:tcPr>
            <w:tcW w:w="2237" w:type="pct"/>
            <w:tcBorders>
              <w:top w:val="single" w:sz="4" w:space="0" w:color="auto"/>
              <w:left w:val="nil"/>
              <w:bottom w:val="nil"/>
              <w:right w:val="nil"/>
            </w:tcBorders>
            <w:shd w:val="clear" w:color="auto" w:fill="auto"/>
            <w:noWrap/>
            <w:vAlign w:val="bottom"/>
            <w:hideMark/>
          </w:tcPr>
          <w:p w14:paraId="3745DC0C"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E177A26"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E6E6E6"/>
            <w:vAlign w:val="bottom"/>
            <w:hideMark/>
          </w:tcPr>
          <w:p w14:paraId="35B5C9B7"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545" w:type="pct"/>
            <w:tcBorders>
              <w:top w:val="single" w:sz="4" w:space="0" w:color="auto"/>
              <w:left w:val="nil"/>
              <w:bottom w:val="single" w:sz="4" w:space="0" w:color="auto"/>
              <w:right w:val="nil"/>
            </w:tcBorders>
            <w:shd w:val="clear" w:color="auto" w:fill="auto"/>
            <w:vAlign w:val="bottom"/>
            <w:hideMark/>
          </w:tcPr>
          <w:p w14:paraId="1A083704"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545" w:type="pct"/>
            <w:tcBorders>
              <w:top w:val="single" w:sz="4" w:space="0" w:color="auto"/>
              <w:left w:val="nil"/>
              <w:bottom w:val="single" w:sz="4" w:space="0" w:color="auto"/>
              <w:right w:val="nil"/>
            </w:tcBorders>
            <w:shd w:val="clear" w:color="auto" w:fill="auto"/>
            <w:vAlign w:val="bottom"/>
            <w:hideMark/>
          </w:tcPr>
          <w:p w14:paraId="48335D82"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544" w:type="pct"/>
            <w:tcBorders>
              <w:top w:val="single" w:sz="4" w:space="0" w:color="auto"/>
              <w:left w:val="nil"/>
              <w:bottom w:val="single" w:sz="4" w:space="0" w:color="auto"/>
              <w:right w:val="nil"/>
            </w:tcBorders>
            <w:shd w:val="clear" w:color="auto" w:fill="auto"/>
            <w:vAlign w:val="bottom"/>
            <w:hideMark/>
          </w:tcPr>
          <w:p w14:paraId="759721E2"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3F3EDD2A" w14:textId="77777777" w:rsidTr="005334F2">
        <w:trPr>
          <w:trHeight w:val="204"/>
        </w:trPr>
        <w:tc>
          <w:tcPr>
            <w:tcW w:w="2237" w:type="pct"/>
            <w:tcBorders>
              <w:top w:val="nil"/>
              <w:left w:val="nil"/>
              <w:bottom w:val="nil"/>
              <w:right w:val="nil"/>
            </w:tcBorders>
            <w:shd w:val="clear" w:color="auto" w:fill="auto"/>
            <w:noWrap/>
            <w:vAlign w:val="bottom"/>
            <w:hideMark/>
          </w:tcPr>
          <w:p w14:paraId="7663CDB8"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6DD7F424" w14:textId="77777777" w:rsidR="00115843" w:rsidRPr="002A338C" w:rsidRDefault="00115843" w:rsidP="00FB0D02">
            <w:pPr>
              <w:spacing w:after="0" w:line="240" w:lineRule="auto"/>
              <w:jc w:val="right"/>
              <w:rPr>
                <w:rFonts w:ascii="Arial" w:hAnsi="Arial" w:cs="Arial"/>
                <w:b/>
                <w:bCs/>
                <w:color w:val="000000"/>
                <w:sz w:val="16"/>
                <w:szCs w:val="16"/>
              </w:rPr>
            </w:pPr>
          </w:p>
        </w:tc>
        <w:tc>
          <w:tcPr>
            <w:tcW w:w="527" w:type="pct"/>
            <w:tcBorders>
              <w:top w:val="nil"/>
              <w:left w:val="nil"/>
              <w:bottom w:val="nil"/>
              <w:right w:val="nil"/>
            </w:tcBorders>
            <w:shd w:val="clear" w:color="auto" w:fill="E6E6E6"/>
            <w:noWrap/>
            <w:vAlign w:val="bottom"/>
            <w:hideMark/>
          </w:tcPr>
          <w:p w14:paraId="10BE034A" w14:textId="77777777" w:rsidR="00115843" w:rsidRPr="002A338C" w:rsidRDefault="00115843" w:rsidP="00FB0D02">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6490EB3F" w14:textId="77777777" w:rsidR="00115843" w:rsidRPr="002A338C" w:rsidRDefault="00115843" w:rsidP="00FB0D02">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269DC706" w14:textId="77777777" w:rsidR="00115843" w:rsidRPr="002A338C" w:rsidRDefault="00115843" w:rsidP="00FB0D02">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hideMark/>
          </w:tcPr>
          <w:p w14:paraId="0DE903AE" w14:textId="77777777" w:rsidR="00115843" w:rsidRPr="002A338C" w:rsidRDefault="00115843" w:rsidP="00FB0D02">
            <w:pPr>
              <w:spacing w:after="0" w:line="240" w:lineRule="auto"/>
              <w:jc w:val="right"/>
              <w:rPr>
                <w:rFonts w:ascii="Arial" w:hAnsi="Arial" w:cs="Arial"/>
                <w:sz w:val="16"/>
                <w:szCs w:val="16"/>
              </w:rPr>
            </w:pPr>
          </w:p>
        </w:tc>
      </w:tr>
      <w:tr w:rsidR="00115843" w:rsidRPr="002A338C" w14:paraId="6B16D253" w14:textId="77777777" w:rsidTr="005334F2">
        <w:trPr>
          <w:trHeight w:val="204"/>
        </w:trPr>
        <w:tc>
          <w:tcPr>
            <w:tcW w:w="2237" w:type="pct"/>
            <w:tcBorders>
              <w:top w:val="nil"/>
              <w:left w:val="nil"/>
              <w:bottom w:val="nil"/>
              <w:right w:val="nil"/>
            </w:tcBorders>
            <w:shd w:val="clear" w:color="auto" w:fill="auto"/>
            <w:noWrap/>
            <w:vAlign w:val="bottom"/>
            <w:hideMark/>
          </w:tcPr>
          <w:p w14:paraId="69B75B83" w14:textId="77777777" w:rsidR="00115843" w:rsidRPr="002A338C" w:rsidRDefault="00115843" w:rsidP="00FB0D02">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A3EA6D4" w14:textId="77777777" w:rsidR="00115843" w:rsidRPr="002A338C" w:rsidRDefault="00115843" w:rsidP="00FB0D02">
            <w:pPr>
              <w:spacing w:after="0" w:line="240" w:lineRule="auto"/>
              <w:ind w:firstLineChars="100" w:firstLine="161"/>
              <w:jc w:val="right"/>
              <w:rPr>
                <w:rFonts w:ascii="Arial" w:hAnsi="Arial" w:cs="Arial"/>
                <w:b/>
                <w:bCs/>
                <w:color w:val="000000"/>
                <w:sz w:val="16"/>
                <w:szCs w:val="16"/>
              </w:rPr>
            </w:pPr>
          </w:p>
        </w:tc>
        <w:tc>
          <w:tcPr>
            <w:tcW w:w="527" w:type="pct"/>
            <w:tcBorders>
              <w:top w:val="nil"/>
              <w:left w:val="nil"/>
              <w:bottom w:val="nil"/>
              <w:right w:val="nil"/>
            </w:tcBorders>
            <w:shd w:val="clear" w:color="auto" w:fill="E6E6E6"/>
            <w:noWrap/>
            <w:vAlign w:val="bottom"/>
            <w:hideMark/>
          </w:tcPr>
          <w:p w14:paraId="1092DE9F" w14:textId="77777777" w:rsidR="00115843" w:rsidRPr="002A338C" w:rsidRDefault="00115843" w:rsidP="00FB0D02">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6D7337CD" w14:textId="77777777" w:rsidR="00115843" w:rsidRPr="002A338C" w:rsidRDefault="00115843" w:rsidP="00FB0D02">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78309C98" w14:textId="77777777" w:rsidR="00115843" w:rsidRPr="002A338C" w:rsidRDefault="00115843" w:rsidP="00FB0D02">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hideMark/>
          </w:tcPr>
          <w:p w14:paraId="7BF46D6C" w14:textId="77777777" w:rsidR="00115843" w:rsidRPr="002A338C" w:rsidRDefault="00115843" w:rsidP="00FB0D02">
            <w:pPr>
              <w:spacing w:after="0" w:line="240" w:lineRule="auto"/>
              <w:jc w:val="right"/>
              <w:rPr>
                <w:rFonts w:ascii="Arial" w:hAnsi="Arial" w:cs="Arial"/>
                <w:sz w:val="16"/>
                <w:szCs w:val="16"/>
              </w:rPr>
            </w:pPr>
          </w:p>
        </w:tc>
      </w:tr>
      <w:tr w:rsidR="00D26033" w:rsidRPr="002A338C" w14:paraId="4A395B81" w14:textId="77777777" w:rsidTr="005334F2">
        <w:trPr>
          <w:trHeight w:val="204"/>
        </w:trPr>
        <w:tc>
          <w:tcPr>
            <w:tcW w:w="2237" w:type="pct"/>
            <w:tcBorders>
              <w:top w:val="nil"/>
              <w:left w:val="nil"/>
              <w:bottom w:val="nil"/>
              <w:right w:val="nil"/>
            </w:tcBorders>
            <w:shd w:val="clear" w:color="auto" w:fill="auto"/>
            <w:noWrap/>
            <w:vAlign w:val="bottom"/>
            <w:hideMark/>
          </w:tcPr>
          <w:p w14:paraId="658FB15C"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54941653" w14:textId="08E15D06"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424,199</w:t>
            </w:r>
          </w:p>
        </w:tc>
        <w:tc>
          <w:tcPr>
            <w:tcW w:w="527" w:type="pct"/>
            <w:tcBorders>
              <w:top w:val="nil"/>
              <w:left w:val="nil"/>
              <w:bottom w:val="nil"/>
              <w:right w:val="nil"/>
            </w:tcBorders>
            <w:shd w:val="clear" w:color="auto" w:fill="E6E6E6"/>
            <w:noWrap/>
            <w:vAlign w:val="bottom"/>
            <w:hideMark/>
          </w:tcPr>
          <w:p w14:paraId="50294A50" w14:textId="48BA68E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416,412</w:t>
            </w:r>
          </w:p>
        </w:tc>
        <w:tc>
          <w:tcPr>
            <w:tcW w:w="545" w:type="pct"/>
            <w:tcBorders>
              <w:top w:val="nil"/>
              <w:left w:val="nil"/>
              <w:bottom w:val="nil"/>
              <w:right w:val="nil"/>
            </w:tcBorders>
            <w:shd w:val="clear" w:color="auto" w:fill="auto"/>
            <w:noWrap/>
            <w:vAlign w:val="bottom"/>
            <w:hideMark/>
          </w:tcPr>
          <w:p w14:paraId="5B14C8EF" w14:textId="32562DF8"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380,005</w:t>
            </w:r>
          </w:p>
        </w:tc>
        <w:tc>
          <w:tcPr>
            <w:tcW w:w="545" w:type="pct"/>
            <w:tcBorders>
              <w:top w:val="nil"/>
              <w:left w:val="nil"/>
              <w:bottom w:val="nil"/>
              <w:right w:val="nil"/>
            </w:tcBorders>
            <w:shd w:val="clear" w:color="auto" w:fill="auto"/>
            <w:noWrap/>
            <w:vAlign w:val="bottom"/>
            <w:hideMark/>
          </w:tcPr>
          <w:p w14:paraId="476D6BEA" w14:textId="2F2E5FB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355,084</w:t>
            </w:r>
          </w:p>
        </w:tc>
        <w:tc>
          <w:tcPr>
            <w:tcW w:w="544" w:type="pct"/>
            <w:tcBorders>
              <w:top w:val="nil"/>
              <w:left w:val="nil"/>
              <w:bottom w:val="nil"/>
              <w:right w:val="nil"/>
            </w:tcBorders>
            <w:shd w:val="clear" w:color="auto" w:fill="auto"/>
            <w:noWrap/>
            <w:vAlign w:val="bottom"/>
            <w:hideMark/>
          </w:tcPr>
          <w:p w14:paraId="4BD1C9D9" w14:textId="211A69B7"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342,580</w:t>
            </w:r>
          </w:p>
        </w:tc>
      </w:tr>
      <w:tr w:rsidR="00D26033" w:rsidRPr="002A338C" w14:paraId="6F47A1AD" w14:textId="77777777" w:rsidTr="005334F2">
        <w:trPr>
          <w:trHeight w:val="204"/>
        </w:trPr>
        <w:tc>
          <w:tcPr>
            <w:tcW w:w="2237" w:type="pct"/>
            <w:tcBorders>
              <w:top w:val="nil"/>
              <w:left w:val="nil"/>
              <w:bottom w:val="nil"/>
              <w:right w:val="nil"/>
            </w:tcBorders>
            <w:shd w:val="clear" w:color="000000" w:fill="FFFFFF"/>
            <w:vAlign w:val="bottom"/>
            <w:hideMark/>
          </w:tcPr>
          <w:p w14:paraId="15783D41"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Revenue from contracts with customers</w:t>
            </w:r>
          </w:p>
        </w:tc>
        <w:tc>
          <w:tcPr>
            <w:tcW w:w="602" w:type="pct"/>
            <w:tcBorders>
              <w:top w:val="nil"/>
              <w:left w:val="nil"/>
              <w:bottom w:val="nil"/>
              <w:right w:val="nil"/>
            </w:tcBorders>
            <w:shd w:val="clear" w:color="auto" w:fill="auto"/>
            <w:noWrap/>
            <w:vAlign w:val="bottom"/>
            <w:hideMark/>
          </w:tcPr>
          <w:p w14:paraId="40D2B4D7" w14:textId="0D56457C"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4,948</w:t>
            </w:r>
          </w:p>
        </w:tc>
        <w:tc>
          <w:tcPr>
            <w:tcW w:w="527" w:type="pct"/>
            <w:tcBorders>
              <w:top w:val="nil"/>
              <w:left w:val="nil"/>
              <w:bottom w:val="nil"/>
              <w:right w:val="nil"/>
            </w:tcBorders>
            <w:shd w:val="clear" w:color="auto" w:fill="E6E6E6"/>
            <w:noWrap/>
            <w:vAlign w:val="bottom"/>
            <w:hideMark/>
          </w:tcPr>
          <w:p w14:paraId="6E7067DB" w14:textId="41B45BC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45" w:type="pct"/>
            <w:tcBorders>
              <w:top w:val="nil"/>
              <w:left w:val="nil"/>
              <w:bottom w:val="nil"/>
              <w:right w:val="nil"/>
            </w:tcBorders>
            <w:shd w:val="clear" w:color="auto" w:fill="auto"/>
            <w:noWrap/>
            <w:vAlign w:val="bottom"/>
            <w:hideMark/>
          </w:tcPr>
          <w:p w14:paraId="694D2EE6" w14:textId="3F31777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45" w:type="pct"/>
            <w:tcBorders>
              <w:top w:val="nil"/>
              <w:left w:val="nil"/>
              <w:bottom w:val="nil"/>
              <w:right w:val="nil"/>
            </w:tcBorders>
            <w:shd w:val="clear" w:color="auto" w:fill="auto"/>
            <w:noWrap/>
            <w:vAlign w:val="bottom"/>
            <w:hideMark/>
          </w:tcPr>
          <w:p w14:paraId="510D0E96" w14:textId="67C12DCD"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44" w:type="pct"/>
            <w:tcBorders>
              <w:top w:val="nil"/>
              <w:left w:val="nil"/>
              <w:bottom w:val="nil"/>
              <w:right w:val="nil"/>
            </w:tcBorders>
            <w:shd w:val="clear" w:color="auto" w:fill="auto"/>
            <w:noWrap/>
            <w:vAlign w:val="bottom"/>
            <w:hideMark/>
          </w:tcPr>
          <w:p w14:paraId="7CF572F2" w14:textId="7907114C"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26033" w:rsidRPr="002A338C" w14:paraId="0DDD99B2" w14:textId="77777777" w:rsidTr="005334F2">
        <w:trPr>
          <w:trHeight w:val="204"/>
        </w:trPr>
        <w:tc>
          <w:tcPr>
            <w:tcW w:w="2237" w:type="pct"/>
            <w:tcBorders>
              <w:top w:val="nil"/>
              <w:left w:val="nil"/>
              <w:bottom w:val="nil"/>
              <w:right w:val="nil"/>
            </w:tcBorders>
            <w:shd w:val="clear" w:color="auto" w:fill="auto"/>
            <w:noWrap/>
            <w:vAlign w:val="bottom"/>
            <w:hideMark/>
          </w:tcPr>
          <w:p w14:paraId="2A125C1D"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GST received</w:t>
            </w:r>
          </w:p>
        </w:tc>
        <w:tc>
          <w:tcPr>
            <w:tcW w:w="602" w:type="pct"/>
            <w:tcBorders>
              <w:top w:val="nil"/>
              <w:left w:val="nil"/>
              <w:bottom w:val="nil"/>
              <w:right w:val="nil"/>
            </w:tcBorders>
            <w:shd w:val="clear" w:color="auto" w:fill="auto"/>
            <w:noWrap/>
            <w:vAlign w:val="bottom"/>
            <w:hideMark/>
          </w:tcPr>
          <w:p w14:paraId="1D649E87" w14:textId="1F2F8C2B"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27" w:type="pct"/>
            <w:tcBorders>
              <w:top w:val="nil"/>
              <w:left w:val="nil"/>
              <w:bottom w:val="nil"/>
              <w:right w:val="nil"/>
            </w:tcBorders>
            <w:shd w:val="clear" w:color="auto" w:fill="E6E6E6"/>
            <w:noWrap/>
            <w:vAlign w:val="bottom"/>
            <w:hideMark/>
          </w:tcPr>
          <w:p w14:paraId="38225A4A" w14:textId="7E211553"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45" w:type="pct"/>
            <w:tcBorders>
              <w:top w:val="nil"/>
              <w:left w:val="nil"/>
              <w:bottom w:val="nil"/>
              <w:right w:val="nil"/>
            </w:tcBorders>
            <w:shd w:val="clear" w:color="auto" w:fill="auto"/>
            <w:noWrap/>
            <w:vAlign w:val="bottom"/>
            <w:hideMark/>
          </w:tcPr>
          <w:p w14:paraId="18EE9A08" w14:textId="563C0AD6"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45" w:type="pct"/>
            <w:tcBorders>
              <w:top w:val="nil"/>
              <w:left w:val="nil"/>
              <w:bottom w:val="nil"/>
              <w:right w:val="nil"/>
            </w:tcBorders>
            <w:shd w:val="clear" w:color="auto" w:fill="auto"/>
            <w:noWrap/>
            <w:vAlign w:val="bottom"/>
            <w:hideMark/>
          </w:tcPr>
          <w:p w14:paraId="1497F3E2" w14:textId="58788CFB"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15,402</w:t>
            </w:r>
          </w:p>
        </w:tc>
        <w:tc>
          <w:tcPr>
            <w:tcW w:w="544" w:type="pct"/>
            <w:tcBorders>
              <w:top w:val="nil"/>
              <w:left w:val="nil"/>
              <w:bottom w:val="nil"/>
              <w:right w:val="nil"/>
            </w:tcBorders>
            <w:shd w:val="clear" w:color="auto" w:fill="auto"/>
            <w:noWrap/>
            <w:vAlign w:val="bottom"/>
            <w:hideMark/>
          </w:tcPr>
          <w:p w14:paraId="2473E9D0" w14:textId="23C55FD6"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15,402</w:t>
            </w:r>
          </w:p>
        </w:tc>
      </w:tr>
      <w:tr w:rsidR="00D26033" w:rsidRPr="002A338C" w14:paraId="37D99F35" w14:textId="77777777" w:rsidTr="005334F2">
        <w:trPr>
          <w:trHeight w:val="204"/>
        </w:trPr>
        <w:tc>
          <w:tcPr>
            <w:tcW w:w="2237" w:type="pct"/>
            <w:tcBorders>
              <w:top w:val="nil"/>
              <w:left w:val="nil"/>
              <w:bottom w:val="nil"/>
              <w:right w:val="nil"/>
            </w:tcBorders>
            <w:shd w:val="clear" w:color="auto" w:fill="auto"/>
            <w:noWrap/>
            <w:vAlign w:val="bottom"/>
            <w:hideMark/>
          </w:tcPr>
          <w:p w14:paraId="095DFFEF"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76302520" w14:textId="65FA68BC"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6,877</w:t>
            </w:r>
          </w:p>
        </w:tc>
        <w:tc>
          <w:tcPr>
            <w:tcW w:w="527" w:type="pct"/>
            <w:tcBorders>
              <w:top w:val="nil"/>
              <w:left w:val="nil"/>
              <w:bottom w:val="nil"/>
              <w:right w:val="nil"/>
            </w:tcBorders>
            <w:shd w:val="clear" w:color="auto" w:fill="E6E6E6"/>
            <w:noWrap/>
            <w:vAlign w:val="bottom"/>
            <w:hideMark/>
          </w:tcPr>
          <w:p w14:paraId="300D2A65" w14:textId="5290E5E3"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4,680</w:t>
            </w:r>
          </w:p>
        </w:tc>
        <w:tc>
          <w:tcPr>
            <w:tcW w:w="545" w:type="pct"/>
            <w:tcBorders>
              <w:top w:val="nil"/>
              <w:left w:val="nil"/>
              <w:bottom w:val="nil"/>
              <w:right w:val="nil"/>
            </w:tcBorders>
            <w:shd w:val="clear" w:color="auto" w:fill="auto"/>
            <w:noWrap/>
            <w:vAlign w:val="bottom"/>
            <w:hideMark/>
          </w:tcPr>
          <w:p w14:paraId="04204295" w14:textId="1BD01D6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545" w:type="pct"/>
            <w:tcBorders>
              <w:top w:val="nil"/>
              <w:left w:val="nil"/>
              <w:bottom w:val="nil"/>
              <w:right w:val="nil"/>
            </w:tcBorders>
            <w:shd w:val="clear" w:color="auto" w:fill="auto"/>
            <w:noWrap/>
            <w:vAlign w:val="bottom"/>
            <w:hideMark/>
          </w:tcPr>
          <w:p w14:paraId="64A6F218" w14:textId="1A045CB2"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544" w:type="pct"/>
            <w:tcBorders>
              <w:top w:val="nil"/>
              <w:left w:val="nil"/>
              <w:bottom w:val="nil"/>
              <w:right w:val="nil"/>
            </w:tcBorders>
            <w:shd w:val="clear" w:color="auto" w:fill="auto"/>
            <w:noWrap/>
            <w:vAlign w:val="bottom"/>
            <w:hideMark/>
          </w:tcPr>
          <w:p w14:paraId="73A263C0" w14:textId="3464EA9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5,807</w:t>
            </w:r>
          </w:p>
        </w:tc>
      </w:tr>
      <w:tr w:rsidR="00D26033" w:rsidRPr="002A338C" w14:paraId="3CF64F42" w14:textId="77777777" w:rsidTr="005334F2">
        <w:trPr>
          <w:trHeight w:val="204"/>
        </w:trPr>
        <w:tc>
          <w:tcPr>
            <w:tcW w:w="2237" w:type="pct"/>
            <w:tcBorders>
              <w:top w:val="nil"/>
              <w:left w:val="nil"/>
              <w:bottom w:val="nil"/>
              <w:right w:val="nil"/>
            </w:tcBorders>
            <w:shd w:val="clear" w:color="auto" w:fill="auto"/>
            <w:noWrap/>
            <w:vAlign w:val="bottom"/>
            <w:hideMark/>
          </w:tcPr>
          <w:p w14:paraId="32BD81CE"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2B29959A" w14:textId="1E875E3F"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451,426</w:t>
            </w:r>
          </w:p>
        </w:tc>
        <w:tc>
          <w:tcPr>
            <w:tcW w:w="527" w:type="pct"/>
            <w:tcBorders>
              <w:top w:val="single" w:sz="4" w:space="0" w:color="000000"/>
              <w:left w:val="nil"/>
              <w:bottom w:val="single" w:sz="4" w:space="0" w:color="000000"/>
              <w:right w:val="nil"/>
            </w:tcBorders>
            <w:shd w:val="clear" w:color="auto" w:fill="E6E6E6"/>
            <w:noWrap/>
            <w:vAlign w:val="bottom"/>
            <w:hideMark/>
          </w:tcPr>
          <w:p w14:paraId="755CFFA5" w14:textId="4A3758C0"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436,494</w:t>
            </w:r>
          </w:p>
        </w:tc>
        <w:tc>
          <w:tcPr>
            <w:tcW w:w="545" w:type="pct"/>
            <w:tcBorders>
              <w:top w:val="single" w:sz="4" w:space="0" w:color="000000"/>
              <w:left w:val="nil"/>
              <w:bottom w:val="single" w:sz="4" w:space="0" w:color="000000"/>
              <w:right w:val="nil"/>
            </w:tcBorders>
            <w:shd w:val="clear" w:color="auto" w:fill="auto"/>
            <w:noWrap/>
            <w:vAlign w:val="bottom"/>
            <w:hideMark/>
          </w:tcPr>
          <w:p w14:paraId="0BC860D2" w14:textId="48548AA0"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401,214</w:t>
            </w:r>
          </w:p>
        </w:tc>
        <w:tc>
          <w:tcPr>
            <w:tcW w:w="545" w:type="pct"/>
            <w:tcBorders>
              <w:top w:val="single" w:sz="4" w:space="0" w:color="000000"/>
              <w:left w:val="nil"/>
              <w:bottom w:val="single" w:sz="4" w:space="0" w:color="000000"/>
              <w:right w:val="nil"/>
            </w:tcBorders>
            <w:shd w:val="clear" w:color="auto" w:fill="auto"/>
            <w:noWrap/>
            <w:vAlign w:val="bottom"/>
            <w:hideMark/>
          </w:tcPr>
          <w:p w14:paraId="2136FFC7" w14:textId="6E5703E6"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376,293</w:t>
            </w:r>
          </w:p>
        </w:tc>
        <w:tc>
          <w:tcPr>
            <w:tcW w:w="544" w:type="pct"/>
            <w:tcBorders>
              <w:top w:val="single" w:sz="4" w:space="0" w:color="000000"/>
              <w:left w:val="nil"/>
              <w:bottom w:val="single" w:sz="4" w:space="0" w:color="000000"/>
              <w:right w:val="nil"/>
            </w:tcBorders>
            <w:shd w:val="clear" w:color="auto" w:fill="auto"/>
            <w:noWrap/>
            <w:vAlign w:val="bottom"/>
            <w:hideMark/>
          </w:tcPr>
          <w:p w14:paraId="55FF4491" w14:textId="1B3D7E5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363,789</w:t>
            </w:r>
          </w:p>
        </w:tc>
      </w:tr>
      <w:tr w:rsidR="00D26033" w:rsidRPr="002A338C" w14:paraId="2AA047CC" w14:textId="77777777" w:rsidTr="005334F2">
        <w:trPr>
          <w:trHeight w:val="204"/>
        </w:trPr>
        <w:tc>
          <w:tcPr>
            <w:tcW w:w="2237" w:type="pct"/>
            <w:tcBorders>
              <w:top w:val="nil"/>
              <w:left w:val="nil"/>
              <w:bottom w:val="nil"/>
              <w:right w:val="nil"/>
            </w:tcBorders>
            <w:shd w:val="clear" w:color="auto" w:fill="auto"/>
            <w:noWrap/>
            <w:vAlign w:val="bottom"/>
            <w:hideMark/>
          </w:tcPr>
          <w:p w14:paraId="504B75FC"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9FA2AAC" w14:textId="77777777" w:rsidR="00D26033" w:rsidRPr="002A338C" w:rsidRDefault="00D26033" w:rsidP="00D26033">
            <w:pPr>
              <w:spacing w:after="0" w:line="240" w:lineRule="auto"/>
              <w:jc w:val="right"/>
              <w:rPr>
                <w:rFonts w:ascii="Arial" w:hAnsi="Arial" w:cs="Arial"/>
                <w:b/>
                <w:bCs/>
                <w:i/>
                <w:iCs/>
                <w:color w:val="000000"/>
                <w:sz w:val="16"/>
                <w:szCs w:val="16"/>
              </w:rPr>
            </w:pPr>
          </w:p>
        </w:tc>
        <w:tc>
          <w:tcPr>
            <w:tcW w:w="527" w:type="pct"/>
            <w:tcBorders>
              <w:top w:val="nil"/>
              <w:left w:val="nil"/>
              <w:bottom w:val="nil"/>
              <w:right w:val="nil"/>
            </w:tcBorders>
            <w:shd w:val="clear" w:color="auto" w:fill="E6E6E6"/>
            <w:noWrap/>
            <w:vAlign w:val="bottom"/>
            <w:hideMark/>
          </w:tcPr>
          <w:p w14:paraId="0D43F86E" w14:textId="2124F679"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039E55D4" w14:textId="77777777"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6C4F4C87" w14:textId="77777777" w:rsidR="00D26033" w:rsidRPr="002A338C" w:rsidRDefault="00D26033" w:rsidP="00D26033">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hideMark/>
          </w:tcPr>
          <w:p w14:paraId="3937BED2"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427055E0" w14:textId="77777777" w:rsidTr="005334F2">
        <w:trPr>
          <w:trHeight w:val="204"/>
        </w:trPr>
        <w:tc>
          <w:tcPr>
            <w:tcW w:w="2237" w:type="pct"/>
            <w:tcBorders>
              <w:top w:val="nil"/>
              <w:left w:val="nil"/>
              <w:bottom w:val="nil"/>
              <w:right w:val="nil"/>
            </w:tcBorders>
            <w:shd w:val="clear" w:color="auto" w:fill="auto"/>
            <w:noWrap/>
            <w:vAlign w:val="bottom"/>
            <w:hideMark/>
          </w:tcPr>
          <w:p w14:paraId="61EF17DA"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2C72EF9F" w14:textId="22104724"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238,913</w:t>
            </w:r>
          </w:p>
        </w:tc>
        <w:tc>
          <w:tcPr>
            <w:tcW w:w="527" w:type="pct"/>
            <w:tcBorders>
              <w:top w:val="nil"/>
              <w:left w:val="nil"/>
              <w:bottom w:val="nil"/>
              <w:right w:val="nil"/>
            </w:tcBorders>
            <w:shd w:val="clear" w:color="auto" w:fill="E6E6E6"/>
            <w:noWrap/>
            <w:vAlign w:val="bottom"/>
            <w:hideMark/>
          </w:tcPr>
          <w:p w14:paraId="505F700A" w14:textId="6585F8FB"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252,772</w:t>
            </w:r>
          </w:p>
        </w:tc>
        <w:tc>
          <w:tcPr>
            <w:tcW w:w="545" w:type="pct"/>
            <w:tcBorders>
              <w:top w:val="nil"/>
              <w:left w:val="nil"/>
              <w:bottom w:val="nil"/>
              <w:right w:val="nil"/>
            </w:tcBorders>
            <w:shd w:val="clear" w:color="auto" w:fill="auto"/>
            <w:noWrap/>
            <w:vAlign w:val="bottom"/>
            <w:hideMark/>
          </w:tcPr>
          <w:p w14:paraId="785A2232" w14:textId="5FADAB4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260,022</w:t>
            </w:r>
          </w:p>
        </w:tc>
        <w:tc>
          <w:tcPr>
            <w:tcW w:w="545" w:type="pct"/>
            <w:tcBorders>
              <w:top w:val="nil"/>
              <w:left w:val="nil"/>
              <w:bottom w:val="nil"/>
              <w:right w:val="nil"/>
            </w:tcBorders>
            <w:shd w:val="clear" w:color="auto" w:fill="auto"/>
            <w:noWrap/>
            <w:vAlign w:val="bottom"/>
            <w:hideMark/>
          </w:tcPr>
          <w:p w14:paraId="34DECDF4" w14:textId="24905A1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241,240</w:t>
            </w:r>
          </w:p>
        </w:tc>
        <w:tc>
          <w:tcPr>
            <w:tcW w:w="544" w:type="pct"/>
            <w:tcBorders>
              <w:top w:val="nil"/>
              <w:left w:val="nil"/>
              <w:bottom w:val="nil"/>
              <w:right w:val="nil"/>
            </w:tcBorders>
            <w:shd w:val="clear" w:color="auto" w:fill="auto"/>
            <w:noWrap/>
            <w:vAlign w:val="bottom"/>
            <w:hideMark/>
          </w:tcPr>
          <w:p w14:paraId="628FD1CB" w14:textId="50DD375D"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212,856</w:t>
            </w:r>
          </w:p>
        </w:tc>
      </w:tr>
      <w:tr w:rsidR="00D26033" w:rsidRPr="002A338C" w14:paraId="5797C47E" w14:textId="77777777" w:rsidTr="005334F2">
        <w:trPr>
          <w:trHeight w:val="204"/>
        </w:trPr>
        <w:tc>
          <w:tcPr>
            <w:tcW w:w="2237" w:type="pct"/>
            <w:tcBorders>
              <w:top w:val="nil"/>
              <w:left w:val="nil"/>
              <w:bottom w:val="nil"/>
              <w:right w:val="nil"/>
            </w:tcBorders>
            <w:shd w:val="clear" w:color="auto" w:fill="auto"/>
            <w:noWrap/>
            <w:vAlign w:val="bottom"/>
            <w:hideMark/>
          </w:tcPr>
          <w:p w14:paraId="6A9B5940"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Suppliers and Grants</w:t>
            </w:r>
          </w:p>
        </w:tc>
        <w:tc>
          <w:tcPr>
            <w:tcW w:w="602" w:type="pct"/>
            <w:tcBorders>
              <w:top w:val="nil"/>
              <w:left w:val="nil"/>
              <w:bottom w:val="nil"/>
              <w:right w:val="nil"/>
            </w:tcBorders>
            <w:shd w:val="clear" w:color="auto" w:fill="auto"/>
            <w:noWrap/>
            <w:vAlign w:val="bottom"/>
            <w:hideMark/>
          </w:tcPr>
          <w:p w14:paraId="64BBD526" w14:textId="51A1D32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184,468</w:t>
            </w:r>
          </w:p>
        </w:tc>
        <w:tc>
          <w:tcPr>
            <w:tcW w:w="527" w:type="pct"/>
            <w:tcBorders>
              <w:top w:val="nil"/>
              <w:left w:val="nil"/>
              <w:bottom w:val="nil"/>
              <w:right w:val="nil"/>
            </w:tcBorders>
            <w:shd w:val="clear" w:color="auto" w:fill="E6E6E6"/>
            <w:noWrap/>
            <w:vAlign w:val="bottom"/>
            <w:hideMark/>
          </w:tcPr>
          <w:p w14:paraId="14ECF809" w14:textId="482EA6B5"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140,737</w:t>
            </w:r>
          </w:p>
        </w:tc>
        <w:tc>
          <w:tcPr>
            <w:tcW w:w="545" w:type="pct"/>
            <w:tcBorders>
              <w:top w:val="nil"/>
              <w:left w:val="nil"/>
              <w:bottom w:val="nil"/>
              <w:right w:val="nil"/>
            </w:tcBorders>
            <w:shd w:val="clear" w:color="auto" w:fill="auto"/>
            <w:noWrap/>
            <w:vAlign w:val="bottom"/>
            <w:hideMark/>
          </w:tcPr>
          <w:p w14:paraId="61F433F4" w14:textId="40BE4D4A"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119,307</w:t>
            </w:r>
          </w:p>
        </w:tc>
        <w:tc>
          <w:tcPr>
            <w:tcW w:w="545" w:type="pct"/>
            <w:tcBorders>
              <w:top w:val="nil"/>
              <w:left w:val="nil"/>
              <w:bottom w:val="nil"/>
              <w:right w:val="nil"/>
            </w:tcBorders>
            <w:shd w:val="clear" w:color="auto" w:fill="auto"/>
            <w:noWrap/>
            <w:vAlign w:val="bottom"/>
            <w:hideMark/>
          </w:tcPr>
          <w:p w14:paraId="707A0ACE" w14:textId="5FA7DA0F"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113,168</w:t>
            </w:r>
          </w:p>
        </w:tc>
        <w:tc>
          <w:tcPr>
            <w:tcW w:w="544" w:type="pct"/>
            <w:tcBorders>
              <w:top w:val="nil"/>
              <w:left w:val="nil"/>
              <w:bottom w:val="nil"/>
              <w:right w:val="nil"/>
            </w:tcBorders>
            <w:shd w:val="clear" w:color="auto" w:fill="auto"/>
            <w:noWrap/>
            <w:vAlign w:val="bottom"/>
            <w:hideMark/>
          </w:tcPr>
          <w:p w14:paraId="14FD61A5" w14:textId="45656AE8"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129,048</w:t>
            </w:r>
          </w:p>
        </w:tc>
      </w:tr>
      <w:tr w:rsidR="00D26033" w:rsidRPr="002A338C" w14:paraId="3F6815CB" w14:textId="77777777" w:rsidTr="005334F2">
        <w:trPr>
          <w:trHeight w:val="204"/>
        </w:trPr>
        <w:tc>
          <w:tcPr>
            <w:tcW w:w="2237" w:type="pct"/>
            <w:tcBorders>
              <w:top w:val="nil"/>
              <w:left w:val="nil"/>
              <w:bottom w:val="nil"/>
              <w:right w:val="nil"/>
            </w:tcBorders>
            <w:shd w:val="clear" w:color="auto" w:fill="auto"/>
            <w:noWrap/>
            <w:vAlign w:val="bottom"/>
            <w:hideMark/>
          </w:tcPr>
          <w:p w14:paraId="7459EF89"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Interest payments on lease liability</w:t>
            </w:r>
          </w:p>
        </w:tc>
        <w:tc>
          <w:tcPr>
            <w:tcW w:w="602" w:type="pct"/>
            <w:tcBorders>
              <w:top w:val="nil"/>
              <w:left w:val="nil"/>
              <w:bottom w:val="nil"/>
              <w:right w:val="nil"/>
            </w:tcBorders>
            <w:shd w:val="clear" w:color="auto" w:fill="auto"/>
            <w:noWrap/>
            <w:vAlign w:val="bottom"/>
            <w:hideMark/>
          </w:tcPr>
          <w:p w14:paraId="39474BD6" w14:textId="5EC330FA"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1,140</w:t>
            </w:r>
          </w:p>
        </w:tc>
        <w:tc>
          <w:tcPr>
            <w:tcW w:w="527" w:type="pct"/>
            <w:tcBorders>
              <w:top w:val="nil"/>
              <w:left w:val="nil"/>
              <w:bottom w:val="nil"/>
              <w:right w:val="nil"/>
            </w:tcBorders>
            <w:shd w:val="clear" w:color="auto" w:fill="E6E6E6"/>
            <w:noWrap/>
            <w:vAlign w:val="bottom"/>
            <w:hideMark/>
          </w:tcPr>
          <w:p w14:paraId="7F352E53" w14:textId="013AD9D7"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1,942</w:t>
            </w:r>
          </w:p>
        </w:tc>
        <w:tc>
          <w:tcPr>
            <w:tcW w:w="545" w:type="pct"/>
            <w:tcBorders>
              <w:top w:val="nil"/>
              <w:left w:val="nil"/>
              <w:bottom w:val="nil"/>
              <w:right w:val="nil"/>
            </w:tcBorders>
            <w:shd w:val="clear" w:color="auto" w:fill="auto"/>
            <w:noWrap/>
            <w:vAlign w:val="bottom"/>
            <w:hideMark/>
          </w:tcPr>
          <w:p w14:paraId="363F2156" w14:textId="49C3B99D"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545" w:type="pct"/>
            <w:tcBorders>
              <w:top w:val="nil"/>
              <w:left w:val="nil"/>
              <w:bottom w:val="nil"/>
              <w:right w:val="nil"/>
            </w:tcBorders>
            <w:shd w:val="clear" w:color="auto" w:fill="auto"/>
            <w:noWrap/>
            <w:vAlign w:val="bottom"/>
            <w:hideMark/>
          </w:tcPr>
          <w:p w14:paraId="2EEEAB66" w14:textId="74B491D4"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544" w:type="pct"/>
            <w:tcBorders>
              <w:top w:val="nil"/>
              <w:left w:val="nil"/>
              <w:bottom w:val="nil"/>
              <w:right w:val="nil"/>
            </w:tcBorders>
            <w:shd w:val="clear" w:color="auto" w:fill="auto"/>
            <w:noWrap/>
            <w:vAlign w:val="bottom"/>
            <w:hideMark/>
          </w:tcPr>
          <w:p w14:paraId="153222A7" w14:textId="4E4B567E"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1,824</w:t>
            </w:r>
          </w:p>
        </w:tc>
      </w:tr>
      <w:tr w:rsidR="00D26033" w:rsidRPr="002A338C" w14:paraId="21FC940C" w14:textId="77777777" w:rsidTr="005334F2">
        <w:trPr>
          <w:trHeight w:val="204"/>
        </w:trPr>
        <w:tc>
          <w:tcPr>
            <w:tcW w:w="2237" w:type="pct"/>
            <w:tcBorders>
              <w:top w:val="nil"/>
              <w:left w:val="nil"/>
              <w:bottom w:val="nil"/>
              <w:right w:val="nil"/>
            </w:tcBorders>
            <w:shd w:val="clear" w:color="auto" w:fill="auto"/>
            <w:noWrap/>
            <w:vAlign w:val="bottom"/>
            <w:hideMark/>
          </w:tcPr>
          <w:p w14:paraId="1718DE45"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3013C885" w14:textId="3B420FF1"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27" w:type="pct"/>
            <w:tcBorders>
              <w:top w:val="nil"/>
              <w:left w:val="nil"/>
              <w:bottom w:val="nil"/>
              <w:right w:val="nil"/>
            </w:tcBorders>
            <w:shd w:val="clear" w:color="auto" w:fill="E6E6E6"/>
            <w:noWrap/>
            <w:vAlign w:val="bottom"/>
            <w:hideMark/>
          </w:tcPr>
          <w:p w14:paraId="02006CCA" w14:textId="706A672A"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545" w:type="pct"/>
            <w:tcBorders>
              <w:top w:val="nil"/>
              <w:left w:val="nil"/>
              <w:bottom w:val="nil"/>
              <w:right w:val="nil"/>
            </w:tcBorders>
            <w:shd w:val="clear" w:color="auto" w:fill="auto"/>
            <w:noWrap/>
            <w:vAlign w:val="bottom"/>
            <w:hideMark/>
          </w:tcPr>
          <w:p w14:paraId="655A2605" w14:textId="3D04B59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545" w:type="pct"/>
            <w:tcBorders>
              <w:top w:val="nil"/>
              <w:left w:val="nil"/>
              <w:bottom w:val="nil"/>
              <w:right w:val="nil"/>
            </w:tcBorders>
            <w:shd w:val="clear" w:color="auto" w:fill="auto"/>
            <w:noWrap/>
            <w:vAlign w:val="bottom"/>
            <w:hideMark/>
          </w:tcPr>
          <w:p w14:paraId="4E718734" w14:textId="78B6202A"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544" w:type="pct"/>
            <w:tcBorders>
              <w:top w:val="nil"/>
              <w:left w:val="nil"/>
              <w:bottom w:val="nil"/>
              <w:right w:val="nil"/>
            </w:tcBorders>
            <w:shd w:val="clear" w:color="auto" w:fill="auto"/>
            <w:noWrap/>
            <w:vAlign w:val="bottom"/>
            <w:hideMark/>
          </w:tcPr>
          <w:p w14:paraId="745CAA42" w14:textId="7DFCD6B4"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66</w:t>
            </w:r>
          </w:p>
        </w:tc>
      </w:tr>
      <w:tr w:rsidR="00D26033" w:rsidRPr="002A338C" w14:paraId="163829D1" w14:textId="77777777" w:rsidTr="005334F2">
        <w:trPr>
          <w:trHeight w:val="204"/>
        </w:trPr>
        <w:tc>
          <w:tcPr>
            <w:tcW w:w="2237" w:type="pct"/>
            <w:tcBorders>
              <w:top w:val="nil"/>
              <w:left w:val="nil"/>
              <w:bottom w:val="nil"/>
              <w:right w:val="nil"/>
            </w:tcBorders>
            <w:shd w:val="clear" w:color="auto" w:fill="auto"/>
            <w:noWrap/>
            <w:vAlign w:val="bottom"/>
            <w:hideMark/>
          </w:tcPr>
          <w:p w14:paraId="71C863C0"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2FA7C353" w14:textId="67C5A383"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424,521</w:t>
            </w:r>
          </w:p>
        </w:tc>
        <w:tc>
          <w:tcPr>
            <w:tcW w:w="527" w:type="pct"/>
            <w:tcBorders>
              <w:top w:val="single" w:sz="4" w:space="0" w:color="000000"/>
              <w:left w:val="nil"/>
              <w:bottom w:val="nil"/>
              <w:right w:val="nil"/>
            </w:tcBorders>
            <w:shd w:val="clear" w:color="auto" w:fill="E6E6E6"/>
            <w:noWrap/>
            <w:vAlign w:val="bottom"/>
            <w:hideMark/>
          </w:tcPr>
          <w:p w14:paraId="51FD0352" w14:textId="241EB6A0"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395,517</w:t>
            </w:r>
          </w:p>
        </w:tc>
        <w:tc>
          <w:tcPr>
            <w:tcW w:w="545" w:type="pct"/>
            <w:tcBorders>
              <w:top w:val="single" w:sz="4" w:space="0" w:color="000000"/>
              <w:left w:val="nil"/>
              <w:bottom w:val="nil"/>
              <w:right w:val="nil"/>
            </w:tcBorders>
            <w:shd w:val="clear" w:color="auto" w:fill="auto"/>
            <w:noWrap/>
            <w:vAlign w:val="bottom"/>
            <w:hideMark/>
          </w:tcPr>
          <w:p w14:paraId="72753528" w14:textId="4950F06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381,219</w:t>
            </w:r>
          </w:p>
        </w:tc>
        <w:tc>
          <w:tcPr>
            <w:tcW w:w="545" w:type="pct"/>
            <w:tcBorders>
              <w:top w:val="single" w:sz="4" w:space="0" w:color="000000"/>
              <w:left w:val="nil"/>
              <w:bottom w:val="nil"/>
              <w:right w:val="nil"/>
            </w:tcBorders>
            <w:shd w:val="clear" w:color="auto" w:fill="auto"/>
            <w:noWrap/>
            <w:vAlign w:val="bottom"/>
            <w:hideMark/>
          </w:tcPr>
          <w:p w14:paraId="15852D9B" w14:textId="4123051E"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356,298</w:t>
            </w:r>
          </w:p>
        </w:tc>
        <w:tc>
          <w:tcPr>
            <w:tcW w:w="544" w:type="pct"/>
            <w:tcBorders>
              <w:top w:val="single" w:sz="4" w:space="0" w:color="000000"/>
              <w:left w:val="nil"/>
              <w:bottom w:val="nil"/>
              <w:right w:val="nil"/>
            </w:tcBorders>
            <w:shd w:val="clear" w:color="auto" w:fill="auto"/>
            <w:noWrap/>
            <w:vAlign w:val="bottom"/>
            <w:hideMark/>
          </w:tcPr>
          <w:p w14:paraId="31334057" w14:textId="7788331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343,794</w:t>
            </w:r>
          </w:p>
        </w:tc>
      </w:tr>
      <w:tr w:rsidR="00D26033" w:rsidRPr="002A338C" w14:paraId="66AFAE38" w14:textId="77777777" w:rsidTr="005334F2">
        <w:trPr>
          <w:trHeight w:val="204"/>
        </w:trPr>
        <w:tc>
          <w:tcPr>
            <w:tcW w:w="2237" w:type="pct"/>
            <w:tcBorders>
              <w:top w:val="nil"/>
              <w:left w:val="nil"/>
              <w:bottom w:val="nil"/>
              <w:right w:val="nil"/>
            </w:tcBorders>
            <w:shd w:val="clear" w:color="auto" w:fill="auto"/>
            <w:vAlign w:val="bottom"/>
            <w:hideMark/>
          </w:tcPr>
          <w:p w14:paraId="03A8F319"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0382B418" w14:textId="3F1D592B"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26,905</w:t>
            </w:r>
          </w:p>
        </w:tc>
        <w:tc>
          <w:tcPr>
            <w:tcW w:w="527" w:type="pct"/>
            <w:tcBorders>
              <w:top w:val="single" w:sz="4" w:space="0" w:color="auto"/>
              <w:left w:val="nil"/>
              <w:bottom w:val="single" w:sz="4" w:space="0" w:color="auto"/>
              <w:right w:val="nil"/>
            </w:tcBorders>
            <w:shd w:val="clear" w:color="auto" w:fill="E6E6E6"/>
            <w:noWrap/>
            <w:vAlign w:val="bottom"/>
            <w:hideMark/>
          </w:tcPr>
          <w:p w14:paraId="48439E10" w14:textId="63F28FAD"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40,977</w:t>
            </w:r>
          </w:p>
        </w:tc>
        <w:tc>
          <w:tcPr>
            <w:tcW w:w="545" w:type="pct"/>
            <w:tcBorders>
              <w:top w:val="single" w:sz="4" w:space="0" w:color="auto"/>
              <w:left w:val="nil"/>
              <w:bottom w:val="single" w:sz="4" w:space="0" w:color="auto"/>
              <w:right w:val="nil"/>
            </w:tcBorders>
            <w:shd w:val="clear" w:color="auto" w:fill="auto"/>
            <w:noWrap/>
            <w:vAlign w:val="bottom"/>
            <w:hideMark/>
          </w:tcPr>
          <w:p w14:paraId="65139F21" w14:textId="6B7EBD81"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45" w:type="pct"/>
            <w:tcBorders>
              <w:top w:val="single" w:sz="4" w:space="0" w:color="auto"/>
              <w:left w:val="nil"/>
              <w:bottom w:val="single" w:sz="4" w:space="0" w:color="auto"/>
              <w:right w:val="nil"/>
            </w:tcBorders>
            <w:shd w:val="clear" w:color="auto" w:fill="auto"/>
            <w:noWrap/>
            <w:vAlign w:val="bottom"/>
            <w:hideMark/>
          </w:tcPr>
          <w:p w14:paraId="3CCCB497" w14:textId="78390003"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44" w:type="pct"/>
            <w:tcBorders>
              <w:top w:val="single" w:sz="4" w:space="0" w:color="auto"/>
              <w:left w:val="nil"/>
              <w:bottom w:val="single" w:sz="4" w:space="0" w:color="auto"/>
              <w:right w:val="nil"/>
            </w:tcBorders>
            <w:shd w:val="clear" w:color="auto" w:fill="auto"/>
            <w:noWrap/>
            <w:vAlign w:val="bottom"/>
            <w:hideMark/>
          </w:tcPr>
          <w:p w14:paraId="1438EB83" w14:textId="3DC2608F"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19,995</w:t>
            </w:r>
          </w:p>
        </w:tc>
      </w:tr>
      <w:tr w:rsidR="00D26033" w:rsidRPr="002A338C" w14:paraId="6845592A" w14:textId="77777777" w:rsidTr="005334F2">
        <w:trPr>
          <w:trHeight w:val="204"/>
        </w:trPr>
        <w:tc>
          <w:tcPr>
            <w:tcW w:w="2237" w:type="pct"/>
            <w:tcBorders>
              <w:top w:val="nil"/>
              <w:left w:val="nil"/>
              <w:bottom w:val="nil"/>
              <w:right w:val="nil"/>
            </w:tcBorders>
            <w:shd w:val="clear" w:color="auto" w:fill="auto"/>
            <w:noWrap/>
            <w:vAlign w:val="bottom"/>
            <w:hideMark/>
          </w:tcPr>
          <w:p w14:paraId="7CBB8BEF"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41F437C0" w14:textId="77777777" w:rsidR="00D26033" w:rsidRPr="002A338C" w:rsidRDefault="00D26033" w:rsidP="00D26033">
            <w:pPr>
              <w:spacing w:after="0" w:line="240" w:lineRule="auto"/>
              <w:jc w:val="right"/>
              <w:rPr>
                <w:rFonts w:ascii="Arial" w:hAnsi="Arial" w:cs="Arial"/>
                <w:b/>
                <w:bCs/>
                <w:color w:val="000000"/>
                <w:sz w:val="16"/>
                <w:szCs w:val="16"/>
              </w:rPr>
            </w:pPr>
          </w:p>
        </w:tc>
        <w:tc>
          <w:tcPr>
            <w:tcW w:w="527" w:type="pct"/>
            <w:tcBorders>
              <w:top w:val="nil"/>
              <w:left w:val="nil"/>
              <w:bottom w:val="nil"/>
              <w:right w:val="nil"/>
            </w:tcBorders>
            <w:shd w:val="clear" w:color="auto" w:fill="E6E6E6"/>
            <w:noWrap/>
            <w:vAlign w:val="bottom"/>
            <w:hideMark/>
          </w:tcPr>
          <w:p w14:paraId="510B9831" w14:textId="64FF3653"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44DA68AA" w14:textId="77777777"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hideMark/>
          </w:tcPr>
          <w:p w14:paraId="09EE2BEF" w14:textId="77777777" w:rsidR="00D26033" w:rsidRPr="002A338C" w:rsidRDefault="00D26033" w:rsidP="00D26033">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hideMark/>
          </w:tcPr>
          <w:p w14:paraId="11183210"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6443C605" w14:textId="77777777" w:rsidTr="005334F2">
        <w:trPr>
          <w:trHeight w:val="204"/>
        </w:trPr>
        <w:tc>
          <w:tcPr>
            <w:tcW w:w="2237" w:type="pct"/>
            <w:tcBorders>
              <w:top w:val="nil"/>
              <w:left w:val="nil"/>
              <w:bottom w:val="nil"/>
              <w:right w:val="nil"/>
            </w:tcBorders>
            <w:shd w:val="clear" w:color="auto" w:fill="auto"/>
            <w:noWrap/>
            <w:vAlign w:val="bottom"/>
            <w:hideMark/>
          </w:tcPr>
          <w:p w14:paraId="477A99CB"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tcPr>
          <w:p w14:paraId="456ACC0D" w14:textId="77777777" w:rsidR="00D26033" w:rsidRPr="002A338C" w:rsidRDefault="00D26033" w:rsidP="00D26033">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E6E6E6"/>
            <w:noWrap/>
            <w:vAlign w:val="bottom"/>
          </w:tcPr>
          <w:p w14:paraId="2D22D741" w14:textId="2DD3E8F8"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tcPr>
          <w:p w14:paraId="2CA8ABDC" w14:textId="77777777"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tcPr>
          <w:p w14:paraId="5DD5E931" w14:textId="77777777" w:rsidR="00D26033" w:rsidRPr="002A338C" w:rsidRDefault="00D26033" w:rsidP="00D26033">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tcPr>
          <w:p w14:paraId="725FE792"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2804B9F8" w14:textId="77777777" w:rsidTr="005334F2">
        <w:trPr>
          <w:trHeight w:val="204"/>
        </w:trPr>
        <w:tc>
          <w:tcPr>
            <w:tcW w:w="2237" w:type="pct"/>
            <w:tcBorders>
              <w:top w:val="nil"/>
              <w:left w:val="nil"/>
              <w:bottom w:val="nil"/>
              <w:right w:val="nil"/>
            </w:tcBorders>
            <w:shd w:val="clear" w:color="auto" w:fill="auto"/>
            <w:vAlign w:val="bottom"/>
            <w:hideMark/>
          </w:tcPr>
          <w:p w14:paraId="1710A2EF"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Purchase of land, buildings, property, plant and equipment and intangibles</w:t>
            </w:r>
          </w:p>
        </w:tc>
        <w:tc>
          <w:tcPr>
            <w:tcW w:w="602" w:type="pct"/>
            <w:tcBorders>
              <w:top w:val="nil"/>
              <w:left w:val="nil"/>
              <w:bottom w:val="nil"/>
              <w:right w:val="nil"/>
            </w:tcBorders>
            <w:shd w:val="clear" w:color="auto" w:fill="auto"/>
            <w:noWrap/>
            <w:vAlign w:val="bottom"/>
            <w:hideMark/>
          </w:tcPr>
          <w:p w14:paraId="74475AA0" w14:textId="359D2B44"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28,984</w:t>
            </w:r>
          </w:p>
        </w:tc>
        <w:tc>
          <w:tcPr>
            <w:tcW w:w="527" w:type="pct"/>
            <w:tcBorders>
              <w:top w:val="nil"/>
              <w:left w:val="nil"/>
              <w:bottom w:val="nil"/>
              <w:right w:val="nil"/>
            </w:tcBorders>
            <w:shd w:val="clear" w:color="auto" w:fill="E6E6E6"/>
            <w:noWrap/>
            <w:vAlign w:val="bottom"/>
            <w:hideMark/>
          </w:tcPr>
          <w:p w14:paraId="706CA7FB" w14:textId="699199E1"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32,456</w:t>
            </w:r>
          </w:p>
        </w:tc>
        <w:tc>
          <w:tcPr>
            <w:tcW w:w="545" w:type="pct"/>
            <w:tcBorders>
              <w:top w:val="nil"/>
              <w:left w:val="nil"/>
              <w:bottom w:val="nil"/>
              <w:right w:val="nil"/>
            </w:tcBorders>
            <w:shd w:val="clear" w:color="auto" w:fill="auto"/>
            <w:noWrap/>
            <w:vAlign w:val="bottom"/>
            <w:hideMark/>
          </w:tcPr>
          <w:p w14:paraId="13752BC4" w14:textId="11C94633"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11,250</w:t>
            </w:r>
          </w:p>
        </w:tc>
        <w:tc>
          <w:tcPr>
            <w:tcW w:w="545" w:type="pct"/>
            <w:tcBorders>
              <w:top w:val="nil"/>
              <w:left w:val="nil"/>
              <w:bottom w:val="nil"/>
              <w:right w:val="nil"/>
            </w:tcBorders>
            <w:shd w:val="clear" w:color="auto" w:fill="auto"/>
            <w:noWrap/>
            <w:vAlign w:val="bottom"/>
            <w:hideMark/>
          </w:tcPr>
          <w:p w14:paraId="111CC11E" w14:textId="7196D6DC"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10,547</w:t>
            </w:r>
          </w:p>
        </w:tc>
        <w:tc>
          <w:tcPr>
            <w:tcW w:w="544" w:type="pct"/>
            <w:tcBorders>
              <w:top w:val="nil"/>
              <w:left w:val="nil"/>
              <w:bottom w:val="nil"/>
              <w:right w:val="nil"/>
            </w:tcBorders>
            <w:shd w:val="clear" w:color="auto" w:fill="auto"/>
            <w:noWrap/>
            <w:vAlign w:val="bottom"/>
            <w:hideMark/>
          </w:tcPr>
          <w:p w14:paraId="1729573F" w14:textId="42BDA8F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10,525</w:t>
            </w:r>
          </w:p>
        </w:tc>
      </w:tr>
      <w:tr w:rsidR="00D26033" w:rsidRPr="002A338C" w14:paraId="7EBF5A75" w14:textId="77777777" w:rsidTr="005334F2">
        <w:trPr>
          <w:trHeight w:val="204"/>
        </w:trPr>
        <w:tc>
          <w:tcPr>
            <w:tcW w:w="2237" w:type="pct"/>
            <w:tcBorders>
              <w:top w:val="nil"/>
              <w:left w:val="nil"/>
              <w:bottom w:val="nil"/>
              <w:right w:val="nil"/>
            </w:tcBorders>
            <w:shd w:val="clear" w:color="auto" w:fill="auto"/>
            <w:noWrap/>
            <w:vAlign w:val="bottom"/>
            <w:hideMark/>
          </w:tcPr>
          <w:p w14:paraId="585F2DC4"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cash used</w:t>
            </w:r>
          </w:p>
        </w:tc>
        <w:tc>
          <w:tcPr>
            <w:tcW w:w="602" w:type="pct"/>
            <w:tcBorders>
              <w:top w:val="single" w:sz="4" w:space="0" w:color="000000"/>
              <w:left w:val="nil"/>
              <w:bottom w:val="single" w:sz="4" w:space="0" w:color="auto"/>
              <w:right w:val="nil"/>
            </w:tcBorders>
            <w:shd w:val="clear" w:color="auto" w:fill="auto"/>
            <w:noWrap/>
            <w:vAlign w:val="bottom"/>
            <w:hideMark/>
          </w:tcPr>
          <w:p w14:paraId="566BADC4" w14:textId="0106D223"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28,984</w:t>
            </w:r>
          </w:p>
        </w:tc>
        <w:tc>
          <w:tcPr>
            <w:tcW w:w="527" w:type="pct"/>
            <w:tcBorders>
              <w:top w:val="single" w:sz="4" w:space="0" w:color="000000"/>
              <w:left w:val="nil"/>
              <w:bottom w:val="single" w:sz="4" w:space="0" w:color="auto"/>
              <w:right w:val="nil"/>
            </w:tcBorders>
            <w:shd w:val="clear" w:color="auto" w:fill="E6E6E6"/>
            <w:noWrap/>
            <w:vAlign w:val="bottom"/>
            <w:hideMark/>
          </w:tcPr>
          <w:p w14:paraId="7BF611D0" w14:textId="7DB83F1C"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32,456</w:t>
            </w:r>
          </w:p>
        </w:tc>
        <w:tc>
          <w:tcPr>
            <w:tcW w:w="545" w:type="pct"/>
            <w:tcBorders>
              <w:top w:val="single" w:sz="4" w:space="0" w:color="000000"/>
              <w:left w:val="nil"/>
              <w:bottom w:val="single" w:sz="4" w:space="0" w:color="auto"/>
              <w:right w:val="nil"/>
            </w:tcBorders>
            <w:shd w:val="clear" w:color="auto" w:fill="auto"/>
            <w:noWrap/>
            <w:vAlign w:val="bottom"/>
            <w:hideMark/>
          </w:tcPr>
          <w:p w14:paraId="2A16620F" w14:textId="205A106F"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11,250</w:t>
            </w:r>
          </w:p>
        </w:tc>
        <w:tc>
          <w:tcPr>
            <w:tcW w:w="545" w:type="pct"/>
            <w:tcBorders>
              <w:top w:val="single" w:sz="4" w:space="0" w:color="000000"/>
              <w:left w:val="nil"/>
              <w:bottom w:val="single" w:sz="4" w:space="0" w:color="auto"/>
              <w:right w:val="nil"/>
            </w:tcBorders>
            <w:shd w:val="clear" w:color="auto" w:fill="auto"/>
            <w:noWrap/>
            <w:vAlign w:val="bottom"/>
            <w:hideMark/>
          </w:tcPr>
          <w:p w14:paraId="37BC98EA" w14:textId="3A3529B2"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10,547</w:t>
            </w:r>
          </w:p>
        </w:tc>
        <w:tc>
          <w:tcPr>
            <w:tcW w:w="544" w:type="pct"/>
            <w:tcBorders>
              <w:top w:val="single" w:sz="4" w:space="0" w:color="000000"/>
              <w:left w:val="nil"/>
              <w:bottom w:val="single" w:sz="4" w:space="0" w:color="auto"/>
              <w:right w:val="nil"/>
            </w:tcBorders>
            <w:shd w:val="clear" w:color="auto" w:fill="auto"/>
            <w:noWrap/>
            <w:vAlign w:val="bottom"/>
            <w:hideMark/>
          </w:tcPr>
          <w:p w14:paraId="59431D13" w14:textId="248D746C"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10,525</w:t>
            </w:r>
          </w:p>
        </w:tc>
      </w:tr>
      <w:tr w:rsidR="00D26033" w:rsidRPr="002A338C" w14:paraId="4DC348F2" w14:textId="77777777" w:rsidTr="005334F2">
        <w:trPr>
          <w:trHeight w:val="204"/>
        </w:trPr>
        <w:tc>
          <w:tcPr>
            <w:tcW w:w="2237" w:type="pct"/>
            <w:tcBorders>
              <w:top w:val="nil"/>
              <w:left w:val="nil"/>
              <w:bottom w:val="nil"/>
              <w:right w:val="nil"/>
            </w:tcBorders>
            <w:shd w:val="clear" w:color="auto" w:fill="auto"/>
            <w:vAlign w:val="bottom"/>
            <w:hideMark/>
          </w:tcPr>
          <w:p w14:paraId="0DFE44AD"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cash from/(used by) investing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6E9D5239" w14:textId="506B1645"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(28,984)</w:t>
            </w:r>
          </w:p>
        </w:tc>
        <w:tc>
          <w:tcPr>
            <w:tcW w:w="527" w:type="pct"/>
            <w:tcBorders>
              <w:top w:val="single" w:sz="4" w:space="0" w:color="auto"/>
              <w:left w:val="nil"/>
              <w:bottom w:val="single" w:sz="4" w:space="0" w:color="auto"/>
              <w:right w:val="nil"/>
            </w:tcBorders>
            <w:shd w:val="clear" w:color="auto" w:fill="E6E6E6"/>
            <w:noWrap/>
            <w:vAlign w:val="bottom"/>
            <w:hideMark/>
          </w:tcPr>
          <w:p w14:paraId="24684973" w14:textId="01368A26"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(32,456)</w:t>
            </w:r>
          </w:p>
        </w:tc>
        <w:tc>
          <w:tcPr>
            <w:tcW w:w="545" w:type="pct"/>
            <w:tcBorders>
              <w:top w:val="single" w:sz="4" w:space="0" w:color="auto"/>
              <w:left w:val="nil"/>
              <w:bottom w:val="single" w:sz="4" w:space="0" w:color="auto"/>
              <w:right w:val="nil"/>
            </w:tcBorders>
            <w:shd w:val="clear" w:color="auto" w:fill="auto"/>
            <w:noWrap/>
            <w:vAlign w:val="bottom"/>
            <w:hideMark/>
          </w:tcPr>
          <w:p w14:paraId="4FD67441" w14:textId="5681C8F8"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(11,250)</w:t>
            </w:r>
          </w:p>
        </w:tc>
        <w:tc>
          <w:tcPr>
            <w:tcW w:w="545" w:type="pct"/>
            <w:tcBorders>
              <w:top w:val="single" w:sz="4" w:space="0" w:color="auto"/>
              <w:left w:val="nil"/>
              <w:bottom w:val="single" w:sz="4" w:space="0" w:color="auto"/>
              <w:right w:val="nil"/>
            </w:tcBorders>
            <w:shd w:val="clear" w:color="auto" w:fill="auto"/>
            <w:noWrap/>
            <w:vAlign w:val="bottom"/>
            <w:hideMark/>
          </w:tcPr>
          <w:p w14:paraId="7136B348" w14:textId="6114A6A9"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(10,547)</w:t>
            </w:r>
          </w:p>
        </w:tc>
        <w:tc>
          <w:tcPr>
            <w:tcW w:w="544" w:type="pct"/>
            <w:tcBorders>
              <w:top w:val="single" w:sz="4" w:space="0" w:color="auto"/>
              <w:left w:val="nil"/>
              <w:bottom w:val="single" w:sz="4" w:space="0" w:color="auto"/>
              <w:right w:val="nil"/>
            </w:tcBorders>
            <w:shd w:val="clear" w:color="auto" w:fill="auto"/>
            <w:noWrap/>
            <w:vAlign w:val="bottom"/>
            <w:hideMark/>
          </w:tcPr>
          <w:p w14:paraId="5A88D0E8" w14:textId="77185F6D"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(10,525)</w:t>
            </w:r>
          </w:p>
        </w:tc>
      </w:tr>
      <w:tr w:rsidR="00D26033" w:rsidRPr="002A338C" w14:paraId="62E0C34F" w14:textId="77777777" w:rsidTr="005334F2">
        <w:trPr>
          <w:trHeight w:val="204"/>
        </w:trPr>
        <w:tc>
          <w:tcPr>
            <w:tcW w:w="2237" w:type="pct"/>
            <w:tcBorders>
              <w:top w:val="nil"/>
              <w:left w:val="nil"/>
              <w:bottom w:val="nil"/>
              <w:right w:val="nil"/>
            </w:tcBorders>
            <w:shd w:val="clear" w:color="auto" w:fill="auto"/>
            <w:noWrap/>
            <w:vAlign w:val="bottom"/>
            <w:hideMark/>
          </w:tcPr>
          <w:p w14:paraId="57D23EA2"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FINANCING ACTIVITIES</w:t>
            </w:r>
          </w:p>
        </w:tc>
        <w:tc>
          <w:tcPr>
            <w:tcW w:w="602" w:type="pct"/>
            <w:tcBorders>
              <w:top w:val="single" w:sz="4" w:space="0" w:color="auto"/>
              <w:left w:val="nil"/>
              <w:bottom w:val="nil"/>
              <w:right w:val="nil"/>
            </w:tcBorders>
            <w:shd w:val="clear" w:color="auto" w:fill="auto"/>
            <w:noWrap/>
            <w:vAlign w:val="bottom"/>
            <w:hideMark/>
          </w:tcPr>
          <w:p w14:paraId="37B9BB12" w14:textId="77777777" w:rsidR="00D26033" w:rsidRPr="002A338C" w:rsidRDefault="00D26033" w:rsidP="00D26033">
            <w:pPr>
              <w:spacing w:after="0" w:line="240" w:lineRule="auto"/>
              <w:jc w:val="right"/>
              <w:rPr>
                <w:rFonts w:ascii="Arial" w:hAnsi="Arial" w:cs="Arial"/>
                <w:b/>
                <w:bCs/>
                <w:color w:val="000000"/>
                <w:sz w:val="16"/>
                <w:szCs w:val="16"/>
              </w:rPr>
            </w:pPr>
          </w:p>
        </w:tc>
        <w:tc>
          <w:tcPr>
            <w:tcW w:w="527" w:type="pct"/>
            <w:tcBorders>
              <w:top w:val="single" w:sz="4" w:space="0" w:color="auto"/>
              <w:left w:val="nil"/>
              <w:bottom w:val="nil"/>
              <w:right w:val="nil"/>
            </w:tcBorders>
            <w:shd w:val="clear" w:color="auto" w:fill="E6E6E6"/>
            <w:noWrap/>
            <w:vAlign w:val="bottom"/>
            <w:hideMark/>
          </w:tcPr>
          <w:p w14:paraId="6B4A82CB" w14:textId="61B81625"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single" w:sz="4" w:space="0" w:color="auto"/>
              <w:left w:val="nil"/>
              <w:bottom w:val="nil"/>
              <w:right w:val="nil"/>
            </w:tcBorders>
            <w:shd w:val="clear" w:color="auto" w:fill="auto"/>
            <w:noWrap/>
            <w:vAlign w:val="bottom"/>
            <w:hideMark/>
          </w:tcPr>
          <w:p w14:paraId="24889D1C" w14:textId="77777777"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single" w:sz="4" w:space="0" w:color="auto"/>
              <w:left w:val="nil"/>
              <w:bottom w:val="nil"/>
              <w:right w:val="nil"/>
            </w:tcBorders>
            <w:shd w:val="clear" w:color="auto" w:fill="auto"/>
            <w:noWrap/>
            <w:vAlign w:val="bottom"/>
            <w:hideMark/>
          </w:tcPr>
          <w:p w14:paraId="27FFFC49" w14:textId="77777777" w:rsidR="00D26033" w:rsidRPr="002A338C" w:rsidRDefault="00D26033" w:rsidP="00D26033">
            <w:pPr>
              <w:spacing w:after="0" w:line="240" w:lineRule="auto"/>
              <w:jc w:val="right"/>
              <w:rPr>
                <w:rFonts w:ascii="Arial" w:hAnsi="Arial" w:cs="Arial"/>
                <w:sz w:val="16"/>
                <w:szCs w:val="16"/>
              </w:rPr>
            </w:pPr>
          </w:p>
        </w:tc>
        <w:tc>
          <w:tcPr>
            <w:tcW w:w="544" w:type="pct"/>
            <w:tcBorders>
              <w:top w:val="single" w:sz="4" w:space="0" w:color="auto"/>
              <w:left w:val="nil"/>
              <w:bottom w:val="nil"/>
              <w:right w:val="nil"/>
            </w:tcBorders>
            <w:shd w:val="clear" w:color="auto" w:fill="auto"/>
            <w:noWrap/>
            <w:vAlign w:val="bottom"/>
            <w:hideMark/>
          </w:tcPr>
          <w:p w14:paraId="227E5071"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5DADCA41" w14:textId="77777777" w:rsidTr="005334F2">
        <w:trPr>
          <w:trHeight w:val="204"/>
        </w:trPr>
        <w:tc>
          <w:tcPr>
            <w:tcW w:w="2237" w:type="pct"/>
            <w:tcBorders>
              <w:top w:val="nil"/>
              <w:left w:val="nil"/>
              <w:bottom w:val="nil"/>
              <w:right w:val="nil"/>
            </w:tcBorders>
            <w:shd w:val="clear" w:color="auto" w:fill="auto"/>
            <w:noWrap/>
            <w:vAlign w:val="bottom"/>
            <w:hideMark/>
          </w:tcPr>
          <w:p w14:paraId="63B199BE"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tcPr>
          <w:p w14:paraId="2F640B61" w14:textId="77777777" w:rsidR="00D26033" w:rsidRPr="002A338C" w:rsidRDefault="00D26033" w:rsidP="00D26033">
            <w:pPr>
              <w:spacing w:after="0" w:line="240" w:lineRule="auto"/>
              <w:jc w:val="right"/>
              <w:rPr>
                <w:rFonts w:ascii="Arial" w:hAnsi="Arial" w:cs="Arial"/>
                <w:sz w:val="16"/>
                <w:szCs w:val="16"/>
              </w:rPr>
            </w:pPr>
          </w:p>
        </w:tc>
        <w:tc>
          <w:tcPr>
            <w:tcW w:w="527" w:type="pct"/>
            <w:tcBorders>
              <w:top w:val="nil"/>
              <w:left w:val="nil"/>
              <w:bottom w:val="nil"/>
              <w:right w:val="nil"/>
            </w:tcBorders>
            <w:shd w:val="clear" w:color="auto" w:fill="E6E6E6"/>
            <w:noWrap/>
            <w:vAlign w:val="bottom"/>
          </w:tcPr>
          <w:p w14:paraId="2C155DA8" w14:textId="6E366B25"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tcPr>
          <w:p w14:paraId="4AB6D291" w14:textId="77777777"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tcPr>
          <w:p w14:paraId="62B8EB07" w14:textId="77777777" w:rsidR="00D26033" w:rsidRPr="002A338C" w:rsidRDefault="00D26033" w:rsidP="00D26033">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tcPr>
          <w:p w14:paraId="6B1D4A06"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7243E58E" w14:textId="77777777" w:rsidTr="005334F2">
        <w:trPr>
          <w:trHeight w:val="204"/>
        </w:trPr>
        <w:tc>
          <w:tcPr>
            <w:tcW w:w="2237" w:type="pct"/>
            <w:tcBorders>
              <w:top w:val="nil"/>
              <w:left w:val="nil"/>
              <w:bottom w:val="nil"/>
              <w:right w:val="nil"/>
            </w:tcBorders>
            <w:shd w:val="clear" w:color="auto" w:fill="auto"/>
            <w:noWrap/>
            <w:vAlign w:val="bottom"/>
            <w:hideMark/>
          </w:tcPr>
          <w:p w14:paraId="6F35060A"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60359316" w14:textId="38B9654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28,984</w:t>
            </w:r>
          </w:p>
        </w:tc>
        <w:tc>
          <w:tcPr>
            <w:tcW w:w="527" w:type="pct"/>
            <w:tcBorders>
              <w:top w:val="nil"/>
              <w:left w:val="nil"/>
              <w:bottom w:val="nil"/>
              <w:right w:val="nil"/>
            </w:tcBorders>
            <w:shd w:val="clear" w:color="auto" w:fill="E6E6E6"/>
            <w:noWrap/>
            <w:vAlign w:val="bottom"/>
            <w:hideMark/>
          </w:tcPr>
          <w:p w14:paraId="02588ABD" w14:textId="3B6E170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12,456</w:t>
            </w:r>
          </w:p>
        </w:tc>
        <w:tc>
          <w:tcPr>
            <w:tcW w:w="545" w:type="pct"/>
            <w:tcBorders>
              <w:top w:val="nil"/>
              <w:left w:val="nil"/>
              <w:bottom w:val="nil"/>
              <w:right w:val="nil"/>
            </w:tcBorders>
            <w:shd w:val="clear" w:color="auto" w:fill="auto"/>
            <w:noWrap/>
            <w:vAlign w:val="bottom"/>
            <w:hideMark/>
          </w:tcPr>
          <w:p w14:paraId="19CF1CAD" w14:textId="0975312C"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11,250</w:t>
            </w:r>
          </w:p>
        </w:tc>
        <w:tc>
          <w:tcPr>
            <w:tcW w:w="545" w:type="pct"/>
            <w:tcBorders>
              <w:top w:val="nil"/>
              <w:left w:val="nil"/>
              <w:bottom w:val="nil"/>
              <w:right w:val="nil"/>
            </w:tcBorders>
            <w:shd w:val="clear" w:color="auto" w:fill="auto"/>
            <w:noWrap/>
            <w:vAlign w:val="bottom"/>
            <w:hideMark/>
          </w:tcPr>
          <w:p w14:paraId="398BCC2D" w14:textId="6FEC141D"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10,547</w:t>
            </w:r>
          </w:p>
        </w:tc>
        <w:tc>
          <w:tcPr>
            <w:tcW w:w="544" w:type="pct"/>
            <w:tcBorders>
              <w:top w:val="nil"/>
              <w:left w:val="nil"/>
              <w:bottom w:val="nil"/>
              <w:right w:val="nil"/>
            </w:tcBorders>
            <w:shd w:val="clear" w:color="auto" w:fill="auto"/>
            <w:noWrap/>
            <w:vAlign w:val="bottom"/>
            <w:hideMark/>
          </w:tcPr>
          <w:p w14:paraId="4324B516" w14:textId="4ECC800A"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10,525</w:t>
            </w:r>
          </w:p>
        </w:tc>
      </w:tr>
      <w:tr w:rsidR="00D26033" w:rsidRPr="002A338C" w14:paraId="019F5ED6" w14:textId="77777777" w:rsidTr="005334F2">
        <w:trPr>
          <w:trHeight w:val="204"/>
        </w:trPr>
        <w:tc>
          <w:tcPr>
            <w:tcW w:w="2237" w:type="pct"/>
            <w:tcBorders>
              <w:top w:val="nil"/>
              <w:left w:val="nil"/>
              <w:bottom w:val="nil"/>
              <w:right w:val="nil"/>
            </w:tcBorders>
            <w:shd w:val="clear" w:color="auto" w:fill="auto"/>
            <w:noWrap/>
            <w:vAlign w:val="bottom"/>
            <w:hideMark/>
          </w:tcPr>
          <w:p w14:paraId="31CA6D40"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3DCE030C" w14:textId="1658E1DE"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28,984</w:t>
            </w:r>
          </w:p>
        </w:tc>
        <w:tc>
          <w:tcPr>
            <w:tcW w:w="527" w:type="pct"/>
            <w:tcBorders>
              <w:top w:val="single" w:sz="4" w:space="0" w:color="000000"/>
              <w:left w:val="nil"/>
              <w:bottom w:val="single" w:sz="4" w:space="0" w:color="000000"/>
              <w:right w:val="nil"/>
            </w:tcBorders>
            <w:shd w:val="clear" w:color="auto" w:fill="E6E6E6"/>
            <w:noWrap/>
            <w:vAlign w:val="bottom"/>
            <w:hideMark/>
          </w:tcPr>
          <w:p w14:paraId="2357B230" w14:textId="6ADDBA24"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12,456</w:t>
            </w:r>
          </w:p>
        </w:tc>
        <w:tc>
          <w:tcPr>
            <w:tcW w:w="545" w:type="pct"/>
            <w:tcBorders>
              <w:top w:val="single" w:sz="4" w:space="0" w:color="000000"/>
              <w:left w:val="nil"/>
              <w:bottom w:val="single" w:sz="4" w:space="0" w:color="000000"/>
              <w:right w:val="nil"/>
            </w:tcBorders>
            <w:shd w:val="clear" w:color="auto" w:fill="auto"/>
            <w:noWrap/>
            <w:vAlign w:val="bottom"/>
            <w:hideMark/>
          </w:tcPr>
          <w:p w14:paraId="765B9235" w14:textId="573AF5A2"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11,250</w:t>
            </w:r>
          </w:p>
        </w:tc>
        <w:tc>
          <w:tcPr>
            <w:tcW w:w="545" w:type="pct"/>
            <w:tcBorders>
              <w:top w:val="single" w:sz="4" w:space="0" w:color="000000"/>
              <w:left w:val="nil"/>
              <w:bottom w:val="single" w:sz="4" w:space="0" w:color="000000"/>
              <w:right w:val="nil"/>
            </w:tcBorders>
            <w:shd w:val="clear" w:color="auto" w:fill="auto"/>
            <w:noWrap/>
            <w:vAlign w:val="bottom"/>
            <w:hideMark/>
          </w:tcPr>
          <w:p w14:paraId="3204F2FE" w14:textId="0BEE19C0"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10,547</w:t>
            </w:r>
          </w:p>
        </w:tc>
        <w:tc>
          <w:tcPr>
            <w:tcW w:w="544" w:type="pct"/>
            <w:tcBorders>
              <w:top w:val="single" w:sz="4" w:space="0" w:color="000000"/>
              <w:left w:val="nil"/>
              <w:bottom w:val="single" w:sz="4" w:space="0" w:color="000000"/>
              <w:right w:val="nil"/>
            </w:tcBorders>
            <w:shd w:val="clear" w:color="auto" w:fill="auto"/>
            <w:noWrap/>
            <w:vAlign w:val="bottom"/>
            <w:hideMark/>
          </w:tcPr>
          <w:p w14:paraId="02EAB7F2" w14:textId="485EA2AE"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10,525</w:t>
            </w:r>
          </w:p>
        </w:tc>
      </w:tr>
      <w:tr w:rsidR="00D26033" w:rsidRPr="002A338C" w14:paraId="5615F6CE" w14:textId="77777777" w:rsidTr="005334F2">
        <w:trPr>
          <w:trHeight w:val="204"/>
        </w:trPr>
        <w:tc>
          <w:tcPr>
            <w:tcW w:w="2237" w:type="pct"/>
            <w:tcBorders>
              <w:top w:val="nil"/>
              <w:left w:val="nil"/>
              <w:bottom w:val="nil"/>
              <w:right w:val="nil"/>
            </w:tcBorders>
            <w:shd w:val="clear" w:color="auto" w:fill="auto"/>
            <w:noWrap/>
            <w:vAlign w:val="bottom"/>
            <w:hideMark/>
          </w:tcPr>
          <w:p w14:paraId="5A05F9C1" w14:textId="77777777" w:rsidR="00D26033" w:rsidRPr="002A338C" w:rsidRDefault="00D26033" w:rsidP="00D26033">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tcPr>
          <w:p w14:paraId="324B52ED" w14:textId="77777777" w:rsidR="00D26033" w:rsidRPr="002A338C" w:rsidRDefault="00D26033" w:rsidP="00D26033">
            <w:pPr>
              <w:spacing w:after="0" w:line="240" w:lineRule="auto"/>
              <w:jc w:val="right"/>
              <w:rPr>
                <w:rFonts w:ascii="Arial" w:hAnsi="Arial" w:cs="Arial"/>
                <w:b/>
                <w:bCs/>
                <w:i/>
                <w:iCs/>
                <w:color w:val="000000"/>
                <w:sz w:val="16"/>
                <w:szCs w:val="16"/>
              </w:rPr>
            </w:pPr>
          </w:p>
        </w:tc>
        <w:tc>
          <w:tcPr>
            <w:tcW w:w="527" w:type="pct"/>
            <w:tcBorders>
              <w:top w:val="nil"/>
              <w:left w:val="nil"/>
              <w:bottom w:val="nil"/>
              <w:right w:val="nil"/>
            </w:tcBorders>
            <w:shd w:val="clear" w:color="auto" w:fill="E6E6E6"/>
            <w:noWrap/>
            <w:vAlign w:val="bottom"/>
          </w:tcPr>
          <w:p w14:paraId="0EB91176" w14:textId="7193D56F"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tcPr>
          <w:p w14:paraId="6CDF9AA8" w14:textId="77777777" w:rsidR="00D26033" w:rsidRPr="002A338C" w:rsidRDefault="00D26033" w:rsidP="00D26033">
            <w:pPr>
              <w:spacing w:after="0" w:line="240" w:lineRule="auto"/>
              <w:jc w:val="right"/>
              <w:rPr>
                <w:rFonts w:ascii="Arial" w:hAnsi="Arial" w:cs="Arial"/>
                <w:color w:val="000000"/>
                <w:sz w:val="16"/>
                <w:szCs w:val="16"/>
              </w:rPr>
            </w:pPr>
          </w:p>
        </w:tc>
        <w:tc>
          <w:tcPr>
            <w:tcW w:w="545" w:type="pct"/>
            <w:tcBorders>
              <w:top w:val="nil"/>
              <w:left w:val="nil"/>
              <w:bottom w:val="nil"/>
              <w:right w:val="nil"/>
            </w:tcBorders>
            <w:shd w:val="clear" w:color="auto" w:fill="auto"/>
            <w:noWrap/>
            <w:vAlign w:val="bottom"/>
          </w:tcPr>
          <w:p w14:paraId="593D011C" w14:textId="77777777" w:rsidR="00D26033" w:rsidRPr="002A338C" w:rsidRDefault="00D26033" w:rsidP="00D26033">
            <w:pPr>
              <w:spacing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tcPr>
          <w:p w14:paraId="14608689"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754C03A7" w14:textId="77777777" w:rsidTr="005334F2">
        <w:trPr>
          <w:trHeight w:val="204"/>
        </w:trPr>
        <w:tc>
          <w:tcPr>
            <w:tcW w:w="2237" w:type="pct"/>
            <w:tcBorders>
              <w:top w:val="nil"/>
              <w:left w:val="nil"/>
              <w:bottom w:val="nil"/>
              <w:right w:val="nil"/>
            </w:tcBorders>
            <w:shd w:val="clear" w:color="auto" w:fill="auto"/>
            <w:noWrap/>
            <w:vAlign w:val="bottom"/>
            <w:hideMark/>
          </w:tcPr>
          <w:p w14:paraId="23AA3027" w14:textId="77777777" w:rsidR="00D26033" w:rsidRPr="002A338C" w:rsidRDefault="00D26033" w:rsidP="00D26033">
            <w:pPr>
              <w:spacing w:after="0" w:line="240" w:lineRule="auto"/>
              <w:ind w:left="227"/>
              <w:rPr>
                <w:rFonts w:ascii="Arial" w:hAnsi="Arial" w:cs="Arial"/>
                <w:color w:val="000000"/>
                <w:sz w:val="16"/>
                <w:szCs w:val="16"/>
              </w:rPr>
            </w:pPr>
            <w:r w:rsidRPr="002A338C">
              <w:rPr>
                <w:rFonts w:ascii="Arial" w:hAnsi="Arial" w:cs="Arial"/>
                <w:color w:val="000000"/>
                <w:sz w:val="16"/>
                <w:szCs w:val="16"/>
              </w:rPr>
              <w:t>Principle payments on lease liability</w:t>
            </w:r>
          </w:p>
        </w:tc>
        <w:tc>
          <w:tcPr>
            <w:tcW w:w="602" w:type="pct"/>
            <w:tcBorders>
              <w:top w:val="nil"/>
              <w:left w:val="nil"/>
              <w:bottom w:val="nil"/>
              <w:right w:val="nil"/>
            </w:tcBorders>
            <w:shd w:val="clear" w:color="auto" w:fill="auto"/>
            <w:noWrap/>
            <w:vAlign w:val="bottom"/>
            <w:hideMark/>
          </w:tcPr>
          <w:p w14:paraId="5306108C" w14:textId="4F6FF690"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21,666</w:t>
            </w:r>
          </w:p>
        </w:tc>
        <w:tc>
          <w:tcPr>
            <w:tcW w:w="527" w:type="pct"/>
            <w:tcBorders>
              <w:top w:val="nil"/>
              <w:left w:val="nil"/>
              <w:bottom w:val="nil"/>
              <w:right w:val="nil"/>
            </w:tcBorders>
            <w:shd w:val="clear" w:color="auto" w:fill="E6E6E6"/>
            <w:noWrap/>
            <w:vAlign w:val="bottom"/>
            <w:hideMark/>
          </w:tcPr>
          <w:p w14:paraId="2AB5B688" w14:textId="1552DA3E"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19,932</w:t>
            </w:r>
          </w:p>
        </w:tc>
        <w:tc>
          <w:tcPr>
            <w:tcW w:w="545" w:type="pct"/>
            <w:tcBorders>
              <w:top w:val="nil"/>
              <w:left w:val="nil"/>
              <w:bottom w:val="nil"/>
              <w:right w:val="nil"/>
            </w:tcBorders>
            <w:shd w:val="clear" w:color="auto" w:fill="auto"/>
            <w:noWrap/>
            <w:vAlign w:val="bottom"/>
            <w:hideMark/>
          </w:tcPr>
          <w:p w14:paraId="182859EC" w14:textId="268B2D87"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545" w:type="pct"/>
            <w:tcBorders>
              <w:top w:val="nil"/>
              <w:left w:val="nil"/>
              <w:bottom w:val="nil"/>
              <w:right w:val="nil"/>
            </w:tcBorders>
            <w:shd w:val="clear" w:color="auto" w:fill="auto"/>
            <w:noWrap/>
            <w:vAlign w:val="bottom"/>
            <w:hideMark/>
          </w:tcPr>
          <w:p w14:paraId="5F0E7665" w14:textId="445E65F1"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544" w:type="pct"/>
            <w:tcBorders>
              <w:top w:val="nil"/>
              <w:left w:val="nil"/>
              <w:bottom w:val="nil"/>
              <w:right w:val="nil"/>
            </w:tcBorders>
            <w:shd w:val="clear" w:color="auto" w:fill="auto"/>
            <w:noWrap/>
            <w:vAlign w:val="bottom"/>
            <w:hideMark/>
          </w:tcPr>
          <w:p w14:paraId="48E0DB5B" w14:textId="7479967B"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19,995</w:t>
            </w:r>
          </w:p>
        </w:tc>
      </w:tr>
      <w:tr w:rsidR="00D26033" w:rsidRPr="002A338C" w14:paraId="6D178115" w14:textId="77777777" w:rsidTr="005334F2">
        <w:trPr>
          <w:trHeight w:val="204"/>
        </w:trPr>
        <w:tc>
          <w:tcPr>
            <w:tcW w:w="2237" w:type="pct"/>
            <w:tcBorders>
              <w:top w:val="nil"/>
              <w:left w:val="nil"/>
              <w:bottom w:val="nil"/>
              <w:right w:val="nil"/>
            </w:tcBorders>
            <w:shd w:val="clear" w:color="auto" w:fill="auto"/>
            <w:noWrap/>
            <w:vAlign w:val="bottom"/>
            <w:hideMark/>
          </w:tcPr>
          <w:p w14:paraId="00351675" w14:textId="77777777" w:rsidR="00D26033" w:rsidRPr="002A338C" w:rsidRDefault="00D26033" w:rsidP="00D26033">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0FAB327D" w14:textId="778ED4E8"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21,666</w:t>
            </w:r>
          </w:p>
        </w:tc>
        <w:tc>
          <w:tcPr>
            <w:tcW w:w="527" w:type="pct"/>
            <w:tcBorders>
              <w:top w:val="single" w:sz="4" w:space="0" w:color="000000"/>
              <w:left w:val="nil"/>
              <w:bottom w:val="single" w:sz="4" w:space="0" w:color="000000"/>
              <w:right w:val="nil"/>
            </w:tcBorders>
            <w:shd w:val="clear" w:color="auto" w:fill="E6E6E6"/>
            <w:noWrap/>
            <w:vAlign w:val="bottom"/>
            <w:hideMark/>
          </w:tcPr>
          <w:p w14:paraId="35BCB0CA" w14:textId="3D8ABB99"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19,932</w:t>
            </w:r>
          </w:p>
        </w:tc>
        <w:tc>
          <w:tcPr>
            <w:tcW w:w="545" w:type="pct"/>
            <w:tcBorders>
              <w:top w:val="single" w:sz="4" w:space="0" w:color="000000"/>
              <w:left w:val="nil"/>
              <w:bottom w:val="single" w:sz="4" w:space="0" w:color="000000"/>
              <w:right w:val="nil"/>
            </w:tcBorders>
            <w:shd w:val="clear" w:color="auto" w:fill="auto"/>
            <w:noWrap/>
            <w:vAlign w:val="bottom"/>
            <w:hideMark/>
          </w:tcPr>
          <w:p w14:paraId="22D71340" w14:textId="0E4BA50B"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45" w:type="pct"/>
            <w:tcBorders>
              <w:top w:val="single" w:sz="4" w:space="0" w:color="000000"/>
              <w:left w:val="nil"/>
              <w:bottom w:val="single" w:sz="4" w:space="0" w:color="000000"/>
              <w:right w:val="nil"/>
            </w:tcBorders>
            <w:shd w:val="clear" w:color="auto" w:fill="auto"/>
            <w:noWrap/>
            <w:vAlign w:val="bottom"/>
            <w:hideMark/>
          </w:tcPr>
          <w:p w14:paraId="300A5073" w14:textId="07073CE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44" w:type="pct"/>
            <w:tcBorders>
              <w:top w:val="single" w:sz="4" w:space="0" w:color="000000"/>
              <w:left w:val="nil"/>
              <w:bottom w:val="single" w:sz="4" w:space="0" w:color="000000"/>
              <w:right w:val="nil"/>
            </w:tcBorders>
            <w:shd w:val="clear" w:color="auto" w:fill="auto"/>
            <w:noWrap/>
            <w:vAlign w:val="bottom"/>
            <w:hideMark/>
          </w:tcPr>
          <w:p w14:paraId="16BD0939" w14:textId="3BB88D0A" w:rsidR="00D26033" w:rsidRPr="002A338C" w:rsidRDefault="00D26033" w:rsidP="00D2603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r>
      <w:tr w:rsidR="00D26033" w:rsidRPr="002A338C" w14:paraId="07EF0D3B" w14:textId="77777777" w:rsidTr="005334F2">
        <w:trPr>
          <w:trHeight w:val="204"/>
        </w:trPr>
        <w:tc>
          <w:tcPr>
            <w:tcW w:w="2237" w:type="pct"/>
            <w:tcBorders>
              <w:top w:val="nil"/>
              <w:left w:val="nil"/>
              <w:bottom w:val="nil"/>
              <w:right w:val="nil"/>
            </w:tcBorders>
            <w:shd w:val="clear" w:color="auto" w:fill="auto"/>
            <w:vAlign w:val="bottom"/>
            <w:hideMark/>
          </w:tcPr>
          <w:p w14:paraId="39BFF75E"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1481AAFE" w14:textId="32077CAB"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7,318</w:t>
            </w:r>
          </w:p>
        </w:tc>
        <w:tc>
          <w:tcPr>
            <w:tcW w:w="527" w:type="pct"/>
            <w:tcBorders>
              <w:top w:val="nil"/>
              <w:left w:val="nil"/>
              <w:bottom w:val="single" w:sz="4" w:space="0" w:color="000000"/>
              <w:right w:val="nil"/>
            </w:tcBorders>
            <w:shd w:val="clear" w:color="auto" w:fill="E6E6E6"/>
            <w:noWrap/>
            <w:vAlign w:val="bottom"/>
            <w:hideMark/>
          </w:tcPr>
          <w:p w14:paraId="4D897D95" w14:textId="3E89506E"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(7,476)</w:t>
            </w:r>
          </w:p>
        </w:tc>
        <w:tc>
          <w:tcPr>
            <w:tcW w:w="545" w:type="pct"/>
            <w:tcBorders>
              <w:top w:val="nil"/>
              <w:left w:val="nil"/>
              <w:bottom w:val="single" w:sz="4" w:space="0" w:color="000000"/>
              <w:right w:val="nil"/>
            </w:tcBorders>
            <w:shd w:val="clear" w:color="auto" w:fill="auto"/>
            <w:noWrap/>
            <w:vAlign w:val="bottom"/>
            <w:hideMark/>
          </w:tcPr>
          <w:p w14:paraId="2EA39685" w14:textId="7840276D"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(8,745)</w:t>
            </w:r>
          </w:p>
        </w:tc>
        <w:tc>
          <w:tcPr>
            <w:tcW w:w="545" w:type="pct"/>
            <w:tcBorders>
              <w:top w:val="nil"/>
              <w:left w:val="nil"/>
              <w:bottom w:val="single" w:sz="4" w:space="0" w:color="000000"/>
              <w:right w:val="nil"/>
            </w:tcBorders>
            <w:shd w:val="clear" w:color="auto" w:fill="auto"/>
            <w:noWrap/>
            <w:vAlign w:val="bottom"/>
            <w:hideMark/>
          </w:tcPr>
          <w:p w14:paraId="54D23A8A" w14:textId="30B79D7E"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(9,448)</w:t>
            </w:r>
          </w:p>
        </w:tc>
        <w:tc>
          <w:tcPr>
            <w:tcW w:w="544" w:type="pct"/>
            <w:tcBorders>
              <w:top w:val="nil"/>
              <w:left w:val="nil"/>
              <w:bottom w:val="single" w:sz="4" w:space="0" w:color="000000"/>
              <w:right w:val="nil"/>
            </w:tcBorders>
            <w:shd w:val="clear" w:color="auto" w:fill="auto"/>
            <w:noWrap/>
            <w:vAlign w:val="bottom"/>
            <w:hideMark/>
          </w:tcPr>
          <w:p w14:paraId="201CB240" w14:textId="1BDFBF76"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(9,470)</w:t>
            </w:r>
          </w:p>
        </w:tc>
      </w:tr>
      <w:tr w:rsidR="00D26033" w:rsidRPr="002A338C" w14:paraId="46158885" w14:textId="77777777" w:rsidTr="005334F2">
        <w:trPr>
          <w:trHeight w:val="204"/>
        </w:trPr>
        <w:tc>
          <w:tcPr>
            <w:tcW w:w="2237" w:type="pct"/>
            <w:tcBorders>
              <w:top w:val="nil"/>
              <w:left w:val="nil"/>
              <w:bottom w:val="nil"/>
              <w:right w:val="nil"/>
            </w:tcBorders>
            <w:shd w:val="clear" w:color="auto" w:fill="auto"/>
            <w:vAlign w:val="bottom"/>
            <w:hideMark/>
          </w:tcPr>
          <w:p w14:paraId="78DB4AF3"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0FD7472A" w14:textId="64468343"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5,239</w:t>
            </w:r>
          </w:p>
        </w:tc>
        <w:tc>
          <w:tcPr>
            <w:tcW w:w="527" w:type="pct"/>
            <w:tcBorders>
              <w:top w:val="nil"/>
              <w:left w:val="nil"/>
              <w:bottom w:val="single" w:sz="4" w:space="0" w:color="000000"/>
              <w:right w:val="nil"/>
            </w:tcBorders>
            <w:shd w:val="clear" w:color="auto" w:fill="E6E6E6"/>
            <w:noWrap/>
            <w:vAlign w:val="bottom"/>
            <w:hideMark/>
          </w:tcPr>
          <w:p w14:paraId="50D1C589" w14:textId="002684B3"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1,045</w:t>
            </w:r>
          </w:p>
        </w:tc>
        <w:tc>
          <w:tcPr>
            <w:tcW w:w="545" w:type="pct"/>
            <w:tcBorders>
              <w:top w:val="nil"/>
              <w:left w:val="nil"/>
              <w:bottom w:val="single" w:sz="4" w:space="0" w:color="000000"/>
              <w:right w:val="nil"/>
            </w:tcBorders>
            <w:shd w:val="clear" w:color="auto" w:fill="auto"/>
            <w:noWrap/>
            <w:vAlign w:val="bottom"/>
            <w:hideMark/>
          </w:tcPr>
          <w:p w14:paraId="1A940A37" w14:textId="60BD74F5"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5" w:type="pct"/>
            <w:tcBorders>
              <w:top w:val="nil"/>
              <w:left w:val="nil"/>
              <w:bottom w:val="single" w:sz="4" w:space="0" w:color="000000"/>
              <w:right w:val="nil"/>
            </w:tcBorders>
            <w:shd w:val="clear" w:color="auto" w:fill="auto"/>
            <w:noWrap/>
            <w:vAlign w:val="bottom"/>
            <w:hideMark/>
          </w:tcPr>
          <w:p w14:paraId="3C58939B" w14:textId="5F3CC21B"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44" w:type="pct"/>
            <w:tcBorders>
              <w:top w:val="nil"/>
              <w:left w:val="nil"/>
              <w:bottom w:val="single" w:sz="4" w:space="0" w:color="000000"/>
              <w:right w:val="nil"/>
            </w:tcBorders>
            <w:shd w:val="clear" w:color="auto" w:fill="auto"/>
            <w:noWrap/>
            <w:vAlign w:val="bottom"/>
            <w:hideMark/>
          </w:tcPr>
          <w:p w14:paraId="2D2380EB" w14:textId="38EF6BA3"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D26033" w:rsidRPr="002A338C" w14:paraId="7F6A65C1" w14:textId="77777777" w:rsidTr="005334F2">
        <w:trPr>
          <w:trHeight w:val="204"/>
        </w:trPr>
        <w:tc>
          <w:tcPr>
            <w:tcW w:w="2237" w:type="pct"/>
            <w:tcBorders>
              <w:top w:val="nil"/>
              <w:left w:val="nil"/>
              <w:bottom w:val="nil"/>
              <w:right w:val="nil"/>
            </w:tcBorders>
            <w:shd w:val="clear" w:color="auto" w:fill="auto"/>
            <w:vAlign w:val="bottom"/>
            <w:hideMark/>
          </w:tcPr>
          <w:p w14:paraId="4323254A" w14:textId="77777777" w:rsidR="00D26033" w:rsidRPr="002A338C" w:rsidRDefault="00D26033" w:rsidP="00C17A5E">
            <w:pPr>
              <w:spacing w:after="0" w:line="240" w:lineRule="auto"/>
              <w:rPr>
                <w:rFonts w:ascii="Arial" w:hAnsi="Arial" w:cs="Arial"/>
                <w:color w:val="000000"/>
                <w:sz w:val="16"/>
                <w:szCs w:val="16"/>
              </w:rPr>
            </w:pPr>
            <w:r w:rsidRPr="002A338C">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365A72F5" w14:textId="5401204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12,100</w:t>
            </w:r>
          </w:p>
        </w:tc>
        <w:tc>
          <w:tcPr>
            <w:tcW w:w="527" w:type="pct"/>
            <w:tcBorders>
              <w:top w:val="nil"/>
              <w:left w:val="nil"/>
              <w:bottom w:val="nil"/>
              <w:right w:val="nil"/>
            </w:tcBorders>
            <w:shd w:val="clear" w:color="auto" w:fill="E6E6E6"/>
            <w:noWrap/>
            <w:vAlign w:val="bottom"/>
            <w:hideMark/>
          </w:tcPr>
          <w:p w14:paraId="46F8EA22" w14:textId="4A4062B7"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17,339</w:t>
            </w:r>
          </w:p>
        </w:tc>
        <w:tc>
          <w:tcPr>
            <w:tcW w:w="545" w:type="pct"/>
            <w:tcBorders>
              <w:top w:val="nil"/>
              <w:left w:val="nil"/>
              <w:bottom w:val="nil"/>
              <w:right w:val="nil"/>
            </w:tcBorders>
            <w:shd w:val="clear" w:color="auto" w:fill="auto"/>
            <w:noWrap/>
            <w:vAlign w:val="bottom"/>
            <w:hideMark/>
          </w:tcPr>
          <w:p w14:paraId="563AFEFB" w14:textId="2317EA49"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45" w:type="pct"/>
            <w:tcBorders>
              <w:top w:val="nil"/>
              <w:left w:val="nil"/>
              <w:bottom w:val="nil"/>
              <w:right w:val="nil"/>
            </w:tcBorders>
            <w:shd w:val="clear" w:color="auto" w:fill="auto"/>
            <w:noWrap/>
            <w:vAlign w:val="bottom"/>
            <w:hideMark/>
          </w:tcPr>
          <w:p w14:paraId="3054BADA" w14:textId="6783CA42"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18,384</w:t>
            </w:r>
          </w:p>
        </w:tc>
        <w:tc>
          <w:tcPr>
            <w:tcW w:w="544" w:type="pct"/>
            <w:tcBorders>
              <w:top w:val="nil"/>
              <w:left w:val="nil"/>
              <w:bottom w:val="nil"/>
              <w:right w:val="nil"/>
            </w:tcBorders>
            <w:shd w:val="clear" w:color="auto" w:fill="auto"/>
            <w:noWrap/>
            <w:vAlign w:val="bottom"/>
            <w:hideMark/>
          </w:tcPr>
          <w:p w14:paraId="3D91049A" w14:textId="45F33AB7" w:rsidR="00D26033" w:rsidRPr="002A338C" w:rsidRDefault="00D26033" w:rsidP="00D26033">
            <w:pPr>
              <w:spacing w:after="0" w:line="240" w:lineRule="auto"/>
              <w:jc w:val="right"/>
              <w:rPr>
                <w:rFonts w:ascii="Arial" w:hAnsi="Arial" w:cs="Arial"/>
                <w:color w:val="000000"/>
                <w:sz w:val="16"/>
                <w:szCs w:val="16"/>
              </w:rPr>
            </w:pPr>
            <w:r>
              <w:rPr>
                <w:rFonts w:ascii="Arial" w:hAnsi="Arial" w:cs="Arial"/>
                <w:color w:val="000000"/>
                <w:sz w:val="16"/>
                <w:szCs w:val="16"/>
              </w:rPr>
              <w:t>18,384</w:t>
            </w:r>
          </w:p>
        </w:tc>
      </w:tr>
      <w:tr w:rsidR="00D26033" w:rsidRPr="002A338C" w14:paraId="09FC49CE" w14:textId="77777777" w:rsidTr="005334F2">
        <w:trPr>
          <w:trHeight w:val="204"/>
        </w:trPr>
        <w:tc>
          <w:tcPr>
            <w:tcW w:w="2237" w:type="pct"/>
            <w:tcBorders>
              <w:top w:val="nil"/>
              <w:left w:val="nil"/>
              <w:bottom w:val="single" w:sz="4" w:space="0" w:color="auto"/>
              <w:right w:val="nil"/>
            </w:tcBorders>
            <w:shd w:val="clear" w:color="auto" w:fill="auto"/>
            <w:vAlign w:val="bottom"/>
            <w:hideMark/>
          </w:tcPr>
          <w:p w14:paraId="2FCE86D7" w14:textId="77777777" w:rsidR="00D26033" w:rsidRPr="002A338C" w:rsidRDefault="00D26033" w:rsidP="00D26033">
            <w:pPr>
              <w:spacing w:after="0" w:line="240" w:lineRule="auto"/>
              <w:rPr>
                <w:rFonts w:ascii="Arial" w:hAnsi="Arial" w:cs="Arial"/>
                <w:b/>
                <w:bCs/>
                <w:color w:val="000000"/>
                <w:sz w:val="16"/>
                <w:szCs w:val="16"/>
              </w:rPr>
            </w:pPr>
            <w:r w:rsidRPr="002A338C">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2117A4F9" w14:textId="1F20582C"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17,339</w:t>
            </w:r>
          </w:p>
        </w:tc>
        <w:tc>
          <w:tcPr>
            <w:tcW w:w="527" w:type="pct"/>
            <w:tcBorders>
              <w:top w:val="single" w:sz="4" w:space="0" w:color="000000"/>
              <w:left w:val="nil"/>
              <w:bottom w:val="single" w:sz="4" w:space="0" w:color="auto"/>
              <w:right w:val="nil"/>
            </w:tcBorders>
            <w:shd w:val="clear" w:color="auto" w:fill="E6E6E6"/>
            <w:noWrap/>
            <w:vAlign w:val="bottom"/>
            <w:hideMark/>
          </w:tcPr>
          <w:p w14:paraId="2320A725" w14:textId="36E353B8"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18,384</w:t>
            </w:r>
          </w:p>
        </w:tc>
        <w:tc>
          <w:tcPr>
            <w:tcW w:w="545" w:type="pct"/>
            <w:tcBorders>
              <w:top w:val="single" w:sz="4" w:space="0" w:color="000000"/>
              <w:left w:val="nil"/>
              <w:bottom w:val="single" w:sz="4" w:space="0" w:color="auto"/>
              <w:right w:val="nil"/>
            </w:tcBorders>
            <w:shd w:val="clear" w:color="auto" w:fill="auto"/>
            <w:noWrap/>
            <w:vAlign w:val="bottom"/>
            <w:hideMark/>
          </w:tcPr>
          <w:p w14:paraId="36B9033E" w14:textId="4A0F9B7A"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18,384</w:t>
            </w:r>
          </w:p>
        </w:tc>
        <w:tc>
          <w:tcPr>
            <w:tcW w:w="545" w:type="pct"/>
            <w:tcBorders>
              <w:top w:val="single" w:sz="4" w:space="0" w:color="000000"/>
              <w:left w:val="nil"/>
              <w:bottom w:val="single" w:sz="4" w:space="0" w:color="auto"/>
              <w:right w:val="nil"/>
            </w:tcBorders>
            <w:shd w:val="clear" w:color="auto" w:fill="auto"/>
            <w:noWrap/>
            <w:vAlign w:val="bottom"/>
            <w:hideMark/>
          </w:tcPr>
          <w:p w14:paraId="72BE4254" w14:textId="53CC64CC"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18,384</w:t>
            </w:r>
          </w:p>
        </w:tc>
        <w:tc>
          <w:tcPr>
            <w:tcW w:w="544" w:type="pct"/>
            <w:tcBorders>
              <w:top w:val="single" w:sz="4" w:space="0" w:color="000000"/>
              <w:left w:val="nil"/>
              <w:bottom w:val="single" w:sz="4" w:space="0" w:color="auto"/>
              <w:right w:val="nil"/>
            </w:tcBorders>
            <w:shd w:val="clear" w:color="auto" w:fill="auto"/>
            <w:noWrap/>
            <w:vAlign w:val="bottom"/>
            <w:hideMark/>
          </w:tcPr>
          <w:p w14:paraId="0803846F" w14:textId="6343B8E7" w:rsidR="00D26033" w:rsidRPr="002A338C" w:rsidRDefault="00D26033" w:rsidP="00D26033">
            <w:pPr>
              <w:spacing w:after="0" w:line="240" w:lineRule="auto"/>
              <w:jc w:val="right"/>
              <w:rPr>
                <w:rFonts w:ascii="Arial" w:hAnsi="Arial" w:cs="Arial"/>
                <w:b/>
                <w:bCs/>
                <w:color w:val="000000"/>
                <w:sz w:val="16"/>
                <w:szCs w:val="16"/>
              </w:rPr>
            </w:pPr>
            <w:r>
              <w:rPr>
                <w:rFonts w:ascii="Arial" w:hAnsi="Arial" w:cs="Arial"/>
                <w:b/>
                <w:bCs/>
                <w:color w:val="000000"/>
                <w:sz w:val="16"/>
                <w:szCs w:val="16"/>
              </w:rPr>
              <w:t>18,384</w:t>
            </w:r>
          </w:p>
        </w:tc>
      </w:tr>
    </w:tbl>
    <w:p w14:paraId="2EA80F25" w14:textId="77777777" w:rsidR="00115843" w:rsidRPr="000E5662" w:rsidRDefault="00115843" w:rsidP="00115843">
      <w:pPr>
        <w:pStyle w:val="TableGraphic"/>
        <w:spacing w:before="60"/>
        <w:rPr>
          <w:rFonts w:ascii="Arial" w:hAnsi="Arial" w:cs="Arial"/>
          <w:sz w:val="16"/>
          <w:szCs w:val="16"/>
        </w:rPr>
      </w:pPr>
      <w:r w:rsidRPr="000E5662">
        <w:rPr>
          <w:rFonts w:ascii="Arial" w:hAnsi="Arial" w:cs="Arial"/>
          <w:sz w:val="16"/>
        </w:rPr>
        <w:t>Prepared on Australian Accounting Standards basis</w:t>
      </w:r>
      <w:r>
        <w:rPr>
          <w:rFonts w:ascii="Arial" w:hAnsi="Arial" w:cs="Arial"/>
          <w:sz w:val="16"/>
        </w:rPr>
        <w:t>.</w:t>
      </w:r>
    </w:p>
    <w:p w14:paraId="0059D7D6" w14:textId="77777777" w:rsidR="00115843" w:rsidRPr="00D30CBA" w:rsidRDefault="00115843" w:rsidP="00115843">
      <w:pPr>
        <w:pStyle w:val="TableHeadingcontinued"/>
      </w:pPr>
      <w:r>
        <w:br w:type="page"/>
      </w:r>
    </w:p>
    <w:p w14:paraId="11B9D49B" w14:textId="77777777" w:rsidR="00115843" w:rsidRPr="00A00283" w:rsidRDefault="00115843" w:rsidP="00115843">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480"/>
        <w:gridCol w:w="928"/>
        <w:gridCol w:w="823"/>
        <w:gridCol w:w="827"/>
        <w:gridCol w:w="827"/>
        <w:gridCol w:w="825"/>
      </w:tblGrid>
      <w:tr w:rsidR="00115843" w:rsidRPr="002A338C" w14:paraId="0823FA14" w14:textId="77777777" w:rsidTr="005334F2">
        <w:trPr>
          <w:trHeight w:val="204"/>
        </w:trPr>
        <w:tc>
          <w:tcPr>
            <w:tcW w:w="2257" w:type="pct"/>
            <w:tcBorders>
              <w:top w:val="single" w:sz="4" w:space="0" w:color="auto"/>
              <w:left w:val="nil"/>
              <w:bottom w:val="nil"/>
              <w:right w:val="nil"/>
            </w:tcBorders>
            <w:shd w:val="clear" w:color="auto" w:fill="auto"/>
            <w:noWrap/>
            <w:vAlign w:val="bottom"/>
            <w:hideMark/>
          </w:tcPr>
          <w:p w14:paraId="211E0A11"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874E229"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534" w:type="pct"/>
            <w:tcBorders>
              <w:top w:val="single" w:sz="4" w:space="0" w:color="auto"/>
              <w:left w:val="nil"/>
              <w:bottom w:val="single" w:sz="4" w:space="0" w:color="auto"/>
              <w:right w:val="nil"/>
            </w:tcBorders>
            <w:shd w:val="clear" w:color="auto" w:fill="E6E6E6"/>
            <w:vAlign w:val="bottom"/>
            <w:hideMark/>
          </w:tcPr>
          <w:p w14:paraId="5714FC7C"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536" w:type="pct"/>
            <w:tcBorders>
              <w:top w:val="single" w:sz="4" w:space="0" w:color="auto"/>
              <w:left w:val="nil"/>
              <w:bottom w:val="single" w:sz="4" w:space="0" w:color="auto"/>
              <w:right w:val="nil"/>
            </w:tcBorders>
            <w:shd w:val="clear" w:color="auto" w:fill="auto"/>
            <w:vAlign w:val="bottom"/>
            <w:hideMark/>
          </w:tcPr>
          <w:p w14:paraId="5B2706B9"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536" w:type="pct"/>
            <w:tcBorders>
              <w:top w:val="single" w:sz="4" w:space="0" w:color="auto"/>
              <w:left w:val="nil"/>
              <w:bottom w:val="single" w:sz="4" w:space="0" w:color="auto"/>
              <w:right w:val="nil"/>
            </w:tcBorders>
            <w:shd w:val="clear" w:color="auto" w:fill="auto"/>
            <w:vAlign w:val="bottom"/>
            <w:hideMark/>
          </w:tcPr>
          <w:p w14:paraId="0339D3B5"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535" w:type="pct"/>
            <w:tcBorders>
              <w:top w:val="single" w:sz="4" w:space="0" w:color="auto"/>
              <w:left w:val="nil"/>
              <w:bottom w:val="single" w:sz="4" w:space="0" w:color="auto"/>
              <w:right w:val="nil"/>
            </w:tcBorders>
            <w:shd w:val="clear" w:color="auto" w:fill="auto"/>
            <w:vAlign w:val="bottom"/>
            <w:hideMark/>
          </w:tcPr>
          <w:p w14:paraId="5C7B7AD4"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47210955" w14:textId="77777777" w:rsidTr="005334F2">
        <w:trPr>
          <w:trHeight w:val="204"/>
        </w:trPr>
        <w:tc>
          <w:tcPr>
            <w:tcW w:w="2257" w:type="pct"/>
            <w:tcBorders>
              <w:top w:val="nil"/>
              <w:left w:val="nil"/>
              <w:bottom w:val="nil"/>
              <w:right w:val="nil"/>
            </w:tcBorders>
            <w:shd w:val="clear" w:color="auto" w:fill="auto"/>
            <w:noWrap/>
            <w:vAlign w:val="bottom"/>
            <w:hideMark/>
          </w:tcPr>
          <w:p w14:paraId="673D7A53"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3C8AB0AC" w14:textId="77777777" w:rsidR="00115843" w:rsidRPr="002A338C" w:rsidRDefault="00115843" w:rsidP="00FB0D02">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E6E6E6"/>
            <w:noWrap/>
            <w:vAlign w:val="bottom"/>
            <w:hideMark/>
          </w:tcPr>
          <w:p w14:paraId="2FA88D41" w14:textId="77777777" w:rsidR="00115843" w:rsidRPr="002A338C" w:rsidRDefault="00115843" w:rsidP="00FB0D02">
            <w:pPr>
              <w:spacing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703FB720" w14:textId="77777777" w:rsidR="00115843" w:rsidRPr="002A338C" w:rsidRDefault="00115843" w:rsidP="00FB0D02">
            <w:pPr>
              <w:spacing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57612F86" w14:textId="77777777" w:rsidR="00115843" w:rsidRPr="002A338C" w:rsidRDefault="00115843" w:rsidP="00FB0D02">
            <w:pPr>
              <w:spacing w:after="0" w:line="240" w:lineRule="auto"/>
              <w:jc w:val="right"/>
              <w:rPr>
                <w:rFonts w:ascii="Arial" w:hAnsi="Arial" w:cs="Arial"/>
                <w:sz w:val="16"/>
                <w:szCs w:val="16"/>
              </w:rPr>
            </w:pPr>
          </w:p>
        </w:tc>
        <w:tc>
          <w:tcPr>
            <w:tcW w:w="535" w:type="pct"/>
            <w:tcBorders>
              <w:top w:val="nil"/>
              <w:left w:val="nil"/>
              <w:bottom w:val="nil"/>
              <w:right w:val="nil"/>
            </w:tcBorders>
            <w:shd w:val="clear" w:color="auto" w:fill="auto"/>
            <w:noWrap/>
            <w:vAlign w:val="bottom"/>
            <w:hideMark/>
          </w:tcPr>
          <w:p w14:paraId="46690CE8" w14:textId="77777777" w:rsidR="00115843" w:rsidRPr="002A338C" w:rsidRDefault="00115843" w:rsidP="00FB0D02">
            <w:pPr>
              <w:spacing w:after="0" w:line="240" w:lineRule="auto"/>
              <w:jc w:val="right"/>
              <w:rPr>
                <w:rFonts w:ascii="Arial" w:hAnsi="Arial" w:cs="Arial"/>
                <w:sz w:val="16"/>
                <w:szCs w:val="16"/>
              </w:rPr>
            </w:pPr>
          </w:p>
        </w:tc>
      </w:tr>
      <w:tr w:rsidR="00D26033" w:rsidRPr="002A338C" w14:paraId="68C54235" w14:textId="77777777" w:rsidTr="005334F2">
        <w:trPr>
          <w:trHeight w:val="204"/>
        </w:trPr>
        <w:tc>
          <w:tcPr>
            <w:tcW w:w="2257" w:type="pct"/>
            <w:tcBorders>
              <w:top w:val="nil"/>
              <w:left w:val="nil"/>
              <w:bottom w:val="nil"/>
              <w:right w:val="nil"/>
            </w:tcBorders>
            <w:shd w:val="clear" w:color="auto" w:fill="auto"/>
            <w:noWrap/>
            <w:vAlign w:val="bottom"/>
            <w:hideMark/>
          </w:tcPr>
          <w:p w14:paraId="596FCEAE"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Capital budget - Act No. 1 and Bill 3 (DCB)</w:t>
            </w:r>
          </w:p>
        </w:tc>
        <w:tc>
          <w:tcPr>
            <w:tcW w:w="602" w:type="pct"/>
            <w:tcBorders>
              <w:top w:val="nil"/>
              <w:left w:val="nil"/>
              <w:bottom w:val="nil"/>
              <w:right w:val="nil"/>
            </w:tcBorders>
            <w:shd w:val="clear" w:color="auto" w:fill="auto"/>
            <w:noWrap/>
            <w:vAlign w:val="bottom"/>
            <w:hideMark/>
          </w:tcPr>
          <w:p w14:paraId="3158CA05" w14:textId="0CCB2B6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20,989</w:t>
            </w:r>
          </w:p>
        </w:tc>
        <w:tc>
          <w:tcPr>
            <w:tcW w:w="534" w:type="pct"/>
            <w:tcBorders>
              <w:top w:val="nil"/>
              <w:left w:val="nil"/>
              <w:bottom w:val="nil"/>
              <w:right w:val="nil"/>
            </w:tcBorders>
            <w:shd w:val="clear" w:color="auto" w:fill="E6E6E6"/>
            <w:noWrap/>
            <w:vAlign w:val="bottom"/>
            <w:hideMark/>
          </w:tcPr>
          <w:p w14:paraId="364AEF5E" w14:textId="694CFF8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12,456</w:t>
            </w:r>
          </w:p>
        </w:tc>
        <w:tc>
          <w:tcPr>
            <w:tcW w:w="536" w:type="pct"/>
            <w:tcBorders>
              <w:top w:val="nil"/>
              <w:left w:val="nil"/>
              <w:bottom w:val="nil"/>
              <w:right w:val="nil"/>
            </w:tcBorders>
            <w:shd w:val="clear" w:color="auto" w:fill="auto"/>
            <w:noWrap/>
            <w:vAlign w:val="bottom"/>
            <w:hideMark/>
          </w:tcPr>
          <w:p w14:paraId="73CDC2E9" w14:textId="49F4F56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11,250</w:t>
            </w:r>
          </w:p>
        </w:tc>
        <w:tc>
          <w:tcPr>
            <w:tcW w:w="536" w:type="pct"/>
            <w:tcBorders>
              <w:top w:val="nil"/>
              <w:left w:val="nil"/>
              <w:bottom w:val="nil"/>
              <w:right w:val="nil"/>
            </w:tcBorders>
            <w:shd w:val="clear" w:color="auto" w:fill="auto"/>
            <w:noWrap/>
            <w:vAlign w:val="bottom"/>
            <w:hideMark/>
          </w:tcPr>
          <w:p w14:paraId="37BB55B6" w14:textId="557846B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10,547</w:t>
            </w:r>
          </w:p>
        </w:tc>
        <w:tc>
          <w:tcPr>
            <w:tcW w:w="535" w:type="pct"/>
            <w:tcBorders>
              <w:top w:val="nil"/>
              <w:left w:val="nil"/>
              <w:bottom w:val="nil"/>
              <w:right w:val="nil"/>
            </w:tcBorders>
            <w:shd w:val="clear" w:color="auto" w:fill="auto"/>
            <w:noWrap/>
            <w:vAlign w:val="bottom"/>
            <w:hideMark/>
          </w:tcPr>
          <w:p w14:paraId="28D404B4" w14:textId="023CC3F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10,525</w:t>
            </w:r>
          </w:p>
        </w:tc>
      </w:tr>
      <w:tr w:rsidR="00D26033" w:rsidRPr="002A338C" w14:paraId="4BC1A723" w14:textId="77777777" w:rsidTr="005334F2">
        <w:trPr>
          <w:trHeight w:val="204"/>
        </w:trPr>
        <w:tc>
          <w:tcPr>
            <w:tcW w:w="2257" w:type="pct"/>
            <w:tcBorders>
              <w:top w:val="nil"/>
              <w:left w:val="nil"/>
              <w:bottom w:val="nil"/>
              <w:right w:val="nil"/>
            </w:tcBorders>
            <w:shd w:val="clear" w:color="auto" w:fill="auto"/>
            <w:noWrap/>
            <w:vAlign w:val="bottom"/>
            <w:hideMark/>
          </w:tcPr>
          <w:p w14:paraId="7289DCC4"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2DE75286" w14:textId="70361E5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20,989</w:t>
            </w:r>
          </w:p>
        </w:tc>
        <w:tc>
          <w:tcPr>
            <w:tcW w:w="534" w:type="pct"/>
            <w:tcBorders>
              <w:top w:val="single" w:sz="4" w:space="0" w:color="auto"/>
              <w:left w:val="nil"/>
              <w:bottom w:val="single" w:sz="4" w:space="0" w:color="auto"/>
              <w:right w:val="nil"/>
            </w:tcBorders>
            <w:shd w:val="clear" w:color="auto" w:fill="E6E6E6"/>
            <w:noWrap/>
            <w:vAlign w:val="bottom"/>
            <w:hideMark/>
          </w:tcPr>
          <w:p w14:paraId="1E55BA52" w14:textId="6736BA0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12,456</w:t>
            </w:r>
          </w:p>
        </w:tc>
        <w:tc>
          <w:tcPr>
            <w:tcW w:w="536" w:type="pct"/>
            <w:tcBorders>
              <w:top w:val="single" w:sz="4" w:space="0" w:color="auto"/>
              <w:left w:val="nil"/>
              <w:bottom w:val="single" w:sz="4" w:space="0" w:color="auto"/>
              <w:right w:val="nil"/>
            </w:tcBorders>
            <w:shd w:val="clear" w:color="auto" w:fill="auto"/>
            <w:noWrap/>
            <w:vAlign w:val="bottom"/>
            <w:hideMark/>
          </w:tcPr>
          <w:p w14:paraId="59D994E2" w14:textId="398ADDBB"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11,250</w:t>
            </w:r>
          </w:p>
        </w:tc>
        <w:tc>
          <w:tcPr>
            <w:tcW w:w="536" w:type="pct"/>
            <w:tcBorders>
              <w:top w:val="single" w:sz="4" w:space="0" w:color="auto"/>
              <w:left w:val="nil"/>
              <w:bottom w:val="single" w:sz="4" w:space="0" w:color="auto"/>
              <w:right w:val="nil"/>
            </w:tcBorders>
            <w:shd w:val="clear" w:color="auto" w:fill="auto"/>
            <w:noWrap/>
            <w:vAlign w:val="bottom"/>
            <w:hideMark/>
          </w:tcPr>
          <w:p w14:paraId="0B318BAE" w14:textId="1F692434"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10,547</w:t>
            </w:r>
          </w:p>
        </w:tc>
        <w:tc>
          <w:tcPr>
            <w:tcW w:w="535" w:type="pct"/>
            <w:tcBorders>
              <w:top w:val="single" w:sz="4" w:space="0" w:color="auto"/>
              <w:left w:val="nil"/>
              <w:bottom w:val="single" w:sz="4" w:space="0" w:color="auto"/>
              <w:right w:val="nil"/>
            </w:tcBorders>
            <w:shd w:val="clear" w:color="auto" w:fill="auto"/>
            <w:noWrap/>
            <w:vAlign w:val="bottom"/>
            <w:hideMark/>
          </w:tcPr>
          <w:p w14:paraId="06C84311" w14:textId="1F9EAD7E"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10,525</w:t>
            </w:r>
          </w:p>
        </w:tc>
      </w:tr>
      <w:tr w:rsidR="00D26033" w:rsidRPr="002A338C" w14:paraId="6247AD30" w14:textId="77777777" w:rsidTr="005334F2">
        <w:trPr>
          <w:trHeight w:val="204"/>
        </w:trPr>
        <w:tc>
          <w:tcPr>
            <w:tcW w:w="2257" w:type="pct"/>
            <w:tcBorders>
              <w:top w:val="nil"/>
              <w:left w:val="nil"/>
              <w:bottom w:val="nil"/>
              <w:right w:val="nil"/>
            </w:tcBorders>
            <w:shd w:val="clear" w:color="auto" w:fill="auto"/>
            <w:noWrap/>
            <w:vAlign w:val="bottom"/>
            <w:hideMark/>
          </w:tcPr>
          <w:p w14:paraId="5F35B9E3"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Provided for:</w:t>
            </w:r>
          </w:p>
        </w:tc>
        <w:tc>
          <w:tcPr>
            <w:tcW w:w="602" w:type="pct"/>
            <w:tcBorders>
              <w:top w:val="nil"/>
              <w:left w:val="nil"/>
              <w:bottom w:val="nil"/>
              <w:right w:val="nil"/>
            </w:tcBorders>
            <w:shd w:val="clear" w:color="auto" w:fill="auto"/>
            <w:noWrap/>
            <w:vAlign w:val="bottom"/>
            <w:hideMark/>
          </w:tcPr>
          <w:p w14:paraId="2B2920F1" w14:textId="77777777" w:rsidR="00D26033" w:rsidRPr="002A338C" w:rsidRDefault="00D26033" w:rsidP="00D26033">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E6E6E6"/>
            <w:noWrap/>
            <w:vAlign w:val="bottom"/>
            <w:hideMark/>
          </w:tcPr>
          <w:p w14:paraId="63E19178" w14:textId="25728302" w:rsidR="00D26033" w:rsidRPr="002A338C" w:rsidRDefault="00D26033" w:rsidP="00D26033">
            <w:pPr>
              <w:spacing w:after="0" w:line="240" w:lineRule="auto"/>
              <w:jc w:val="right"/>
              <w:rPr>
                <w:rFonts w:ascii="Arial" w:hAnsi="Arial" w:cs="Arial"/>
                <w:i/>
                <w:iCs/>
                <w:sz w:val="16"/>
                <w:szCs w:val="16"/>
              </w:rPr>
            </w:pPr>
          </w:p>
        </w:tc>
        <w:tc>
          <w:tcPr>
            <w:tcW w:w="536" w:type="pct"/>
            <w:tcBorders>
              <w:top w:val="nil"/>
              <w:left w:val="nil"/>
              <w:bottom w:val="nil"/>
              <w:right w:val="nil"/>
            </w:tcBorders>
            <w:shd w:val="clear" w:color="auto" w:fill="auto"/>
            <w:noWrap/>
            <w:vAlign w:val="bottom"/>
            <w:hideMark/>
          </w:tcPr>
          <w:p w14:paraId="5F969337" w14:textId="77777777" w:rsidR="00D26033" w:rsidRPr="002A338C" w:rsidRDefault="00D26033" w:rsidP="00D26033">
            <w:pPr>
              <w:spacing w:after="0" w:line="240" w:lineRule="auto"/>
              <w:jc w:val="right"/>
              <w:rPr>
                <w:rFonts w:ascii="Arial" w:hAnsi="Arial" w:cs="Arial"/>
                <w:i/>
                <w:iCs/>
                <w:sz w:val="16"/>
                <w:szCs w:val="16"/>
              </w:rPr>
            </w:pPr>
          </w:p>
        </w:tc>
        <w:tc>
          <w:tcPr>
            <w:tcW w:w="536" w:type="pct"/>
            <w:tcBorders>
              <w:top w:val="nil"/>
              <w:left w:val="nil"/>
              <w:bottom w:val="nil"/>
              <w:right w:val="nil"/>
            </w:tcBorders>
            <w:shd w:val="clear" w:color="auto" w:fill="auto"/>
            <w:noWrap/>
            <w:vAlign w:val="bottom"/>
            <w:hideMark/>
          </w:tcPr>
          <w:p w14:paraId="2E9A9107" w14:textId="77777777" w:rsidR="00D26033" w:rsidRPr="002A338C" w:rsidRDefault="00D26033" w:rsidP="00D26033">
            <w:pPr>
              <w:spacing w:after="0" w:line="240" w:lineRule="auto"/>
              <w:jc w:val="right"/>
              <w:rPr>
                <w:rFonts w:ascii="Arial" w:hAnsi="Arial" w:cs="Arial"/>
                <w:sz w:val="16"/>
                <w:szCs w:val="16"/>
              </w:rPr>
            </w:pPr>
          </w:p>
        </w:tc>
        <w:tc>
          <w:tcPr>
            <w:tcW w:w="535" w:type="pct"/>
            <w:tcBorders>
              <w:top w:val="nil"/>
              <w:left w:val="nil"/>
              <w:bottom w:val="nil"/>
              <w:right w:val="nil"/>
            </w:tcBorders>
            <w:shd w:val="clear" w:color="auto" w:fill="auto"/>
            <w:noWrap/>
            <w:vAlign w:val="bottom"/>
            <w:hideMark/>
          </w:tcPr>
          <w:p w14:paraId="7ABA9088"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1445B77B" w14:textId="77777777" w:rsidTr="005334F2">
        <w:trPr>
          <w:trHeight w:val="204"/>
        </w:trPr>
        <w:tc>
          <w:tcPr>
            <w:tcW w:w="2257" w:type="pct"/>
            <w:tcBorders>
              <w:top w:val="nil"/>
              <w:left w:val="nil"/>
              <w:bottom w:val="nil"/>
              <w:right w:val="nil"/>
            </w:tcBorders>
            <w:shd w:val="clear" w:color="auto" w:fill="auto"/>
            <w:noWrap/>
            <w:vAlign w:val="bottom"/>
            <w:hideMark/>
          </w:tcPr>
          <w:p w14:paraId="72CBE6F9"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Purchase of non-financial assets</w:t>
            </w:r>
          </w:p>
        </w:tc>
        <w:tc>
          <w:tcPr>
            <w:tcW w:w="602" w:type="pct"/>
            <w:tcBorders>
              <w:top w:val="nil"/>
              <w:left w:val="nil"/>
              <w:bottom w:val="nil"/>
              <w:right w:val="nil"/>
            </w:tcBorders>
            <w:shd w:val="clear" w:color="auto" w:fill="auto"/>
            <w:noWrap/>
            <w:vAlign w:val="bottom"/>
            <w:hideMark/>
          </w:tcPr>
          <w:p w14:paraId="1368C4D0" w14:textId="35189B1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20,989</w:t>
            </w:r>
          </w:p>
        </w:tc>
        <w:tc>
          <w:tcPr>
            <w:tcW w:w="534" w:type="pct"/>
            <w:tcBorders>
              <w:top w:val="nil"/>
              <w:left w:val="nil"/>
              <w:bottom w:val="nil"/>
              <w:right w:val="nil"/>
            </w:tcBorders>
            <w:shd w:val="clear" w:color="auto" w:fill="E6E6E6"/>
            <w:noWrap/>
            <w:vAlign w:val="bottom"/>
            <w:hideMark/>
          </w:tcPr>
          <w:p w14:paraId="355317D6" w14:textId="0C02F0D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12,456</w:t>
            </w:r>
          </w:p>
        </w:tc>
        <w:tc>
          <w:tcPr>
            <w:tcW w:w="536" w:type="pct"/>
            <w:tcBorders>
              <w:top w:val="nil"/>
              <w:left w:val="nil"/>
              <w:bottom w:val="nil"/>
              <w:right w:val="nil"/>
            </w:tcBorders>
            <w:shd w:val="clear" w:color="auto" w:fill="auto"/>
            <w:noWrap/>
            <w:vAlign w:val="bottom"/>
            <w:hideMark/>
          </w:tcPr>
          <w:p w14:paraId="4FC63007" w14:textId="67DE2B0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11,250</w:t>
            </w:r>
          </w:p>
        </w:tc>
        <w:tc>
          <w:tcPr>
            <w:tcW w:w="536" w:type="pct"/>
            <w:tcBorders>
              <w:top w:val="nil"/>
              <w:left w:val="nil"/>
              <w:bottom w:val="nil"/>
              <w:right w:val="nil"/>
            </w:tcBorders>
            <w:shd w:val="clear" w:color="auto" w:fill="auto"/>
            <w:noWrap/>
            <w:vAlign w:val="bottom"/>
            <w:hideMark/>
          </w:tcPr>
          <w:p w14:paraId="012D5ABB" w14:textId="51251A2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10,547</w:t>
            </w:r>
          </w:p>
        </w:tc>
        <w:tc>
          <w:tcPr>
            <w:tcW w:w="535" w:type="pct"/>
            <w:tcBorders>
              <w:top w:val="nil"/>
              <w:left w:val="nil"/>
              <w:bottom w:val="nil"/>
              <w:right w:val="nil"/>
            </w:tcBorders>
            <w:shd w:val="clear" w:color="auto" w:fill="auto"/>
            <w:noWrap/>
            <w:vAlign w:val="bottom"/>
            <w:hideMark/>
          </w:tcPr>
          <w:p w14:paraId="43FE77C6" w14:textId="17696B5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10,525</w:t>
            </w:r>
          </w:p>
        </w:tc>
      </w:tr>
      <w:tr w:rsidR="00D26033" w:rsidRPr="002A338C" w14:paraId="2D77BD9B" w14:textId="77777777" w:rsidTr="005334F2">
        <w:trPr>
          <w:trHeight w:val="204"/>
        </w:trPr>
        <w:tc>
          <w:tcPr>
            <w:tcW w:w="2257" w:type="pct"/>
            <w:tcBorders>
              <w:top w:val="nil"/>
              <w:left w:val="nil"/>
              <w:bottom w:val="nil"/>
              <w:right w:val="nil"/>
            </w:tcBorders>
            <w:shd w:val="clear" w:color="auto" w:fill="auto"/>
            <w:noWrap/>
            <w:vAlign w:val="bottom"/>
            <w:hideMark/>
          </w:tcPr>
          <w:p w14:paraId="519CB2BD"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0381DA53" w14:textId="4247B748"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20,989</w:t>
            </w:r>
          </w:p>
        </w:tc>
        <w:tc>
          <w:tcPr>
            <w:tcW w:w="534" w:type="pct"/>
            <w:tcBorders>
              <w:top w:val="single" w:sz="4" w:space="0" w:color="auto"/>
              <w:left w:val="nil"/>
              <w:bottom w:val="single" w:sz="4" w:space="0" w:color="auto"/>
              <w:right w:val="nil"/>
            </w:tcBorders>
            <w:shd w:val="clear" w:color="auto" w:fill="E6E6E6"/>
            <w:noWrap/>
            <w:vAlign w:val="bottom"/>
            <w:hideMark/>
          </w:tcPr>
          <w:p w14:paraId="27A15794" w14:textId="544F145B"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12,456</w:t>
            </w:r>
          </w:p>
        </w:tc>
        <w:tc>
          <w:tcPr>
            <w:tcW w:w="536" w:type="pct"/>
            <w:tcBorders>
              <w:top w:val="single" w:sz="4" w:space="0" w:color="auto"/>
              <w:left w:val="nil"/>
              <w:bottom w:val="single" w:sz="4" w:space="0" w:color="auto"/>
              <w:right w:val="nil"/>
            </w:tcBorders>
            <w:shd w:val="clear" w:color="auto" w:fill="auto"/>
            <w:noWrap/>
            <w:vAlign w:val="bottom"/>
            <w:hideMark/>
          </w:tcPr>
          <w:p w14:paraId="73A98FCB" w14:textId="78CCC0AB"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11,250</w:t>
            </w:r>
          </w:p>
        </w:tc>
        <w:tc>
          <w:tcPr>
            <w:tcW w:w="536" w:type="pct"/>
            <w:tcBorders>
              <w:top w:val="single" w:sz="4" w:space="0" w:color="auto"/>
              <w:left w:val="nil"/>
              <w:bottom w:val="single" w:sz="4" w:space="0" w:color="auto"/>
              <w:right w:val="nil"/>
            </w:tcBorders>
            <w:shd w:val="clear" w:color="auto" w:fill="auto"/>
            <w:noWrap/>
            <w:vAlign w:val="bottom"/>
            <w:hideMark/>
          </w:tcPr>
          <w:p w14:paraId="4AFE6671" w14:textId="6208699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10,547</w:t>
            </w:r>
          </w:p>
        </w:tc>
        <w:tc>
          <w:tcPr>
            <w:tcW w:w="535" w:type="pct"/>
            <w:tcBorders>
              <w:top w:val="single" w:sz="4" w:space="0" w:color="auto"/>
              <w:left w:val="nil"/>
              <w:bottom w:val="single" w:sz="4" w:space="0" w:color="auto"/>
              <w:right w:val="nil"/>
            </w:tcBorders>
            <w:shd w:val="clear" w:color="auto" w:fill="auto"/>
            <w:noWrap/>
            <w:vAlign w:val="bottom"/>
            <w:hideMark/>
          </w:tcPr>
          <w:p w14:paraId="1CACD518" w14:textId="77C891D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10,525</w:t>
            </w:r>
          </w:p>
        </w:tc>
      </w:tr>
      <w:tr w:rsidR="00D26033" w:rsidRPr="002A338C" w14:paraId="57E91A5F" w14:textId="77777777" w:rsidTr="005334F2">
        <w:trPr>
          <w:trHeight w:val="204"/>
        </w:trPr>
        <w:tc>
          <w:tcPr>
            <w:tcW w:w="2257" w:type="pct"/>
            <w:tcBorders>
              <w:top w:val="nil"/>
              <w:left w:val="nil"/>
              <w:bottom w:val="nil"/>
              <w:right w:val="nil"/>
            </w:tcBorders>
            <w:shd w:val="clear" w:color="auto" w:fill="auto"/>
            <w:vAlign w:val="bottom"/>
            <w:hideMark/>
          </w:tcPr>
          <w:p w14:paraId="65B1AC83"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6C34092F" w14:textId="77777777" w:rsidR="00D26033" w:rsidRPr="002A338C" w:rsidRDefault="00D26033" w:rsidP="00D26033">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E6E6E6"/>
            <w:vAlign w:val="bottom"/>
            <w:hideMark/>
          </w:tcPr>
          <w:p w14:paraId="235149FC" w14:textId="64909F5A" w:rsidR="00D26033" w:rsidRPr="002A338C" w:rsidRDefault="00D26033" w:rsidP="00D26033">
            <w:pPr>
              <w:spacing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vAlign w:val="bottom"/>
            <w:hideMark/>
          </w:tcPr>
          <w:p w14:paraId="00901068" w14:textId="77777777" w:rsidR="00D26033" w:rsidRPr="002A338C" w:rsidRDefault="00D26033" w:rsidP="00D26033">
            <w:pPr>
              <w:spacing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vAlign w:val="bottom"/>
            <w:hideMark/>
          </w:tcPr>
          <w:p w14:paraId="31D220AD" w14:textId="77777777" w:rsidR="00D26033" w:rsidRPr="002A338C" w:rsidRDefault="00D26033" w:rsidP="00D26033">
            <w:pPr>
              <w:spacing w:after="0" w:line="240" w:lineRule="auto"/>
              <w:jc w:val="right"/>
              <w:rPr>
                <w:rFonts w:ascii="Arial" w:hAnsi="Arial" w:cs="Arial"/>
                <w:sz w:val="16"/>
                <w:szCs w:val="16"/>
              </w:rPr>
            </w:pPr>
          </w:p>
        </w:tc>
        <w:tc>
          <w:tcPr>
            <w:tcW w:w="535" w:type="pct"/>
            <w:tcBorders>
              <w:top w:val="nil"/>
              <w:left w:val="nil"/>
              <w:bottom w:val="nil"/>
              <w:right w:val="nil"/>
            </w:tcBorders>
            <w:shd w:val="clear" w:color="auto" w:fill="auto"/>
            <w:vAlign w:val="bottom"/>
            <w:hideMark/>
          </w:tcPr>
          <w:p w14:paraId="653C5DD8"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5C65BC96" w14:textId="77777777" w:rsidTr="005334F2">
        <w:trPr>
          <w:trHeight w:val="204"/>
        </w:trPr>
        <w:tc>
          <w:tcPr>
            <w:tcW w:w="2257" w:type="pct"/>
            <w:tcBorders>
              <w:top w:val="nil"/>
              <w:left w:val="nil"/>
              <w:bottom w:val="nil"/>
              <w:right w:val="nil"/>
            </w:tcBorders>
            <w:shd w:val="clear" w:color="auto" w:fill="auto"/>
            <w:vAlign w:val="bottom"/>
            <w:hideMark/>
          </w:tcPr>
          <w:p w14:paraId="24A58A13"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 xml:space="preserve">Funded by capital appropriation - DCB </w:t>
            </w:r>
            <w:r w:rsidRPr="002A338C">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DAED364" w14:textId="1B3E386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20,989</w:t>
            </w:r>
          </w:p>
        </w:tc>
        <w:tc>
          <w:tcPr>
            <w:tcW w:w="534" w:type="pct"/>
            <w:tcBorders>
              <w:top w:val="nil"/>
              <w:left w:val="nil"/>
              <w:bottom w:val="nil"/>
              <w:right w:val="nil"/>
            </w:tcBorders>
            <w:shd w:val="clear" w:color="auto" w:fill="E6E6E6"/>
            <w:noWrap/>
            <w:vAlign w:val="bottom"/>
            <w:hideMark/>
          </w:tcPr>
          <w:p w14:paraId="36F09106" w14:textId="3D06B92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12,456</w:t>
            </w:r>
          </w:p>
        </w:tc>
        <w:tc>
          <w:tcPr>
            <w:tcW w:w="536" w:type="pct"/>
            <w:tcBorders>
              <w:top w:val="nil"/>
              <w:left w:val="nil"/>
              <w:bottom w:val="nil"/>
              <w:right w:val="nil"/>
            </w:tcBorders>
            <w:shd w:val="clear" w:color="auto" w:fill="auto"/>
            <w:noWrap/>
            <w:vAlign w:val="bottom"/>
            <w:hideMark/>
          </w:tcPr>
          <w:p w14:paraId="45F86A06" w14:textId="45FA296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11,250</w:t>
            </w:r>
          </w:p>
        </w:tc>
        <w:tc>
          <w:tcPr>
            <w:tcW w:w="536" w:type="pct"/>
            <w:tcBorders>
              <w:top w:val="nil"/>
              <w:left w:val="nil"/>
              <w:bottom w:val="nil"/>
              <w:right w:val="nil"/>
            </w:tcBorders>
            <w:shd w:val="clear" w:color="auto" w:fill="auto"/>
            <w:noWrap/>
            <w:vAlign w:val="bottom"/>
            <w:hideMark/>
          </w:tcPr>
          <w:p w14:paraId="66082FA9" w14:textId="2912D6D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10,547</w:t>
            </w:r>
          </w:p>
        </w:tc>
        <w:tc>
          <w:tcPr>
            <w:tcW w:w="535" w:type="pct"/>
            <w:tcBorders>
              <w:top w:val="nil"/>
              <w:left w:val="nil"/>
              <w:bottom w:val="nil"/>
              <w:right w:val="nil"/>
            </w:tcBorders>
            <w:shd w:val="clear" w:color="auto" w:fill="auto"/>
            <w:noWrap/>
            <w:vAlign w:val="bottom"/>
            <w:hideMark/>
          </w:tcPr>
          <w:p w14:paraId="63194B2C" w14:textId="52C7E29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10,525</w:t>
            </w:r>
          </w:p>
        </w:tc>
      </w:tr>
      <w:tr w:rsidR="00D26033" w:rsidRPr="002A338C" w14:paraId="0CF5D8A5" w14:textId="77777777" w:rsidTr="005334F2">
        <w:trPr>
          <w:trHeight w:val="204"/>
        </w:trPr>
        <w:tc>
          <w:tcPr>
            <w:tcW w:w="2257" w:type="pct"/>
            <w:tcBorders>
              <w:top w:val="nil"/>
              <w:left w:val="nil"/>
              <w:bottom w:val="nil"/>
              <w:right w:val="nil"/>
            </w:tcBorders>
            <w:shd w:val="clear" w:color="auto" w:fill="auto"/>
            <w:vAlign w:val="bottom"/>
            <w:hideMark/>
          </w:tcPr>
          <w:p w14:paraId="4600AC05"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 xml:space="preserve">Funded internally from departmental resources </w:t>
            </w:r>
            <w:r w:rsidRPr="002A338C">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22D41A61" w14:textId="594BE24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12,040</w:t>
            </w:r>
          </w:p>
        </w:tc>
        <w:tc>
          <w:tcPr>
            <w:tcW w:w="534" w:type="pct"/>
            <w:tcBorders>
              <w:top w:val="nil"/>
              <w:left w:val="nil"/>
              <w:bottom w:val="nil"/>
              <w:right w:val="nil"/>
            </w:tcBorders>
            <w:shd w:val="clear" w:color="auto" w:fill="E6E6E6"/>
            <w:noWrap/>
            <w:vAlign w:val="bottom"/>
            <w:hideMark/>
          </w:tcPr>
          <w:p w14:paraId="3E04B78E" w14:textId="4F35164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20,000</w:t>
            </w:r>
          </w:p>
        </w:tc>
        <w:tc>
          <w:tcPr>
            <w:tcW w:w="536" w:type="pct"/>
            <w:tcBorders>
              <w:top w:val="nil"/>
              <w:left w:val="nil"/>
              <w:bottom w:val="nil"/>
              <w:right w:val="nil"/>
            </w:tcBorders>
            <w:shd w:val="clear" w:color="auto" w:fill="auto"/>
            <w:noWrap/>
            <w:vAlign w:val="bottom"/>
            <w:hideMark/>
          </w:tcPr>
          <w:p w14:paraId="5602A4E4" w14:textId="42A3D8F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36" w:type="pct"/>
            <w:tcBorders>
              <w:top w:val="nil"/>
              <w:left w:val="nil"/>
              <w:bottom w:val="nil"/>
              <w:right w:val="nil"/>
            </w:tcBorders>
            <w:shd w:val="clear" w:color="auto" w:fill="auto"/>
            <w:noWrap/>
            <w:vAlign w:val="bottom"/>
            <w:hideMark/>
          </w:tcPr>
          <w:p w14:paraId="3E7CA4A8" w14:textId="22C7404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35" w:type="pct"/>
            <w:tcBorders>
              <w:top w:val="nil"/>
              <w:left w:val="nil"/>
              <w:bottom w:val="nil"/>
              <w:right w:val="nil"/>
            </w:tcBorders>
            <w:shd w:val="clear" w:color="auto" w:fill="auto"/>
            <w:noWrap/>
            <w:vAlign w:val="bottom"/>
            <w:hideMark/>
          </w:tcPr>
          <w:p w14:paraId="4EC5951A" w14:textId="50FA387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r>
      <w:tr w:rsidR="00D26033" w:rsidRPr="002A338C" w14:paraId="3793343D" w14:textId="77777777" w:rsidTr="005334F2">
        <w:trPr>
          <w:trHeight w:val="204"/>
        </w:trPr>
        <w:tc>
          <w:tcPr>
            <w:tcW w:w="2257" w:type="pct"/>
            <w:tcBorders>
              <w:top w:val="nil"/>
              <w:left w:val="nil"/>
              <w:bottom w:val="nil"/>
              <w:right w:val="nil"/>
            </w:tcBorders>
            <w:shd w:val="clear" w:color="auto" w:fill="auto"/>
            <w:noWrap/>
            <w:vAlign w:val="bottom"/>
            <w:hideMark/>
          </w:tcPr>
          <w:p w14:paraId="4E84EF62"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5CE05A57" w14:textId="2A540D8F"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33,029</w:t>
            </w:r>
          </w:p>
        </w:tc>
        <w:tc>
          <w:tcPr>
            <w:tcW w:w="534" w:type="pct"/>
            <w:tcBorders>
              <w:top w:val="single" w:sz="4" w:space="0" w:color="auto"/>
              <w:left w:val="nil"/>
              <w:bottom w:val="single" w:sz="4" w:space="0" w:color="auto"/>
              <w:right w:val="nil"/>
            </w:tcBorders>
            <w:shd w:val="clear" w:color="auto" w:fill="E6E6E6"/>
            <w:noWrap/>
            <w:vAlign w:val="bottom"/>
            <w:hideMark/>
          </w:tcPr>
          <w:p w14:paraId="25F6B058" w14:textId="7598FDD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32,456</w:t>
            </w:r>
          </w:p>
        </w:tc>
        <w:tc>
          <w:tcPr>
            <w:tcW w:w="536" w:type="pct"/>
            <w:tcBorders>
              <w:top w:val="single" w:sz="4" w:space="0" w:color="auto"/>
              <w:left w:val="nil"/>
              <w:bottom w:val="single" w:sz="4" w:space="0" w:color="auto"/>
              <w:right w:val="nil"/>
            </w:tcBorders>
            <w:shd w:val="clear" w:color="auto" w:fill="auto"/>
            <w:noWrap/>
            <w:vAlign w:val="bottom"/>
            <w:hideMark/>
          </w:tcPr>
          <w:p w14:paraId="03D7F9A9" w14:textId="094FFC1A"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11,250</w:t>
            </w:r>
          </w:p>
        </w:tc>
        <w:tc>
          <w:tcPr>
            <w:tcW w:w="536" w:type="pct"/>
            <w:tcBorders>
              <w:top w:val="single" w:sz="4" w:space="0" w:color="auto"/>
              <w:left w:val="nil"/>
              <w:bottom w:val="single" w:sz="4" w:space="0" w:color="auto"/>
              <w:right w:val="nil"/>
            </w:tcBorders>
            <w:shd w:val="clear" w:color="auto" w:fill="auto"/>
            <w:noWrap/>
            <w:vAlign w:val="bottom"/>
            <w:hideMark/>
          </w:tcPr>
          <w:p w14:paraId="0F918C22" w14:textId="5C872BD0"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10,547</w:t>
            </w:r>
          </w:p>
        </w:tc>
        <w:tc>
          <w:tcPr>
            <w:tcW w:w="535" w:type="pct"/>
            <w:tcBorders>
              <w:top w:val="single" w:sz="4" w:space="0" w:color="auto"/>
              <w:left w:val="nil"/>
              <w:bottom w:val="single" w:sz="4" w:space="0" w:color="auto"/>
              <w:right w:val="nil"/>
            </w:tcBorders>
            <w:shd w:val="clear" w:color="auto" w:fill="auto"/>
            <w:noWrap/>
            <w:vAlign w:val="bottom"/>
            <w:hideMark/>
          </w:tcPr>
          <w:p w14:paraId="5DB9AF9E" w14:textId="48A8B78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10,525</w:t>
            </w:r>
          </w:p>
        </w:tc>
      </w:tr>
      <w:tr w:rsidR="00D26033" w:rsidRPr="002A338C" w14:paraId="6FD98BB9" w14:textId="77777777" w:rsidTr="005334F2">
        <w:trPr>
          <w:trHeight w:val="204"/>
        </w:trPr>
        <w:tc>
          <w:tcPr>
            <w:tcW w:w="2257" w:type="pct"/>
            <w:tcBorders>
              <w:top w:val="nil"/>
              <w:left w:val="nil"/>
              <w:bottom w:val="nil"/>
              <w:right w:val="nil"/>
            </w:tcBorders>
            <w:shd w:val="clear" w:color="auto" w:fill="auto"/>
            <w:vAlign w:val="bottom"/>
            <w:hideMark/>
          </w:tcPr>
          <w:p w14:paraId="2547DAF5"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50A7B7D4" w14:textId="77777777" w:rsidR="00D26033" w:rsidRPr="002A338C" w:rsidRDefault="00D26033" w:rsidP="00D26033">
            <w:pPr>
              <w:spacing w:after="0" w:line="240" w:lineRule="auto"/>
              <w:jc w:val="right"/>
              <w:rPr>
                <w:rFonts w:ascii="Arial" w:hAnsi="Arial" w:cs="Arial"/>
                <w:b/>
                <w:bCs/>
                <w:sz w:val="16"/>
                <w:szCs w:val="16"/>
              </w:rPr>
            </w:pPr>
          </w:p>
        </w:tc>
        <w:tc>
          <w:tcPr>
            <w:tcW w:w="534" w:type="pct"/>
            <w:tcBorders>
              <w:top w:val="nil"/>
              <w:left w:val="nil"/>
              <w:bottom w:val="nil"/>
              <w:right w:val="nil"/>
            </w:tcBorders>
            <w:shd w:val="clear" w:color="auto" w:fill="E6E6E6"/>
            <w:noWrap/>
            <w:vAlign w:val="bottom"/>
            <w:hideMark/>
          </w:tcPr>
          <w:p w14:paraId="4D441D27" w14:textId="0B94D41E" w:rsidR="00D26033" w:rsidRPr="002A338C" w:rsidRDefault="00D26033" w:rsidP="00D26033">
            <w:pPr>
              <w:spacing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491F328A" w14:textId="77777777" w:rsidR="00D26033" w:rsidRPr="002A338C" w:rsidRDefault="00D26033" w:rsidP="00D26033">
            <w:pPr>
              <w:spacing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4CE2BC03" w14:textId="77777777" w:rsidR="00D26033" w:rsidRPr="002A338C" w:rsidRDefault="00D26033" w:rsidP="00D26033">
            <w:pPr>
              <w:spacing w:after="0" w:line="240" w:lineRule="auto"/>
              <w:jc w:val="right"/>
              <w:rPr>
                <w:rFonts w:ascii="Arial" w:hAnsi="Arial" w:cs="Arial"/>
                <w:sz w:val="16"/>
                <w:szCs w:val="16"/>
              </w:rPr>
            </w:pPr>
          </w:p>
        </w:tc>
        <w:tc>
          <w:tcPr>
            <w:tcW w:w="535" w:type="pct"/>
            <w:tcBorders>
              <w:top w:val="nil"/>
              <w:left w:val="nil"/>
              <w:bottom w:val="nil"/>
              <w:right w:val="nil"/>
            </w:tcBorders>
            <w:shd w:val="clear" w:color="auto" w:fill="auto"/>
            <w:noWrap/>
            <w:vAlign w:val="bottom"/>
            <w:hideMark/>
          </w:tcPr>
          <w:p w14:paraId="31539DCD"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39C7A0C7" w14:textId="77777777" w:rsidTr="005334F2">
        <w:trPr>
          <w:trHeight w:val="204"/>
        </w:trPr>
        <w:tc>
          <w:tcPr>
            <w:tcW w:w="2257" w:type="pct"/>
            <w:tcBorders>
              <w:top w:val="nil"/>
              <w:left w:val="nil"/>
              <w:bottom w:val="nil"/>
              <w:right w:val="nil"/>
            </w:tcBorders>
            <w:shd w:val="clear" w:color="auto" w:fill="auto"/>
            <w:noWrap/>
            <w:vAlign w:val="bottom"/>
            <w:hideMark/>
          </w:tcPr>
          <w:p w14:paraId="07D238A3"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26D38595" w14:textId="679A26DD"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33,029</w:t>
            </w:r>
          </w:p>
        </w:tc>
        <w:tc>
          <w:tcPr>
            <w:tcW w:w="534" w:type="pct"/>
            <w:tcBorders>
              <w:top w:val="nil"/>
              <w:left w:val="nil"/>
              <w:bottom w:val="nil"/>
              <w:right w:val="nil"/>
            </w:tcBorders>
            <w:shd w:val="clear" w:color="auto" w:fill="E6E6E6"/>
            <w:noWrap/>
            <w:vAlign w:val="bottom"/>
            <w:hideMark/>
          </w:tcPr>
          <w:p w14:paraId="1BB859BB" w14:textId="1FD1CD5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32,456</w:t>
            </w:r>
          </w:p>
        </w:tc>
        <w:tc>
          <w:tcPr>
            <w:tcW w:w="536" w:type="pct"/>
            <w:tcBorders>
              <w:top w:val="nil"/>
              <w:left w:val="nil"/>
              <w:bottom w:val="nil"/>
              <w:right w:val="nil"/>
            </w:tcBorders>
            <w:shd w:val="clear" w:color="auto" w:fill="auto"/>
            <w:noWrap/>
            <w:vAlign w:val="bottom"/>
            <w:hideMark/>
          </w:tcPr>
          <w:p w14:paraId="0A57220B" w14:textId="4EBE7EE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11,250</w:t>
            </w:r>
          </w:p>
        </w:tc>
        <w:tc>
          <w:tcPr>
            <w:tcW w:w="536" w:type="pct"/>
            <w:tcBorders>
              <w:top w:val="nil"/>
              <w:left w:val="nil"/>
              <w:bottom w:val="nil"/>
              <w:right w:val="nil"/>
            </w:tcBorders>
            <w:shd w:val="clear" w:color="auto" w:fill="auto"/>
            <w:noWrap/>
            <w:vAlign w:val="bottom"/>
            <w:hideMark/>
          </w:tcPr>
          <w:p w14:paraId="4BC1C1EF" w14:textId="7D16718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10,547</w:t>
            </w:r>
          </w:p>
        </w:tc>
        <w:tc>
          <w:tcPr>
            <w:tcW w:w="535" w:type="pct"/>
            <w:tcBorders>
              <w:top w:val="nil"/>
              <w:left w:val="nil"/>
              <w:bottom w:val="nil"/>
              <w:right w:val="nil"/>
            </w:tcBorders>
            <w:shd w:val="clear" w:color="auto" w:fill="auto"/>
            <w:noWrap/>
            <w:vAlign w:val="bottom"/>
            <w:hideMark/>
          </w:tcPr>
          <w:p w14:paraId="6339C1AB" w14:textId="610D2DB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10,525</w:t>
            </w:r>
          </w:p>
        </w:tc>
      </w:tr>
      <w:tr w:rsidR="00D26033" w:rsidRPr="002A338C" w14:paraId="7C3746B6" w14:textId="77777777" w:rsidTr="005334F2">
        <w:trPr>
          <w:trHeight w:val="204"/>
        </w:trPr>
        <w:tc>
          <w:tcPr>
            <w:tcW w:w="2257" w:type="pct"/>
            <w:tcBorders>
              <w:top w:val="nil"/>
              <w:left w:val="nil"/>
              <w:bottom w:val="single" w:sz="4" w:space="0" w:color="auto"/>
              <w:right w:val="nil"/>
            </w:tcBorders>
            <w:shd w:val="clear" w:color="auto" w:fill="auto"/>
            <w:vAlign w:val="bottom"/>
            <w:hideMark/>
          </w:tcPr>
          <w:p w14:paraId="3A6FBC19"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6B8FE1B2" w14:textId="519EB23F"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33,029</w:t>
            </w:r>
          </w:p>
        </w:tc>
        <w:tc>
          <w:tcPr>
            <w:tcW w:w="534" w:type="pct"/>
            <w:tcBorders>
              <w:top w:val="single" w:sz="4" w:space="0" w:color="auto"/>
              <w:left w:val="nil"/>
              <w:bottom w:val="single" w:sz="4" w:space="0" w:color="auto"/>
              <w:right w:val="nil"/>
            </w:tcBorders>
            <w:shd w:val="clear" w:color="auto" w:fill="E6E6E6"/>
            <w:noWrap/>
            <w:vAlign w:val="bottom"/>
            <w:hideMark/>
          </w:tcPr>
          <w:p w14:paraId="09D268F9" w14:textId="5028F7A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32,456</w:t>
            </w:r>
          </w:p>
        </w:tc>
        <w:tc>
          <w:tcPr>
            <w:tcW w:w="536" w:type="pct"/>
            <w:tcBorders>
              <w:top w:val="single" w:sz="4" w:space="0" w:color="auto"/>
              <w:left w:val="nil"/>
              <w:bottom w:val="single" w:sz="4" w:space="0" w:color="auto"/>
              <w:right w:val="nil"/>
            </w:tcBorders>
            <w:shd w:val="clear" w:color="auto" w:fill="auto"/>
            <w:noWrap/>
            <w:vAlign w:val="bottom"/>
            <w:hideMark/>
          </w:tcPr>
          <w:p w14:paraId="6811BCF2" w14:textId="4EB17033"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11,250</w:t>
            </w:r>
          </w:p>
        </w:tc>
        <w:tc>
          <w:tcPr>
            <w:tcW w:w="536" w:type="pct"/>
            <w:tcBorders>
              <w:top w:val="single" w:sz="4" w:space="0" w:color="auto"/>
              <w:left w:val="nil"/>
              <w:bottom w:val="single" w:sz="4" w:space="0" w:color="auto"/>
              <w:right w:val="nil"/>
            </w:tcBorders>
            <w:shd w:val="clear" w:color="auto" w:fill="auto"/>
            <w:noWrap/>
            <w:vAlign w:val="bottom"/>
            <w:hideMark/>
          </w:tcPr>
          <w:p w14:paraId="0B8A7B5D" w14:textId="082A26A7"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10,547</w:t>
            </w:r>
          </w:p>
        </w:tc>
        <w:tc>
          <w:tcPr>
            <w:tcW w:w="535" w:type="pct"/>
            <w:tcBorders>
              <w:top w:val="single" w:sz="4" w:space="0" w:color="auto"/>
              <w:left w:val="nil"/>
              <w:bottom w:val="single" w:sz="4" w:space="0" w:color="auto"/>
              <w:right w:val="nil"/>
            </w:tcBorders>
            <w:shd w:val="clear" w:color="auto" w:fill="auto"/>
            <w:noWrap/>
            <w:vAlign w:val="bottom"/>
            <w:hideMark/>
          </w:tcPr>
          <w:p w14:paraId="5AAB6464" w14:textId="54198B24"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10,525</w:t>
            </w:r>
          </w:p>
        </w:tc>
      </w:tr>
    </w:tbl>
    <w:p w14:paraId="6FA0B404" w14:textId="77777777" w:rsidR="00115843" w:rsidRPr="00132F9E" w:rsidRDefault="00115843" w:rsidP="00115843">
      <w:pPr>
        <w:pStyle w:val="ChartandTableFootnote"/>
        <w:spacing w:before="60"/>
      </w:pPr>
      <w:r w:rsidRPr="00132F9E">
        <w:t>Prepared on Australian Accounting Standards basis.</w:t>
      </w:r>
    </w:p>
    <w:p w14:paraId="0327000F" w14:textId="51AEE87E" w:rsidR="00115843" w:rsidRPr="00132F9E" w:rsidRDefault="00115843" w:rsidP="00115843">
      <w:pPr>
        <w:pStyle w:val="ChartandTableFootnoteAlpha"/>
        <w:numPr>
          <w:ilvl w:val="0"/>
          <w:numId w:val="261"/>
        </w:numPr>
        <w:jc w:val="left"/>
        <w:rPr>
          <w:rFonts w:cs="Arial"/>
          <w:szCs w:val="16"/>
        </w:rPr>
      </w:pPr>
      <w:r w:rsidRPr="00132F9E">
        <w:rPr>
          <w:rFonts w:cs="Arial"/>
          <w:szCs w:val="16"/>
        </w:rPr>
        <w:t xml:space="preserve">Includes purchases from current and previous years’ </w:t>
      </w:r>
      <w:r w:rsidR="009C12D1">
        <w:rPr>
          <w:rFonts w:cs="Arial"/>
          <w:szCs w:val="16"/>
        </w:rPr>
        <w:t>D</w:t>
      </w:r>
      <w:r w:rsidRPr="00132F9E">
        <w:rPr>
          <w:rFonts w:cs="Arial"/>
          <w:szCs w:val="16"/>
        </w:rPr>
        <w:t xml:space="preserve">epartmental </w:t>
      </w:r>
      <w:r w:rsidR="009C12D1">
        <w:rPr>
          <w:rFonts w:cs="Arial"/>
          <w:szCs w:val="16"/>
        </w:rPr>
        <w:t>C</w:t>
      </w:r>
      <w:r w:rsidRPr="00132F9E">
        <w:rPr>
          <w:rFonts w:cs="Arial"/>
          <w:szCs w:val="16"/>
        </w:rPr>
        <w:t xml:space="preserve">apital </w:t>
      </w:r>
      <w:r w:rsidR="009C12D1">
        <w:rPr>
          <w:rFonts w:cs="Arial"/>
          <w:szCs w:val="16"/>
        </w:rPr>
        <w:t>B</w:t>
      </w:r>
      <w:r w:rsidRPr="00132F9E">
        <w:rPr>
          <w:rFonts w:cs="Arial"/>
          <w:szCs w:val="16"/>
        </w:rPr>
        <w:t>udgets (DCBs).</w:t>
      </w:r>
    </w:p>
    <w:p w14:paraId="0A39E3A5" w14:textId="1A50492A" w:rsidR="00115843" w:rsidRDefault="00115843" w:rsidP="00115843">
      <w:pPr>
        <w:pStyle w:val="ChartandTableFootnoteAlpha"/>
        <w:numPr>
          <w:ilvl w:val="0"/>
          <w:numId w:val="261"/>
        </w:numPr>
        <w:jc w:val="left"/>
      </w:pPr>
      <w:r>
        <w:t>Includes the following s74 external</w:t>
      </w:r>
      <w:r w:rsidDel="005013B5">
        <w:t xml:space="preserve"> </w:t>
      </w:r>
      <w:r>
        <w:t>receipts</w:t>
      </w:r>
      <w:r w:rsidR="00BC6931">
        <w:t>.</w:t>
      </w:r>
    </w:p>
    <w:p w14:paraId="3EFC7928" w14:textId="77777777" w:rsidR="00115843" w:rsidRDefault="00115843" w:rsidP="00115843">
      <w:pPr>
        <w:rPr>
          <w:rFonts w:ascii="Arial" w:hAnsi="Arial"/>
          <w:sz w:val="16"/>
        </w:rPr>
      </w:pPr>
      <w:r>
        <w:br w:type="page"/>
      </w:r>
    </w:p>
    <w:p w14:paraId="76C0D203" w14:textId="77777777" w:rsidR="00115843" w:rsidRDefault="00115843" w:rsidP="00115843">
      <w:pPr>
        <w:pStyle w:val="TableHeading"/>
      </w:pPr>
      <w:r w:rsidRPr="00D30CBA">
        <w:lastRenderedPageBreak/>
        <w:t>Table</w:t>
      </w:r>
      <w:r>
        <w:t xml:space="preserve"> 3.6</w:t>
      </w:r>
      <w:r w:rsidRPr="00D30CBA">
        <w:t xml:space="preserve">: </w:t>
      </w:r>
      <w:r>
        <w:t>Statement of departmental asset movements (Budget year 2022-23)</w:t>
      </w:r>
    </w:p>
    <w:tbl>
      <w:tblPr>
        <w:tblW w:w="5000" w:type="pct"/>
        <w:tblLook w:val="04A0" w:firstRow="1" w:lastRow="0" w:firstColumn="1" w:lastColumn="0" w:noHBand="0" w:noVBand="1"/>
      </w:tblPr>
      <w:tblGrid>
        <w:gridCol w:w="3108"/>
        <w:gridCol w:w="899"/>
        <w:gridCol w:w="973"/>
        <w:gridCol w:w="990"/>
        <w:gridCol w:w="873"/>
        <w:gridCol w:w="867"/>
      </w:tblGrid>
      <w:tr w:rsidR="00115843" w:rsidRPr="002A338C" w14:paraId="4E2BE307" w14:textId="77777777" w:rsidTr="00FB0D02">
        <w:trPr>
          <w:trHeight w:val="204"/>
        </w:trPr>
        <w:tc>
          <w:tcPr>
            <w:tcW w:w="2016" w:type="pct"/>
            <w:tcBorders>
              <w:top w:val="single" w:sz="4" w:space="0" w:color="auto"/>
              <w:left w:val="nil"/>
              <w:bottom w:val="nil"/>
              <w:right w:val="nil"/>
            </w:tcBorders>
            <w:shd w:val="clear" w:color="auto" w:fill="auto"/>
            <w:noWrap/>
            <w:vAlign w:val="bottom"/>
            <w:hideMark/>
          </w:tcPr>
          <w:p w14:paraId="5E45BF2A" w14:textId="77777777" w:rsidR="00115843" w:rsidRPr="002A338C" w:rsidRDefault="00115843" w:rsidP="00FB0D02">
            <w:pPr>
              <w:spacing w:after="0" w:line="240" w:lineRule="auto"/>
              <w:rPr>
                <w:rFonts w:ascii="Arial" w:hAnsi="Arial" w:cs="Arial"/>
                <w:sz w:val="16"/>
                <w:szCs w:val="16"/>
              </w:rPr>
            </w:pPr>
          </w:p>
        </w:tc>
        <w:tc>
          <w:tcPr>
            <w:tcW w:w="2984" w:type="pct"/>
            <w:gridSpan w:val="5"/>
            <w:tcBorders>
              <w:top w:val="single" w:sz="4" w:space="0" w:color="auto"/>
              <w:left w:val="nil"/>
              <w:bottom w:val="single" w:sz="4" w:space="0" w:color="auto"/>
              <w:right w:val="nil"/>
            </w:tcBorders>
            <w:shd w:val="clear" w:color="auto" w:fill="auto"/>
            <w:noWrap/>
            <w:vAlign w:val="bottom"/>
            <w:hideMark/>
          </w:tcPr>
          <w:p w14:paraId="34C394B0" w14:textId="77777777" w:rsidR="00115843" w:rsidRPr="002A338C" w:rsidRDefault="00115843" w:rsidP="00FB0D02">
            <w:pPr>
              <w:spacing w:after="0" w:line="240" w:lineRule="auto"/>
              <w:jc w:val="center"/>
              <w:rPr>
                <w:rFonts w:ascii="Arial" w:hAnsi="Arial" w:cs="Arial"/>
                <w:b/>
                <w:bCs/>
                <w:sz w:val="16"/>
                <w:szCs w:val="16"/>
              </w:rPr>
            </w:pPr>
            <w:r w:rsidRPr="002A338C">
              <w:rPr>
                <w:rFonts w:ascii="Arial" w:hAnsi="Arial" w:cs="Arial"/>
                <w:b/>
                <w:bCs/>
                <w:sz w:val="16"/>
                <w:szCs w:val="16"/>
              </w:rPr>
              <w:t>Asset Category</w:t>
            </w:r>
          </w:p>
        </w:tc>
      </w:tr>
      <w:tr w:rsidR="00115843" w:rsidRPr="002A338C" w14:paraId="6C80422E" w14:textId="77777777" w:rsidTr="00FB0D02">
        <w:trPr>
          <w:trHeight w:val="204"/>
        </w:trPr>
        <w:tc>
          <w:tcPr>
            <w:tcW w:w="2016" w:type="pct"/>
            <w:tcBorders>
              <w:left w:val="nil"/>
              <w:bottom w:val="nil"/>
              <w:right w:val="nil"/>
            </w:tcBorders>
            <w:shd w:val="clear" w:color="auto" w:fill="auto"/>
            <w:noWrap/>
            <w:vAlign w:val="bottom"/>
            <w:hideMark/>
          </w:tcPr>
          <w:p w14:paraId="04B15B23" w14:textId="77777777" w:rsidR="00115843" w:rsidRPr="002A338C" w:rsidRDefault="00115843" w:rsidP="00FB0D02">
            <w:pPr>
              <w:spacing w:after="0" w:line="240" w:lineRule="auto"/>
              <w:rPr>
                <w:rFonts w:ascii="Arial" w:hAnsi="Arial" w:cs="Arial"/>
                <w:sz w:val="16"/>
                <w:szCs w:val="16"/>
              </w:rPr>
            </w:pPr>
            <w:r w:rsidRPr="002A338C">
              <w:rPr>
                <w:rFonts w:ascii="Arial" w:hAnsi="Arial" w:cs="Arial"/>
                <w:sz w:val="16"/>
                <w:szCs w:val="16"/>
              </w:rPr>
              <w:t> </w:t>
            </w:r>
          </w:p>
        </w:tc>
        <w:tc>
          <w:tcPr>
            <w:tcW w:w="583" w:type="pct"/>
            <w:tcBorders>
              <w:top w:val="nil"/>
              <w:left w:val="nil"/>
              <w:bottom w:val="single" w:sz="4" w:space="0" w:color="auto"/>
              <w:right w:val="nil"/>
            </w:tcBorders>
            <w:shd w:val="clear" w:color="auto" w:fill="auto"/>
            <w:vAlign w:val="bottom"/>
            <w:hideMark/>
          </w:tcPr>
          <w:p w14:paraId="23020E28"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Buildings</w:t>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t>$'000</w:t>
            </w:r>
          </w:p>
        </w:tc>
        <w:tc>
          <w:tcPr>
            <w:tcW w:w="631" w:type="pct"/>
            <w:tcBorders>
              <w:top w:val="nil"/>
              <w:left w:val="nil"/>
              <w:bottom w:val="single" w:sz="4" w:space="0" w:color="auto"/>
              <w:right w:val="nil"/>
            </w:tcBorders>
            <w:shd w:val="clear" w:color="auto" w:fill="auto"/>
            <w:vAlign w:val="bottom"/>
            <w:hideMark/>
          </w:tcPr>
          <w:p w14:paraId="20E5D01A"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Other</w:t>
            </w:r>
            <w:r w:rsidRPr="002A338C">
              <w:rPr>
                <w:rFonts w:ascii="Arial" w:hAnsi="Arial" w:cs="Arial"/>
                <w:sz w:val="16"/>
                <w:szCs w:val="16"/>
              </w:rPr>
              <w:br/>
              <w:t>property,</w:t>
            </w:r>
            <w:r w:rsidRPr="002A338C">
              <w:rPr>
                <w:rFonts w:ascii="Arial" w:hAnsi="Arial" w:cs="Arial"/>
                <w:sz w:val="16"/>
                <w:szCs w:val="16"/>
              </w:rPr>
              <w:br/>
              <w:t>plant and</w:t>
            </w:r>
            <w:r w:rsidRPr="002A338C">
              <w:rPr>
                <w:rFonts w:ascii="Arial" w:hAnsi="Arial" w:cs="Arial"/>
                <w:sz w:val="16"/>
                <w:szCs w:val="16"/>
              </w:rPr>
              <w:br/>
              <w:t>equipment</w:t>
            </w:r>
            <w:r w:rsidRPr="002A338C">
              <w:rPr>
                <w:rFonts w:ascii="Arial" w:hAnsi="Arial" w:cs="Arial"/>
                <w:sz w:val="16"/>
                <w:szCs w:val="16"/>
              </w:rPr>
              <w:br/>
              <w:t>$'000</w:t>
            </w:r>
          </w:p>
        </w:tc>
        <w:tc>
          <w:tcPr>
            <w:tcW w:w="642" w:type="pct"/>
            <w:tcBorders>
              <w:top w:val="nil"/>
              <w:left w:val="nil"/>
              <w:bottom w:val="single" w:sz="4" w:space="0" w:color="auto"/>
              <w:right w:val="nil"/>
            </w:tcBorders>
            <w:shd w:val="clear" w:color="auto" w:fill="auto"/>
            <w:vAlign w:val="bottom"/>
            <w:hideMark/>
          </w:tcPr>
          <w:p w14:paraId="2B6D386F"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Computer</w:t>
            </w:r>
            <w:r w:rsidRPr="002A338C">
              <w:rPr>
                <w:rFonts w:ascii="Arial" w:hAnsi="Arial" w:cs="Arial"/>
                <w:sz w:val="16"/>
                <w:szCs w:val="16"/>
              </w:rPr>
              <w:br/>
              <w:t>software and</w:t>
            </w:r>
            <w:r w:rsidRPr="002A338C">
              <w:rPr>
                <w:rFonts w:ascii="Arial" w:hAnsi="Arial" w:cs="Arial"/>
                <w:sz w:val="16"/>
                <w:szCs w:val="16"/>
              </w:rPr>
              <w:br/>
              <w:t>intangibles</w:t>
            </w:r>
            <w:r w:rsidRPr="002A338C">
              <w:rPr>
                <w:rFonts w:ascii="Arial" w:hAnsi="Arial" w:cs="Arial"/>
                <w:sz w:val="16"/>
                <w:szCs w:val="16"/>
              </w:rPr>
              <w:br/>
              <w:t>$'000</w:t>
            </w:r>
          </w:p>
        </w:tc>
        <w:tc>
          <w:tcPr>
            <w:tcW w:w="566" w:type="pct"/>
            <w:tcBorders>
              <w:top w:val="nil"/>
              <w:left w:val="nil"/>
              <w:bottom w:val="single" w:sz="4" w:space="0" w:color="auto"/>
              <w:right w:val="nil"/>
            </w:tcBorders>
            <w:shd w:val="clear" w:color="auto" w:fill="auto"/>
            <w:vAlign w:val="bottom"/>
            <w:hideMark/>
          </w:tcPr>
          <w:p w14:paraId="181ABCA3"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Heritage</w:t>
            </w:r>
            <w:r w:rsidRPr="002A338C">
              <w:rPr>
                <w:rFonts w:ascii="Arial" w:hAnsi="Arial" w:cs="Arial"/>
                <w:sz w:val="16"/>
                <w:szCs w:val="16"/>
              </w:rPr>
              <w:br/>
              <w:t>and</w:t>
            </w:r>
            <w:r w:rsidRPr="002A338C">
              <w:rPr>
                <w:rFonts w:ascii="Arial" w:hAnsi="Arial" w:cs="Arial"/>
                <w:sz w:val="16"/>
                <w:szCs w:val="16"/>
              </w:rPr>
              <w:br/>
              <w:t>cultural</w:t>
            </w:r>
            <w:r w:rsidRPr="002A338C">
              <w:rPr>
                <w:rFonts w:ascii="Arial" w:hAnsi="Arial" w:cs="Arial"/>
                <w:sz w:val="16"/>
                <w:szCs w:val="16"/>
              </w:rPr>
              <w:br/>
            </w:r>
            <w:r w:rsidRPr="002A338C">
              <w:rPr>
                <w:rFonts w:ascii="Arial" w:hAnsi="Arial" w:cs="Arial"/>
                <w:sz w:val="16"/>
                <w:szCs w:val="16"/>
              </w:rPr>
              <w:br/>
              <w:t>$'000</w:t>
            </w:r>
          </w:p>
        </w:tc>
        <w:tc>
          <w:tcPr>
            <w:tcW w:w="562" w:type="pct"/>
            <w:tcBorders>
              <w:top w:val="nil"/>
              <w:left w:val="nil"/>
              <w:bottom w:val="single" w:sz="4" w:space="0" w:color="auto"/>
              <w:right w:val="nil"/>
            </w:tcBorders>
            <w:shd w:val="clear" w:color="auto" w:fill="auto"/>
            <w:vAlign w:val="bottom"/>
            <w:hideMark/>
          </w:tcPr>
          <w:p w14:paraId="54C38989"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Total</w:t>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t>$'000</w:t>
            </w:r>
          </w:p>
        </w:tc>
      </w:tr>
      <w:tr w:rsidR="00115843" w:rsidRPr="002A338C" w14:paraId="4C239227" w14:textId="77777777" w:rsidTr="00FB0D02">
        <w:trPr>
          <w:trHeight w:val="204"/>
        </w:trPr>
        <w:tc>
          <w:tcPr>
            <w:tcW w:w="2016" w:type="pct"/>
            <w:tcBorders>
              <w:top w:val="nil"/>
              <w:left w:val="nil"/>
              <w:bottom w:val="nil"/>
              <w:right w:val="nil"/>
            </w:tcBorders>
            <w:shd w:val="clear" w:color="auto" w:fill="auto"/>
            <w:vAlign w:val="bottom"/>
            <w:hideMark/>
          </w:tcPr>
          <w:p w14:paraId="0F77D0C1"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As at 1 July 2022</w:t>
            </w:r>
          </w:p>
        </w:tc>
        <w:tc>
          <w:tcPr>
            <w:tcW w:w="583" w:type="pct"/>
            <w:tcBorders>
              <w:top w:val="nil"/>
              <w:left w:val="nil"/>
              <w:bottom w:val="nil"/>
              <w:right w:val="nil"/>
            </w:tcBorders>
            <w:shd w:val="clear" w:color="auto" w:fill="auto"/>
            <w:noWrap/>
            <w:vAlign w:val="bottom"/>
            <w:hideMark/>
          </w:tcPr>
          <w:p w14:paraId="02904147" w14:textId="77777777" w:rsidR="00115843" w:rsidRPr="002A338C" w:rsidRDefault="00115843" w:rsidP="00FB0D02">
            <w:pPr>
              <w:spacing w:after="0" w:line="240" w:lineRule="auto"/>
              <w:jc w:val="right"/>
              <w:rPr>
                <w:rFonts w:ascii="Arial" w:hAnsi="Arial" w:cs="Arial"/>
                <w:b/>
                <w:bCs/>
                <w:sz w:val="16"/>
                <w:szCs w:val="16"/>
              </w:rPr>
            </w:pPr>
          </w:p>
        </w:tc>
        <w:tc>
          <w:tcPr>
            <w:tcW w:w="631" w:type="pct"/>
            <w:tcBorders>
              <w:top w:val="nil"/>
              <w:left w:val="nil"/>
              <w:bottom w:val="nil"/>
              <w:right w:val="nil"/>
            </w:tcBorders>
            <w:shd w:val="clear" w:color="auto" w:fill="auto"/>
            <w:noWrap/>
            <w:vAlign w:val="bottom"/>
            <w:hideMark/>
          </w:tcPr>
          <w:p w14:paraId="7324E701" w14:textId="77777777" w:rsidR="00115843" w:rsidRPr="002A338C" w:rsidRDefault="00115843" w:rsidP="00FB0D02">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69BF03A1" w14:textId="77777777" w:rsidR="00115843" w:rsidRPr="002A338C" w:rsidRDefault="00115843" w:rsidP="00FB0D02">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5FFB2867" w14:textId="77777777" w:rsidR="00115843" w:rsidRPr="002A338C" w:rsidRDefault="00115843" w:rsidP="00FB0D02">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4149ED5B" w14:textId="77777777" w:rsidR="00115843" w:rsidRPr="002A338C" w:rsidRDefault="00115843" w:rsidP="00FB0D02">
            <w:pPr>
              <w:spacing w:after="0" w:line="240" w:lineRule="auto"/>
              <w:jc w:val="right"/>
              <w:rPr>
                <w:rFonts w:ascii="Arial" w:hAnsi="Arial" w:cs="Arial"/>
                <w:sz w:val="16"/>
                <w:szCs w:val="16"/>
              </w:rPr>
            </w:pPr>
          </w:p>
        </w:tc>
      </w:tr>
      <w:tr w:rsidR="00D26033" w:rsidRPr="002A338C" w14:paraId="340DAD1E" w14:textId="77777777" w:rsidTr="00FB0D02">
        <w:trPr>
          <w:trHeight w:val="204"/>
        </w:trPr>
        <w:tc>
          <w:tcPr>
            <w:tcW w:w="2016" w:type="pct"/>
            <w:tcBorders>
              <w:top w:val="nil"/>
              <w:left w:val="nil"/>
              <w:bottom w:val="nil"/>
              <w:right w:val="nil"/>
            </w:tcBorders>
            <w:shd w:val="clear" w:color="auto" w:fill="auto"/>
            <w:vAlign w:val="bottom"/>
            <w:hideMark/>
          </w:tcPr>
          <w:p w14:paraId="0BAAB0B2"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 xml:space="preserve">Gross book value </w:t>
            </w:r>
          </w:p>
        </w:tc>
        <w:tc>
          <w:tcPr>
            <w:tcW w:w="583" w:type="pct"/>
            <w:tcBorders>
              <w:top w:val="nil"/>
              <w:left w:val="nil"/>
              <w:bottom w:val="nil"/>
              <w:right w:val="nil"/>
            </w:tcBorders>
            <w:shd w:val="clear" w:color="auto" w:fill="auto"/>
            <w:noWrap/>
            <w:vAlign w:val="bottom"/>
            <w:hideMark/>
          </w:tcPr>
          <w:p w14:paraId="2E495DEE" w14:textId="5A9BF11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34,873</w:t>
            </w:r>
          </w:p>
        </w:tc>
        <w:tc>
          <w:tcPr>
            <w:tcW w:w="631" w:type="pct"/>
            <w:tcBorders>
              <w:top w:val="nil"/>
              <w:left w:val="nil"/>
              <w:bottom w:val="nil"/>
              <w:right w:val="nil"/>
            </w:tcBorders>
            <w:shd w:val="clear" w:color="auto" w:fill="auto"/>
            <w:noWrap/>
            <w:vAlign w:val="bottom"/>
            <w:hideMark/>
          </w:tcPr>
          <w:p w14:paraId="4FA52EF4" w14:textId="2B7D449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34,216</w:t>
            </w:r>
          </w:p>
        </w:tc>
        <w:tc>
          <w:tcPr>
            <w:tcW w:w="642" w:type="pct"/>
            <w:tcBorders>
              <w:top w:val="nil"/>
              <w:left w:val="nil"/>
              <w:bottom w:val="nil"/>
              <w:right w:val="nil"/>
            </w:tcBorders>
            <w:shd w:val="clear" w:color="auto" w:fill="auto"/>
            <w:noWrap/>
            <w:vAlign w:val="bottom"/>
            <w:hideMark/>
          </w:tcPr>
          <w:p w14:paraId="0F072906" w14:textId="7FBC4B8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101,600</w:t>
            </w:r>
          </w:p>
        </w:tc>
        <w:tc>
          <w:tcPr>
            <w:tcW w:w="566" w:type="pct"/>
            <w:tcBorders>
              <w:top w:val="nil"/>
              <w:left w:val="nil"/>
              <w:bottom w:val="nil"/>
              <w:right w:val="nil"/>
            </w:tcBorders>
            <w:shd w:val="clear" w:color="auto" w:fill="auto"/>
            <w:noWrap/>
            <w:vAlign w:val="bottom"/>
            <w:hideMark/>
          </w:tcPr>
          <w:p w14:paraId="20BD919D" w14:textId="75A9BC7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43,038</w:t>
            </w:r>
          </w:p>
        </w:tc>
        <w:tc>
          <w:tcPr>
            <w:tcW w:w="562" w:type="pct"/>
            <w:tcBorders>
              <w:top w:val="nil"/>
              <w:left w:val="nil"/>
              <w:bottom w:val="nil"/>
              <w:right w:val="nil"/>
            </w:tcBorders>
            <w:shd w:val="clear" w:color="auto" w:fill="auto"/>
            <w:noWrap/>
            <w:vAlign w:val="bottom"/>
            <w:hideMark/>
          </w:tcPr>
          <w:p w14:paraId="238803FC" w14:textId="0BAF7C4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213,727</w:t>
            </w:r>
          </w:p>
        </w:tc>
      </w:tr>
      <w:tr w:rsidR="00D26033" w:rsidRPr="002A338C" w14:paraId="754A00FC" w14:textId="77777777" w:rsidTr="00FB0D02">
        <w:trPr>
          <w:trHeight w:val="204"/>
        </w:trPr>
        <w:tc>
          <w:tcPr>
            <w:tcW w:w="2016" w:type="pct"/>
            <w:tcBorders>
              <w:top w:val="nil"/>
              <w:left w:val="nil"/>
              <w:bottom w:val="nil"/>
              <w:right w:val="nil"/>
            </w:tcBorders>
            <w:shd w:val="clear" w:color="auto" w:fill="auto"/>
            <w:noWrap/>
            <w:vAlign w:val="bottom"/>
            <w:hideMark/>
          </w:tcPr>
          <w:p w14:paraId="0BB7382F"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Gross book value - ROU assets</w:t>
            </w:r>
          </w:p>
        </w:tc>
        <w:tc>
          <w:tcPr>
            <w:tcW w:w="583" w:type="pct"/>
            <w:tcBorders>
              <w:top w:val="nil"/>
              <w:left w:val="nil"/>
              <w:bottom w:val="nil"/>
              <w:right w:val="nil"/>
            </w:tcBorders>
            <w:shd w:val="clear" w:color="auto" w:fill="auto"/>
            <w:noWrap/>
            <w:vAlign w:val="bottom"/>
            <w:hideMark/>
          </w:tcPr>
          <w:p w14:paraId="0EF32637" w14:textId="66400E1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158,489</w:t>
            </w:r>
          </w:p>
        </w:tc>
        <w:tc>
          <w:tcPr>
            <w:tcW w:w="631" w:type="pct"/>
            <w:tcBorders>
              <w:top w:val="nil"/>
              <w:left w:val="nil"/>
              <w:bottom w:val="nil"/>
              <w:right w:val="nil"/>
            </w:tcBorders>
            <w:shd w:val="clear" w:color="auto" w:fill="auto"/>
            <w:noWrap/>
            <w:vAlign w:val="bottom"/>
            <w:hideMark/>
          </w:tcPr>
          <w:p w14:paraId="210DB5DE" w14:textId="4269F8E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167</w:t>
            </w:r>
          </w:p>
        </w:tc>
        <w:tc>
          <w:tcPr>
            <w:tcW w:w="642" w:type="pct"/>
            <w:tcBorders>
              <w:top w:val="nil"/>
              <w:left w:val="nil"/>
              <w:bottom w:val="nil"/>
              <w:right w:val="nil"/>
            </w:tcBorders>
            <w:shd w:val="clear" w:color="auto" w:fill="auto"/>
            <w:noWrap/>
            <w:vAlign w:val="bottom"/>
            <w:hideMark/>
          </w:tcPr>
          <w:p w14:paraId="2606CDBB" w14:textId="767D85C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hideMark/>
          </w:tcPr>
          <w:p w14:paraId="6E0F4EBB" w14:textId="4881624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C4C46EE" w14:textId="26A33E5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158,656</w:t>
            </w:r>
          </w:p>
        </w:tc>
      </w:tr>
      <w:tr w:rsidR="00D26033" w:rsidRPr="002A338C" w14:paraId="4F13BB8A" w14:textId="77777777" w:rsidTr="00FB0D02">
        <w:trPr>
          <w:trHeight w:val="204"/>
        </w:trPr>
        <w:tc>
          <w:tcPr>
            <w:tcW w:w="2016" w:type="pct"/>
            <w:tcBorders>
              <w:top w:val="nil"/>
              <w:left w:val="nil"/>
              <w:bottom w:val="nil"/>
              <w:right w:val="nil"/>
            </w:tcBorders>
            <w:shd w:val="clear" w:color="auto" w:fill="auto"/>
            <w:vAlign w:val="bottom"/>
            <w:hideMark/>
          </w:tcPr>
          <w:p w14:paraId="3314AC4C"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Accumulated depreciation / amortisation and impairment</w:t>
            </w:r>
          </w:p>
        </w:tc>
        <w:tc>
          <w:tcPr>
            <w:tcW w:w="583" w:type="pct"/>
            <w:tcBorders>
              <w:top w:val="nil"/>
              <w:left w:val="nil"/>
              <w:bottom w:val="nil"/>
              <w:right w:val="nil"/>
            </w:tcBorders>
            <w:shd w:val="clear" w:color="auto" w:fill="auto"/>
            <w:noWrap/>
            <w:vAlign w:val="bottom"/>
            <w:hideMark/>
          </w:tcPr>
          <w:p w14:paraId="3B22B70D" w14:textId="3C68C71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(14,879)</w:t>
            </w:r>
          </w:p>
        </w:tc>
        <w:tc>
          <w:tcPr>
            <w:tcW w:w="631" w:type="pct"/>
            <w:tcBorders>
              <w:top w:val="nil"/>
              <w:left w:val="nil"/>
              <w:bottom w:val="nil"/>
              <w:right w:val="nil"/>
            </w:tcBorders>
            <w:shd w:val="clear" w:color="auto" w:fill="auto"/>
            <w:noWrap/>
            <w:vAlign w:val="bottom"/>
            <w:hideMark/>
          </w:tcPr>
          <w:p w14:paraId="3DD54697" w14:textId="2090872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(13,948)</w:t>
            </w:r>
          </w:p>
        </w:tc>
        <w:tc>
          <w:tcPr>
            <w:tcW w:w="642" w:type="pct"/>
            <w:tcBorders>
              <w:top w:val="nil"/>
              <w:left w:val="nil"/>
              <w:bottom w:val="nil"/>
              <w:right w:val="nil"/>
            </w:tcBorders>
            <w:shd w:val="clear" w:color="auto" w:fill="auto"/>
            <w:noWrap/>
            <w:vAlign w:val="bottom"/>
            <w:hideMark/>
          </w:tcPr>
          <w:p w14:paraId="3A01D2AB" w14:textId="261DB78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(48,037)</w:t>
            </w:r>
          </w:p>
        </w:tc>
        <w:tc>
          <w:tcPr>
            <w:tcW w:w="566" w:type="pct"/>
            <w:tcBorders>
              <w:top w:val="nil"/>
              <w:left w:val="nil"/>
              <w:bottom w:val="nil"/>
              <w:right w:val="nil"/>
            </w:tcBorders>
            <w:shd w:val="clear" w:color="auto" w:fill="auto"/>
            <w:noWrap/>
            <w:vAlign w:val="bottom"/>
            <w:hideMark/>
          </w:tcPr>
          <w:p w14:paraId="72FBAC5B" w14:textId="588EC87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(522)</w:t>
            </w:r>
          </w:p>
        </w:tc>
        <w:tc>
          <w:tcPr>
            <w:tcW w:w="562" w:type="pct"/>
            <w:tcBorders>
              <w:top w:val="nil"/>
              <w:left w:val="nil"/>
              <w:bottom w:val="nil"/>
              <w:right w:val="nil"/>
            </w:tcBorders>
            <w:shd w:val="clear" w:color="auto" w:fill="auto"/>
            <w:noWrap/>
            <w:vAlign w:val="bottom"/>
            <w:hideMark/>
          </w:tcPr>
          <w:p w14:paraId="3C100EC7" w14:textId="367D714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(77,386)</w:t>
            </w:r>
          </w:p>
        </w:tc>
      </w:tr>
      <w:tr w:rsidR="00D26033" w:rsidRPr="002A338C" w14:paraId="251426F7" w14:textId="77777777" w:rsidTr="00FB0D02">
        <w:trPr>
          <w:trHeight w:val="204"/>
        </w:trPr>
        <w:tc>
          <w:tcPr>
            <w:tcW w:w="2016" w:type="pct"/>
            <w:tcBorders>
              <w:top w:val="nil"/>
              <w:left w:val="nil"/>
              <w:bottom w:val="nil"/>
              <w:right w:val="nil"/>
            </w:tcBorders>
            <w:shd w:val="clear" w:color="auto" w:fill="auto"/>
            <w:vAlign w:val="bottom"/>
            <w:hideMark/>
          </w:tcPr>
          <w:p w14:paraId="430E6F67"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Accumulated depreciation/amortisation and impairment - ROU assets</w:t>
            </w:r>
          </w:p>
        </w:tc>
        <w:tc>
          <w:tcPr>
            <w:tcW w:w="583" w:type="pct"/>
            <w:tcBorders>
              <w:top w:val="nil"/>
              <w:left w:val="nil"/>
              <w:bottom w:val="nil"/>
              <w:right w:val="nil"/>
            </w:tcBorders>
            <w:shd w:val="clear" w:color="auto" w:fill="auto"/>
            <w:noWrap/>
            <w:vAlign w:val="bottom"/>
            <w:hideMark/>
          </w:tcPr>
          <w:p w14:paraId="1BD4AD31" w14:textId="2CCE4B4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(65,222)</w:t>
            </w:r>
          </w:p>
        </w:tc>
        <w:tc>
          <w:tcPr>
            <w:tcW w:w="631" w:type="pct"/>
            <w:tcBorders>
              <w:top w:val="nil"/>
              <w:left w:val="nil"/>
              <w:bottom w:val="nil"/>
              <w:right w:val="nil"/>
            </w:tcBorders>
            <w:shd w:val="clear" w:color="auto" w:fill="auto"/>
            <w:noWrap/>
            <w:vAlign w:val="bottom"/>
            <w:hideMark/>
          </w:tcPr>
          <w:p w14:paraId="4905046C" w14:textId="058CEF2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(117)</w:t>
            </w:r>
          </w:p>
        </w:tc>
        <w:tc>
          <w:tcPr>
            <w:tcW w:w="642" w:type="pct"/>
            <w:tcBorders>
              <w:top w:val="nil"/>
              <w:left w:val="nil"/>
              <w:bottom w:val="nil"/>
              <w:right w:val="nil"/>
            </w:tcBorders>
            <w:shd w:val="clear" w:color="auto" w:fill="auto"/>
            <w:noWrap/>
            <w:vAlign w:val="bottom"/>
            <w:hideMark/>
          </w:tcPr>
          <w:p w14:paraId="608771FB" w14:textId="5F9B6A9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hideMark/>
          </w:tcPr>
          <w:p w14:paraId="472CA6B7" w14:textId="68542A2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7048FFA" w14:textId="538E73A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(65,339)</w:t>
            </w:r>
          </w:p>
        </w:tc>
      </w:tr>
      <w:tr w:rsidR="00D26033" w:rsidRPr="002A338C" w14:paraId="3E872BB9" w14:textId="77777777" w:rsidTr="00FB0D02">
        <w:trPr>
          <w:trHeight w:val="204"/>
        </w:trPr>
        <w:tc>
          <w:tcPr>
            <w:tcW w:w="2016" w:type="pct"/>
            <w:tcBorders>
              <w:top w:val="nil"/>
              <w:left w:val="nil"/>
              <w:bottom w:val="nil"/>
              <w:right w:val="nil"/>
            </w:tcBorders>
            <w:shd w:val="clear" w:color="auto" w:fill="auto"/>
            <w:vAlign w:val="bottom"/>
            <w:hideMark/>
          </w:tcPr>
          <w:p w14:paraId="11278D9A"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Opening net book balance</w:t>
            </w:r>
          </w:p>
        </w:tc>
        <w:tc>
          <w:tcPr>
            <w:tcW w:w="583" w:type="pct"/>
            <w:tcBorders>
              <w:top w:val="single" w:sz="4" w:space="0" w:color="auto"/>
              <w:left w:val="nil"/>
              <w:bottom w:val="single" w:sz="4" w:space="0" w:color="auto"/>
              <w:right w:val="nil"/>
            </w:tcBorders>
            <w:shd w:val="clear" w:color="auto" w:fill="auto"/>
            <w:noWrap/>
            <w:vAlign w:val="bottom"/>
            <w:hideMark/>
          </w:tcPr>
          <w:p w14:paraId="35700571" w14:textId="7FE1B5B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113,261</w:t>
            </w:r>
          </w:p>
        </w:tc>
        <w:tc>
          <w:tcPr>
            <w:tcW w:w="631" w:type="pct"/>
            <w:tcBorders>
              <w:top w:val="single" w:sz="4" w:space="0" w:color="auto"/>
              <w:left w:val="nil"/>
              <w:bottom w:val="single" w:sz="4" w:space="0" w:color="auto"/>
              <w:right w:val="nil"/>
            </w:tcBorders>
            <w:shd w:val="clear" w:color="auto" w:fill="auto"/>
            <w:noWrap/>
            <w:vAlign w:val="bottom"/>
            <w:hideMark/>
          </w:tcPr>
          <w:p w14:paraId="258D983E" w14:textId="11060DDF"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20,318</w:t>
            </w:r>
          </w:p>
        </w:tc>
        <w:tc>
          <w:tcPr>
            <w:tcW w:w="642" w:type="pct"/>
            <w:tcBorders>
              <w:top w:val="single" w:sz="4" w:space="0" w:color="auto"/>
              <w:left w:val="nil"/>
              <w:bottom w:val="single" w:sz="4" w:space="0" w:color="auto"/>
              <w:right w:val="nil"/>
            </w:tcBorders>
            <w:shd w:val="clear" w:color="auto" w:fill="auto"/>
            <w:noWrap/>
            <w:vAlign w:val="bottom"/>
            <w:hideMark/>
          </w:tcPr>
          <w:p w14:paraId="44165458" w14:textId="304EE161"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53,563</w:t>
            </w:r>
          </w:p>
        </w:tc>
        <w:tc>
          <w:tcPr>
            <w:tcW w:w="566" w:type="pct"/>
            <w:tcBorders>
              <w:top w:val="single" w:sz="4" w:space="0" w:color="auto"/>
              <w:left w:val="nil"/>
              <w:bottom w:val="single" w:sz="4" w:space="0" w:color="auto"/>
              <w:right w:val="nil"/>
            </w:tcBorders>
            <w:shd w:val="clear" w:color="auto" w:fill="auto"/>
            <w:noWrap/>
            <w:vAlign w:val="bottom"/>
            <w:hideMark/>
          </w:tcPr>
          <w:p w14:paraId="27AE9B4C" w14:textId="5D29170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42,516</w:t>
            </w:r>
          </w:p>
        </w:tc>
        <w:tc>
          <w:tcPr>
            <w:tcW w:w="562" w:type="pct"/>
            <w:tcBorders>
              <w:top w:val="single" w:sz="4" w:space="0" w:color="auto"/>
              <w:left w:val="nil"/>
              <w:bottom w:val="single" w:sz="4" w:space="0" w:color="auto"/>
              <w:right w:val="nil"/>
            </w:tcBorders>
            <w:shd w:val="clear" w:color="auto" w:fill="auto"/>
            <w:noWrap/>
            <w:vAlign w:val="bottom"/>
            <w:hideMark/>
          </w:tcPr>
          <w:p w14:paraId="70887897" w14:textId="0C64A097"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229,658</w:t>
            </w:r>
          </w:p>
        </w:tc>
      </w:tr>
      <w:tr w:rsidR="00D26033" w:rsidRPr="002A338C" w14:paraId="719E50AE" w14:textId="77777777" w:rsidTr="00FB0D02">
        <w:trPr>
          <w:trHeight w:val="204"/>
        </w:trPr>
        <w:tc>
          <w:tcPr>
            <w:tcW w:w="2016" w:type="pct"/>
            <w:tcBorders>
              <w:top w:val="nil"/>
              <w:left w:val="nil"/>
              <w:bottom w:val="nil"/>
              <w:right w:val="nil"/>
            </w:tcBorders>
            <w:shd w:val="clear" w:color="auto" w:fill="auto"/>
            <w:vAlign w:val="bottom"/>
            <w:hideMark/>
          </w:tcPr>
          <w:p w14:paraId="62A51D37"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Capital asset additions</w:t>
            </w:r>
          </w:p>
        </w:tc>
        <w:tc>
          <w:tcPr>
            <w:tcW w:w="583" w:type="pct"/>
            <w:tcBorders>
              <w:top w:val="nil"/>
              <w:left w:val="nil"/>
              <w:bottom w:val="nil"/>
              <w:right w:val="nil"/>
            </w:tcBorders>
            <w:shd w:val="clear" w:color="auto" w:fill="auto"/>
            <w:noWrap/>
            <w:vAlign w:val="bottom"/>
            <w:hideMark/>
          </w:tcPr>
          <w:p w14:paraId="735EABFB" w14:textId="77777777" w:rsidR="00D26033" w:rsidRPr="002A338C" w:rsidRDefault="00D26033" w:rsidP="00D26033">
            <w:pPr>
              <w:spacing w:after="0" w:line="240" w:lineRule="auto"/>
              <w:jc w:val="right"/>
              <w:rPr>
                <w:rFonts w:ascii="Arial" w:hAnsi="Arial" w:cs="Arial"/>
                <w:b/>
                <w:bCs/>
                <w:sz w:val="16"/>
                <w:szCs w:val="16"/>
              </w:rPr>
            </w:pPr>
          </w:p>
        </w:tc>
        <w:tc>
          <w:tcPr>
            <w:tcW w:w="631" w:type="pct"/>
            <w:tcBorders>
              <w:top w:val="nil"/>
              <w:left w:val="nil"/>
              <w:bottom w:val="nil"/>
              <w:right w:val="nil"/>
            </w:tcBorders>
            <w:shd w:val="clear" w:color="auto" w:fill="auto"/>
            <w:noWrap/>
            <w:vAlign w:val="bottom"/>
            <w:hideMark/>
          </w:tcPr>
          <w:p w14:paraId="11F8B6B2" w14:textId="77777777" w:rsidR="00D26033" w:rsidRPr="002A338C" w:rsidRDefault="00D26033" w:rsidP="00D26033">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0D857D8B" w14:textId="77777777" w:rsidR="00D26033" w:rsidRPr="002A338C" w:rsidRDefault="00D26033" w:rsidP="00D26033">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552DFDC9" w14:textId="77777777" w:rsidR="00D26033" w:rsidRPr="002A338C" w:rsidRDefault="00D26033" w:rsidP="00D26033">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606DDC03"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4F4BAE75" w14:textId="77777777" w:rsidTr="00FB0D02">
        <w:trPr>
          <w:trHeight w:val="204"/>
        </w:trPr>
        <w:tc>
          <w:tcPr>
            <w:tcW w:w="2016" w:type="pct"/>
            <w:tcBorders>
              <w:top w:val="nil"/>
              <w:left w:val="nil"/>
              <w:bottom w:val="nil"/>
              <w:right w:val="nil"/>
            </w:tcBorders>
            <w:shd w:val="clear" w:color="auto" w:fill="auto"/>
            <w:vAlign w:val="bottom"/>
            <w:hideMark/>
          </w:tcPr>
          <w:p w14:paraId="618A0B22"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Estimated expenditure on new or replacement assets</w:t>
            </w:r>
          </w:p>
        </w:tc>
        <w:tc>
          <w:tcPr>
            <w:tcW w:w="583" w:type="pct"/>
            <w:tcBorders>
              <w:top w:val="nil"/>
              <w:left w:val="nil"/>
              <w:bottom w:val="nil"/>
              <w:right w:val="nil"/>
            </w:tcBorders>
            <w:shd w:val="clear" w:color="auto" w:fill="auto"/>
            <w:noWrap/>
            <w:vAlign w:val="bottom"/>
            <w:hideMark/>
          </w:tcPr>
          <w:p w14:paraId="07DA1529" w14:textId="77777777" w:rsidR="00D26033" w:rsidRPr="002A338C" w:rsidRDefault="00D26033" w:rsidP="00D26033">
            <w:pPr>
              <w:spacing w:after="0" w:line="240" w:lineRule="auto"/>
              <w:ind w:firstLineChars="100" w:firstLine="161"/>
              <w:jc w:val="right"/>
              <w:rPr>
                <w:rFonts w:ascii="Arial" w:hAnsi="Arial" w:cs="Arial"/>
                <w:b/>
                <w:bCs/>
                <w:sz w:val="16"/>
                <w:szCs w:val="16"/>
              </w:rPr>
            </w:pPr>
          </w:p>
        </w:tc>
        <w:tc>
          <w:tcPr>
            <w:tcW w:w="631" w:type="pct"/>
            <w:tcBorders>
              <w:top w:val="nil"/>
              <w:left w:val="nil"/>
              <w:bottom w:val="nil"/>
              <w:right w:val="nil"/>
            </w:tcBorders>
            <w:shd w:val="clear" w:color="auto" w:fill="auto"/>
            <w:noWrap/>
            <w:vAlign w:val="bottom"/>
            <w:hideMark/>
          </w:tcPr>
          <w:p w14:paraId="546A7865" w14:textId="77777777" w:rsidR="00D26033" w:rsidRPr="002A338C" w:rsidRDefault="00D26033" w:rsidP="00D26033">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1399A4DE" w14:textId="77777777" w:rsidR="00D26033" w:rsidRPr="002A338C" w:rsidRDefault="00D26033" w:rsidP="00D26033">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08569AE4" w14:textId="77777777" w:rsidR="00D26033" w:rsidRPr="002A338C" w:rsidRDefault="00D26033" w:rsidP="00D26033">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7D80BFD1"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728DEA77" w14:textId="77777777" w:rsidTr="00FB0D02">
        <w:trPr>
          <w:trHeight w:val="204"/>
        </w:trPr>
        <w:tc>
          <w:tcPr>
            <w:tcW w:w="2016" w:type="pct"/>
            <w:tcBorders>
              <w:top w:val="nil"/>
              <w:left w:val="nil"/>
              <w:bottom w:val="nil"/>
              <w:right w:val="nil"/>
            </w:tcBorders>
            <w:shd w:val="clear" w:color="auto" w:fill="auto"/>
            <w:vAlign w:val="bottom"/>
            <w:hideMark/>
          </w:tcPr>
          <w:p w14:paraId="2570B052"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 xml:space="preserve">By purchase - appropriation ordinary annual services </w:t>
            </w:r>
            <w:r w:rsidRPr="002A338C">
              <w:rPr>
                <w:rFonts w:ascii="Arial" w:hAnsi="Arial" w:cs="Arial"/>
                <w:sz w:val="16"/>
                <w:szCs w:val="16"/>
                <w:vertAlign w:val="superscript"/>
              </w:rPr>
              <w:t>(a)</w:t>
            </w:r>
          </w:p>
        </w:tc>
        <w:tc>
          <w:tcPr>
            <w:tcW w:w="583" w:type="pct"/>
            <w:tcBorders>
              <w:top w:val="nil"/>
              <w:left w:val="nil"/>
              <w:bottom w:val="nil"/>
              <w:right w:val="nil"/>
            </w:tcBorders>
            <w:shd w:val="clear" w:color="auto" w:fill="auto"/>
            <w:noWrap/>
            <w:vAlign w:val="bottom"/>
            <w:hideMark/>
          </w:tcPr>
          <w:p w14:paraId="6F291041" w14:textId="0B7173C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480</w:t>
            </w:r>
          </w:p>
        </w:tc>
        <w:tc>
          <w:tcPr>
            <w:tcW w:w="631" w:type="pct"/>
            <w:tcBorders>
              <w:top w:val="nil"/>
              <w:left w:val="nil"/>
              <w:bottom w:val="nil"/>
              <w:right w:val="nil"/>
            </w:tcBorders>
            <w:shd w:val="clear" w:color="auto" w:fill="auto"/>
            <w:noWrap/>
            <w:vAlign w:val="bottom"/>
            <w:hideMark/>
          </w:tcPr>
          <w:p w14:paraId="15617EFC" w14:textId="1A74937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1,174</w:t>
            </w:r>
          </w:p>
        </w:tc>
        <w:tc>
          <w:tcPr>
            <w:tcW w:w="642" w:type="pct"/>
            <w:tcBorders>
              <w:top w:val="nil"/>
              <w:left w:val="nil"/>
              <w:bottom w:val="nil"/>
              <w:right w:val="nil"/>
            </w:tcBorders>
            <w:shd w:val="clear" w:color="auto" w:fill="auto"/>
            <w:noWrap/>
            <w:vAlign w:val="bottom"/>
            <w:hideMark/>
          </w:tcPr>
          <w:p w14:paraId="58513647" w14:textId="0549BF6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30,782</w:t>
            </w:r>
          </w:p>
        </w:tc>
        <w:tc>
          <w:tcPr>
            <w:tcW w:w="566" w:type="pct"/>
            <w:tcBorders>
              <w:top w:val="nil"/>
              <w:left w:val="nil"/>
              <w:bottom w:val="nil"/>
              <w:right w:val="nil"/>
            </w:tcBorders>
            <w:shd w:val="clear" w:color="auto" w:fill="auto"/>
            <w:noWrap/>
            <w:vAlign w:val="bottom"/>
            <w:hideMark/>
          </w:tcPr>
          <w:p w14:paraId="3E9C2C7E" w14:textId="793FB7D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0863AA6E" w14:textId="1C7C9783"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32,436</w:t>
            </w:r>
          </w:p>
        </w:tc>
      </w:tr>
      <w:tr w:rsidR="00D26033" w:rsidRPr="002A338C" w14:paraId="38CAFCA7" w14:textId="77777777" w:rsidTr="00FB0D02">
        <w:trPr>
          <w:trHeight w:val="204"/>
        </w:trPr>
        <w:tc>
          <w:tcPr>
            <w:tcW w:w="2016" w:type="pct"/>
            <w:tcBorders>
              <w:top w:val="nil"/>
              <w:left w:val="nil"/>
              <w:bottom w:val="nil"/>
              <w:right w:val="nil"/>
            </w:tcBorders>
            <w:shd w:val="clear" w:color="auto" w:fill="auto"/>
            <w:vAlign w:val="bottom"/>
            <w:hideMark/>
          </w:tcPr>
          <w:p w14:paraId="4968D363"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By purchase - appropriation ordinary annual services - ROU assets</w:t>
            </w:r>
          </w:p>
        </w:tc>
        <w:tc>
          <w:tcPr>
            <w:tcW w:w="583" w:type="pct"/>
            <w:tcBorders>
              <w:top w:val="nil"/>
              <w:left w:val="nil"/>
              <w:bottom w:val="nil"/>
              <w:right w:val="nil"/>
            </w:tcBorders>
            <w:shd w:val="clear" w:color="auto" w:fill="auto"/>
            <w:noWrap/>
            <w:vAlign w:val="bottom"/>
            <w:hideMark/>
          </w:tcPr>
          <w:p w14:paraId="5582560E" w14:textId="72CD3F5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1,225</w:t>
            </w:r>
          </w:p>
        </w:tc>
        <w:tc>
          <w:tcPr>
            <w:tcW w:w="631" w:type="pct"/>
            <w:tcBorders>
              <w:top w:val="nil"/>
              <w:left w:val="nil"/>
              <w:bottom w:val="nil"/>
              <w:right w:val="nil"/>
            </w:tcBorders>
            <w:shd w:val="clear" w:color="auto" w:fill="auto"/>
            <w:noWrap/>
            <w:vAlign w:val="bottom"/>
            <w:hideMark/>
          </w:tcPr>
          <w:p w14:paraId="042C2FCE" w14:textId="4704337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w:t>
            </w:r>
          </w:p>
        </w:tc>
        <w:tc>
          <w:tcPr>
            <w:tcW w:w="642" w:type="pct"/>
            <w:tcBorders>
              <w:top w:val="nil"/>
              <w:left w:val="nil"/>
              <w:bottom w:val="nil"/>
              <w:right w:val="nil"/>
            </w:tcBorders>
            <w:shd w:val="clear" w:color="auto" w:fill="auto"/>
            <w:noWrap/>
            <w:vAlign w:val="bottom"/>
            <w:hideMark/>
          </w:tcPr>
          <w:p w14:paraId="2E32A7B6" w14:textId="0737391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hideMark/>
          </w:tcPr>
          <w:p w14:paraId="6858BB98" w14:textId="6C951D0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F21A530" w14:textId="2F87D6A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1,241</w:t>
            </w:r>
          </w:p>
        </w:tc>
      </w:tr>
      <w:tr w:rsidR="00D26033" w:rsidRPr="002A338C" w14:paraId="203F28FF" w14:textId="77777777" w:rsidTr="00FB0D02">
        <w:trPr>
          <w:trHeight w:val="204"/>
        </w:trPr>
        <w:tc>
          <w:tcPr>
            <w:tcW w:w="2016" w:type="pct"/>
            <w:tcBorders>
              <w:top w:val="nil"/>
              <w:left w:val="nil"/>
              <w:bottom w:val="nil"/>
              <w:right w:val="nil"/>
            </w:tcBorders>
            <w:shd w:val="clear" w:color="auto" w:fill="auto"/>
            <w:vAlign w:val="bottom"/>
            <w:hideMark/>
          </w:tcPr>
          <w:p w14:paraId="5E4B60D1"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Total additions</w:t>
            </w:r>
          </w:p>
        </w:tc>
        <w:tc>
          <w:tcPr>
            <w:tcW w:w="583" w:type="pct"/>
            <w:tcBorders>
              <w:top w:val="single" w:sz="4" w:space="0" w:color="auto"/>
              <w:left w:val="nil"/>
              <w:bottom w:val="nil"/>
              <w:right w:val="nil"/>
            </w:tcBorders>
            <w:shd w:val="clear" w:color="auto" w:fill="auto"/>
            <w:noWrap/>
            <w:vAlign w:val="bottom"/>
            <w:hideMark/>
          </w:tcPr>
          <w:p w14:paraId="0CCE1D14" w14:textId="0941E224"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1,705</w:t>
            </w:r>
          </w:p>
        </w:tc>
        <w:tc>
          <w:tcPr>
            <w:tcW w:w="631" w:type="pct"/>
            <w:tcBorders>
              <w:top w:val="single" w:sz="4" w:space="0" w:color="auto"/>
              <w:left w:val="nil"/>
              <w:bottom w:val="nil"/>
              <w:right w:val="nil"/>
            </w:tcBorders>
            <w:shd w:val="clear" w:color="auto" w:fill="auto"/>
            <w:noWrap/>
            <w:vAlign w:val="bottom"/>
            <w:hideMark/>
          </w:tcPr>
          <w:p w14:paraId="5A3E3200" w14:textId="3F8D380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1,190</w:t>
            </w:r>
          </w:p>
        </w:tc>
        <w:tc>
          <w:tcPr>
            <w:tcW w:w="642" w:type="pct"/>
            <w:tcBorders>
              <w:top w:val="single" w:sz="4" w:space="0" w:color="auto"/>
              <w:left w:val="nil"/>
              <w:bottom w:val="nil"/>
              <w:right w:val="nil"/>
            </w:tcBorders>
            <w:shd w:val="clear" w:color="auto" w:fill="auto"/>
            <w:noWrap/>
            <w:vAlign w:val="bottom"/>
            <w:hideMark/>
          </w:tcPr>
          <w:p w14:paraId="1F110A83" w14:textId="27AB19D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30,782</w:t>
            </w:r>
          </w:p>
        </w:tc>
        <w:tc>
          <w:tcPr>
            <w:tcW w:w="566" w:type="pct"/>
            <w:tcBorders>
              <w:top w:val="single" w:sz="4" w:space="0" w:color="auto"/>
              <w:left w:val="nil"/>
              <w:bottom w:val="nil"/>
              <w:right w:val="nil"/>
            </w:tcBorders>
            <w:shd w:val="clear" w:color="auto" w:fill="auto"/>
            <w:noWrap/>
            <w:vAlign w:val="bottom"/>
            <w:hideMark/>
          </w:tcPr>
          <w:p w14:paraId="6BCCF544" w14:textId="6A0A4662"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14:paraId="30EA1BF4" w14:textId="273B072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33,677</w:t>
            </w:r>
          </w:p>
        </w:tc>
      </w:tr>
      <w:tr w:rsidR="00D26033" w:rsidRPr="002A338C" w14:paraId="70E43E69" w14:textId="77777777" w:rsidTr="00FB0D02">
        <w:trPr>
          <w:trHeight w:val="204"/>
        </w:trPr>
        <w:tc>
          <w:tcPr>
            <w:tcW w:w="2016" w:type="pct"/>
            <w:tcBorders>
              <w:top w:val="nil"/>
              <w:left w:val="nil"/>
              <w:bottom w:val="nil"/>
              <w:right w:val="nil"/>
            </w:tcBorders>
            <w:shd w:val="clear" w:color="auto" w:fill="auto"/>
            <w:vAlign w:val="bottom"/>
            <w:hideMark/>
          </w:tcPr>
          <w:p w14:paraId="321491CF"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Other movements</w:t>
            </w:r>
          </w:p>
        </w:tc>
        <w:tc>
          <w:tcPr>
            <w:tcW w:w="583" w:type="pct"/>
            <w:tcBorders>
              <w:top w:val="single" w:sz="4" w:space="0" w:color="auto"/>
              <w:left w:val="nil"/>
              <w:bottom w:val="nil"/>
              <w:right w:val="nil"/>
            </w:tcBorders>
            <w:shd w:val="clear" w:color="auto" w:fill="auto"/>
            <w:noWrap/>
            <w:vAlign w:val="bottom"/>
            <w:hideMark/>
          </w:tcPr>
          <w:p w14:paraId="5A2A7D80" w14:textId="1E8F2091" w:rsidR="00D26033" w:rsidRPr="002A338C" w:rsidRDefault="00D26033" w:rsidP="00D26033">
            <w:pPr>
              <w:spacing w:after="0" w:line="240" w:lineRule="auto"/>
              <w:jc w:val="right"/>
              <w:rPr>
                <w:rFonts w:ascii="Arial" w:hAnsi="Arial" w:cs="Arial"/>
                <w:b/>
                <w:bCs/>
                <w:sz w:val="16"/>
                <w:szCs w:val="16"/>
              </w:rPr>
            </w:pPr>
          </w:p>
        </w:tc>
        <w:tc>
          <w:tcPr>
            <w:tcW w:w="631" w:type="pct"/>
            <w:tcBorders>
              <w:top w:val="single" w:sz="4" w:space="0" w:color="auto"/>
              <w:left w:val="nil"/>
              <w:bottom w:val="nil"/>
              <w:right w:val="nil"/>
            </w:tcBorders>
            <w:shd w:val="clear" w:color="auto" w:fill="auto"/>
            <w:noWrap/>
            <w:vAlign w:val="bottom"/>
            <w:hideMark/>
          </w:tcPr>
          <w:p w14:paraId="2B1D8665" w14:textId="73E11EA2" w:rsidR="00D26033" w:rsidRPr="002A338C" w:rsidRDefault="00D26033" w:rsidP="00D26033">
            <w:pPr>
              <w:spacing w:after="0" w:line="240" w:lineRule="auto"/>
              <w:jc w:val="right"/>
              <w:rPr>
                <w:rFonts w:ascii="Arial" w:hAnsi="Arial" w:cs="Arial"/>
                <w:b/>
                <w:bCs/>
                <w:sz w:val="16"/>
                <w:szCs w:val="16"/>
              </w:rPr>
            </w:pPr>
          </w:p>
        </w:tc>
        <w:tc>
          <w:tcPr>
            <w:tcW w:w="642" w:type="pct"/>
            <w:tcBorders>
              <w:top w:val="single" w:sz="4" w:space="0" w:color="auto"/>
              <w:left w:val="nil"/>
              <w:bottom w:val="nil"/>
              <w:right w:val="nil"/>
            </w:tcBorders>
            <w:shd w:val="clear" w:color="auto" w:fill="auto"/>
            <w:noWrap/>
            <w:vAlign w:val="bottom"/>
            <w:hideMark/>
          </w:tcPr>
          <w:p w14:paraId="26B9A3F0" w14:textId="1E612364" w:rsidR="00D26033" w:rsidRPr="002A338C" w:rsidRDefault="00D26033" w:rsidP="00D26033">
            <w:pPr>
              <w:spacing w:after="0" w:line="240" w:lineRule="auto"/>
              <w:jc w:val="right"/>
              <w:rPr>
                <w:rFonts w:ascii="Arial" w:hAnsi="Arial" w:cs="Arial"/>
                <w:b/>
                <w:bCs/>
                <w:sz w:val="16"/>
                <w:szCs w:val="16"/>
              </w:rPr>
            </w:pPr>
          </w:p>
        </w:tc>
        <w:tc>
          <w:tcPr>
            <w:tcW w:w="566" w:type="pct"/>
            <w:tcBorders>
              <w:top w:val="single" w:sz="4" w:space="0" w:color="auto"/>
              <w:left w:val="nil"/>
              <w:bottom w:val="nil"/>
              <w:right w:val="nil"/>
            </w:tcBorders>
            <w:shd w:val="clear" w:color="auto" w:fill="auto"/>
            <w:noWrap/>
            <w:vAlign w:val="bottom"/>
            <w:hideMark/>
          </w:tcPr>
          <w:p w14:paraId="3AD30076" w14:textId="0F977498" w:rsidR="00D26033" w:rsidRPr="002A338C" w:rsidRDefault="00D26033" w:rsidP="00D26033">
            <w:pPr>
              <w:spacing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4BC57347" w14:textId="4060A6B6" w:rsidR="00D26033" w:rsidRPr="002A338C" w:rsidRDefault="00D26033" w:rsidP="00D26033">
            <w:pPr>
              <w:spacing w:after="0" w:line="240" w:lineRule="auto"/>
              <w:jc w:val="right"/>
              <w:rPr>
                <w:rFonts w:ascii="Arial" w:hAnsi="Arial" w:cs="Arial"/>
                <w:b/>
                <w:bCs/>
                <w:sz w:val="16"/>
                <w:szCs w:val="16"/>
              </w:rPr>
            </w:pPr>
          </w:p>
        </w:tc>
      </w:tr>
      <w:tr w:rsidR="00D26033" w:rsidRPr="002A338C" w14:paraId="26598A02" w14:textId="77777777" w:rsidTr="00FB0D02">
        <w:trPr>
          <w:trHeight w:val="204"/>
        </w:trPr>
        <w:tc>
          <w:tcPr>
            <w:tcW w:w="2016" w:type="pct"/>
            <w:tcBorders>
              <w:top w:val="nil"/>
              <w:left w:val="nil"/>
              <w:bottom w:val="nil"/>
              <w:right w:val="nil"/>
            </w:tcBorders>
            <w:shd w:val="clear" w:color="auto" w:fill="auto"/>
            <w:vAlign w:val="bottom"/>
            <w:hideMark/>
          </w:tcPr>
          <w:p w14:paraId="7F3B3741"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Depreciation/amortisation expense</w:t>
            </w:r>
          </w:p>
        </w:tc>
        <w:tc>
          <w:tcPr>
            <w:tcW w:w="583" w:type="pct"/>
            <w:tcBorders>
              <w:top w:val="nil"/>
              <w:left w:val="nil"/>
              <w:bottom w:val="nil"/>
              <w:right w:val="nil"/>
            </w:tcBorders>
            <w:shd w:val="clear" w:color="auto" w:fill="auto"/>
            <w:noWrap/>
            <w:vAlign w:val="bottom"/>
            <w:hideMark/>
          </w:tcPr>
          <w:p w14:paraId="1DC3B539" w14:textId="153682A2"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(3,690)</w:t>
            </w:r>
          </w:p>
        </w:tc>
        <w:tc>
          <w:tcPr>
            <w:tcW w:w="631" w:type="pct"/>
            <w:tcBorders>
              <w:top w:val="nil"/>
              <w:left w:val="nil"/>
              <w:bottom w:val="nil"/>
              <w:right w:val="nil"/>
            </w:tcBorders>
            <w:shd w:val="clear" w:color="auto" w:fill="auto"/>
            <w:noWrap/>
            <w:vAlign w:val="bottom"/>
            <w:hideMark/>
          </w:tcPr>
          <w:p w14:paraId="780C01E1" w14:textId="5905853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(4,873)</w:t>
            </w:r>
          </w:p>
        </w:tc>
        <w:tc>
          <w:tcPr>
            <w:tcW w:w="642" w:type="pct"/>
            <w:tcBorders>
              <w:top w:val="nil"/>
              <w:left w:val="nil"/>
              <w:bottom w:val="nil"/>
              <w:right w:val="nil"/>
            </w:tcBorders>
            <w:shd w:val="clear" w:color="auto" w:fill="auto"/>
            <w:noWrap/>
            <w:vAlign w:val="bottom"/>
            <w:hideMark/>
          </w:tcPr>
          <w:p w14:paraId="7FB0FB16" w14:textId="369ACC31"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(8,090)</w:t>
            </w:r>
          </w:p>
        </w:tc>
        <w:tc>
          <w:tcPr>
            <w:tcW w:w="566" w:type="pct"/>
            <w:tcBorders>
              <w:top w:val="nil"/>
              <w:left w:val="nil"/>
              <w:bottom w:val="nil"/>
              <w:right w:val="nil"/>
            </w:tcBorders>
            <w:shd w:val="clear" w:color="auto" w:fill="auto"/>
            <w:noWrap/>
            <w:vAlign w:val="bottom"/>
            <w:hideMark/>
          </w:tcPr>
          <w:p w14:paraId="439D7FFD" w14:textId="4B0A33B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(142)</w:t>
            </w:r>
          </w:p>
        </w:tc>
        <w:tc>
          <w:tcPr>
            <w:tcW w:w="562" w:type="pct"/>
            <w:tcBorders>
              <w:top w:val="nil"/>
              <w:left w:val="nil"/>
              <w:bottom w:val="nil"/>
              <w:right w:val="nil"/>
            </w:tcBorders>
            <w:shd w:val="clear" w:color="auto" w:fill="auto"/>
            <w:noWrap/>
            <w:vAlign w:val="bottom"/>
            <w:hideMark/>
          </w:tcPr>
          <w:p w14:paraId="0C43F6A3" w14:textId="777EDE24"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(16,795)</w:t>
            </w:r>
          </w:p>
        </w:tc>
      </w:tr>
      <w:tr w:rsidR="00D26033" w:rsidRPr="002A338C" w14:paraId="151F3051" w14:textId="77777777" w:rsidTr="00FB0D02">
        <w:trPr>
          <w:trHeight w:val="204"/>
        </w:trPr>
        <w:tc>
          <w:tcPr>
            <w:tcW w:w="2016" w:type="pct"/>
            <w:tcBorders>
              <w:top w:val="nil"/>
              <w:left w:val="nil"/>
              <w:bottom w:val="nil"/>
              <w:right w:val="nil"/>
            </w:tcBorders>
            <w:shd w:val="clear" w:color="auto" w:fill="auto"/>
            <w:vAlign w:val="bottom"/>
            <w:hideMark/>
          </w:tcPr>
          <w:p w14:paraId="54102A72" w14:textId="77777777" w:rsidR="00D26033" w:rsidRPr="002A338C" w:rsidRDefault="00D26033" w:rsidP="00D26033">
            <w:pPr>
              <w:spacing w:after="0" w:line="240" w:lineRule="auto"/>
              <w:ind w:left="227"/>
              <w:rPr>
                <w:rFonts w:ascii="Arial" w:hAnsi="Arial" w:cs="Arial"/>
                <w:sz w:val="16"/>
                <w:szCs w:val="16"/>
              </w:rPr>
            </w:pPr>
            <w:r w:rsidRPr="002A338C">
              <w:rPr>
                <w:rFonts w:ascii="Arial" w:hAnsi="Arial" w:cs="Arial"/>
                <w:sz w:val="16"/>
                <w:szCs w:val="16"/>
              </w:rPr>
              <w:t>Depreciation/amortisation on ROU assets</w:t>
            </w:r>
          </w:p>
        </w:tc>
        <w:tc>
          <w:tcPr>
            <w:tcW w:w="583" w:type="pct"/>
            <w:tcBorders>
              <w:top w:val="nil"/>
              <w:left w:val="nil"/>
              <w:bottom w:val="nil"/>
              <w:right w:val="nil"/>
            </w:tcBorders>
            <w:shd w:val="clear" w:color="auto" w:fill="auto"/>
            <w:noWrap/>
            <w:vAlign w:val="bottom"/>
            <w:hideMark/>
          </w:tcPr>
          <w:p w14:paraId="0B392857" w14:textId="4988E37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(20,153)</w:t>
            </w:r>
          </w:p>
        </w:tc>
        <w:tc>
          <w:tcPr>
            <w:tcW w:w="631" w:type="pct"/>
            <w:tcBorders>
              <w:top w:val="nil"/>
              <w:left w:val="nil"/>
              <w:bottom w:val="nil"/>
              <w:right w:val="nil"/>
            </w:tcBorders>
            <w:shd w:val="clear" w:color="auto" w:fill="auto"/>
            <w:noWrap/>
            <w:vAlign w:val="bottom"/>
            <w:hideMark/>
          </w:tcPr>
          <w:p w14:paraId="2ACD4BAD" w14:textId="0580708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(15)</w:t>
            </w:r>
          </w:p>
        </w:tc>
        <w:tc>
          <w:tcPr>
            <w:tcW w:w="642" w:type="pct"/>
            <w:tcBorders>
              <w:top w:val="nil"/>
              <w:left w:val="nil"/>
              <w:bottom w:val="nil"/>
              <w:right w:val="nil"/>
            </w:tcBorders>
            <w:shd w:val="clear" w:color="auto" w:fill="auto"/>
            <w:noWrap/>
            <w:vAlign w:val="bottom"/>
            <w:hideMark/>
          </w:tcPr>
          <w:p w14:paraId="20DCFCEC" w14:textId="56E8767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hideMark/>
          </w:tcPr>
          <w:p w14:paraId="58DFB1BD" w14:textId="2F16D2EF"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8B28EDB" w14:textId="4581918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(20,168)</w:t>
            </w:r>
          </w:p>
        </w:tc>
      </w:tr>
      <w:tr w:rsidR="00D26033" w:rsidRPr="002A338C" w14:paraId="69BEC20B" w14:textId="77777777" w:rsidTr="00FB0D02">
        <w:trPr>
          <w:trHeight w:val="204"/>
        </w:trPr>
        <w:tc>
          <w:tcPr>
            <w:tcW w:w="2016" w:type="pct"/>
            <w:tcBorders>
              <w:top w:val="nil"/>
              <w:left w:val="nil"/>
              <w:bottom w:val="nil"/>
              <w:right w:val="nil"/>
            </w:tcBorders>
            <w:shd w:val="clear" w:color="auto" w:fill="auto"/>
            <w:vAlign w:val="bottom"/>
            <w:hideMark/>
          </w:tcPr>
          <w:p w14:paraId="688D5536" w14:textId="77777777" w:rsidR="00D26033" w:rsidRPr="002A338C" w:rsidRDefault="00D26033" w:rsidP="00D26033">
            <w:pPr>
              <w:spacing w:after="0" w:line="240" w:lineRule="auto"/>
              <w:ind w:left="113"/>
              <w:rPr>
                <w:rFonts w:ascii="Arial" w:hAnsi="Arial" w:cs="Arial"/>
                <w:b/>
                <w:bCs/>
                <w:sz w:val="16"/>
                <w:szCs w:val="16"/>
              </w:rPr>
            </w:pPr>
            <w:r w:rsidRPr="002A338C">
              <w:rPr>
                <w:rFonts w:ascii="Arial" w:hAnsi="Arial" w:cs="Arial"/>
                <w:b/>
                <w:bCs/>
                <w:sz w:val="16"/>
                <w:szCs w:val="16"/>
              </w:rPr>
              <w:t>Total other movements</w:t>
            </w:r>
          </w:p>
        </w:tc>
        <w:tc>
          <w:tcPr>
            <w:tcW w:w="583" w:type="pct"/>
            <w:tcBorders>
              <w:top w:val="single" w:sz="4" w:space="0" w:color="auto"/>
              <w:left w:val="nil"/>
              <w:bottom w:val="single" w:sz="4" w:space="0" w:color="auto"/>
              <w:right w:val="nil"/>
            </w:tcBorders>
            <w:shd w:val="clear" w:color="auto" w:fill="auto"/>
            <w:noWrap/>
            <w:vAlign w:val="bottom"/>
            <w:hideMark/>
          </w:tcPr>
          <w:p w14:paraId="110AE4E4" w14:textId="5CD587B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(23,843)</w:t>
            </w:r>
          </w:p>
        </w:tc>
        <w:tc>
          <w:tcPr>
            <w:tcW w:w="631" w:type="pct"/>
            <w:tcBorders>
              <w:top w:val="single" w:sz="4" w:space="0" w:color="auto"/>
              <w:left w:val="nil"/>
              <w:bottom w:val="single" w:sz="4" w:space="0" w:color="auto"/>
              <w:right w:val="nil"/>
            </w:tcBorders>
            <w:shd w:val="clear" w:color="auto" w:fill="auto"/>
            <w:noWrap/>
            <w:vAlign w:val="bottom"/>
            <w:hideMark/>
          </w:tcPr>
          <w:p w14:paraId="69FBC45C" w14:textId="55766C1D"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(4,888)</w:t>
            </w:r>
          </w:p>
        </w:tc>
        <w:tc>
          <w:tcPr>
            <w:tcW w:w="642" w:type="pct"/>
            <w:tcBorders>
              <w:top w:val="single" w:sz="4" w:space="0" w:color="auto"/>
              <w:left w:val="nil"/>
              <w:bottom w:val="single" w:sz="4" w:space="0" w:color="auto"/>
              <w:right w:val="nil"/>
            </w:tcBorders>
            <w:shd w:val="clear" w:color="auto" w:fill="auto"/>
            <w:noWrap/>
            <w:vAlign w:val="bottom"/>
            <w:hideMark/>
          </w:tcPr>
          <w:p w14:paraId="7AA8ECD6" w14:textId="19D6468A"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(8,090)</w:t>
            </w:r>
          </w:p>
        </w:tc>
        <w:tc>
          <w:tcPr>
            <w:tcW w:w="566" w:type="pct"/>
            <w:tcBorders>
              <w:top w:val="single" w:sz="4" w:space="0" w:color="auto"/>
              <w:left w:val="nil"/>
              <w:bottom w:val="single" w:sz="4" w:space="0" w:color="auto"/>
              <w:right w:val="nil"/>
            </w:tcBorders>
            <w:shd w:val="clear" w:color="auto" w:fill="auto"/>
            <w:noWrap/>
            <w:vAlign w:val="bottom"/>
            <w:hideMark/>
          </w:tcPr>
          <w:p w14:paraId="3D92D1C4" w14:textId="235E19C3"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(142)</w:t>
            </w:r>
          </w:p>
        </w:tc>
        <w:tc>
          <w:tcPr>
            <w:tcW w:w="562" w:type="pct"/>
            <w:tcBorders>
              <w:top w:val="single" w:sz="4" w:space="0" w:color="auto"/>
              <w:left w:val="nil"/>
              <w:bottom w:val="single" w:sz="4" w:space="0" w:color="auto"/>
              <w:right w:val="nil"/>
            </w:tcBorders>
            <w:shd w:val="clear" w:color="auto" w:fill="auto"/>
            <w:noWrap/>
            <w:vAlign w:val="bottom"/>
            <w:hideMark/>
          </w:tcPr>
          <w:p w14:paraId="44862824" w14:textId="1B38BDFB"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(36,963)</w:t>
            </w:r>
          </w:p>
        </w:tc>
      </w:tr>
      <w:tr w:rsidR="00D26033" w:rsidRPr="002A338C" w14:paraId="6F7E1BAE" w14:textId="77777777" w:rsidTr="00FB0D02">
        <w:trPr>
          <w:trHeight w:val="204"/>
        </w:trPr>
        <w:tc>
          <w:tcPr>
            <w:tcW w:w="2016" w:type="pct"/>
            <w:tcBorders>
              <w:top w:val="nil"/>
              <w:left w:val="nil"/>
              <w:bottom w:val="nil"/>
              <w:right w:val="nil"/>
            </w:tcBorders>
            <w:shd w:val="clear" w:color="auto" w:fill="auto"/>
            <w:vAlign w:val="bottom"/>
            <w:hideMark/>
          </w:tcPr>
          <w:p w14:paraId="56271F73"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As at 30 June 2023</w:t>
            </w:r>
          </w:p>
        </w:tc>
        <w:tc>
          <w:tcPr>
            <w:tcW w:w="583" w:type="pct"/>
            <w:tcBorders>
              <w:top w:val="nil"/>
              <w:left w:val="nil"/>
              <w:bottom w:val="nil"/>
              <w:right w:val="nil"/>
            </w:tcBorders>
            <w:shd w:val="clear" w:color="auto" w:fill="auto"/>
            <w:noWrap/>
            <w:vAlign w:val="bottom"/>
            <w:hideMark/>
          </w:tcPr>
          <w:p w14:paraId="35EE577E" w14:textId="77777777" w:rsidR="00D26033" w:rsidRPr="002A338C" w:rsidRDefault="00D26033" w:rsidP="00D26033">
            <w:pPr>
              <w:spacing w:after="0" w:line="240" w:lineRule="auto"/>
              <w:jc w:val="right"/>
              <w:rPr>
                <w:rFonts w:ascii="Arial" w:hAnsi="Arial" w:cs="Arial"/>
                <w:b/>
                <w:bCs/>
                <w:sz w:val="16"/>
                <w:szCs w:val="16"/>
              </w:rPr>
            </w:pPr>
          </w:p>
        </w:tc>
        <w:tc>
          <w:tcPr>
            <w:tcW w:w="631" w:type="pct"/>
            <w:tcBorders>
              <w:top w:val="nil"/>
              <w:left w:val="nil"/>
              <w:bottom w:val="nil"/>
              <w:right w:val="nil"/>
            </w:tcBorders>
            <w:shd w:val="clear" w:color="auto" w:fill="auto"/>
            <w:noWrap/>
            <w:vAlign w:val="bottom"/>
            <w:hideMark/>
          </w:tcPr>
          <w:p w14:paraId="139F5903" w14:textId="77777777" w:rsidR="00D26033" w:rsidRPr="002A338C" w:rsidRDefault="00D26033" w:rsidP="00D26033">
            <w:pPr>
              <w:spacing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63269291" w14:textId="77777777" w:rsidR="00D26033" w:rsidRPr="002A338C" w:rsidRDefault="00D26033" w:rsidP="00D26033">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59D1B3A5" w14:textId="77777777" w:rsidR="00D26033" w:rsidRPr="002A338C" w:rsidRDefault="00D26033" w:rsidP="00D26033">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5CE59B27" w14:textId="77777777" w:rsidR="00D26033" w:rsidRPr="002A338C" w:rsidRDefault="00D26033" w:rsidP="00D26033">
            <w:pPr>
              <w:spacing w:after="0" w:line="240" w:lineRule="auto"/>
              <w:jc w:val="right"/>
              <w:rPr>
                <w:rFonts w:ascii="Arial" w:hAnsi="Arial" w:cs="Arial"/>
                <w:sz w:val="16"/>
                <w:szCs w:val="16"/>
              </w:rPr>
            </w:pPr>
          </w:p>
        </w:tc>
      </w:tr>
      <w:tr w:rsidR="00D26033" w:rsidRPr="002A338C" w14:paraId="157548E7" w14:textId="77777777" w:rsidTr="00FB0D02">
        <w:trPr>
          <w:trHeight w:val="204"/>
        </w:trPr>
        <w:tc>
          <w:tcPr>
            <w:tcW w:w="2016" w:type="pct"/>
            <w:tcBorders>
              <w:top w:val="nil"/>
              <w:left w:val="nil"/>
              <w:bottom w:val="nil"/>
              <w:right w:val="nil"/>
            </w:tcBorders>
            <w:shd w:val="clear" w:color="auto" w:fill="auto"/>
            <w:vAlign w:val="bottom"/>
            <w:hideMark/>
          </w:tcPr>
          <w:p w14:paraId="53F8CD5C"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Gross book value</w:t>
            </w:r>
          </w:p>
        </w:tc>
        <w:tc>
          <w:tcPr>
            <w:tcW w:w="583" w:type="pct"/>
            <w:tcBorders>
              <w:top w:val="nil"/>
              <w:left w:val="nil"/>
              <w:bottom w:val="nil"/>
              <w:right w:val="nil"/>
            </w:tcBorders>
            <w:shd w:val="clear" w:color="auto" w:fill="auto"/>
            <w:noWrap/>
            <w:vAlign w:val="bottom"/>
            <w:hideMark/>
          </w:tcPr>
          <w:p w14:paraId="0AEB12AC" w14:textId="19A6EAC6"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35,353</w:t>
            </w:r>
          </w:p>
        </w:tc>
        <w:tc>
          <w:tcPr>
            <w:tcW w:w="631" w:type="pct"/>
            <w:tcBorders>
              <w:top w:val="nil"/>
              <w:left w:val="nil"/>
              <w:bottom w:val="nil"/>
              <w:right w:val="nil"/>
            </w:tcBorders>
            <w:shd w:val="clear" w:color="auto" w:fill="auto"/>
            <w:noWrap/>
            <w:vAlign w:val="bottom"/>
            <w:hideMark/>
          </w:tcPr>
          <w:p w14:paraId="77381890" w14:textId="3389808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35,390</w:t>
            </w:r>
          </w:p>
        </w:tc>
        <w:tc>
          <w:tcPr>
            <w:tcW w:w="642" w:type="pct"/>
            <w:tcBorders>
              <w:top w:val="nil"/>
              <w:left w:val="nil"/>
              <w:bottom w:val="nil"/>
              <w:right w:val="nil"/>
            </w:tcBorders>
            <w:shd w:val="clear" w:color="auto" w:fill="auto"/>
            <w:noWrap/>
            <w:vAlign w:val="bottom"/>
            <w:hideMark/>
          </w:tcPr>
          <w:p w14:paraId="3E13427A" w14:textId="3D138EC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132,382</w:t>
            </w:r>
          </w:p>
        </w:tc>
        <w:tc>
          <w:tcPr>
            <w:tcW w:w="566" w:type="pct"/>
            <w:tcBorders>
              <w:top w:val="nil"/>
              <w:left w:val="nil"/>
              <w:bottom w:val="nil"/>
              <w:right w:val="nil"/>
            </w:tcBorders>
            <w:shd w:val="clear" w:color="auto" w:fill="auto"/>
            <w:noWrap/>
            <w:vAlign w:val="bottom"/>
            <w:hideMark/>
          </w:tcPr>
          <w:p w14:paraId="03EA0709" w14:textId="3259782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43,038</w:t>
            </w:r>
          </w:p>
        </w:tc>
        <w:tc>
          <w:tcPr>
            <w:tcW w:w="562" w:type="pct"/>
            <w:tcBorders>
              <w:top w:val="nil"/>
              <w:left w:val="nil"/>
              <w:bottom w:val="nil"/>
              <w:right w:val="nil"/>
            </w:tcBorders>
            <w:shd w:val="clear" w:color="auto" w:fill="auto"/>
            <w:noWrap/>
            <w:vAlign w:val="bottom"/>
            <w:hideMark/>
          </w:tcPr>
          <w:p w14:paraId="441C8709" w14:textId="2D6366C8"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246,163</w:t>
            </w:r>
          </w:p>
        </w:tc>
      </w:tr>
      <w:tr w:rsidR="00D26033" w:rsidRPr="002A338C" w14:paraId="0D8FEE60" w14:textId="77777777" w:rsidTr="00FB0D02">
        <w:trPr>
          <w:trHeight w:val="204"/>
        </w:trPr>
        <w:tc>
          <w:tcPr>
            <w:tcW w:w="2016" w:type="pct"/>
            <w:tcBorders>
              <w:top w:val="nil"/>
              <w:left w:val="nil"/>
              <w:bottom w:val="nil"/>
              <w:right w:val="nil"/>
            </w:tcBorders>
            <w:shd w:val="clear" w:color="auto" w:fill="auto"/>
            <w:vAlign w:val="bottom"/>
            <w:hideMark/>
          </w:tcPr>
          <w:p w14:paraId="4F7A7738"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Gross book value - ROU assets</w:t>
            </w:r>
          </w:p>
        </w:tc>
        <w:tc>
          <w:tcPr>
            <w:tcW w:w="583" w:type="pct"/>
            <w:tcBorders>
              <w:top w:val="nil"/>
              <w:left w:val="nil"/>
              <w:bottom w:val="nil"/>
              <w:right w:val="nil"/>
            </w:tcBorders>
            <w:shd w:val="clear" w:color="auto" w:fill="auto"/>
            <w:noWrap/>
            <w:vAlign w:val="bottom"/>
            <w:hideMark/>
          </w:tcPr>
          <w:p w14:paraId="283C8D1E" w14:textId="596ACEB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159,714</w:t>
            </w:r>
          </w:p>
        </w:tc>
        <w:tc>
          <w:tcPr>
            <w:tcW w:w="631" w:type="pct"/>
            <w:tcBorders>
              <w:top w:val="nil"/>
              <w:left w:val="nil"/>
              <w:bottom w:val="nil"/>
              <w:right w:val="nil"/>
            </w:tcBorders>
            <w:shd w:val="clear" w:color="auto" w:fill="auto"/>
            <w:noWrap/>
            <w:vAlign w:val="bottom"/>
            <w:hideMark/>
          </w:tcPr>
          <w:p w14:paraId="35FE6F59" w14:textId="7189F87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183</w:t>
            </w:r>
          </w:p>
        </w:tc>
        <w:tc>
          <w:tcPr>
            <w:tcW w:w="642" w:type="pct"/>
            <w:tcBorders>
              <w:top w:val="nil"/>
              <w:left w:val="nil"/>
              <w:bottom w:val="nil"/>
              <w:right w:val="nil"/>
            </w:tcBorders>
            <w:shd w:val="clear" w:color="auto" w:fill="auto"/>
            <w:noWrap/>
            <w:vAlign w:val="bottom"/>
            <w:hideMark/>
          </w:tcPr>
          <w:p w14:paraId="7D026CB0" w14:textId="550D8B8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hideMark/>
          </w:tcPr>
          <w:p w14:paraId="6110A774" w14:textId="03AD960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6F4EF5F" w14:textId="35614CE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159,897</w:t>
            </w:r>
          </w:p>
        </w:tc>
      </w:tr>
      <w:tr w:rsidR="00D26033" w:rsidRPr="002A338C" w14:paraId="0D6E13BC" w14:textId="77777777" w:rsidTr="00FB0D02">
        <w:trPr>
          <w:trHeight w:val="204"/>
        </w:trPr>
        <w:tc>
          <w:tcPr>
            <w:tcW w:w="2016" w:type="pct"/>
            <w:tcBorders>
              <w:top w:val="nil"/>
              <w:left w:val="nil"/>
              <w:bottom w:val="nil"/>
              <w:right w:val="nil"/>
            </w:tcBorders>
            <w:shd w:val="clear" w:color="auto" w:fill="auto"/>
            <w:vAlign w:val="bottom"/>
            <w:hideMark/>
          </w:tcPr>
          <w:p w14:paraId="65B88AB3"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Accumulated depreciation / amortisation and impairment</w:t>
            </w:r>
          </w:p>
        </w:tc>
        <w:tc>
          <w:tcPr>
            <w:tcW w:w="583" w:type="pct"/>
            <w:tcBorders>
              <w:top w:val="nil"/>
              <w:left w:val="nil"/>
              <w:bottom w:val="nil"/>
              <w:right w:val="nil"/>
            </w:tcBorders>
            <w:shd w:val="clear" w:color="auto" w:fill="auto"/>
            <w:noWrap/>
            <w:vAlign w:val="bottom"/>
            <w:hideMark/>
          </w:tcPr>
          <w:p w14:paraId="73ADED36" w14:textId="3ED53787"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(18,569)</w:t>
            </w:r>
          </w:p>
        </w:tc>
        <w:tc>
          <w:tcPr>
            <w:tcW w:w="631" w:type="pct"/>
            <w:tcBorders>
              <w:top w:val="nil"/>
              <w:left w:val="nil"/>
              <w:bottom w:val="nil"/>
              <w:right w:val="nil"/>
            </w:tcBorders>
            <w:shd w:val="clear" w:color="auto" w:fill="auto"/>
            <w:noWrap/>
            <w:vAlign w:val="bottom"/>
            <w:hideMark/>
          </w:tcPr>
          <w:p w14:paraId="727217F1" w14:textId="240F06B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(18,821)</w:t>
            </w:r>
          </w:p>
        </w:tc>
        <w:tc>
          <w:tcPr>
            <w:tcW w:w="642" w:type="pct"/>
            <w:tcBorders>
              <w:top w:val="nil"/>
              <w:left w:val="nil"/>
              <w:bottom w:val="nil"/>
              <w:right w:val="nil"/>
            </w:tcBorders>
            <w:shd w:val="clear" w:color="auto" w:fill="auto"/>
            <w:noWrap/>
            <w:vAlign w:val="bottom"/>
            <w:hideMark/>
          </w:tcPr>
          <w:p w14:paraId="1E0D64F9" w14:textId="64BD02A5"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(56,127)</w:t>
            </w:r>
          </w:p>
        </w:tc>
        <w:tc>
          <w:tcPr>
            <w:tcW w:w="566" w:type="pct"/>
            <w:tcBorders>
              <w:top w:val="nil"/>
              <w:left w:val="nil"/>
              <w:bottom w:val="nil"/>
              <w:right w:val="nil"/>
            </w:tcBorders>
            <w:shd w:val="clear" w:color="auto" w:fill="auto"/>
            <w:noWrap/>
            <w:vAlign w:val="bottom"/>
            <w:hideMark/>
          </w:tcPr>
          <w:p w14:paraId="02E77802" w14:textId="2D69B8FC"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(664)</w:t>
            </w:r>
          </w:p>
        </w:tc>
        <w:tc>
          <w:tcPr>
            <w:tcW w:w="562" w:type="pct"/>
            <w:tcBorders>
              <w:top w:val="nil"/>
              <w:left w:val="nil"/>
              <w:bottom w:val="nil"/>
              <w:right w:val="nil"/>
            </w:tcBorders>
            <w:shd w:val="clear" w:color="auto" w:fill="auto"/>
            <w:noWrap/>
            <w:vAlign w:val="bottom"/>
            <w:hideMark/>
          </w:tcPr>
          <w:p w14:paraId="04F38626" w14:textId="792B10B9"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(94,181)</w:t>
            </w:r>
          </w:p>
        </w:tc>
      </w:tr>
      <w:tr w:rsidR="00D26033" w:rsidRPr="002A338C" w14:paraId="5126134C" w14:textId="77777777" w:rsidTr="00FB0D02">
        <w:trPr>
          <w:trHeight w:val="204"/>
        </w:trPr>
        <w:tc>
          <w:tcPr>
            <w:tcW w:w="2016" w:type="pct"/>
            <w:tcBorders>
              <w:top w:val="nil"/>
              <w:left w:val="nil"/>
              <w:bottom w:val="nil"/>
              <w:right w:val="nil"/>
            </w:tcBorders>
            <w:shd w:val="clear" w:color="auto" w:fill="auto"/>
            <w:vAlign w:val="bottom"/>
            <w:hideMark/>
          </w:tcPr>
          <w:p w14:paraId="52F7D90B" w14:textId="77777777" w:rsidR="00D26033" w:rsidRPr="002A338C" w:rsidRDefault="00D26033" w:rsidP="00D26033">
            <w:pPr>
              <w:spacing w:after="0" w:line="240" w:lineRule="auto"/>
              <w:ind w:left="113"/>
              <w:rPr>
                <w:rFonts w:ascii="Arial" w:hAnsi="Arial" w:cs="Arial"/>
                <w:sz w:val="16"/>
                <w:szCs w:val="16"/>
              </w:rPr>
            </w:pPr>
            <w:r w:rsidRPr="002A338C">
              <w:rPr>
                <w:rFonts w:ascii="Arial" w:hAnsi="Arial" w:cs="Arial"/>
                <w:sz w:val="16"/>
                <w:szCs w:val="16"/>
              </w:rPr>
              <w:t>Accumulated depreciation / amortisation and impairment - ROU assets</w:t>
            </w:r>
          </w:p>
        </w:tc>
        <w:tc>
          <w:tcPr>
            <w:tcW w:w="583" w:type="pct"/>
            <w:tcBorders>
              <w:top w:val="nil"/>
              <w:left w:val="nil"/>
              <w:bottom w:val="nil"/>
              <w:right w:val="nil"/>
            </w:tcBorders>
            <w:shd w:val="clear" w:color="auto" w:fill="auto"/>
            <w:noWrap/>
            <w:vAlign w:val="bottom"/>
            <w:hideMark/>
          </w:tcPr>
          <w:p w14:paraId="094E7013" w14:textId="63A6BFC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(85,375)</w:t>
            </w:r>
          </w:p>
        </w:tc>
        <w:tc>
          <w:tcPr>
            <w:tcW w:w="631" w:type="pct"/>
            <w:tcBorders>
              <w:top w:val="nil"/>
              <w:left w:val="nil"/>
              <w:bottom w:val="nil"/>
              <w:right w:val="nil"/>
            </w:tcBorders>
            <w:shd w:val="clear" w:color="auto" w:fill="auto"/>
            <w:noWrap/>
            <w:vAlign w:val="bottom"/>
            <w:hideMark/>
          </w:tcPr>
          <w:p w14:paraId="212E4872" w14:textId="025ABA8E"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(132)</w:t>
            </w:r>
          </w:p>
        </w:tc>
        <w:tc>
          <w:tcPr>
            <w:tcW w:w="642" w:type="pct"/>
            <w:tcBorders>
              <w:top w:val="nil"/>
              <w:left w:val="nil"/>
              <w:bottom w:val="nil"/>
              <w:right w:val="nil"/>
            </w:tcBorders>
            <w:shd w:val="clear" w:color="auto" w:fill="auto"/>
            <w:noWrap/>
            <w:vAlign w:val="bottom"/>
            <w:hideMark/>
          </w:tcPr>
          <w:p w14:paraId="079DF218" w14:textId="70D11DC0"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hideMark/>
          </w:tcPr>
          <w:p w14:paraId="515D2A6E" w14:textId="216F400B"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E31A223" w14:textId="61270F5A" w:rsidR="00D26033" w:rsidRPr="002A338C" w:rsidRDefault="00D26033" w:rsidP="00D26033">
            <w:pPr>
              <w:spacing w:after="0" w:line="240" w:lineRule="auto"/>
              <w:jc w:val="right"/>
              <w:rPr>
                <w:rFonts w:ascii="Arial" w:hAnsi="Arial" w:cs="Arial"/>
                <w:sz w:val="16"/>
                <w:szCs w:val="16"/>
              </w:rPr>
            </w:pPr>
            <w:r>
              <w:rPr>
                <w:rFonts w:ascii="Arial" w:hAnsi="Arial" w:cs="Arial"/>
                <w:sz w:val="16"/>
                <w:szCs w:val="16"/>
              </w:rPr>
              <w:t>(85,507)</w:t>
            </w:r>
          </w:p>
        </w:tc>
      </w:tr>
      <w:tr w:rsidR="00D26033" w:rsidRPr="002A338C" w14:paraId="5EA91473" w14:textId="77777777" w:rsidTr="00FB0D02">
        <w:trPr>
          <w:trHeight w:val="204"/>
        </w:trPr>
        <w:tc>
          <w:tcPr>
            <w:tcW w:w="2016" w:type="pct"/>
            <w:tcBorders>
              <w:top w:val="nil"/>
              <w:left w:val="nil"/>
              <w:bottom w:val="single" w:sz="4" w:space="0" w:color="auto"/>
              <w:right w:val="nil"/>
            </w:tcBorders>
            <w:shd w:val="clear" w:color="auto" w:fill="auto"/>
            <w:noWrap/>
            <w:vAlign w:val="bottom"/>
            <w:hideMark/>
          </w:tcPr>
          <w:p w14:paraId="3CBF2ABE" w14:textId="77777777" w:rsidR="00D26033" w:rsidRPr="002A338C" w:rsidRDefault="00D26033" w:rsidP="00D26033">
            <w:pPr>
              <w:spacing w:after="0" w:line="240" w:lineRule="auto"/>
              <w:rPr>
                <w:rFonts w:ascii="Arial" w:hAnsi="Arial" w:cs="Arial"/>
                <w:b/>
                <w:bCs/>
                <w:sz w:val="16"/>
                <w:szCs w:val="16"/>
              </w:rPr>
            </w:pPr>
            <w:r w:rsidRPr="002A338C">
              <w:rPr>
                <w:rFonts w:ascii="Arial" w:hAnsi="Arial" w:cs="Arial"/>
                <w:b/>
                <w:bCs/>
                <w:sz w:val="16"/>
                <w:szCs w:val="16"/>
              </w:rPr>
              <w:t>Closing net book balance</w:t>
            </w:r>
          </w:p>
        </w:tc>
        <w:tc>
          <w:tcPr>
            <w:tcW w:w="583" w:type="pct"/>
            <w:tcBorders>
              <w:top w:val="single" w:sz="4" w:space="0" w:color="auto"/>
              <w:left w:val="nil"/>
              <w:bottom w:val="single" w:sz="4" w:space="0" w:color="auto"/>
              <w:right w:val="nil"/>
            </w:tcBorders>
            <w:shd w:val="clear" w:color="auto" w:fill="auto"/>
            <w:noWrap/>
            <w:vAlign w:val="bottom"/>
            <w:hideMark/>
          </w:tcPr>
          <w:p w14:paraId="0CD79697" w14:textId="43F8B20C"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91,123</w:t>
            </w:r>
          </w:p>
        </w:tc>
        <w:tc>
          <w:tcPr>
            <w:tcW w:w="631" w:type="pct"/>
            <w:tcBorders>
              <w:top w:val="single" w:sz="4" w:space="0" w:color="auto"/>
              <w:left w:val="nil"/>
              <w:bottom w:val="single" w:sz="4" w:space="0" w:color="auto"/>
              <w:right w:val="nil"/>
            </w:tcBorders>
            <w:shd w:val="clear" w:color="auto" w:fill="auto"/>
            <w:noWrap/>
            <w:vAlign w:val="bottom"/>
            <w:hideMark/>
          </w:tcPr>
          <w:p w14:paraId="45B8D0FC" w14:textId="36D35E36"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16,620</w:t>
            </w:r>
          </w:p>
        </w:tc>
        <w:tc>
          <w:tcPr>
            <w:tcW w:w="642" w:type="pct"/>
            <w:tcBorders>
              <w:top w:val="single" w:sz="4" w:space="0" w:color="auto"/>
              <w:left w:val="nil"/>
              <w:bottom w:val="single" w:sz="4" w:space="0" w:color="auto"/>
              <w:right w:val="nil"/>
            </w:tcBorders>
            <w:shd w:val="clear" w:color="auto" w:fill="auto"/>
            <w:noWrap/>
            <w:vAlign w:val="bottom"/>
            <w:hideMark/>
          </w:tcPr>
          <w:p w14:paraId="5E361AE1" w14:textId="65D20E03"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76,255</w:t>
            </w:r>
          </w:p>
        </w:tc>
        <w:tc>
          <w:tcPr>
            <w:tcW w:w="566" w:type="pct"/>
            <w:tcBorders>
              <w:top w:val="single" w:sz="4" w:space="0" w:color="auto"/>
              <w:left w:val="nil"/>
              <w:bottom w:val="single" w:sz="4" w:space="0" w:color="auto"/>
              <w:right w:val="nil"/>
            </w:tcBorders>
            <w:shd w:val="clear" w:color="auto" w:fill="auto"/>
            <w:noWrap/>
            <w:vAlign w:val="bottom"/>
            <w:hideMark/>
          </w:tcPr>
          <w:p w14:paraId="5CB20094" w14:textId="46708579"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42,374</w:t>
            </w:r>
          </w:p>
        </w:tc>
        <w:tc>
          <w:tcPr>
            <w:tcW w:w="562" w:type="pct"/>
            <w:tcBorders>
              <w:top w:val="single" w:sz="4" w:space="0" w:color="auto"/>
              <w:left w:val="nil"/>
              <w:bottom w:val="single" w:sz="4" w:space="0" w:color="auto"/>
              <w:right w:val="nil"/>
            </w:tcBorders>
            <w:shd w:val="clear" w:color="auto" w:fill="auto"/>
            <w:noWrap/>
            <w:vAlign w:val="bottom"/>
            <w:hideMark/>
          </w:tcPr>
          <w:p w14:paraId="33CD1B9D" w14:textId="65BD3A83" w:rsidR="00D26033" w:rsidRPr="002A338C" w:rsidRDefault="00D26033" w:rsidP="00D26033">
            <w:pPr>
              <w:spacing w:after="0" w:line="240" w:lineRule="auto"/>
              <w:jc w:val="right"/>
              <w:rPr>
                <w:rFonts w:ascii="Arial" w:hAnsi="Arial" w:cs="Arial"/>
                <w:b/>
                <w:bCs/>
                <w:sz w:val="16"/>
                <w:szCs w:val="16"/>
              </w:rPr>
            </w:pPr>
            <w:r>
              <w:rPr>
                <w:rFonts w:ascii="Arial" w:hAnsi="Arial" w:cs="Arial"/>
                <w:b/>
                <w:bCs/>
                <w:sz w:val="16"/>
                <w:szCs w:val="16"/>
              </w:rPr>
              <w:t>226,372</w:t>
            </w:r>
          </w:p>
        </w:tc>
      </w:tr>
    </w:tbl>
    <w:p w14:paraId="17826562" w14:textId="77777777" w:rsidR="00115843" w:rsidRDefault="00115843" w:rsidP="00115843">
      <w:pPr>
        <w:pStyle w:val="TableGraphic"/>
        <w:spacing w:before="60"/>
        <w:rPr>
          <w:rFonts w:ascii="Arial" w:hAnsi="Arial" w:cs="Arial"/>
          <w:sz w:val="16"/>
        </w:rPr>
      </w:pPr>
      <w:r w:rsidRPr="00D61C0E">
        <w:rPr>
          <w:rFonts w:ascii="Arial" w:hAnsi="Arial" w:cs="Arial"/>
          <w:sz w:val="16"/>
        </w:rPr>
        <w:t>Prepared on Australian Accounting Standards basis.</w:t>
      </w:r>
    </w:p>
    <w:p w14:paraId="00781FC5" w14:textId="170D4284" w:rsidR="00115843" w:rsidRPr="00D61C0E" w:rsidRDefault="00115843" w:rsidP="00115843">
      <w:pPr>
        <w:pStyle w:val="TableGraphic"/>
        <w:numPr>
          <w:ilvl w:val="4"/>
          <w:numId w:val="264"/>
        </w:numPr>
        <w:ind w:left="426" w:hanging="426"/>
        <w:rPr>
          <w:rFonts w:ascii="Arial" w:hAnsi="Arial" w:cs="Arial"/>
          <w:sz w:val="16"/>
        </w:rPr>
      </w:pPr>
      <w:r w:rsidRPr="00D61C0E">
        <w:rPr>
          <w:rFonts w:ascii="Arial" w:hAnsi="Arial" w:cs="Arial"/>
          <w:sz w:val="16"/>
        </w:rPr>
        <w:t>'Appropriation ordinary annual services' refers to funding provided through Appropriation Bill (</w:t>
      </w:r>
      <w:r>
        <w:rPr>
          <w:rFonts w:ascii="Arial" w:hAnsi="Arial" w:cs="Arial"/>
          <w:sz w:val="16"/>
        </w:rPr>
        <w:t>No. 1</w:t>
      </w:r>
      <w:r w:rsidRPr="00D61C0E">
        <w:rPr>
          <w:rFonts w:ascii="Arial" w:hAnsi="Arial" w:cs="Arial"/>
          <w:sz w:val="16"/>
        </w:rPr>
        <w:t>) 2022</w:t>
      </w:r>
      <w:r>
        <w:rPr>
          <w:rFonts w:ascii="Arial" w:hAnsi="Arial" w:cs="Arial"/>
          <w:sz w:val="16"/>
        </w:rPr>
        <w:noBreakHyphen/>
      </w:r>
      <w:r w:rsidRPr="00D61C0E">
        <w:rPr>
          <w:rFonts w:ascii="Arial" w:hAnsi="Arial" w:cs="Arial"/>
          <w:sz w:val="16"/>
        </w:rPr>
        <w:t xml:space="preserve">23 for depreciation/amortisation expenses, </w:t>
      </w:r>
      <w:r w:rsidR="00BC6931">
        <w:rPr>
          <w:rFonts w:ascii="Arial" w:hAnsi="Arial" w:cs="Arial"/>
          <w:sz w:val="16"/>
        </w:rPr>
        <w:t>D</w:t>
      </w:r>
      <w:r>
        <w:rPr>
          <w:rFonts w:ascii="Arial" w:hAnsi="Arial" w:cs="Arial"/>
          <w:sz w:val="16"/>
        </w:rPr>
        <w:t xml:space="preserve">epartmental </w:t>
      </w:r>
      <w:r w:rsidR="00BC6931">
        <w:rPr>
          <w:rFonts w:ascii="Arial" w:hAnsi="Arial" w:cs="Arial"/>
          <w:sz w:val="16"/>
        </w:rPr>
        <w:t>C</w:t>
      </w:r>
      <w:r>
        <w:rPr>
          <w:rFonts w:ascii="Arial" w:hAnsi="Arial" w:cs="Arial"/>
          <w:sz w:val="16"/>
        </w:rPr>
        <w:t xml:space="preserve">apital </w:t>
      </w:r>
      <w:r w:rsidR="00BC6931">
        <w:rPr>
          <w:rFonts w:ascii="Arial" w:hAnsi="Arial" w:cs="Arial"/>
          <w:sz w:val="16"/>
        </w:rPr>
        <w:t>B</w:t>
      </w:r>
      <w:r>
        <w:rPr>
          <w:rFonts w:ascii="Arial" w:hAnsi="Arial" w:cs="Arial"/>
          <w:sz w:val="16"/>
        </w:rPr>
        <w:t xml:space="preserve">udget </w:t>
      </w:r>
      <w:r w:rsidRPr="00D61C0E">
        <w:rPr>
          <w:rFonts w:ascii="Arial" w:hAnsi="Arial" w:cs="Arial"/>
          <w:sz w:val="16"/>
        </w:rPr>
        <w:t>or other operational expenses.</w:t>
      </w:r>
    </w:p>
    <w:p w14:paraId="1B6780C4" w14:textId="77777777" w:rsidR="00115843" w:rsidRPr="00152B2B" w:rsidRDefault="00115843" w:rsidP="00115843">
      <w:pPr>
        <w:pStyle w:val="ChartandTableFootnote"/>
        <w:sectPr w:rsidR="00115843" w:rsidRPr="00152B2B" w:rsidSect="005615F4">
          <w:footerReference w:type="even" r:id="rId23"/>
          <w:headerReference w:type="first" r:id="rId24"/>
          <w:footerReference w:type="first" r:id="rId25"/>
          <w:type w:val="oddPage"/>
          <w:pgSz w:w="11906" w:h="16838" w:code="9"/>
          <w:pgMar w:top="2438" w:right="2098" w:bottom="2438" w:left="2098" w:header="1531" w:footer="1531" w:gutter="0"/>
          <w:pgNumType w:start="25"/>
          <w:cols w:space="708"/>
          <w:titlePg/>
          <w:docGrid w:linePitch="360"/>
        </w:sectPr>
      </w:pPr>
      <w:r>
        <w:br w:type="page"/>
      </w:r>
    </w:p>
    <w:p w14:paraId="6CC39B85" w14:textId="77777777" w:rsidR="00115843" w:rsidRDefault="00115843" w:rsidP="00115843">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674" w:type="dxa"/>
        <w:tblLook w:val="04A0" w:firstRow="1" w:lastRow="0" w:firstColumn="1" w:lastColumn="0" w:noHBand="0" w:noVBand="1"/>
      </w:tblPr>
      <w:tblGrid>
        <w:gridCol w:w="2410"/>
        <w:gridCol w:w="1124"/>
        <w:gridCol w:w="1035"/>
        <w:gridCol w:w="1035"/>
        <w:gridCol w:w="1035"/>
        <w:gridCol w:w="1035"/>
      </w:tblGrid>
      <w:tr w:rsidR="00115843" w:rsidRPr="002A338C" w14:paraId="4DE35FA8" w14:textId="77777777" w:rsidTr="005334F2">
        <w:trPr>
          <w:trHeight w:val="204"/>
        </w:trPr>
        <w:tc>
          <w:tcPr>
            <w:tcW w:w="2410" w:type="dxa"/>
            <w:tcBorders>
              <w:top w:val="single" w:sz="4" w:space="0" w:color="auto"/>
              <w:left w:val="nil"/>
              <w:bottom w:val="nil"/>
              <w:right w:val="nil"/>
            </w:tcBorders>
            <w:shd w:val="clear" w:color="auto" w:fill="auto"/>
            <w:noWrap/>
            <w:vAlign w:val="bottom"/>
            <w:hideMark/>
          </w:tcPr>
          <w:p w14:paraId="27322B20"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0" w:type="auto"/>
            <w:tcBorders>
              <w:top w:val="single" w:sz="4" w:space="0" w:color="auto"/>
              <w:left w:val="nil"/>
              <w:bottom w:val="single" w:sz="4" w:space="0" w:color="auto"/>
              <w:right w:val="nil"/>
            </w:tcBorders>
            <w:shd w:val="clear" w:color="auto" w:fill="auto"/>
            <w:vAlign w:val="bottom"/>
            <w:hideMark/>
          </w:tcPr>
          <w:p w14:paraId="4AAD38C6"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E6E6E6"/>
            <w:vAlign w:val="bottom"/>
            <w:hideMark/>
          </w:tcPr>
          <w:p w14:paraId="7267EF13"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184BA25E"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28A0AA5F"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0" w:type="auto"/>
            <w:tcBorders>
              <w:top w:val="single" w:sz="4" w:space="0" w:color="auto"/>
              <w:left w:val="nil"/>
              <w:bottom w:val="single" w:sz="4" w:space="0" w:color="auto"/>
              <w:right w:val="nil"/>
            </w:tcBorders>
            <w:shd w:val="clear" w:color="auto" w:fill="auto"/>
            <w:vAlign w:val="bottom"/>
            <w:hideMark/>
          </w:tcPr>
          <w:p w14:paraId="36B4B729"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60E0DC54" w14:textId="77777777" w:rsidTr="005334F2">
        <w:trPr>
          <w:trHeight w:val="204"/>
        </w:trPr>
        <w:tc>
          <w:tcPr>
            <w:tcW w:w="2410" w:type="dxa"/>
            <w:tcBorders>
              <w:top w:val="nil"/>
              <w:left w:val="nil"/>
              <w:bottom w:val="nil"/>
              <w:right w:val="nil"/>
            </w:tcBorders>
            <w:shd w:val="clear" w:color="auto" w:fill="auto"/>
            <w:noWrap/>
            <w:vAlign w:val="bottom"/>
            <w:hideMark/>
          </w:tcPr>
          <w:p w14:paraId="26D99FFA"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EXPENSES</w:t>
            </w:r>
          </w:p>
        </w:tc>
        <w:tc>
          <w:tcPr>
            <w:tcW w:w="0" w:type="auto"/>
            <w:tcBorders>
              <w:top w:val="nil"/>
              <w:left w:val="nil"/>
              <w:bottom w:val="nil"/>
              <w:right w:val="nil"/>
            </w:tcBorders>
            <w:shd w:val="clear" w:color="auto" w:fill="auto"/>
            <w:noWrap/>
            <w:vAlign w:val="bottom"/>
            <w:hideMark/>
          </w:tcPr>
          <w:p w14:paraId="05DAFB89" w14:textId="77777777" w:rsidR="00115843" w:rsidRPr="002A338C" w:rsidRDefault="00115843" w:rsidP="00FB0D02">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E6E6E6"/>
            <w:noWrap/>
            <w:vAlign w:val="bottom"/>
            <w:hideMark/>
          </w:tcPr>
          <w:p w14:paraId="3CF075B6" w14:textId="77777777" w:rsidR="00115843" w:rsidRPr="002A338C" w:rsidRDefault="00115843" w:rsidP="00FB0D02">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6FE090C5" w14:textId="77777777" w:rsidR="00115843" w:rsidRPr="002A338C" w:rsidRDefault="00115843" w:rsidP="00FB0D02">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151EC49D" w14:textId="77777777" w:rsidR="00115843" w:rsidRPr="002A338C" w:rsidRDefault="00115843" w:rsidP="00FB0D0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58697601" w14:textId="77777777" w:rsidR="00115843" w:rsidRPr="002A338C" w:rsidRDefault="00115843" w:rsidP="00FB0D02">
            <w:pPr>
              <w:spacing w:after="0" w:line="240" w:lineRule="auto"/>
              <w:jc w:val="right"/>
              <w:rPr>
                <w:rFonts w:ascii="Arial" w:hAnsi="Arial" w:cs="Arial"/>
                <w:sz w:val="16"/>
                <w:szCs w:val="16"/>
              </w:rPr>
            </w:pPr>
          </w:p>
        </w:tc>
      </w:tr>
      <w:tr w:rsidR="0089177F" w:rsidRPr="002A338C" w14:paraId="4DB8E0CC" w14:textId="77777777" w:rsidTr="005334F2">
        <w:trPr>
          <w:trHeight w:val="204"/>
        </w:trPr>
        <w:tc>
          <w:tcPr>
            <w:tcW w:w="2410" w:type="dxa"/>
            <w:tcBorders>
              <w:top w:val="nil"/>
              <w:left w:val="nil"/>
              <w:bottom w:val="nil"/>
              <w:right w:val="nil"/>
            </w:tcBorders>
            <w:shd w:val="clear" w:color="auto" w:fill="auto"/>
            <w:noWrap/>
            <w:vAlign w:val="bottom"/>
            <w:hideMark/>
          </w:tcPr>
          <w:p w14:paraId="2D7165CC"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Employee benefits</w:t>
            </w:r>
          </w:p>
        </w:tc>
        <w:tc>
          <w:tcPr>
            <w:tcW w:w="0" w:type="auto"/>
            <w:tcBorders>
              <w:top w:val="nil"/>
              <w:left w:val="nil"/>
              <w:bottom w:val="nil"/>
              <w:right w:val="nil"/>
            </w:tcBorders>
            <w:shd w:val="clear" w:color="auto" w:fill="auto"/>
            <w:noWrap/>
            <w:vAlign w:val="bottom"/>
            <w:hideMark/>
          </w:tcPr>
          <w:p w14:paraId="725B106F" w14:textId="415B411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15,871</w:t>
            </w:r>
          </w:p>
        </w:tc>
        <w:tc>
          <w:tcPr>
            <w:tcW w:w="0" w:type="auto"/>
            <w:tcBorders>
              <w:top w:val="nil"/>
              <w:left w:val="nil"/>
              <w:bottom w:val="nil"/>
              <w:right w:val="nil"/>
            </w:tcBorders>
            <w:shd w:val="clear" w:color="auto" w:fill="E6E6E6"/>
            <w:noWrap/>
            <w:vAlign w:val="bottom"/>
            <w:hideMark/>
          </w:tcPr>
          <w:p w14:paraId="2A925D8C" w14:textId="64DDC03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16,948</w:t>
            </w:r>
          </w:p>
        </w:tc>
        <w:tc>
          <w:tcPr>
            <w:tcW w:w="0" w:type="auto"/>
            <w:tcBorders>
              <w:top w:val="nil"/>
              <w:left w:val="nil"/>
              <w:bottom w:val="nil"/>
              <w:right w:val="nil"/>
            </w:tcBorders>
            <w:shd w:val="clear" w:color="auto" w:fill="auto"/>
            <w:noWrap/>
            <w:vAlign w:val="bottom"/>
            <w:hideMark/>
          </w:tcPr>
          <w:p w14:paraId="4C1B9B00" w14:textId="2A24C1AC"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17,284</w:t>
            </w:r>
          </w:p>
        </w:tc>
        <w:tc>
          <w:tcPr>
            <w:tcW w:w="0" w:type="auto"/>
            <w:tcBorders>
              <w:top w:val="nil"/>
              <w:left w:val="nil"/>
              <w:bottom w:val="nil"/>
              <w:right w:val="nil"/>
            </w:tcBorders>
            <w:shd w:val="clear" w:color="auto" w:fill="auto"/>
            <w:noWrap/>
            <w:vAlign w:val="bottom"/>
            <w:hideMark/>
          </w:tcPr>
          <w:p w14:paraId="5A16325B" w14:textId="5F26B15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16,770</w:t>
            </w:r>
          </w:p>
        </w:tc>
        <w:tc>
          <w:tcPr>
            <w:tcW w:w="0" w:type="auto"/>
            <w:tcBorders>
              <w:top w:val="nil"/>
              <w:left w:val="nil"/>
              <w:bottom w:val="nil"/>
              <w:right w:val="nil"/>
            </w:tcBorders>
            <w:shd w:val="clear" w:color="auto" w:fill="auto"/>
            <w:noWrap/>
            <w:vAlign w:val="bottom"/>
            <w:hideMark/>
          </w:tcPr>
          <w:p w14:paraId="2096A15B" w14:textId="6A6DFF8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16,856</w:t>
            </w:r>
          </w:p>
        </w:tc>
      </w:tr>
      <w:tr w:rsidR="0089177F" w:rsidRPr="002A338C" w14:paraId="5EB75E08" w14:textId="77777777" w:rsidTr="005334F2">
        <w:trPr>
          <w:trHeight w:val="204"/>
        </w:trPr>
        <w:tc>
          <w:tcPr>
            <w:tcW w:w="2410" w:type="dxa"/>
            <w:tcBorders>
              <w:top w:val="nil"/>
              <w:left w:val="nil"/>
              <w:bottom w:val="nil"/>
              <w:right w:val="nil"/>
            </w:tcBorders>
            <w:shd w:val="clear" w:color="auto" w:fill="auto"/>
            <w:noWrap/>
            <w:vAlign w:val="bottom"/>
            <w:hideMark/>
          </w:tcPr>
          <w:p w14:paraId="4894C98D"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Suppliers</w:t>
            </w:r>
          </w:p>
        </w:tc>
        <w:tc>
          <w:tcPr>
            <w:tcW w:w="0" w:type="auto"/>
            <w:tcBorders>
              <w:top w:val="nil"/>
              <w:left w:val="nil"/>
              <w:bottom w:val="nil"/>
              <w:right w:val="nil"/>
            </w:tcBorders>
            <w:shd w:val="clear" w:color="auto" w:fill="auto"/>
            <w:noWrap/>
            <w:vAlign w:val="bottom"/>
            <w:hideMark/>
          </w:tcPr>
          <w:p w14:paraId="0F04FF17" w14:textId="18F04B8A"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586,428</w:t>
            </w:r>
          </w:p>
        </w:tc>
        <w:tc>
          <w:tcPr>
            <w:tcW w:w="0" w:type="auto"/>
            <w:tcBorders>
              <w:top w:val="nil"/>
              <w:left w:val="nil"/>
              <w:bottom w:val="nil"/>
              <w:right w:val="nil"/>
            </w:tcBorders>
            <w:shd w:val="clear" w:color="auto" w:fill="E6E6E6"/>
            <w:noWrap/>
            <w:vAlign w:val="bottom"/>
            <w:hideMark/>
          </w:tcPr>
          <w:p w14:paraId="4DBAD92A" w14:textId="558EA5C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700,419</w:t>
            </w:r>
          </w:p>
        </w:tc>
        <w:tc>
          <w:tcPr>
            <w:tcW w:w="0" w:type="auto"/>
            <w:tcBorders>
              <w:top w:val="nil"/>
              <w:left w:val="nil"/>
              <w:bottom w:val="nil"/>
              <w:right w:val="nil"/>
            </w:tcBorders>
            <w:shd w:val="clear" w:color="auto" w:fill="auto"/>
            <w:noWrap/>
            <w:vAlign w:val="bottom"/>
            <w:hideMark/>
          </w:tcPr>
          <w:p w14:paraId="142A08DC" w14:textId="5C7AA96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555,069</w:t>
            </w:r>
          </w:p>
        </w:tc>
        <w:tc>
          <w:tcPr>
            <w:tcW w:w="0" w:type="auto"/>
            <w:tcBorders>
              <w:top w:val="nil"/>
              <w:left w:val="nil"/>
              <w:bottom w:val="nil"/>
              <w:right w:val="nil"/>
            </w:tcBorders>
            <w:shd w:val="clear" w:color="auto" w:fill="auto"/>
            <w:noWrap/>
            <w:vAlign w:val="bottom"/>
            <w:hideMark/>
          </w:tcPr>
          <w:p w14:paraId="2BA2A947" w14:textId="68C25DD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573,489</w:t>
            </w:r>
          </w:p>
        </w:tc>
        <w:tc>
          <w:tcPr>
            <w:tcW w:w="0" w:type="auto"/>
            <w:tcBorders>
              <w:top w:val="nil"/>
              <w:left w:val="nil"/>
              <w:bottom w:val="nil"/>
              <w:right w:val="nil"/>
            </w:tcBorders>
            <w:shd w:val="clear" w:color="auto" w:fill="auto"/>
            <w:noWrap/>
            <w:vAlign w:val="bottom"/>
            <w:hideMark/>
          </w:tcPr>
          <w:p w14:paraId="1A44DBF7" w14:textId="0395DCA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656,147</w:t>
            </w:r>
          </w:p>
        </w:tc>
      </w:tr>
      <w:tr w:rsidR="0089177F" w:rsidRPr="002A338C" w14:paraId="029C184E" w14:textId="77777777" w:rsidTr="005334F2">
        <w:trPr>
          <w:trHeight w:val="204"/>
        </w:trPr>
        <w:tc>
          <w:tcPr>
            <w:tcW w:w="2410" w:type="dxa"/>
            <w:tcBorders>
              <w:top w:val="nil"/>
              <w:left w:val="nil"/>
              <w:bottom w:val="nil"/>
              <w:right w:val="nil"/>
            </w:tcBorders>
            <w:shd w:val="clear" w:color="auto" w:fill="auto"/>
            <w:noWrap/>
            <w:vAlign w:val="bottom"/>
            <w:hideMark/>
          </w:tcPr>
          <w:p w14:paraId="3B9F47CD"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Subsidies</w:t>
            </w:r>
          </w:p>
        </w:tc>
        <w:tc>
          <w:tcPr>
            <w:tcW w:w="0" w:type="auto"/>
            <w:tcBorders>
              <w:top w:val="nil"/>
              <w:left w:val="nil"/>
              <w:bottom w:val="nil"/>
              <w:right w:val="nil"/>
            </w:tcBorders>
            <w:shd w:val="clear" w:color="auto" w:fill="auto"/>
            <w:noWrap/>
            <w:vAlign w:val="bottom"/>
            <w:hideMark/>
          </w:tcPr>
          <w:p w14:paraId="689256B7" w14:textId="273E3E8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1,832,724</w:t>
            </w:r>
          </w:p>
        </w:tc>
        <w:tc>
          <w:tcPr>
            <w:tcW w:w="0" w:type="auto"/>
            <w:tcBorders>
              <w:top w:val="nil"/>
              <w:left w:val="nil"/>
              <w:bottom w:val="nil"/>
              <w:right w:val="nil"/>
            </w:tcBorders>
            <w:shd w:val="clear" w:color="auto" w:fill="E6E6E6"/>
            <w:noWrap/>
            <w:vAlign w:val="bottom"/>
            <w:hideMark/>
          </w:tcPr>
          <w:p w14:paraId="5115A31D" w14:textId="19F13DF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1,017,995</w:t>
            </w:r>
          </w:p>
        </w:tc>
        <w:tc>
          <w:tcPr>
            <w:tcW w:w="0" w:type="auto"/>
            <w:tcBorders>
              <w:top w:val="nil"/>
              <w:left w:val="nil"/>
              <w:bottom w:val="nil"/>
              <w:right w:val="nil"/>
            </w:tcBorders>
            <w:shd w:val="clear" w:color="auto" w:fill="auto"/>
            <w:noWrap/>
            <w:vAlign w:val="bottom"/>
            <w:hideMark/>
          </w:tcPr>
          <w:p w14:paraId="461F7A4F" w14:textId="56E3422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1,058,359</w:t>
            </w:r>
          </w:p>
        </w:tc>
        <w:tc>
          <w:tcPr>
            <w:tcW w:w="0" w:type="auto"/>
            <w:tcBorders>
              <w:top w:val="nil"/>
              <w:left w:val="nil"/>
              <w:bottom w:val="nil"/>
              <w:right w:val="nil"/>
            </w:tcBorders>
            <w:shd w:val="clear" w:color="auto" w:fill="auto"/>
            <w:noWrap/>
            <w:vAlign w:val="bottom"/>
            <w:hideMark/>
          </w:tcPr>
          <w:p w14:paraId="40A3FC52" w14:textId="676D19E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1,085,154</w:t>
            </w:r>
          </w:p>
        </w:tc>
        <w:tc>
          <w:tcPr>
            <w:tcW w:w="0" w:type="auto"/>
            <w:tcBorders>
              <w:top w:val="nil"/>
              <w:left w:val="nil"/>
              <w:bottom w:val="nil"/>
              <w:right w:val="nil"/>
            </w:tcBorders>
            <w:shd w:val="clear" w:color="auto" w:fill="auto"/>
            <w:noWrap/>
            <w:vAlign w:val="bottom"/>
            <w:hideMark/>
          </w:tcPr>
          <w:p w14:paraId="6E13A489" w14:textId="5F87569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1,142,680</w:t>
            </w:r>
          </w:p>
        </w:tc>
      </w:tr>
      <w:tr w:rsidR="0089177F" w:rsidRPr="002A338C" w14:paraId="25EBFD31" w14:textId="77777777" w:rsidTr="005334F2">
        <w:trPr>
          <w:trHeight w:val="204"/>
        </w:trPr>
        <w:tc>
          <w:tcPr>
            <w:tcW w:w="2410" w:type="dxa"/>
            <w:tcBorders>
              <w:top w:val="nil"/>
              <w:left w:val="nil"/>
              <w:bottom w:val="nil"/>
              <w:right w:val="nil"/>
            </w:tcBorders>
            <w:shd w:val="clear" w:color="auto" w:fill="auto"/>
            <w:noWrap/>
            <w:vAlign w:val="bottom"/>
            <w:hideMark/>
          </w:tcPr>
          <w:p w14:paraId="395D179E"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Grants</w:t>
            </w:r>
          </w:p>
        </w:tc>
        <w:tc>
          <w:tcPr>
            <w:tcW w:w="0" w:type="auto"/>
            <w:tcBorders>
              <w:top w:val="nil"/>
              <w:left w:val="nil"/>
              <w:bottom w:val="nil"/>
              <w:right w:val="nil"/>
            </w:tcBorders>
            <w:shd w:val="clear" w:color="auto" w:fill="auto"/>
            <w:noWrap/>
            <w:vAlign w:val="bottom"/>
            <w:hideMark/>
          </w:tcPr>
          <w:p w14:paraId="435FD37B" w14:textId="66117DA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6,800,195</w:t>
            </w:r>
          </w:p>
        </w:tc>
        <w:tc>
          <w:tcPr>
            <w:tcW w:w="0" w:type="auto"/>
            <w:tcBorders>
              <w:top w:val="nil"/>
              <w:left w:val="nil"/>
              <w:bottom w:val="nil"/>
              <w:right w:val="nil"/>
            </w:tcBorders>
            <w:shd w:val="clear" w:color="auto" w:fill="E6E6E6"/>
            <w:noWrap/>
            <w:vAlign w:val="bottom"/>
            <w:hideMark/>
          </w:tcPr>
          <w:p w14:paraId="4E40E050" w14:textId="480E3C3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4,680,531</w:t>
            </w:r>
          </w:p>
        </w:tc>
        <w:tc>
          <w:tcPr>
            <w:tcW w:w="0" w:type="auto"/>
            <w:tcBorders>
              <w:top w:val="nil"/>
              <w:left w:val="nil"/>
              <w:bottom w:val="nil"/>
              <w:right w:val="nil"/>
            </w:tcBorders>
            <w:shd w:val="clear" w:color="auto" w:fill="auto"/>
            <w:noWrap/>
            <w:vAlign w:val="bottom"/>
            <w:hideMark/>
          </w:tcPr>
          <w:p w14:paraId="29EA339B" w14:textId="652A08CA"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6,072,852</w:t>
            </w:r>
          </w:p>
        </w:tc>
        <w:tc>
          <w:tcPr>
            <w:tcW w:w="0" w:type="auto"/>
            <w:tcBorders>
              <w:top w:val="nil"/>
              <w:left w:val="nil"/>
              <w:bottom w:val="nil"/>
              <w:right w:val="nil"/>
            </w:tcBorders>
            <w:shd w:val="clear" w:color="auto" w:fill="auto"/>
            <w:noWrap/>
            <w:vAlign w:val="bottom"/>
            <w:hideMark/>
          </w:tcPr>
          <w:p w14:paraId="18CA9348" w14:textId="18A0074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6,004,148</w:t>
            </w:r>
          </w:p>
        </w:tc>
        <w:tc>
          <w:tcPr>
            <w:tcW w:w="0" w:type="auto"/>
            <w:tcBorders>
              <w:top w:val="nil"/>
              <w:left w:val="nil"/>
              <w:bottom w:val="nil"/>
              <w:right w:val="nil"/>
            </w:tcBorders>
            <w:shd w:val="clear" w:color="auto" w:fill="auto"/>
            <w:noWrap/>
            <w:vAlign w:val="bottom"/>
            <w:hideMark/>
          </w:tcPr>
          <w:p w14:paraId="2E81000F" w14:textId="4E44C74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5,964,847</w:t>
            </w:r>
          </w:p>
        </w:tc>
      </w:tr>
      <w:tr w:rsidR="0089177F" w:rsidRPr="002A338C" w14:paraId="6098409C" w14:textId="77777777" w:rsidTr="005334F2">
        <w:trPr>
          <w:trHeight w:val="204"/>
        </w:trPr>
        <w:tc>
          <w:tcPr>
            <w:tcW w:w="2410" w:type="dxa"/>
            <w:tcBorders>
              <w:top w:val="nil"/>
              <w:left w:val="nil"/>
              <w:bottom w:val="nil"/>
              <w:right w:val="nil"/>
            </w:tcBorders>
            <w:shd w:val="clear" w:color="auto" w:fill="auto"/>
            <w:noWrap/>
            <w:vAlign w:val="bottom"/>
            <w:hideMark/>
          </w:tcPr>
          <w:p w14:paraId="695D0E0D"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 xml:space="preserve">Depreciation and amortisation </w:t>
            </w:r>
          </w:p>
        </w:tc>
        <w:tc>
          <w:tcPr>
            <w:tcW w:w="0" w:type="auto"/>
            <w:tcBorders>
              <w:top w:val="nil"/>
              <w:left w:val="nil"/>
              <w:bottom w:val="nil"/>
              <w:right w:val="nil"/>
            </w:tcBorders>
            <w:shd w:val="clear" w:color="auto" w:fill="auto"/>
            <w:noWrap/>
            <w:vAlign w:val="bottom"/>
            <w:hideMark/>
          </w:tcPr>
          <w:p w14:paraId="31F0ECFA" w14:textId="3F9CB78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50,904</w:t>
            </w:r>
          </w:p>
        </w:tc>
        <w:tc>
          <w:tcPr>
            <w:tcW w:w="0" w:type="auto"/>
            <w:tcBorders>
              <w:top w:val="nil"/>
              <w:left w:val="nil"/>
              <w:bottom w:val="nil"/>
              <w:right w:val="nil"/>
            </w:tcBorders>
            <w:shd w:val="clear" w:color="auto" w:fill="E6E6E6"/>
            <w:noWrap/>
            <w:vAlign w:val="bottom"/>
            <w:hideMark/>
          </w:tcPr>
          <w:p w14:paraId="02C00E03" w14:textId="7A3937EA"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62,482</w:t>
            </w:r>
          </w:p>
        </w:tc>
        <w:tc>
          <w:tcPr>
            <w:tcW w:w="0" w:type="auto"/>
            <w:tcBorders>
              <w:top w:val="nil"/>
              <w:left w:val="nil"/>
              <w:bottom w:val="nil"/>
              <w:right w:val="nil"/>
            </w:tcBorders>
            <w:shd w:val="clear" w:color="auto" w:fill="auto"/>
            <w:noWrap/>
            <w:vAlign w:val="bottom"/>
            <w:hideMark/>
          </w:tcPr>
          <w:p w14:paraId="1CE63EBE" w14:textId="0022FA9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47,750</w:t>
            </w:r>
          </w:p>
        </w:tc>
        <w:tc>
          <w:tcPr>
            <w:tcW w:w="0" w:type="auto"/>
            <w:tcBorders>
              <w:top w:val="nil"/>
              <w:left w:val="nil"/>
              <w:bottom w:val="nil"/>
              <w:right w:val="nil"/>
            </w:tcBorders>
            <w:shd w:val="clear" w:color="auto" w:fill="auto"/>
            <w:noWrap/>
            <w:vAlign w:val="bottom"/>
            <w:hideMark/>
          </w:tcPr>
          <w:p w14:paraId="4801B499" w14:textId="58F4C3A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47,173</w:t>
            </w:r>
          </w:p>
        </w:tc>
        <w:tc>
          <w:tcPr>
            <w:tcW w:w="0" w:type="auto"/>
            <w:tcBorders>
              <w:top w:val="nil"/>
              <w:left w:val="nil"/>
              <w:bottom w:val="nil"/>
              <w:right w:val="nil"/>
            </w:tcBorders>
            <w:shd w:val="clear" w:color="auto" w:fill="auto"/>
            <w:noWrap/>
            <w:vAlign w:val="bottom"/>
            <w:hideMark/>
          </w:tcPr>
          <w:p w14:paraId="047A3D8F" w14:textId="4103CCF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47,173</w:t>
            </w:r>
          </w:p>
        </w:tc>
      </w:tr>
      <w:tr w:rsidR="0089177F" w:rsidRPr="002A338C" w14:paraId="07E06E6D" w14:textId="77777777" w:rsidTr="005334F2">
        <w:trPr>
          <w:trHeight w:val="204"/>
        </w:trPr>
        <w:tc>
          <w:tcPr>
            <w:tcW w:w="2410" w:type="dxa"/>
            <w:tcBorders>
              <w:top w:val="nil"/>
              <w:left w:val="nil"/>
              <w:bottom w:val="nil"/>
              <w:right w:val="nil"/>
            </w:tcBorders>
            <w:shd w:val="clear" w:color="auto" w:fill="auto"/>
            <w:vAlign w:val="bottom"/>
            <w:hideMark/>
          </w:tcPr>
          <w:p w14:paraId="4BF37A36"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Write-down and impairment of assets</w:t>
            </w:r>
          </w:p>
        </w:tc>
        <w:tc>
          <w:tcPr>
            <w:tcW w:w="0" w:type="auto"/>
            <w:tcBorders>
              <w:top w:val="nil"/>
              <w:left w:val="nil"/>
              <w:bottom w:val="nil"/>
              <w:right w:val="nil"/>
            </w:tcBorders>
            <w:shd w:val="clear" w:color="auto" w:fill="auto"/>
            <w:noWrap/>
            <w:vAlign w:val="bottom"/>
            <w:hideMark/>
          </w:tcPr>
          <w:p w14:paraId="56A445C7" w14:textId="49DB176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32,292</w:t>
            </w:r>
          </w:p>
        </w:tc>
        <w:tc>
          <w:tcPr>
            <w:tcW w:w="0" w:type="auto"/>
            <w:tcBorders>
              <w:top w:val="nil"/>
              <w:left w:val="nil"/>
              <w:bottom w:val="nil"/>
              <w:right w:val="nil"/>
            </w:tcBorders>
            <w:shd w:val="clear" w:color="auto" w:fill="E6E6E6"/>
            <w:noWrap/>
            <w:vAlign w:val="bottom"/>
            <w:hideMark/>
          </w:tcPr>
          <w:p w14:paraId="7715CD2A" w14:textId="751D343C"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24,559</w:t>
            </w:r>
          </w:p>
        </w:tc>
        <w:tc>
          <w:tcPr>
            <w:tcW w:w="0" w:type="auto"/>
            <w:tcBorders>
              <w:top w:val="nil"/>
              <w:left w:val="nil"/>
              <w:bottom w:val="nil"/>
              <w:right w:val="nil"/>
            </w:tcBorders>
            <w:shd w:val="clear" w:color="auto" w:fill="auto"/>
            <w:noWrap/>
            <w:vAlign w:val="bottom"/>
            <w:hideMark/>
          </w:tcPr>
          <w:p w14:paraId="1A6CB75A" w14:textId="7C69EAF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32,025</w:t>
            </w:r>
          </w:p>
        </w:tc>
        <w:tc>
          <w:tcPr>
            <w:tcW w:w="0" w:type="auto"/>
            <w:tcBorders>
              <w:top w:val="nil"/>
              <w:left w:val="nil"/>
              <w:bottom w:val="nil"/>
              <w:right w:val="nil"/>
            </w:tcBorders>
            <w:shd w:val="clear" w:color="auto" w:fill="auto"/>
            <w:noWrap/>
            <w:vAlign w:val="bottom"/>
            <w:hideMark/>
          </w:tcPr>
          <w:p w14:paraId="57C2AB2C" w14:textId="0668DC3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33,587</w:t>
            </w:r>
          </w:p>
        </w:tc>
        <w:tc>
          <w:tcPr>
            <w:tcW w:w="0" w:type="auto"/>
            <w:tcBorders>
              <w:top w:val="nil"/>
              <w:left w:val="nil"/>
              <w:bottom w:val="nil"/>
              <w:right w:val="nil"/>
            </w:tcBorders>
            <w:shd w:val="clear" w:color="auto" w:fill="auto"/>
            <w:noWrap/>
            <w:vAlign w:val="bottom"/>
            <w:hideMark/>
          </w:tcPr>
          <w:p w14:paraId="622D88A8" w14:textId="7FD581B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30,381</w:t>
            </w:r>
          </w:p>
        </w:tc>
      </w:tr>
      <w:tr w:rsidR="0089177F" w:rsidRPr="002A338C" w14:paraId="25B2092A" w14:textId="77777777" w:rsidTr="005334F2">
        <w:trPr>
          <w:trHeight w:val="204"/>
        </w:trPr>
        <w:tc>
          <w:tcPr>
            <w:tcW w:w="2410" w:type="dxa"/>
            <w:tcBorders>
              <w:top w:val="nil"/>
              <w:left w:val="nil"/>
              <w:bottom w:val="nil"/>
              <w:right w:val="nil"/>
            </w:tcBorders>
            <w:shd w:val="clear" w:color="auto" w:fill="auto"/>
            <w:noWrap/>
            <w:vAlign w:val="bottom"/>
            <w:hideMark/>
          </w:tcPr>
          <w:p w14:paraId="47F8F376"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Payments to corporate entities</w:t>
            </w:r>
          </w:p>
        </w:tc>
        <w:tc>
          <w:tcPr>
            <w:tcW w:w="0" w:type="auto"/>
            <w:tcBorders>
              <w:top w:val="nil"/>
              <w:left w:val="nil"/>
              <w:bottom w:val="nil"/>
              <w:right w:val="nil"/>
            </w:tcBorders>
            <w:shd w:val="clear" w:color="auto" w:fill="auto"/>
            <w:noWrap/>
            <w:vAlign w:val="bottom"/>
            <w:hideMark/>
          </w:tcPr>
          <w:p w14:paraId="34A0C19F" w14:textId="3CDD87B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2,116,640</w:t>
            </w:r>
          </w:p>
        </w:tc>
        <w:tc>
          <w:tcPr>
            <w:tcW w:w="0" w:type="auto"/>
            <w:tcBorders>
              <w:top w:val="nil"/>
              <w:left w:val="nil"/>
              <w:bottom w:val="nil"/>
              <w:right w:val="nil"/>
            </w:tcBorders>
            <w:shd w:val="clear" w:color="auto" w:fill="E6E6E6"/>
            <w:noWrap/>
            <w:vAlign w:val="bottom"/>
            <w:hideMark/>
          </w:tcPr>
          <w:p w14:paraId="1630BCBE" w14:textId="19AB7F3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2,160,012</w:t>
            </w:r>
          </w:p>
        </w:tc>
        <w:tc>
          <w:tcPr>
            <w:tcW w:w="0" w:type="auto"/>
            <w:tcBorders>
              <w:top w:val="nil"/>
              <w:left w:val="nil"/>
              <w:bottom w:val="nil"/>
              <w:right w:val="nil"/>
            </w:tcBorders>
            <w:shd w:val="clear" w:color="auto" w:fill="auto"/>
            <w:noWrap/>
            <w:vAlign w:val="bottom"/>
            <w:hideMark/>
          </w:tcPr>
          <w:p w14:paraId="66C57F8A" w14:textId="633C731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2,147,426</w:t>
            </w:r>
          </w:p>
        </w:tc>
        <w:tc>
          <w:tcPr>
            <w:tcW w:w="0" w:type="auto"/>
            <w:tcBorders>
              <w:top w:val="nil"/>
              <w:left w:val="nil"/>
              <w:bottom w:val="nil"/>
              <w:right w:val="nil"/>
            </w:tcBorders>
            <w:shd w:val="clear" w:color="auto" w:fill="auto"/>
            <w:noWrap/>
            <w:vAlign w:val="bottom"/>
            <w:hideMark/>
          </w:tcPr>
          <w:p w14:paraId="41BACC04" w14:textId="21181AD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2,173,742</w:t>
            </w:r>
          </w:p>
        </w:tc>
        <w:tc>
          <w:tcPr>
            <w:tcW w:w="0" w:type="auto"/>
            <w:tcBorders>
              <w:top w:val="nil"/>
              <w:left w:val="nil"/>
              <w:bottom w:val="nil"/>
              <w:right w:val="nil"/>
            </w:tcBorders>
            <w:shd w:val="clear" w:color="auto" w:fill="auto"/>
            <w:noWrap/>
            <w:vAlign w:val="bottom"/>
            <w:hideMark/>
          </w:tcPr>
          <w:p w14:paraId="36318B19" w14:textId="34CA69A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2,197,347</w:t>
            </w:r>
          </w:p>
        </w:tc>
      </w:tr>
      <w:tr w:rsidR="0089177F" w:rsidRPr="002A338C" w14:paraId="12954C3E" w14:textId="77777777" w:rsidTr="005334F2">
        <w:trPr>
          <w:trHeight w:val="204"/>
        </w:trPr>
        <w:tc>
          <w:tcPr>
            <w:tcW w:w="2410" w:type="dxa"/>
            <w:tcBorders>
              <w:top w:val="nil"/>
              <w:left w:val="nil"/>
              <w:bottom w:val="nil"/>
              <w:right w:val="nil"/>
            </w:tcBorders>
            <w:shd w:val="clear" w:color="auto" w:fill="auto"/>
            <w:noWrap/>
            <w:vAlign w:val="bottom"/>
            <w:hideMark/>
          </w:tcPr>
          <w:p w14:paraId="3A1643E2" w14:textId="77777777" w:rsidR="0089177F" w:rsidRPr="002A338C" w:rsidRDefault="0089177F" w:rsidP="0089177F">
            <w:pPr>
              <w:spacing w:after="0" w:line="240" w:lineRule="auto"/>
              <w:ind w:left="113"/>
              <w:rPr>
                <w:rFonts w:ascii="Arial" w:hAnsi="Arial" w:cs="Arial"/>
                <w:color w:val="000000"/>
                <w:sz w:val="16"/>
                <w:szCs w:val="16"/>
              </w:rPr>
            </w:pPr>
            <w:r w:rsidRPr="002A338C">
              <w:rPr>
                <w:rFonts w:ascii="Arial" w:hAnsi="Arial" w:cs="Arial"/>
                <w:color w:val="000000"/>
                <w:sz w:val="16"/>
                <w:szCs w:val="16"/>
              </w:rPr>
              <w:t>Other expenses</w:t>
            </w:r>
          </w:p>
        </w:tc>
        <w:tc>
          <w:tcPr>
            <w:tcW w:w="0" w:type="auto"/>
            <w:tcBorders>
              <w:top w:val="nil"/>
              <w:left w:val="nil"/>
              <w:bottom w:val="nil"/>
              <w:right w:val="nil"/>
            </w:tcBorders>
            <w:shd w:val="clear" w:color="auto" w:fill="auto"/>
            <w:noWrap/>
            <w:vAlign w:val="bottom"/>
            <w:hideMark/>
          </w:tcPr>
          <w:p w14:paraId="033714B7" w14:textId="5443B9FA"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99,437</w:t>
            </w:r>
          </w:p>
        </w:tc>
        <w:tc>
          <w:tcPr>
            <w:tcW w:w="0" w:type="auto"/>
            <w:tcBorders>
              <w:top w:val="nil"/>
              <w:left w:val="nil"/>
              <w:bottom w:val="nil"/>
              <w:right w:val="nil"/>
            </w:tcBorders>
            <w:shd w:val="clear" w:color="auto" w:fill="E6E6E6"/>
            <w:noWrap/>
            <w:vAlign w:val="bottom"/>
            <w:hideMark/>
          </w:tcPr>
          <w:p w14:paraId="73225B43" w14:textId="4542A04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148,877</w:t>
            </w:r>
          </w:p>
        </w:tc>
        <w:tc>
          <w:tcPr>
            <w:tcW w:w="0" w:type="auto"/>
            <w:tcBorders>
              <w:top w:val="nil"/>
              <w:left w:val="nil"/>
              <w:bottom w:val="nil"/>
              <w:right w:val="nil"/>
            </w:tcBorders>
            <w:shd w:val="clear" w:color="auto" w:fill="auto"/>
            <w:noWrap/>
            <w:vAlign w:val="bottom"/>
            <w:hideMark/>
          </w:tcPr>
          <w:p w14:paraId="08140EAF" w14:textId="280AE82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438,407</w:t>
            </w:r>
          </w:p>
        </w:tc>
        <w:tc>
          <w:tcPr>
            <w:tcW w:w="0" w:type="auto"/>
            <w:tcBorders>
              <w:top w:val="nil"/>
              <w:left w:val="nil"/>
              <w:bottom w:val="nil"/>
              <w:right w:val="nil"/>
            </w:tcBorders>
            <w:shd w:val="clear" w:color="auto" w:fill="auto"/>
            <w:noWrap/>
            <w:vAlign w:val="bottom"/>
            <w:hideMark/>
          </w:tcPr>
          <w:p w14:paraId="04840501" w14:textId="45791AC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253,914</w:t>
            </w:r>
          </w:p>
        </w:tc>
        <w:tc>
          <w:tcPr>
            <w:tcW w:w="0" w:type="auto"/>
            <w:tcBorders>
              <w:top w:val="nil"/>
              <w:left w:val="nil"/>
              <w:bottom w:val="nil"/>
              <w:right w:val="nil"/>
            </w:tcBorders>
            <w:shd w:val="clear" w:color="auto" w:fill="auto"/>
            <w:noWrap/>
            <w:vAlign w:val="bottom"/>
            <w:hideMark/>
          </w:tcPr>
          <w:p w14:paraId="57C09808" w14:textId="520417E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183,241</w:t>
            </w:r>
          </w:p>
        </w:tc>
      </w:tr>
      <w:tr w:rsidR="0089177F" w:rsidRPr="002A338C" w14:paraId="39054E63" w14:textId="77777777" w:rsidTr="005334F2">
        <w:trPr>
          <w:trHeight w:val="204"/>
        </w:trPr>
        <w:tc>
          <w:tcPr>
            <w:tcW w:w="2410" w:type="dxa"/>
            <w:tcBorders>
              <w:top w:val="nil"/>
              <w:left w:val="nil"/>
              <w:bottom w:val="nil"/>
              <w:right w:val="nil"/>
            </w:tcBorders>
            <w:shd w:val="clear" w:color="auto" w:fill="auto"/>
            <w:vAlign w:val="bottom"/>
            <w:hideMark/>
          </w:tcPr>
          <w:p w14:paraId="049A9821" w14:textId="77777777" w:rsidR="0089177F" w:rsidRPr="002A338C" w:rsidRDefault="0089177F" w:rsidP="0089177F">
            <w:pPr>
              <w:spacing w:after="0" w:line="240" w:lineRule="auto"/>
              <w:rPr>
                <w:rFonts w:ascii="Arial" w:hAnsi="Arial" w:cs="Arial"/>
                <w:b/>
                <w:bCs/>
                <w:color w:val="000000"/>
                <w:sz w:val="16"/>
                <w:szCs w:val="16"/>
              </w:rPr>
            </w:pPr>
            <w:r w:rsidRPr="002A338C">
              <w:rPr>
                <w:rFonts w:ascii="Arial" w:hAnsi="Arial" w:cs="Arial"/>
                <w:b/>
                <w:bCs/>
                <w:color w:val="000000"/>
                <w:sz w:val="16"/>
                <w:szCs w:val="16"/>
              </w:rPr>
              <w:t>Total expenses</w:t>
            </w:r>
          </w:p>
        </w:tc>
        <w:tc>
          <w:tcPr>
            <w:tcW w:w="0" w:type="auto"/>
            <w:tcBorders>
              <w:top w:val="single" w:sz="4" w:space="0" w:color="auto"/>
              <w:left w:val="nil"/>
              <w:bottom w:val="single" w:sz="4" w:space="0" w:color="auto"/>
              <w:right w:val="nil"/>
            </w:tcBorders>
            <w:shd w:val="clear" w:color="auto" w:fill="auto"/>
            <w:noWrap/>
            <w:vAlign w:val="bottom"/>
            <w:hideMark/>
          </w:tcPr>
          <w:p w14:paraId="39CAE6E8" w14:textId="021514AB"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11,534,491</w:t>
            </w:r>
          </w:p>
        </w:tc>
        <w:tc>
          <w:tcPr>
            <w:tcW w:w="0" w:type="auto"/>
            <w:tcBorders>
              <w:top w:val="single" w:sz="4" w:space="0" w:color="auto"/>
              <w:left w:val="nil"/>
              <w:bottom w:val="single" w:sz="4" w:space="0" w:color="auto"/>
              <w:right w:val="nil"/>
            </w:tcBorders>
            <w:shd w:val="clear" w:color="auto" w:fill="E6E6E6"/>
            <w:noWrap/>
            <w:vAlign w:val="bottom"/>
            <w:hideMark/>
          </w:tcPr>
          <w:p w14:paraId="38091F9C" w14:textId="7DC6963F"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8,811,823</w:t>
            </w:r>
          </w:p>
        </w:tc>
        <w:tc>
          <w:tcPr>
            <w:tcW w:w="0" w:type="auto"/>
            <w:tcBorders>
              <w:top w:val="single" w:sz="4" w:space="0" w:color="auto"/>
              <w:left w:val="nil"/>
              <w:bottom w:val="single" w:sz="4" w:space="0" w:color="auto"/>
              <w:right w:val="nil"/>
            </w:tcBorders>
            <w:shd w:val="clear" w:color="auto" w:fill="auto"/>
            <w:noWrap/>
            <w:vAlign w:val="bottom"/>
            <w:hideMark/>
          </w:tcPr>
          <w:p w14:paraId="510E6888" w14:textId="467EDC9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10,369,172</w:t>
            </w:r>
          </w:p>
        </w:tc>
        <w:tc>
          <w:tcPr>
            <w:tcW w:w="0" w:type="auto"/>
            <w:tcBorders>
              <w:top w:val="single" w:sz="4" w:space="0" w:color="auto"/>
              <w:left w:val="nil"/>
              <w:bottom w:val="single" w:sz="4" w:space="0" w:color="auto"/>
              <w:right w:val="nil"/>
            </w:tcBorders>
            <w:shd w:val="clear" w:color="auto" w:fill="auto"/>
            <w:noWrap/>
            <w:vAlign w:val="bottom"/>
            <w:hideMark/>
          </w:tcPr>
          <w:p w14:paraId="30CD0079" w14:textId="0BE12E0D"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10,187,977</w:t>
            </w:r>
          </w:p>
        </w:tc>
        <w:tc>
          <w:tcPr>
            <w:tcW w:w="0" w:type="auto"/>
            <w:tcBorders>
              <w:top w:val="single" w:sz="4" w:space="0" w:color="auto"/>
              <w:left w:val="nil"/>
              <w:bottom w:val="single" w:sz="4" w:space="0" w:color="auto"/>
              <w:right w:val="nil"/>
            </w:tcBorders>
            <w:shd w:val="clear" w:color="auto" w:fill="auto"/>
            <w:noWrap/>
            <w:vAlign w:val="bottom"/>
            <w:hideMark/>
          </w:tcPr>
          <w:p w14:paraId="4397FE58" w14:textId="58B06E1B"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10,238,672</w:t>
            </w:r>
          </w:p>
        </w:tc>
      </w:tr>
      <w:tr w:rsidR="0089177F" w:rsidRPr="002A338C" w14:paraId="2AA31520" w14:textId="77777777" w:rsidTr="005334F2">
        <w:trPr>
          <w:trHeight w:val="204"/>
        </w:trPr>
        <w:tc>
          <w:tcPr>
            <w:tcW w:w="2410" w:type="dxa"/>
            <w:tcBorders>
              <w:top w:val="nil"/>
              <w:left w:val="nil"/>
              <w:bottom w:val="nil"/>
              <w:right w:val="nil"/>
            </w:tcBorders>
            <w:shd w:val="clear" w:color="auto" w:fill="auto"/>
            <w:noWrap/>
            <w:vAlign w:val="bottom"/>
            <w:hideMark/>
          </w:tcPr>
          <w:p w14:paraId="1B9CEC55" w14:textId="77777777" w:rsidR="0089177F" w:rsidRPr="002A338C" w:rsidRDefault="0089177F" w:rsidP="0089177F">
            <w:pPr>
              <w:spacing w:after="0" w:line="240" w:lineRule="auto"/>
              <w:rPr>
                <w:rFonts w:ascii="Arial" w:hAnsi="Arial" w:cs="Arial"/>
                <w:b/>
                <w:bCs/>
                <w:color w:val="000000"/>
                <w:sz w:val="16"/>
                <w:szCs w:val="16"/>
              </w:rPr>
            </w:pPr>
            <w:r w:rsidRPr="002A338C">
              <w:rPr>
                <w:rFonts w:ascii="Arial" w:hAnsi="Arial" w:cs="Arial"/>
                <w:b/>
                <w:bCs/>
                <w:color w:val="000000"/>
                <w:sz w:val="16"/>
                <w:szCs w:val="16"/>
              </w:rPr>
              <w:t>LESS:</w:t>
            </w:r>
          </w:p>
        </w:tc>
        <w:tc>
          <w:tcPr>
            <w:tcW w:w="0" w:type="auto"/>
            <w:tcBorders>
              <w:top w:val="nil"/>
              <w:left w:val="nil"/>
              <w:bottom w:val="nil"/>
              <w:right w:val="nil"/>
            </w:tcBorders>
            <w:shd w:val="clear" w:color="auto" w:fill="auto"/>
            <w:noWrap/>
            <w:vAlign w:val="bottom"/>
            <w:hideMark/>
          </w:tcPr>
          <w:p w14:paraId="6E232D7A" w14:textId="77777777" w:rsidR="0089177F" w:rsidRPr="002A338C" w:rsidRDefault="0089177F" w:rsidP="0089177F">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E6E6E6"/>
            <w:noWrap/>
            <w:vAlign w:val="bottom"/>
            <w:hideMark/>
          </w:tcPr>
          <w:p w14:paraId="56948ECA" w14:textId="037CE34B"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1C36C3C3" w14:textId="7777777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C00C449"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4772A6B"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35E9DA68" w14:textId="77777777" w:rsidTr="005334F2">
        <w:trPr>
          <w:trHeight w:val="204"/>
        </w:trPr>
        <w:tc>
          <w:tcPr>
            <w:tcW w:w="2410" w:type="dxa"/>
            <w:tcBorders>
              <w:top w:val="nil"/>
              <w:left w:val="nil"/>
              <w:bottom w:val="nil"/>
              <w:right w:val="nil"/>
            </w:tcBorders>
            <w:shd w:val="clear" w:color="auto" w:fill="auto"/>
            <w:noWrap/>
            <w:vAlign w:val="bottom"/>
            <w:hideMark/>
          </w:tcPr>
          <w:p w14:paraId="4D6E46B0" w14:textId="77777777" w:rsidR="0089177F" w:rsidRPr="002A338C" w:rsidRDefault="0089177F" w:rsidP="0089177F">
            <w:pPr>
              <w:spacing w:after="0" w:line="240" w:lineRule="auto"/>
              <w:rPr>
                <w:rFonts w:ascii="Arial" w:hAnsi="Arial" w:cs="Arial"/>
                <w:b/>
                <w:bCs/>
                <w:color w:val="000000"/>
                <w:sz w:val="16"/>
                <w:szCs w:val="16"/>
              </w:rPr>
            </w:pPr>
            <w:r w:rsidRPr="002A338C">
              <w:rPr>
                <w:rFonts w:ascii="Arial" w:hAnsi="Arial" w:cs="Arial"/>
                <w:b/>
                <w:bCs/>
                <w:color w:val="000000"/>
                <w:sz w:val="16"/>
                <w:szCs w:val="16"/>
              </w:rPr>
              <w:t>OWN-SOURCE INCOME</w:t>
            </w:r>
          </w:p>
        </w:tc>
        <w:tc>
          <w:tcPr>
            <w:tcW w:w="0" w:type="auto"/>
            <w:tcBorders>
              <w:top w:val="nil"/>
              <w:left w:val="nil"/>
              <w:bottom w:val="nil"/>
              <w:right w:val="nil"/>
            </w:tcBorders>
            <w:shd w:val="clear" w:color="auto" w:fill="auto"/>
            <w:noWrap/>
            <w:vAlign w:val="bottom"/>
            <w:hideMark/>
          </w:tcPr>
          <w:p w14:paraId="1A9AB484"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E6E6E6"/>
            <w:noWrap/>
            <w:vAlign w:val="bottom"/>
            <w:hideMark/>
          </w:tcPr>
          <w:p w14:paraId="3C0BF8FB" w14:textId="692873C8"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325B8489" w14:textId="7777777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BF83CF4"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7D475DE3"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78936683" w14:textId="77777777" w:rsidTr="005334F2">
        <w:trPr>
          <w:trHeight w:val="204"/>
        </w:trPr>
        <w:tc>
          <w:tcPr>
            <w:tcW w:w="2410" w:type="dxa"/>
            <w:tcBorders>
              <w:top w:val="nil"/>
              <w:left w:val="nil"/>
              <w:bottom w:val="nil"/>
              <w:right w:val="nil"/>
            </w:tcBorders>
            <w:shd w:val="clear" w:color="auto" w:fill="auto"/>
            <w:noWrap/>
            <w:vAlign w:val="bottom"/>
            <w:hideMark/>
          </w:tcPr>
          <w:p w14:paraId="676C94E1"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Own-source revenue</w:t>
            </w:r>
          </w:p>
        </w:tc>
        <w:tc>
          <w:tcPr>
            <w:tcW w:w="0" w:type="auto"/>
            <w:tcBorders>
              <w:top w:val="nil"/>
              <w:left w:val="nil"/>
              <w:bottom w:val="nil"/>
              <w:right w:val="nil"/>
            </w:tcBorders>
            <w:shd w:val="clear" w:color="auto" w:fill="auto"/>
            <w:noWrap/>
            <w:vAlign w:val="bottom"/>
            <w:hideMark/>
          </w:tcPr>
          <w:p w14:paraId="4B98786B"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E6E6E6"/>
            <w:noWrap/>
            <w:vAlign w:val="bottom"/>
            <w:hideMark/>
          </w:tcPr>
          <w:p w14:paraId="3350844D" w14:textId="4FEEC10F"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32F0593D" w14:textId="7777777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499C35C7"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08C7EB1D"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1FF449F9" w14:textId="77777777" w:rsidTr="005334F2">
        <w:trPr>
          <w:trHeight w:val="204"/>
        </w:trPr>
        <w:tc>
          <w:tcPr>
            <w:tcW w:w="2410" w:type="dxa"/>
            <w:tcBorders>
              <w:top w:val="nil"/>
              <w:left w:val="nil"/>
              <w:bottom w:val="nil"/>
              <w:right w:val="nil"/>
            </w:tcBorders>
            <w:shd w:val="clear" w:color="auto" w:fill="auto"/>
            <w:noWrap/>
            <w:vAlign w:val="bottom"/>
            <w:hideMark/>
          </w:tcPr>
          <w:p w14:paraId="49D0AB85" w14:textId="77777777" w:rsidR="0089177F" w:rsidRPr="002A338C" w:rsidRDefault="0089177F" w:rsidP="0089177F">
            <w:pPr>
              <w:spacing w:after="0" w:line="240" w:lineRule="auto"/>
              <w:ind w:left="227"/>
              <w:rPr>
                <w:rFonts w:ascii="Arial" w:hAnsi="Arial" w:cs="Arial"/>
                <w:b/>
                <w:bCs/>
                <w:color w:val="000000"/>
                <w:sz w:val="16"/>
                <w:szCs w:val="16"/>
              </w:rPr>
            </w:pPr>
            <w:r w:rsidRPr="002A338C">
              <w:rPr>
                <w:rFonts w:ascii="Arial" w:hAnsi="Arial" w:cs="Arial"/>
                <w:b/>
                <w:bCs/>
                <w:color w:val="000000"/>
                <w:sz w:val="16"/>
                <w:szCs w:val="16"/>
              </w:rPr>
              <w:t>Taxation revenue</w:t>
            </w:r>
          </w:p>
        </w:tc>
        <w:tc>
          <w:tcPr>
            <w:tcW w:w="0" w:type="auto"/>
            <w:tcBorders>
              <w:top w:val="nil"/>
              <w:left w:val="nil"/>
              <w:bottom w:val="nil"/>
              <w:right w:val="nil"/>
            </w:tcBorders>
            <w:shd w:val="clear" w:color="auto" w:fill="auto"/>
            <w:noWrap/>
            <w:vAlign w:val="bottom"/>
            <w:hideMark/>
          </w:tcPr>
          <w:p w14:paraId="6550F7F0"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E6E6E6"/>
            <w:noWrap/>
            <w:vAlign w:val="bottom"/>
            <w:hideMark/>
          </w:tcPr>
          <w:p w14:paraId="6E449E3B" w14:textId="15712A8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9773ACA" w14:textId="7777777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4E172CE0"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6A2170E1"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34B2B94E" w14:textId="77777777" w:rsidTr="005334F2">
        <w:trPr>
          <w:trHeight w:val="204"/>
        </w:trPr>
        <w:tc>
          <w:tcPr>
            <w:tcW w:w="2410" w:type="dxa"/>
            <w:tcBorders>
              <w:top w:val="nil"/>
              <w:left w:val="nil"/>
              <w:bottom w:val="nil"/>
              <w:right w:val="nil"/>
            </w:tcBorders>
            <w:shd w:val="clear" w:color="auto" w:fill="auto"/>
            <w:noWrap/>
            <w:vAlign w:val="bottom"/>
            <w:hideMark/>
          </w:tcPr>
          <w:p w14:paraId="79C68DF3"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Other taxes</w:t>
            </w:r>
          </w:p>
        </w:tc>
        <w:tc>
          <w:tcPr>
            <w:tcW w:w="0" w:type="auto"/>
            <w:tcBorders>
              <w:top w:val="nil"/>
              <w:left w:val="nil"/>
              <w:bottom w:val="nil"/>
              <w:right w:val="nil"/>
            </w:tcBorders>
            <w:shd w:val="clear" w:color="auto" w:fill="auto"/>
            <w:noWrap/>
            <w:vAlign w:val="bottom"/>
            <w:hideMark/>
          </w:tcPr>
          <w:p w14:paraId="5140A1D5" w14:textId="31793ADC"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34,160</w:t>
            </w:r>
          </w:p>
        </w:tc>
        <w:tc>
          <w:tcPr>
            <w:tcW w:w="0" w:type="auto"/>
            <w:tcBorders>
              <w:top w:val="nil"/>
              <w:left w:val="nil"/>
              <w:bottom w:val="nil"/>
              <w:right w:val="nil"/>
            </w:tcBorders>
            <w:shd w:val="clear" w:color="auto" w:fill="E6E6E6"/>
            <w:noWrap/>
            <w:vAlign w:val="bottom"/>
            <w:hideMark/>
          </w:tcPr>
          <w:p w14:paraId="378D3A47" w14:textId="12D3DE2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29,872</w:t>
            </w:r>
          </w:p>
        </w:tc>
        <w:tc>
          <w:tcPr>
            <w:tcW w:w="0" w:type="auto"/>
            <w:tcBorders>
              <w:top w:val="nil"/>
              <w:left w:val="nil"/>
              <w:bottom w:val="nil"/>
              <w:right w:val="nil"/>
            </w:tcBorders>
            <w:shd w:val="clear" w:color="auto" w:fill="auto"/>
            <w:noWrap/>
            <w:vAlign w:val="bottom"/>
            <w:hideMark/>
          </w:tcPr>
          <w:p w14:paraId="40017DB9" w14:textId="64FDEB3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27,307</w:t>
            </w:r>
          </w:p>
        </w:tc>
        <w:tc>
          <w:tcPr>
            <w:tcW w:w="0" w:type="auto"/>
            <w:tcBorders>
              <w:top w:val="nil"/>
              <w:left w:val="nil"/>
              <w:bottom w:val="nil"/>
              <w:right w:val="nil"/>
            </w:tcBorders>
            <w:shd w:val="clear" w:color="auto" w:fill="auto"/>
            <w:noWrap/>
            <w:vAlign w:val="bottom"/>
            <w:hideMark/>
          </w:tcPr>
          <w:p w14:paraId="14410A6F" w14:textId="7C35522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27,307</w:t>
            </w:r>
          </w:p>
        </w:tc>
        <w:tc>
          <w:tcPr>
            <w:tcW w:w="0" w:type="auto"/>
            <w:tcBorders>
              <w:top w:val="nil"/>
              <w:left w:val="nil"/>
              <w:bottom w:val="nil"/>
              <w:right w:val="nil"/>
            </w:tcBorders>
            <w:shd w:val="clear" w:color="auto" w:fill="auto"/>
            <w:noWrap/>
            <w:vAlign w:val="bottom"/>
            <w:hideMark/>
          </w:tcPr>
          <w:p w14:paraId="1E3A1134" w14:textId="249E873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24,200</w:t>
            </w:r>
          </w:p>
        </w:tc>
      </w:tr>
      <w:tr w:rsidR="0089177F" w:rsidRPr="002A338C" w14:paraId="0ABCEC1D" w14:textId="77777777" w:rsidTr="005334F2">
        <w:trPr>
          <w:trHeight w:val="204"/>
        </w:trPr>
        <w:tc>
          <w:tcPr>
            <w:tcW w:w="2410" w:type="dxa"/>
            <w:tcBorders>
              <w:top w:val="nil"/>
              <w:left w:val="nil"/>
              <w:bottom w:val="nil"/>
              <w:right w:val="nil"/>
            </w:tcBorders>
            <w:shd w:val="clear" w:color="auto" w:fill="auto"/>
            <w:noWrap/>
            <w:vAlign w:val="bottom"/>
            <w:hideMark/>
          </w:tcPr>
          <w:p w14:paraId="477BAEC4" w14:textId="77777777" w:rsidR="0089177F" w:rsidRPr="002A338C" w:rsidRDefault="0089177F" w:rsidP="0089177F">
            <w:pPr>
              <w:spacing w:after="0" w:line="240" w:lineRule="auto"/>
              <w:ind w:left="227"/>
              <w:rPr>
                <w:rFonts w:ascii="Arial" w:hAnsi="Arial" w:cs="Arial"/>
                <w:b/>
                <w:bCs/>
                <w:i/>
                <w:iCs/>
                <w:color w:val="000000"/>
                <w:sz w:val="16"/>
                <w:szCs w:val="16"/>
              </w:rPr>
            </w:pPr>
            <w:r w:rsidRPr="002A338C">
              <w:rPr>
                <w:rFonts w:ascii="Arial" w:hAnsi="Arial" w:cs="Arial"/>
                <w:b/>
                <w:bCs/>
                <w:i/>
                <w:iCs/>
                <w:color w:val="000000"/>
                <w:sz w:val="16"/>
                <w:szCs w:val="16"/>
              </w:rPr>
              <w:t>Total taxation revenue</w:t>
            </w:r>
          </w:p>
        </w:tc>
        <w:tc>
          <w:tcPr>
            <w:tcW w:w="0" w:type="auto"/>
            <w:tcBorders>
              <w:top w:val="single" w:sz="4" w:space="0" w:color="auto"/>
              <w:left w:val="nil"/>
              <w:bottom w:val="single" w:sz="4" w:space="0" w:color="auto"/>
              <w:right w:val="nil"/>
            </w:tcBorders>
            <w:shd w:val="clear" w:color="auto" w:fill="auto"/>
            <w:noWrap/>
            <w:vAlign w:val="bottom"/>
            <w:hideMark/>
          </w:tcPr>
          <w:p w14:paraId="6EEC6F57" w14:textId="70B59D4B"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34,160</w:t>
            </w:r>
          </w:p>
        </w:tc>
        <w:tc>
          <w:tcPr>
            <w:tcW w:w="0" w:type="auto"/>
            <w:tcBorders>
              <w:top w:val="single" w:sz="4" w:space="0" w:color="auto"/>
              <w:left w:val="nil"/>
              <w:bottom w:val="single" w:sz="4" w:space="0" w:color="auto"/>
              <w:right w:val="nil"/>
            </w:tcBorders>
            <w:shd w:val="clear" w:color="auto" w:fill="E6E6E6"/>
            <w:noWrap/>
            <w:vAlign w:val="bottom"/>
            <w:hideMark/>
          </w:tcPr>
          <w:p w14:paraId="7F784A26" w14:textId="02604A6C"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29,872</w:t>
            </w:r>
          </w:p>
        </w:tc>
        <w:tc>
          <w:tcPr>
            <w:tcW w:w="0" w:type="auto"/>
            <w:tcBorders>
              <w:top w:val="single" w:sz="4" w:space="0" w:color="auto"/>
              <w:left w:val="nil"/>
              <w:bottom w:val="single" w:sz="4" w:space="0" w:color="auto"/>
              <w:right w:val="nil"/>
            </w:tcBorders>
            <w:shd w:val="clear" w:color="auto" w:fill="auto"/>
            <w:noWrap/>
            <w:vAlign w:val="bottom"/>
            <w:hideMark/>
          </w:tcPr>
          <w:p w14:paraId="44C18339" w14:textId="4313D498"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0" w:type="auto"/>
            <w:tcBorders>
              <w:top w:val="single" w:sz="4" w:space="0" w:color="auto"/>
              <w:left w:val="nil"/>
              <w:bottom w:val="single" w:sz="4" w:space="0" w:color="auto"/>
              <w:right w:val="nil"/>
            </w:tcBorders>
            <w:shd w:val="clear" w:color="auto" w:fill="auto"/>
            <w:noWrap/>
            <w:vAlign w:val="bottom"/>
            <w:hideMark/>
          </w:tcPr>
          <w:p w14:paraId="4ED3FF71" w14:textId="6ACFB05F"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0" w:type="auto"/>
            <w:tcBorders>
              <w:top w:val="single" w:sz="4" w:space="0" w:color="auto"/>
              <w:left w:val="nil"/>
              <w:bottom w:val="single" w:sz="4" w:space="0" w:color="auto"/>
              <w:right w:val="nil"/>
            </w:tcBorders>
            <w:shd w:val="clear" w:color="auto" w:fill="auto"/>
            <w:noWrap/>
            <w:vAlign w:val="bottom"/>
            <w:hideMark/>
          </w:tcPr>
          <w:p w14:paraId="35FB74CF" w14:textId="3CAE2599"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24,200</w:t>
            </w:r>
          </w:p>
        </w:tc>
      </w:tr>
      <w:tr w:rsidR="0089177F" w:rsidRPr="002A338C" w14:paraId="7C3D7129" w14:textId="77777777" w:rsidTr="005334F2">
        <w:trPr>
          <w:trHeight w:val="204"/>
        </w:trPr>
        <w:tc>
          <w:tcPr>
            <w:tcW w:w="2410" w:type="dxa"/>
            <w:tcBorders>
              <w:top w:val="nil"/>
              <w:left w:val="nil"/>
              <w:bottom w:val="nil"/>
              <w:right w:val="nil"/>
            </w:tcBorders>
            <w:shd w:val="clear" w:color="auto" w:fill="auto"/>
            <w:noWrap/>
            <w:vAlign w:val="bottom"/>
            <w:hideMark/>
          </w:tcPr>
          <w:p w14:paraId="0CBACFE2" w14:textId="77777777" w:rsidR="0089177F" w:rsidRPr="002A338C" w:rsidRDefault="0089177F" w:rsidP="0089177F">
            <w:pPr>
              <w:spacing w:after="0" w:line="240" w:lineRule="auto"/>
              <w:ind w:left="227"/>
              <w:rPr>
                <w:rFonts w:ascii="Arial" w:hAnsi="Arial" w:cs="Arial"/>
                <w:b/>
                <w:bCs/>
                <w:color w:val="000000"/>
                <w:sz w:val="16"/>
                <w:szCs w:val="16"/>
              </w:rPr>
            </w:pPr>
            <w:r w:rsidRPr="002A338C">
              <w:rPr>
                <w:rFonts w:ascii="Arial" w:hAnsi="Arial" w:cs="Arial"/>
                <w:b/>
                <w:bCs/>
                <w:color w:val="000000"/>
                <w:sz w:val="16"/>
                <w:szCs w:val="16"/>
              </w:rPr>
              <w:t>Non-taxation revenue</w:t>
            </w:r>
          </w:p>
        </w:tc>
        <w:tc>
          <w:tcPr>
            <w:tcW w:w="0" w:type="auto"/>
            <w:tcBorders>
              <w:top w:val="nil"/>
              <w:left w:val="nil"/>
              <w:bottom w:val="nil"/>
              <w:right w:val="nil"/>
            </w:tcBorders>
            <w:shd w:val="clear" w:color="auto" w:fill="auto"/>
            <w:noWrap/>
            <w:vAlign w:val="bottom"/>
            <w:hideMark/>
          </w:tcPr>
          <w:p w14:paraId="75C5BF2E" w14:textId="77777777" w:rsidR="0089177F" w:rsidRPr="002A338C" w:rsidRDefault="0089177F" w:rsidP="0089177F">
            <w:pPr>
              <w:spacing w:after="0" w:line="240" w:lineRule="auto"/>
              <w:jc w:val="right"/>
              <w:rPr>
                <w:rFonts w:ascii="Arial" w:hAnsi="Arial" w:cs="Arial"/>
                <w:b/>
                <w:bCs/>
                <w:i/>
                <w:iCs/>
                <w:color w:val="000000"/>
                <w:sz w:val="16"/>
                <w:szCs w:val="16"/>
              </w:rPr>
            </w:pPr>
          </w:p>
        </w:tc>
        <w:tc>
          <w:tcPr>
            <w:tcW w:w="0" w:type="auto"/>
            <w:tcBorders>
              <w:top w:val="nil"/>
              <w:left w:val="nil"/>
              <w:bottom w:val="nil"/>
              <w:right w:val="nil"/>
            </w:tcBorders>
            <w:shd w:val="clear" w:color="auto" w:fill="E6E6E6"/>
            <w:noWrap/>
            <w:vAlign w:val="bottom"/>
            <w:hideMark/>
          </w:tcPr>
          <w:p w14:paraId="3E443CC0" w14:textId="7FE5266F"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ADB6119" w14:textId="7777777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2D28E3A2"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14B198BE"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1954F73A" w14:textId="77777777" w:rsidTr="005334F2">
        <w:trPr>
          <w:trHeight w:val="204"/>
        </w:trPr>
        <w:tc>
          <w:tcPr>
            <w:tcW w:w="2410" w:type="dxa"/>
            <w:tcBorders>
              <w:top w:val="nil"/>
              <w:left w:val="nil"/>
              <w:bottom w:val="nil"/>
              <w:right w:val="nil"/>
            </w:tcBorders>
            <w:shd w:val="clear" w:color="000000" w:fill="FFFFFF"/>
            <w:vAlign w:val="bottom"/>
            <w:hideMark/>
          </w:tcPr>
          <w:p w14:paraId="5C2B1E50"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Revenue from contracts with customers</w:t>
            </w:r>
          </w:p>
        </w:tc>
        <w:tc>
          <w:tcPr>
            <w:tcW w:w="0" w:type="auto"/>
            <w:tcBorders>
              <w:top w:val="nil"/>
              <w:left w:val="nil"/>
              <w:bottom w:val="nil"/>
              <w:right w:val="nil"/>
            </w:tcBorders>
            <w:shd w:val="clear" w:color="auto" w:fill="auto"/>
            <w:noWrap/>
            <w:vAlign w:val="bottom"/>
            <w:hideMark/>
          </w:tcPr>
          <w:p w14:paraId="7D36DCF8" w14:textId="150077F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43,807</w:t>
            </w:r>
          </w:p>
        </w:tc>
        <w:tc>
          <w:tcPr>
            <w:tcW w:w="0" w:type="auto"/>
            <w:tcBorders>
              <w:top w:val="nil"/>
              <w:left w:val="nil"/>
              <w:bottom w:val="nil"/>
              <w:right w:val="nil"/>
            </w:tcBorders>
            <w:shd w:val="clear" w:color="auto" w:fill="E6E6E6"/>
            <w:noWrap/>
            <w:vAlign w:val="bottom"/>
            <w:hideMark/>
          </w:tcPr>
          <w:p w14:paraId="3CC8043D" w14:textId="4E06501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52,891</w:t>
            </w:r>
          </w:p>
        </w:tc>
        <w:tc>
          <w:tcPr>
            <w:tcW w:w="0" w:type="auto"/>
            <w:tcBorders>
              <w:top w:val="nil"/>
              <w:left w:val="nil"/>
              <w:bottom w:val="nil"/>
              <w:right w:val="nil"/>
            </w:tcBorders>
            <w:shd w:val="clear" w:color="auto" w:fill="auto"/>
            <w:noWrap/>
            <w:vAlign w:val="bottom"/>
            <w:hideMark/>
          </w:tcPr>
          <w:p w14:paraId="60577299" w14:textId="633A44C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52,818</w:t>
            </w:r>
          </w:p>
        </w:tc>
        <w:tc>
          <w:tcPr>
            <w:tcW w:w="0" w:type="auto"/>
            <w:tcBorders>
              <w:top w:val="nil"/>
              <w:left w:val="nil"/>
              <w:bottom w:val="nil"/>
              <w:right w:val="nil"/>
            </w:tcBorders>
            <w:shd w:val="clear" w:color="auto" w:fill="auto"/>
            <w:noWrap/>
            <w:vAlign w:val="bottom"/>
            <w:hideMark/>
          </w:tcPr>
          <w:p w14:paraId="15D43AA4" w14:textId="4D6DBE1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52,793</w:t>
            </w:r>
          </w:p>
        </w:tc>
        <w:tc>
          <w:tcPr>
            <w:tcW w:w="0" w:type="auto"/>
            <w:tcBorders>
              <w:top w:val="nil"/>
              <w:left w:val="nil"/>
              <w:bottom w:val="nil"/>
              <w:right w:val="nil"/>
            </w:tcBorders>
            <w:shd w:val="clear" w:color="auto" w:fill="auto"/>
            <w:noWrap/>
            <w:vAlign w:val="bottom"/>
            <w:hideMark/>
          </w:tcPr>
          <w:p w14:paraId="09DA5E01" w14:textId="062267DA"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50,156</w:t>
            </w:r>
          </w:p>
        </w:tc>
      </w:tr>
      <w:tr w:rsidR="0089177F" w:rsidRPr="002A338C" w14:paraId="5893839F" w14:textId="77777777" w:rsidTr="005334F2">
        <w:trPr>
          <w:trHeight w:val="204"/>
        </w:trPr>
        <w:tc>
          <w:tcPr>
            <w:tcW w:w="2410" w:type="dxa"/>
            <w:tcBorders>
              <w:top w:val="nil"/>
              <w:left w:val="nil"/>
              <w:bottom w:val="nil"/>
              <w:right w:val="nil"/>
            </w:tcBorders>
            <w:shd w:val="clear" w:color="auto" w:fill="auto"/>
            <w:noWrap/>
            <w:vAlign w:val="bottom"/>
            <w:hideMark/>
          </w:tcPr>
          <w:p w14:paraId="6B9D1BA6" w14:textId="77777777" w:rsidR="0089177F" w:rsidRPr="002A338C" w:rsidRDefault="0089177F" w:rsidP="0089177F">
            <w:pPr>
              <w:spacing w:after="0" w:line="240" w:lineRule="auto"/>
              <w:ind w:left="340"/>
              <w:rPr>
                <w:rFonts w:ascii="Arial" w:hAnsi="Arial" w:cs="Arial"/>
                <w:sz w:val="16"/>
                <w:szCs w:val="16"/>
              </w:rPr>
            </w:pPr>
            <w:r w:rsidRPr="002A338C">
              <w:rPr>
                <w:rFonts w:ascii="Arial" w:hAnsi="Arial" w:cs="Arial"/>
                <w:sz w:val="16"/>
                <w:szCs w:val="16"/>
              </w:rPr>
              <w:t>Fees and fines</w:t>
            </w:r>
          </w:p>
        </w:tc>
        <w:tc>
          <w:tcPr>
            <w:tcW w:w="0" w:type="auto"/>
            <w:tcBorders>
              <w:top w:val="nil"/>
              <w:left w:val="nil"/>
              <w:bottom w:val="nil"/>
              <w:right w:val="nil"/>
            </w:tcBorders>
            <w:shd w:val="clear" w:color="auto" w:fill="auto"/>
            <w:noWrap/>
            <w:vAlign w:val="bottom"/>
            <w:hideMark/>
          </w:tcPr>
          <w:p w14:paraId="053A9643" w14:textId="70F6D47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149,640</w:t>
            </w:r>
          </w:p>
        </w:tc>
        <w:tc>
          <w:tcPr>
            <w:tcW w:w="0" w:type="auto"/>
            <w:tcBorders>
              <w:top w:val="nil"/>
              <w:left w:val="nil"/>
              <w:bottom w:val="nil"/>
              <w:right w:val="nil"/>
            </w:tcBorders>
            <w:shd w:val="clear" w:color="auto" w:fill="E6E6E6"/>
            <w:noWrap/>
            <w:vAlign w:val="bottom"/>
            <w:hideMark/>
          </w:tcPr>
          <w:p w14:paraId="33A32BA2" w14:textId="48418A8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166,853</w:t>
            </w:r>
          </w:p>
        </w:tc>
        <w:tc>
          <w:tcPr>
            <w:tcW w:w="0" w:type="auto"/>
            <w:tcBorders>
              <w:top w:val="nil"/>
              <w:left w:val="nil"/>
              <w:bottom w:val="nil"/>
              <w:right w:val="nil"/>
            </w:tcBorders>
            <w:shd w:val="clear" w:color="auto" w:fill="auto"/>
            <w:noWrap/>
            <w:vAlign w:val="bottom"/>
            <w:hideMark/>
          </w:tcPr>
          <w:p w14:paraId="15CDAE89" w14:textId="156C715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183,151</w:t>
            </w:r>
          </w:p>
        </w:tc>
        <w:tc>
          <w:tcPr>
            <w:tcW w:w="0" w:type="auto"/>
            <w:tcBorders>
              <w:top w:val="nil"/>
              <w:left w:val="nil"/>
              <w:bottom w:val="nil"/>
              <w:right w:val="nil"/>
            </w:tcBorders>
            <w:shd w:val="clear" w:color="auto" w:fill="auto"/>
            <w:noWrap/>
            <w:vAlign w:val="bottom"/>
            <w:hideMark/>
          </w:tcPr>
          <w:p w14:paraId="0EAD7897" w14:textId="7C4468E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186,406</w:t>
            </w:r>
          </w:p>
        </w:tc>
        <w:tc>
          <w:tcPr>
            <w:tcW w:w="0" w:type="auto"/>
            <w:tcBorders>
              <w:top w:val="nil"/>
              <w:left w:val="nil"/>
              <w:bottom w:val="nil"/>
              <w:right w:val="nil"/>
            </w:tcBorders>
            <w:shd w:val="clear" w:color="auto" w:fill="auto"/>
            <w:noWrap/>
            <w:vAlign w:val="bottom"/>
            <w:hideMark/>
          </w:tcPr>
          <w:p w14:paraId="2FF802E3" w14:textId="6779210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160,325</w:t>
            </w:r>
          </w:p>
        </w:tc>
      </w:tr>
      <w:tr w:rsidR="0089177F" w:rsidRPr="002A338C" w14:paraId="6597C753" w14:textId="77777777" w:rsidTr="005334F2">
        <w:trPr>
          <w:trHeight w:val="204"/>
        </w:trPr>
        <w:tc>
          <w:tcPr>
            <w:tcW w:w="2410" w:type="dxa"/>
            <w:tcBorders>
              <w:top w:val="nil"/>
              <w:left w:val="nil"/>
              <w:bottom w:val="nil"/>
              <w:right w:val="nil"/>
            </w:tcBorders>
            <w:shd w:val="clear" w:color="auto" w:fill="auto"/>
            <w:noWrap/>
            <w:vAlign w:val="bottom"/>
            <w:hideMark/>
          </w:tcPr>
          <w:p w14:paraId="2E2D5DB4"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Interest</w:t>
            </w:r>
          </w:p>
        </w:tc>
        <w:tc>
          <w:tcPr>
            <w:tcW w:w="0" w:type="auto"/>
            <w:tcBorders>
              <w:top w:val="nil"/>
              <w:left w:val="nil"/>
              <w:bottom w:val="nil"/>
              <w:right w:val="nil"/>
            </w:tcBorders>
            <w:shd w:val="clear" w:color="auto" w:fill="auto"/>
            <w:noWrap/>
            <w:vAlign w:val="bottom"/>
            <w:hideMark/>
          </w:tcPr>
          <w:p w14:paraId="1D708E4C" w14:textId="2CF53C4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464,431</w:t>
            </w:r>
          </w:p>
        </w:tc>
        <w:tc>
          <w:tcPr>
            <w:tcW w:w="0" w:type="auto"/>
            <w:tcBorders>
              <w:top w:val="nil"/>
              <w:left w:val="nil"/>
              <w:bottom w:val="nil"/>
              <w:right w:val="nil"/>
            </w:tcBorders>
            <w:shd w:val="clear" w:color="auto" w:fill="E6E6E6"/>
            <w:noWrap/>
            <w:vAlign w:val="bottom"/>
            <w:hideMark/>
          </w:tcPr>
          <w:p w14:paraId="020FAD2A" w14:textId="57151EE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379,632</w:t>
            </w:r>
          </w:p>
        </w:tc>
        <w:tc>
          <w:tcPr>
            <w:tcW w:w="0" w:type="auto"/>
            <w:tcBorders>
              <w:top w:val="nil"/>
              <w:left w:val="nil"/>
              <w:bottom w:val="nil"/>
              <w:right w:val="nil"/>
            </w:tcBorders>
            <w:shd w:val="clear" w:color="auto" w:fill="auto"/>
            <w:noWrap/>
            <w:vAlign w:val="bottom"/>
            <w:hideMark/>
          </w:tcPr>
          <w:p w14:paraId="2E72D689" w14:textId="604F012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443,187</w:t>
            </w:r>
          </w:p>
        </w:tc>
        <w:tc>
          <w:tcPr>
            <w:tcW w:w="0" w:type="auto"/>
            <w:tcBorders>
              <w:top w:val="nil"/>
              <w:left w:val="nil"/>
              <w:bottom w:val="nil"/>
              <w:right w:val="nil"/>
            </w:tcBorders>
            <w:shd w:val="clear" w:color="auto" w:fill="auto"/>
            <w:noWrap/>
            <w:vAlign w:val="bottom"/>
            <w:hideMark/>
          </w:tcPr>
          <w:p w14:paraId="069D1B0B" w14:textId="51EBCCF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287,315</w:t>
            </w:r>
          </w:p>
        </w:tc>
        <w:tc>
          <w:tcPr>
            <w:tcW w:w="0" w:type="auto"/>
            <w:tcBorders>
              <w:top w:val="nil"/>
              <w:left w:val="nil"/>
              <w:bottom w:val="nil"/>
              <w:right w:val="nil"/>
            </w:tcBorders>
            <w:shd w:val="clear" w:color="auto" w:fill="auto"/>
            <w:noWrap/>
            <w:vAlign w:val="bottom"/>
            <w:hideMark/>
          </w:tcPr>
          <w:p w14:paraId="5423343C" w14:textId="5E24235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222,918</w:t>
            </w:r>
          </w:p>
        </w:tc>
      </w:tr>
      <w:tr w:rsidR="0089177F" w:rsidRPr="002A338C" w14:paraId="2617FF8C" w14:textId="77777777" w:rsidTr="005334F2">
        <w:trPr>
          <w:trHeight w:val="204"/>
        </w:trPr>
        <w:tc>
          <w:tcPr>
            <w:tcW w:w="2410" w:type="dxa"/>
            <w:tcBorders>
              <w:top w:val="nil"/>
              <w:left w:val="nil"/>
              <w:bottom w:val="nil"/>
              <w:right w:val="nil"/>
            </w:tcBorders>
            <w:shd w:val="clear" w:color="auto" w:fill="auto"/>
            <w:noWrap/>
            <w:vAlign w:val="bottom"/>
            <w:hideMark/>
          </w:tcPr>
          <w:p w14:paraId="0AC699B7"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Dividends</w:t>
            </w:r>
          </w:p>
        </w:tc>
        <w:tc>
          <w:tcPr>
            <w:tcW w:w="0" w:type="auto"/>
            <w:tcBorders>
              <w:top w:val="nil"/>
              <w:left w:val="nil"/>
              <w:bottom w:val="nil"/>
              <w:right w:val="nil"/>
            </w:tcBorders>
            <w:shd w:val="clear" w:color="auto" w:fill="auto"/>
            <w:noWrap/>
            <w:vAlign w:val="bottom"/>
            <w:hideMark/>
          </w:tcPr>
          <w:p w14:paraId="0003BDCD" w14:textId="2B6C65C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124,086</w:t>
            </w:r>
          </w:p>
        </w:tc>
        <w:tc>
          <w:tcPr>
            <w:tcW w:w="0" w:type="auto"/>
            <w:tcBorders>
              <w:top w:val="nil"/>
              <w:left w:val="nil"/>
              <w:bottom w:val="nil"/>
              <w:right w:val="nil"/>
            </w:tcBorders>
            <w:shd w:val="clear" w:color="auto" w:fill="E6E6E6"/>
            <w:noWrap/>
            <w:vAlign w:val="bottom"/>
            <w:hideMark/>
          </w:tcPr>
          <w:p w14:paraId="2A951D6B" w14:textId="7889140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21,805</w:t>
            </w:r>
          </w:p>
        </w:tc>
        <w:tc>
          <w:tcPr>
            <w:tcW w:w="0" w:type="auto"/>
            <w:tcBorders>
              <w:top w:val="nil"/>
              <w:left w:val="nil"/>
              <w:bottom w:val="nil"/>
              <w:right w:val="nil"/>
            </w:tcBorders>
            <w:shd w:val="clear" w:color="auto" w:fill="auto"/>
            <w:noWrap/>
            <w:vAlign w:val="bottom"/>
            <w:hideMark/>
          </w:tcPr>
          <w:p w14:paraId="35965156" w14:textId="3DD1313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400</w:t>
            </w:r>
          </w:p>
        </w:tc>
        <w:tc>
          <w:tcPr>
            <w:tcW w:w="0" w:type="auto"/>
            <w:tcBorders>
              <w:top w:val="nil"/>
              <w:left w:val="nil"/>
              <w:bottom w:val="nil"/>
              <w:right w:val="nil"/>
            </w:tcBorders>
            <w:shd w:val="clear" w:color="auto" w:fill="auto"/>
            <w:noWrap/>
            <w:vAlign w:val="bottom"/>
            <w:hideMark/>
          </w:tcPr>
          <w:p w14:paraId="62BB3222" w14:textId="1D5B116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12,500</w:t>
            </w:r>
          </w:p>
        </w:tc>
        <w:tc>
          <w:tcPr>
            <w:tcW w:w="0" w:type="auto"/>
            <w:tcBorders>
              <w:top w:val="nil"/>
              <w:left w:val="nil"/>
              <w:bottom w:val="nil"/>
              <w:right w:val="nil"/>
            </w:tcBorders>
            <w:shd w:val="clear" w:color="auto" w:fill="auto"/>
            <w:noWrap/>
            <w:vAlign w:val="bottom"/>
            <w:hideMark/>
          </w:tcPr>
          <w:p w14:paraId="427F3B70" w14:textId="49B8971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3,000</w:t>
            </w:r>
          </w:p>
        </w:tc>
      </w:tr>
      <w:tr w:rsidR="0089177F" w:rsidRPr="002A338C" w14:paraId="5FA4572F" w14:textId="77777777" w:rsidTr="005334F2">
        <w:trPr>
          <w:trHeight w:val="204"/>
        </w:trPr>
        <w:tc>
          <w:tcPr>
            <w:tcW w:w="2410" w:type="dxa"/>
            <w:tcBorders>
              <w:top w:val="nil"/>
              <w:left w:val="nil"/>
              <w:bottom w:val="nil"/>
              <w:right w:val="nil"/>
            </w:tcBorders>
            <w:shd w:val="clear" w:color="auto" w:fill="auto"/>
            <w:noWrap/>
            <w:vAlign w:val="bottom"/>
            <w:hideMark/>
          </w:tcPr>
          <w:p w14:paraId="01B358C2"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Rental income</w:t>
            </w:r>
          </w:p>
        </w:tc>
        <w:tc>
          <w:tcPr>
            <w:tcW w:w="0" w:type="auto"/>
            <w:tcBorders>
              <w:top w:val="nil"/>
              <w:left w:val="nil"/>
              <w:bottom w:val="nil"/>
              <w:right w:val="nil"/>
            </w:tcBorders>
            <w:shd w:val="clear" w:color="auto" w:fill="auto"/>
            <w:noWrap/>
            <w:vAlign w:val="bottom"/>
            <w:hideMark/>
          </w:tcPr>
          <w:p w14:paraId="5860B51C" w14:textId="4989C11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4,485</w:t>
            </w:r>
          </w:p>
        </w:tc>
        <w:tc>
          <w:tcPr>
            <w:tcW w:w="0" w:type="auto"/>
            <w:tcBorders>
              <w:top w:val="nil"/>
              <w:left w:val="nil"/>
              <w:bottom w:val="nil"/>
              <w:right w:val="nil"/>
            </w:tcBorders>
            <w:shd w:val="clear" w:color="auto" w:fill="E6E6E6"/>
            <w:noWrap/>
            <w:vAlign w:val="bottom"/>
            <w:hideMark/>
          </w:tcPr>
          <w:p w14:paraId="1110DA94" w14:textId="44C1B13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4,382</w:t>
            </w:r>
          </w:p>
        </w:tc>
        <w:tc>
          <w:tcPr>
            <w:tcW w:w="0" w:type="auto"/>
            <w:tcBorders>
              <w:top w:val="nil"/>
              <w:left w:val="nil"/>
              <w:bottom w:val="nil"/>
              <w:right w:val="nil"/>
            </w:tcBorders>
            <w:shd w:val="clear" w:color="auto" w:fill="auto"/>
            <w:noWrap/>
            <w:vAlign w:val="bottom"/>
            <w:hideMark/>
          </w:tcPr>
          <w:p w14:paraId="4E9E1D5B" w14:textId="55B7D88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4,525</w:t>
            </w:r>
          </w:p>
        </w:tc>
        <w:tc>
          <w:tcPr>
            <w:tcW w:w="0" w:type="auto"/>
            <w:tcBorders>
              <w:top w:val="nil"/>
              <w:left w:val="nil"/>
              <w:bottom w:val="nil"/>
              <w:right w:val="nil"/>
            </w:tcBorders>
            <w:shd w:val="clear" w:color="auto" w:fill="auto"/>
            <w:noWrap/>
            <w:vAlign w:val="bottom"/>
            <w:hideMark/>
          </w:tcPr>
          <w:p w14:paraId="22D911BD" w14:textId="08FB901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4,657</w:t>
            </w:r>
          </w:p>
        </w:tc>
        <w:tc>
          <w:tcPr>
            <w:tcW w:w="0" w:type="auto"/>
            <w:tcBorders>
              <w:top w:val="nil"/>
              <w:left w:val="nil"/>
              <w:bottom w:val="nil"/>
              <w:right w:val="nil"/>
            </w:tcBorders>
            <w:shd w:val="clear" w:color="auto" w:fill="auto"/>
            <w:noWrap/>
            <w:vAlign w:val="bottom"/>
            <w:hideMark/>
          </w:tcPr>
          <w:p w14:paraId="7C8A45CA" w14:textId="35D26C7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4,657</w:t>
            </w:r>
          </w:p>
        </w:tc>
      </w:tr>
      <w:tr w:rsidR="0089177F" w:rsidRPr="002A338C" w14:paraId="0DB5B941" w14:textId="77777777" w:rsidTr="005334F2">
        <w:trPr>
          <w:trHeight w:val="204"/>
        </w:trPr>
        <w:tc>
          <w:tcPr>
            <w:tcW w:w="2410" w:type="dxa"/>
            <w:tcBorders>
              <w:top w:val="nil"/>
              <w:left w:val="nil"/>
              <w:bottom w:val="nil"/>
              <w:right w:val="nil"/>
            </w:tcBorders>
            <w:shd w:val="clear" w:color="auto" w:fill="auto"/>
            <w:noWrap/>
            <w:vAlign w:val="bottom"/>
            <w:hideMark/>
          </w:tcPr>
          <w:p w14:paraId="3EB18934"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Other revenue</w:t>
            </w:r>
          </w:p>
        </w:tc>
        <w:tc>
          <w:tcPr>
            <w:tcW w:w="0" w:type="auto"/>
            <w:tcBorders>
              <w:top w:val="nil"/>
              <w:left w:val="nil"/>
              <w:bottom w:val="nil"/>
              <w:right w:val="nil"/>
            </w:tcBorders>
            <w:shd w:val="clear" w:color="auto" w:fill="auto"/>
            <w:noWrap/>
            <w:vAlign w:val="bottom"/>
            <w:hideMark/>
          </w:tcPr>
          <w:p w14:paraId="3BE975A5" w14:textId="6496C81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5,344</w:t>
            </w:r>
          </w:p>
        </w:tc>
        <w:tc>
          <w:tcPr>
            <w:tcW w:w="0" w:type="auto"/>
            <w:tcBorders>
              <w:top w:val="nil"/>
              <w:left w:val="nil"/>
              <w:bottom w:val="nil"/>
              <w:right w:val="nil"/>
            </w:tcBorders>
            <w:shd w:val="clear" w:color="auto" w:fill="E6E6E6"/>
            <w:noWrap/>
            <w:vAlign w:val="bottom"/>
            <w:hideMark/>
          </w:tcPr>
          <w:p w14:paraId="0653080C" w14:textId="0788396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9,865</w:t>
            </w:r>
          </w:p>
        </w:tc>
        <w:tc>
          <w:tcPr>
            <w:tcW w:w="0" w:type="auto"/>
            <w:tcBorders>
              <w:top w:val="nil"/>
              <w:left w:val="nil"/>
              <w:bottom w:val="nil"/>
              <w:right w:val="nil"/>
            </w:tcBorders>
            <w:shd w:val="clear" w:color="auto" w:fill="auto"/>
            <w:noWrap/>
            <w:vAlign w:val="bottom"/>
            <w:hideMark/>
          </w:tcPr>
          <w:p w14:paraId="3A686450" w14:textId="100E4291"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29,580</w:t>
            </w:r>
          </w:p>
        </w:tc>
        <w:tc>
          <w:tcPr>
            <w:tcW w:w="0" w:type="auto"/>
            <w:tcBorders>
              <w:top w:val="nil"/>
              <w:left w:val="nil"/>
              <w:bottom w:val="nil"/>
              <w:right w:val="nil"/>
            </w:tcBorders>
            <w:shd w:val="clear" w:color="auto" w:fill="auto"/>
            <w:noWrap/>
            <w:vAlign w:val="bottom"/>
            <w:hideMark/>
          </w:tcPr>
          <w:p w14:paraId="51DD347E" w14:textId="0E1C5F9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35,738</w:t>
            </w:r>
          </w:p>
        </w:tc>
        <w:tc>
          <w:tcPr>
            <w:tcW w:w="0" w:type="auto"/>
            <w:tcBorders>
              <w:top w:val="nil"/>
              <w:left w:val="nil"/>
              <w:bottom w:val="nil"/>
              <w:right w:val="nil"/>
            </w:tcBorders>
            <w:shd w:val="clear" w:color="auto" w:fill="auto"/>
            <w:noWrap/>
            <w:vAlign w:val="bottom"/>
            <w:hideMark/>
          </w:tcPr>
          <w:p w14:paraId="2E33A10A" w14:textId="718CC09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39,690</w:t>
            </w:r>
          </w:p>
        </w:tc>
      </w:tr>
      <w:tr w:rsidR="0089177F" w:rsidRPr="002A338C" w14:paraId="5AA8AC52" w14:textId="77777777" w:rsidTr="005334F2">
        <w:trPr>
          <w:trHeight w:val="204"/>
        </w:trPr>
        <w:tc>
          <w:tcPr>
            <w:tcW w:w="2410" w:type="dxa"/>
            <w:tcBorders>
              <w:top w:val="nil"/>
              <w:left w:val="nil"/>
              <w:bottom w:val="nil"/>
              <w:right w:val="nil"/>
            </w:tcBorders>
            <w:shd w:val="clear" w:color="auto" w:fill="auto"/>
            <w:noWrap/>
            <w:vAlign w:val="bottom"/>
            <w:hideMark/>
          </w:tcPr>
          <w:p w14:paraId="0F90A412" w14:textId="77777777" w:rsidR="0089177F" w:rsidRPr="002A338C" w:rsidRDefault="0089177F" w:rsidP="0089177F">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non-taxation revenue</w:t>
            </w:r>
          </w:p>
        </w:tc>
        <w:tc>
          <w:tcPr>
            <w:tcW w:w="0" w:type="auto"/>
            <w:tcBorders>
              <w:top w:val="single" w:sz="4" w:space="0" w:color="auto"/>
              <w:left w:val="nil"/>
              <w:bottom w:val="single" w:sz="4" w:space="0" w:color="auto"/>
              <w:right w:val="nil"/>
            </w:tcBorders>
            <w:shd w:val="clear" w:color="auto" w:fill="auto"/>
            <w:noWrap/>
            <w:vAlign w:val="bottom"/>
            <w:hideMark/>
          </w:tcPr>
          <w:p w14:paraId="3AF2F585" w14:textId="3FC4F6F6"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791,793</w:t>
            </w:r>
          </w:p>
        </w:tc>
        <w:tc>
          <w:tcPr>
            <w:tcW w:w="0" w:type="auto"/>
            <w:tcBorders>
              <w:top w:val="single" w:sz="4" w:space="0" w:color="auto"/>
              <w:left w:val="nil"/>
              <w:bottom w:val="single" w:sz="4" w:space="0" w:color="auto"/>
              <w:right w:val="nil"/>
            </w:tcBorders>
            <w:shd w:val="clear" w:color="auto" w:fill="E6E6E6"/>
            <w:noWrap/>
            <w:vAlign w:val="bottom"/>
            <w:hideMark/>
          </w:tcPr>
          <w:p w14:paraId="15C1C4E3" w14:textId="02430553"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635,428</w:t>
            </w:r>
          </w:p>
        </w:tc>
        <w:tc>
          <w:tcPr>
            <w:tcW w:w="0" w:type="auto"/>
            <w:tcBorders>
              <w:top w:val="single" w:sz="4" w:space="0" w:color="auto"/>
              <w:left w:val="nil"/>
              <w:bottom w:val="single" w:sz="4" w:space="0" w:color="auto"/>
              <w:right w:val="nil"/>
            </w:tcBorders>
            <w:shd w:val="clear" w:color="auto" w:fill="auto"/>
            <w:noWrap/>
            <w:vAlign w:val="bottom"/>
            <w:hideMark/>
          </w:tcPr>
          <w:p w14:paraId="45AAFC93" w14:textId="602FFF57"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713,661</w:t>
            </w:r>
          </w:p>
        </w:tc>
        <w:tc>
          <w:tcPr>
            <w:tcW w:w="0" w:type="auto"/>
            <w:tcBorders>
              <w:top w:val="single" w:sz="4" w:space="0" w:color="auto"/>
              <w:left w:val="nil"/>
              <w:bottom w:val="single" w:sz="4" w:space="0" w:color="auto"/>
              <w:right w:val="nil"/>
            </w:tcBorders>
            <w:shd w:val="clear" w:color="auto" w:fill="auto"/>
            <w:noWrap/>
            <w:vAlign w:val="bottom"/>
            <w:hideMark/>
          </w:tcPr>
          <w:p w14:paraId="4BA87183" w14:textId="2C63A3AC"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579,409</w:t>
            </w:r>
          </w:p>
        </w:tc>
        <w:tc>
          <w:tcPr>
            <w:tcW w:w="0" w:type="auto"/>
            <w:tcBorders>
              <w:top w:val="single" w:sz="4" w:space="0" w:color="auto"/>
              <w:left w:val="nil"/>
              <w:bottom w:val="single" w:sz="4" w:space="0" w:color="auto"/>
              <w:right w:val="nil"/>
            </w:tcBorders>
            <w:shd w:val="clear" w:color="auto" w:fill="auto"/>
            <w:noWrap/>
            <w:vAlign w:val="bottom"/>
            <w:hideMark/>
          </w:tcPr>
          <w:p w14:paraId="18178DD4" w14:textId="058AB9A8"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480,746</w:t>
            </w:r>
          </w:p>
        </w:tc>
      </w:tr>
      <w:tr w:rsidR="0089177F" w:rsidRPr="002A338C" w14:paraId="0A55E2EC" w14:textId="77777777" w:rsidTr="005334F2">
        <w:trPr>
          <w:trHeight w:val="204"/>
        </w:trPr>
        <w:tc>
          <w:tcPr>
            <w:tcW w:w="2410" w:type="dxa"/>
            <w:tcBorders>
              <w:top w:val="nil"/>
              <w:left w:val="nil"/>
              <w:bottom w:val="nil"/>
              <w:right w:val="nil"/>
            </w:tcBorders>
            <w:shd w:val="clear" w:color="auto" w:fill="auto"/>
            <w:vAlign w:val="bottom"/>
            <w:hideMark/>
          </w:tcPr>
          <w:p w14:paraId="13E7A95F"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Total own-source revenue</w:t>
            </w:r>
          </w:p>
        </w:tc>
        <w:tc>
          <w:tcPr>
            <w:tcW w:w="0" w:type="auto"/>
            <w:tcBorders>
              <w:top w:val="nil"/>
              <w:left w:val="nil"/>
              <w:bottom w:val="single" w:sz="4" w:space="0" w:color="auto"/>
              <w:right w:val="nil"/>
            </w:tcBorders>
            <w:shd w:val="clear" w:color="auto" w:fill="auto"/>
            <w:noWrap/>
            <w:vAlign w:val="bottom"/>
            <w:hideMark/>
          </w:tcPr>
          <w:p w14:paraId="39596459" w14:textId="3601100A"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825,953</w:t>
            </w:r>
          </w:p>
        </w:tc>
        <w:tc>
          <w:tcPr>
            <w:tcW w:w="0" w:type="auto"/>
            <w:tcBorders>
              <w:top w:val="nil"/>
              <w:left w:val="nil"/>
              <w:bottom w:val="single" w:sz="4" w:space="0" w:color="auto"/>
              <w:right w:val="nil"/>
            </w:tcBorders>
            <w:shd w:val="clear" w:color="auto" w:fill="E6E6E6"/>
            <w:noWrap/>
            <w:vAlign w:val="bottom"/>
            <w:hideMark/>
          </w:tcPr>
          <w:p w14:paraId="356B8512" w14:textId="61D1175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665,300</w:t>
            </w:r>
          </w:p>
        </w:tc>
        <w:tc>
          <w:tcPr>
            <w:tcW w:w="0" w:type="auto"/>
            <w:tcBorders>
              <w:top w:val="nil"/>
              <w:left w:val="nil"/>
              <w:bottom w:val="single" w:sz="4" w:space="0" w:color="auto"/>
              <w:right w:val="nil"/>
            </w:tcBorders>
            <w:shd w:val="clear" w:color="auto" w:fill="auto"/>
            <w:noWrap/>
            <w:vAlign w:val="bottom"/>
            <w:hideMark/>
          </w:tcPr>
          <w:p w14:paraId="78DCDC1A" w14:textId="2D7937ED"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740,968</w:t>
            </w:r>
          </w:p>
        </w:tc>
        <w:tc>
          <w:tcPr>
            <w:tcW w:w="0" w:type="auto"/>
            <w:tcBorders>
              <w:top w:val="nil"/>
              <w:left w:val="nil"/>
              <w:bottom w:val="single" w:sz="4" w:space="0" w:color="auto"/>
              <w:right w:val="nil"/>
            </w:tcBorders>
            <w:shd w:val="clear" w:color="auto" w:fill="auto"/>
            <w:noWrap/>
            <w:vAlign w:val="bottom"/>
            <w:hideMark/>
          </w:tcPr>
          <w:p w14:paraId="4BF4C61C" w14:textId="1E635857"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606,716</w:t>
            </w:r>
          </w:p>
        </w:tc>
        <w:tc>
          <w:tcPr>
            <w:tcW w:w="0" w:type="auto"/>
            <w:tcBorders>
              <w:top w:val="nil"/>
              <w:left w:val="nil"/>
              <w:bottom w:val="single" w:sz="4" w:space="0" w:color="auto"/>
              <w:right w:val="nil"/>
            </w:tcBorders>
            <w:shd w:val="clear" w:color="auto" w:fill="auto"/>
            <w:noWrap/>
            <w:vAlign w:val="bottom"/>
            <w:hideMark/>
          </w:tcPr>
          <w:p w14:paraId="0860F2F9" w14:textId="6440C1E4"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504,946</w:t>
            </w:r>
          </w:p>
        </w:tc>
      </w:tr>
      <w:tr w:rsidR="0089177F" w:rsidRPr="002A338C" w14:paraId="5BEC072F" w14:textId="77777777" w:rsidTr="005334F2">
        <w:trPr>
          <w:trHeight w:val="204"/>
        </w:trPr>
        <w:tc>
          <w:tcPr>
            <w:tcW w:w="2410" w:type="dxa"/>
            <w:tcBorders>
              <w:top w:val="nil"/>
              <w:left w:val="nil"/>
              <w:bottom w:val="nil"/>
              <w:right w:val="nil"/>
            </w:tcBorders>
            <w:shd w:val="clear" w:color="auto" w:fill="auto"/>
            <w:noWrap/>
            <w:vAlign w:val="bottom"/>
            <w:hideMark/>
          </w:tcPr>
          <w:p w14:paraId="1BEF2E82" w14:textId="77777777" w:rsidR="0089177F" w:rsidRPr="002A338C" w:rsidRDefault="0089177F" w:rsidP="0089177F">
            <w:pPr>
              <w:spacing w:after="0" w:line="240" w:lineRule="auto"/>
              <w:ind w:firstLineChars="100" w:firstLine="161"/>
              <w:rPr>
                <w:rFonts w:ascii="Arial" w:hAnsi="Arial" w:cs="Arial"/>
                <w:b/>
                <w:bCs/>
                <w:color w:val="000000"/>
                <w:sz w:val="16"/>
                <w:szCs w:val="16"/>
              </w:rPr>
            </w:pPr>
            <w:r w:rsidRPr="002A338C">
              <w:rPr>
                <w:rFonts w:ascii="Arial" w:hAnsi="Arial" w:cs="Arial"/>
                <w:b/>
                <w:bCs/>
                <w:color w:val="000000"/>
                <w:sz w:val="16"/>
                <w:szCs w:val="16"/>
              </w:rPr>
              <w:t>Gains</w:t>
            </w:r>
          </w:p>
        </w:tc>
        <w:tc>
          <w:tcPr>
            <w:tcW w:w="0" w:type="auto"/>
            <w:tcBorders>
              <w:top w:val="nil"/>
              <w:left w:val="nil"/>
              <w:bottom w:val="nil"/>
              <w:right w:val="nil"/>
            </w:tcBorders>
            <w:shd w:val="clear" w:color="auto" w:fill="auto"/>
            <w:noWrap/>
            <w:vAlign w:val="bottom"/>
            <w:hideMark/>
          </w:tcPr>
          <w:p w14:paraId="41D80299" w14:textId="77777777" w:rsidR="0089177F" w:rsidRPr="002A338C" w:rsidRDefault="0089177F" w:rsidP="0089177F">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E6E6E6"/>
            <w:noWrap/>
            <w:vAlign w:val="bottom"/>
            <w:hideMark/>
          </w:tcPr>
          <w:p w14:paraId="16E88B77" w14:textId="235B4230"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23B0C93" w14:textId="77777777" w:rsidR="0089177F" w:rsidRPr="002A338C" w:rsidRDefault="0089177F" w:rsidP="0089177F">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E5E5405" w14:textId="77777777" w:rsidR="0089177F" w:rsidRPr="002A338C" w:rsidRDefault="0089177F" w:rsidP="0089177F">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63CA1DF4"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4208C246" w14:textId="77777777" w:rsidTr="005334F2">
        <w:trPr>
          <w:trHeight w:val="204"/>
        </w:trPr>
        <w:tc>
          <w:tcPr>
            <w:tcW w:w="2410" w:type="dxa"/>
            <w:tcBorders>
              <w:top w:val="nil"/>
              <w:left w:val="nil"/>
              <w:bottom w:val="nil"/>
              <w:right w:val="nil"/>
            </w:tcBorders>
            <w:shd w:val="clear" w:color="auto" w:fill="auto"/>
            <w:noWrap/>
            <w:vAlign w:val="bottom"/>
            <w:hideMark/>
          </w:tcPr>
          <w:p w14:paraId="08DC8559"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Sale of assets</w:t>
            </w:r>
          </w:p>
        </w:tc>
        <w:tc>
          <w:tcPr>
            <w:tcW w:w="0" w:type="auto"/>
            <w:tcBorders>
              <w:top w:val="nil"/>
              <w:left w:val="nil"/>
              <w:bottom w:val="nil"/>
              <w:right w:val="nil"/>
            </w:tcBorders>
            <w:shd w:val="clear" w:color="auto" w:fill="auto"/>
            <w:noWrap/>
            <w:vAlign w:val="bottom"/>
            <w:hideMark/>
          </w:tcPr>
          <w:p w14:paraId="0EF450B2" w14:textId="7F06F6A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27,610</w:t>
            </w:r>
          </w:p>
        </w:tc>
        <w:tc>
          <w:tcPr>
            <w:tcW w:w="0" w:type="auto"/>
            <w:tcBorders>
              <w:top w:val="nil"/>
              <w:left w:val="nil"/>
              <w:bottom w:val="nil"/>
              <w:right w:val="nil"/>
            </w:tcBorders>
            <w:shd w:val="clear" w:color="auto" w:fill="E6E6E6"/>
            <w:noWrap/>
            <w:vAlign w:val="bottom"/>
            <w:hideMark/>
          </w:tcPr>
          <w:p w14:paraId="4DC87A54" w14:textId="4931BFA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1F09D52A" w14:textId="1493740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57436E45" w14:textId="77D69651"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50EA27E1" w14:textId="7E518B9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9177F" w:rsidRPr="002A338C" w14:paraId="3D80A7B4" w14:textId="77777777" w:rsidTr="005334F2">
        <w:trPr>
          <w:trHeight w:val="204"/>
        </w:trPr>
        <w:tc>
          <w:tcPr>
            <w:tcW w:w="2410" w:type="dxa"/>
            <w:tcBorders>
              <w:top w:val="nil"/>
              <w:left w:val="nil"/>
              <w:bottom w:val="nil"/>
              <w:right w:val="nil"/>
            </w:tcBorders>
            <w:shd w:val="clear" w:color="auto" w:fill="auto"/>
            <w:noWrap/>
            <w:vAlign w:val="bottom"/>
            <w:hideMark/>
          </w:tcPr>
          <w:p w14:paraId="6511C19B" w14:textId="77777777" w:rsidR="0089177F" w:rsidRPr="002A338C" w:rsidRDefault="0089177F" w:rsidP="0089177F">
            <w:pPr>
              <w:spacing w:after="0" w:line="240" w:lineRule="auto"/>
              <w:ind w:left="340"/>
              <w:rPr>
                <w:rFonts w:ascii="Arial" w:hAnsi="Arial" w:cs="Arial"/>
                <w:color w:val="000000"/>
                <w:sz w:val="16"/>
                <w:szCs w:val="16"/>
              </w:rPr>
            </w:pPr>
            <w:r w:rsidRPr="002A338C">
              <w:rPr>
                <w:rFonts w:ascii="Arial" w:hAnsi="Arial" w:cs="Arial"/>
                <w:color w:val="000000"/>
                <w:sz w:val="16"/>
                <w:szCs w:val="16"/>
              </w:rPr>
              <w:t>Other gains</w:t>
            </w:r>
          </w:p>
        </w:tc>
        <w:tc>
          <w:tcPr>
            <w:tcW w:w="0" w:type="auto"/>
            <w:tcBorders>
              <w:top w:val="nil"/>
              <w:left w:val="nil"/>
              <w:bottom w:val="nil"/>
              <w:right w:val="nil"/>
            </w:tcBorders>
            <w:shd w:val="clear" w:color="auto" w:fill="auto"/>
            <w:noWrap/>
            <w:vAlign w:val="bottom"/>
            <w:hideMark/>
          </w:tcPr>
          <w:p w14:paraId="753D50C4" w14:textId="1965554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1,253</w:t>
            </w:r>
          </w:p>
        </w:tc>
        <w:tc>
          <w:tcPr>
            <w:tcW w:w="0" w:type="auto"/>
            <w:tcBorders>
              <w:top w:val="nil"/>
              <w:left w:val="nil"/>
              <w:bottom w:val="nil"/>
              <w:right w:val="nil"/>
            </w:tcBorders>
            <w:shd w:val="clear" w:color="auto" w:fill="E6E6E6"/>
            <w:noWrap/>
            <w:vAlign w:val="bottom"/>
            <w:hideMark/>
          </w:tcPr>
          <w:p w14:paraId="4C5059E7" w14:textId="5F84955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4195BF92" w14:textId="7C6359E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28E316E9" w14:textId="0A7C6DC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2AF2BE70" w14:textId="628B243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9177F" w:rsidRPr="002A338C" w14:paraId="42533B7A" w14:textId="77777777" w:rsidTr="005334F2">
        <w:trPr>
          <w:trHeight w:val="204"/>
        </w:trPr>
        <w:tc>
          <w:tcPr>
            <w:tcW w:w="2410" w:type="dxa"/>
            <w:tcBorders>
              <w:top w:val="nil"/>
              <w:left w:val="nil"/>
              <w:bottom w:val="nil"/>
              <w:right w:val="nil"/>
            </w:tcBorders>
            <w:shd w:val="clear" w:color="auto" w:fill="auto"/>
            <w:vAlign w:val="bottom"/>
            <w:hideMark/>
          </w:tcPr>
          <w:p w14:paraId="0BAE7624"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Total gains</w:t>
            </w:r>
          </w:p>
        </w:tc>
        <w:tc>
          <w:tcPr>
            <w:tcW w:w="0" w:type="auto"/>
            <w:tcBorders>
              <w:top w:val="single" w:sz="4" w:space="0" w:color="auto"/>
              <w:left w:val="nil"/>
              <w:bottom w:val="single" w:sz="4" w:space="0" w:color="auto"/>
              <w:right w:val="nil"/>
            </w:tcBorders>
            <w:shd w:val="clear" w:color="auto" w:fill="auto"/>
            <w:noWrap/>
            <w:vAlign w:val="bottom"/>
            <w:hideMark/>
          </w:tcPr>
          <w:p w14:paraId="3EF6FD13" w14:textId="0EF8EDB5"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28,863</w:t>
            </w:r>
          </w:p>
        </w:tc>
        <w:tc>
          <w:tcPr>
            <w:tcW w:w="0" w:type="auto"/>
            <w:tcBorders>
              <w:top w:val="single" w:sz="4" w:space="0" w:color="auto"/>
              <w:left w:val="nil"/>
              <w:bottom w:val="single" w:sz="4" w:space="0" w:color="auto"/>
              <w:right w:val="nil"/>
            </w:tcBorders>
            <w:shd w:val="clear" w:color="auto" w:fill="E6E6E6"/>
            <w:noWrap/>
            <w:vAlign w:val="bottom"/>
            <w:hideMark/>
          </w:tcPr>
          <w:p w14:paraId="24578C02" w14:textId="7EC3F42B"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0" w:type="auto"/>
            <w:tcBorders>
              <w:top w:val="single" w:sz="4" w:space="0" w:color="auto"/>
              <w:left w:val="nil"/>
              <w:bottom w:val="single" w:sz="4" w:space="0" w:color="auto"/>
              <w:right w:val="nil"/>
            </w:tcBorders>
            <w:shd w:val="clear" w:color="auto" w:fill="auto"/>
            <w:noWrap/>
            <w:vAlign w:val="bottom"/>
            <w:hideMark/>
          </w:tcPr>
          <w:p w14:paraId="4DA2F4DA" w14:textId="3E7B176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0" w:type="auto"/>
            <w:tcBorders>
              <w:top w:val="single" w:sz="4" w:space="0" w:color="auto"/>
              <w:left w:val="nil"/>
              <w:bottom w:val="single" w:sz="4" w:space="0" w:color="auto"/>
              <w:right w:val="nil"/>
            </w:tcBorders>
            <w:shd w:val="clear" w:color="auto" w:fill="auto"/>
            <w:noWrap/>
            <w:vAlign w:val="bottom"/>
            <w:hideMark/>
          </w:tcPr>
          <w:p w14:paraId="7F983E03" w14:textId="133D6E9D"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0" w:type="auto"/>
            <w:tcBorders>
              <w:top w:val="single" w:sz="4" w:space="0" w:color="auto"/>
              <w:left w:val="nil"/>
              <w:bottom w:val="single" w:sz="4" w:space="0" w:color="auto"/>
              <w:right w:val="nil"/>
            </w:tcBorders>
            <w:shd w:val="clear" w:color="auto" w:fill="auto"/>
            <w:noWrap/>
            <w:vAlign w:val="bottom"/>
            <w:hideMark/>
          </w:tcPr>
          <w:p w14:paraId="0E8FEBBC" w14:textId="36C9263F"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89177F" w:rsidRPr="002A338C" w14:paraId="2D7774C6" w14:textId="77777777" w:rsidTr="005334F2">
        <w:trPr>
          <w:trHeight w:val="204"/>
        </w:trPr>
        <w:tc>
          <w:tcPr>
            <w:tcW w:w="2410" w:type="dxa"/>
            <w:tcBorders>
              <w:top w:val="nil"/>
              <w:left w:val="nil"/>
              <w:bottom w:val="nil"/>
              <w:right w:val="nil"/>
            </w:tcBorders>
            <w:shd w:val="clear" w:color="auto" w:fill="auto"/>
            <w:vAlign w:val="bottom"/>
            <w:hideMark/>
          </w:tcPr>
          <w:p w14:paraId="0E1D894C"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Total own-sourced income</w:t>
            </w:r>
          </w:p>
        </w:tc>
        <w:tc>
          <w:tcPr>
            <w:tcW w:w="0" w:type="auto"/>
            <w:tcBorders>
              <w:top w:val="nil"/>
              <w:left w:val="nil"/>
              <w:bottom w:val="single" w:sz="4" w:space="0" w:color="auto"/>
              <w:right w:val="nil"/>
            </w:tcBorders>
            <w:shd w:val="clear" w:color="auto" w:fill="auto"/>
            <w:noWrap/>
            <w:vAlign w:val="bottom"/>
            <w:hideMark/>
          </w:tcPr>
          <w:p w14:paraId="1E28D126" w14:textId="5DCD14FA"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854,816</w:t>
            </w:r>
          </w:p>
        </w:tc>
        <w:tc>
          <w:tcPr>
            <w:tcW w:w="0" w:type="auto"/>
            <w:tcBorders>
              <w:top w:val="nil"/>
              <w:left w:val="nil"/>
              <w:bottom w:val="single" w:sz="4" w:space="0" w:color="auto"/>
              <w:right w:val="nil"/>
            </w:tcBorders>
            <w:shd w:val="clear" w:color="auto" w:fill="E6E6E6"/>
            <w:noWrap/>
            <w:vAlign w:val="bottom"/>
            <w:hideMark/>
          </w:tcPr>
          <w:p w14:paraId="1EEC5C8C" w14:textId="1FAAAFB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665,300</w:t>
            </w:r>
          </w:p>
        </w:tc>
        <w:tc>
          <w:tcPr>
            <w:tcW w:w="0" w:type="auto"/>
            <w:tcBorders>
              <w:top w:val="nil"/>
              <w:left w:val="nil"/>
              <w:bottom w:val="single" w:sz="4" w:space="0" w:color="auto"/>
              <w:right w:val="nil"/>
            </w:tcBorders>
            <w:shd w:val="clear" w:color="auto" w:fill="auto"/>
            <w:noWrap/>
            <w:vAlign w:val="bottom"/>
            <w:hideMark/>
          </w:tcPr>
          <w:p w14:paraId="6CA7341C" w14:textId="72239A61"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740,968</w:t>
            </w:r>
          </w:p>
        </w:tc>
        <w:tc>
          <w:tcPr>
            <w:tcW w:w="0" w:type="auto"/>
            <w:tcBorders>
              <w:top w:val="nil"/>
              <w:left w:val="nil"/>
              <w:bottom w:val="single" w:sz="4" w:space="0" w:color="auto"/>
              <w:right w:val="nil"/>
            </w:tcBorders>
            <w:shd w:val="clear" w:color="auto" w:fill="auto"/>
            <w:noWrap/>
            <w:vAlign w:val="bottom"/>
            <w:hideMark/>
          </w:tcPr>
          <w:p w14:paraId="6586FA6D" w14:textId="5AE65D18"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606,716</w:t>
            </w:r>
          </w:p>
        </w:tc>
        <w:tc>
          <w:tcPr>
            <w:tcW w:w="0" w:type="auto"/>
            <w:tcBorders>
              <w:top w:val="nil"/>
              <w:left w:val="nil"/>
              <w:bottom w:val="single" w:sz="4" w:space="0" w:color="auto"/>
              <w:right w:val="nil"/>
            </w:tcBorders>
            <w:shd w:val="clear" w:color="auto" w:fill="auto"/>
            <w:noWrap/>
            <w:vAlign w:val="bottom"/>
            <w:hideMark/>
          </w:tcPr>
          <w:p w14:paraId="064202F0" w14:textId="528E4440"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504,946</w:t>
            </w:r>
          </w:p>
        </w:tc>
      </w:tr>
      <w:tr w:rsidR="0089177F" w:rsidRPr="002A338C" w14:paraId="05F61FD2" w14:textId="77777777" w:rsidTr="005334F2">
        <w:trPr>
          <w:trHeight w:val="204"/>
        </w:trPr>
        <w:tc>
          <w:tcPr>
            <w:tcW w:w="2410" w:type="dxa"/>
            <w:tcBorders>
              <w:top w:val="nil"/>
              <w:left w:val="nil"/>
              <w:bottom w:val="nil"/>
              <w:right w:val="nil"/>
            </w:tcBorders>
            <w:shd w:val="clear" w:color="auto" w:fill="auto"/>
            <w:vAlign w:val="bottom"/>
            <w:hideMark/>
          </w:tcPr>
          <w:p w14:paraId="5AC7A3A0" w14:textId="77777777" w:rsidR="0089177F" w:rsidRPr="002A338C" w:rsidRDefault="0089177F" w:rsidP="0089177F">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(cost of)/contribution by services</w:t>
            </w:r>
          </w:p>
        </w:tc>
        <w:tc>
          <w:tcPr>
            <w:tcW w:w="0" w:type="auto"/>
            <w:tcBorders>
              <w:top w:val="nil"/>
              <w:left w:val="nil"/>
              <w:bottom w:val="single" w:sz="4" w:space="0" w:color="auto"/>
              <w:right w:val="nil"/>
            </w:tcBorders>
            <w:shd w:val="clear" w:color="auto" w:fill="auto"/>
            <w:noWrap/>
            <w:vAlign w:val="bottom"/>
            <w:hideMark/>
          </w:tcPr>
          <w:p w14:paraId="37DD06D8" w14:textId="21059D6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(10,679,675)</w:t>
            </w:r>
          </w:p>
        </w:tc>
        <w:tc>
          <w:tcPr>
            <w:tcW w:w="0" w:type="auto"/>
            <w:tcBorders>
              <w:top w:val="nil"/>
              <w:left w:val="nil"/>
              <w:bottom w:val="single" w:sz="4" w:space="0" w:color="auto"/>
              <w:right w:val="nil"/>
            </w:tcBorders>
            <w:shd w:val="clear" w:color="auto" w:fill="E6E6E6"/>
            <w:noWrap/>
            <w:vAlign w:val="bottom"/>
            <w:hideMark/>
          </w:tcPr>
          <w:p w14:paraId="355C5E84" w14:textId="53410A57"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(8,146,523)</w:t>
            </w:r>
          </w:p>
        </w:tc>
        <w:tc>
          <w:tcPr>
            <w:tcW w:w="0" w:type="auto"/>
            <w:tcBorders>
              <w:top w:val="nil"/>
              <w:left w:val="nil"/>
              <w:bottom w:val="single" w:sz="4" w:space="0" w:color="auto"/>
              <w:right w:val="nil"/>
            </w:tcBorders>
            <w:shd w:val="clear" w:color="auto" w:fill="auto"/>
            <w:noWrap/>
            <w:vAlign w:val="bottom"/>
            <w:hideMark/>
          </w:tcPr>
          <w:p w14:paraId="33A2C3D2" w14:textId="2730CF7B"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(9,628,204)</w:t>
            </w:r>
          </w:p>
        </w:tc>
        <w:tc>
          <w:tcPr>
            <w:tcW w:w="0" w:type="auto"/>
            <w:tcBorders>
              <w:top w:val="nil"/>
              <w:left w:val="nil"/>
              <w:bottom w:val="single" w:sz="4" w:space="0" w:color="auto"/>
              <w:right w:val="nil"/>
            </w:tcBorders>
            <w:shd w:val="clear" w:color="auto" w:fill="auto"/>
            <w:noWrap/>
            <w:vAlign w:val="bottom"/>
            <w:hideMark/>
          </w:tcPr>
          <w:p w14:paraId="063F2F47" w14:textId="550F51FF"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(9,581,261)</w:t>
            </w:r>
          </w:p>
        </w:tc>
        <w:tc>
          <w:tcPr>
            <w:tcW w:w="0" w:type="auto"/>
            <w:tcBorders>
              <w:top w:val="nil"/>
              <w:left w:val="nil"/>
              <w:bottom w:val="single" w:sz="4" w:space="0" w:color="auto"/>
              <w:right w:val="nil"/>
            </w:tcBorders>
            <w:shd w:val="clear" w:color="auto" w:fill="auto"/>
            <w:noWrap/>
            <w:vAlign w:val="bottom"/>
            <w:hideMark/>
          </w:tcPr>
          <w:p w14:paraId="41055E0E" w14:textId="18F7C66C"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(9,733,726)</w:t>
            </w:r>
          </w:p>
        </w:tc>
      </w:tr>
      <w:tr w:rsidR="0089177F" w:rsidRPr="002A338C" w14:paraId="2DF380C6" w14:textId="77777777" w:rsidTr="005334F2">
        <w:trPr>
          <w:trHeight w:val="204"/>
        </w:trPr>
        <w:tc>
          <w:tcPr>
            <w:tcW w:w="2410" w:type="dxa"/>
            <w:tcBorders>
              <w:top w:val="nil"/>
              <w:left w:val="nil"/>
              <w:bottom w:val="nil"/>
              <w:right w:val="nil"/>
            </w:tcBorders>
            <w:shd w:val="clear" w:color="auto" w:fill="auto"/>
            <w:vAlign w:val="bottom"/>
            <w:hideMark/>
          </w:tcPr>
          <w:p w14:paraId="4E2F81DF" w14:textId="77777777" w:rsidR="0089177F" w:rsidRPr="002A338C" w:rsidRDefault="0089177F" w:rsidP="0089177F">
            <w:pPr>
              <w:spacing w:after="0" w:line="240" w:lineRule="auto"/>
              <w:rPr>
                <w:rFonts w:ascii="Arial" w:hAnsi="Arial" w:cs="Arial"/>
                <w:b/>
                <w:bCs/>
                <w:color w:val="000000"/>
                <w:sz w:val="16"/>
                <w:szCs w:val="16"/>
              </w:rPr>
            </w:pPr>
            <w:r w:rsidRPr="002A338C">
              <w:rPr>
                <w:rFonts w:ascii="Arial" w:hAnsi="Arial" w:cs="Arial"/>
                <w:b/>
                <w:bCs/>
                <w:color w:val="000000"/>
                <w:sz w:val="16"/>
                <w:szCs w:val="16"/>
              </w:rPr>
              <w:t>Surplus/(deficit)</w:t>
            </w:r>
          </w:p>
        </w:tc>
        <w:tc>
          <w:tcPr>
            <w:tcW w:w="0" w:type="auto"/>
            <w:tcBorders>
              <w:top w:val="nil"/>
              <w:left w:val="nil"/>
              <w:bottom w:val="single" w:sz="4" w:space="0" w:color="auto"/>
              <w:right w:val="nil"/>
            </w:tcBorders>
            <w:shd w:val="clear" w:color="auto" w:fill="auto"/>
            <w:noWrap/>
            <w:vAlign w:val="bottom"/>
            <w:hideMark/>
          </w:tcPr>
          <w:p w14:paraId="0F9625E6" w14:textId="0365BFB4"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(10,679,675)</w:t>
            </w:r>
          </w:p>
        </w:tc>
        <w:tc>
          <w:tcPr>
            <w:tcW w:w="0" w:type="auto"/>
            <w:tcBorders>
              <w:top w:val="nil"/>
              <w:left w:val="nil"/>
              <w:bottom w:val="single" w:sz="4" w:space="0" w:color="auto"/>
              <w:right w:val="nil"/>
            </w:tcBorders>
            <w:shd w:val="clear" w:color="auto" w:fill="E6E6E6"/>
            <w:noWrap/>
            <w:vAlign w:val="bottom"/>
            <w:hideMark/>
          </w:tcPr>
          <w:p w14:paraId="0E38B2E3" w14:textId="24399E04"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(8,146,523)</w:t>
            </w:r>
          </w:p>
        </w:tc>
        <w:tc>
          <w:tcPr>
            <w:tcW w:w="0" w:type="auto"/>
            <w:tcBorders>
              <w:top w:val="nil"/>
              <w:left w:val="nil"/>
              <w:bottom w:val="single" w:sz="4" w:space="0" w:color="auto"/>
              <w:right w:val="nil"/>
            </w:tcBorders>
            <w:shd w:val="clear" w:color="auto" w:fill="auto"/>
            <w:noWrap/>
            <w:vAlign w:val="bottom"/>
            <w:hideMark/>
          </w:tcPr>
          <w:p w14:paraId="30336923" w14:textId="46389A3C"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(9,628,204)</w:t>
            </w:r>
          </w:p>
        </w:tc>
        <w:tc>
          <w:tcPr>
            <w:tcW w:w="0" w:type="auto"/>
            <w:tcBorders>
              <w:top w:val="nil"/>
              <w:left w:val="nil"/>
              <w:bottom w:val="single" w:sz="4" w:space="0" w:color="auto"/>
              <w:right w:val="nil"/>
            </w:tcBorders>
            <w:shd w:val="clear" w:color="auto" w:fill="auto"/>
            <w:noWrap/>
            <w:vAlign w:val="bottom"/>
            <w:hideMark/>
          </w:tcPr>
          <w:p w14:paraId="3F551FCF" w14:textId="02BC7CE8"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(9,581,261)</w:t>
            </w:r>
          </w:p>
        </w:tc>
        <w:tc>
          <w:tcPr>
            <w:tcW w:w="0" w:type="auto"/>
            <w:tcBorders>
              <w:top w:val="nil"/>
              <w:left w:val="nil"/>
              <w:bottom w:val="single" w:sz="4" w:space="0" w:color="auto"/>
              <w:right w:val="nil"/>
            </w:tcBorders>
            <w:shd w:val="clear" w:color="auto" w:fill="auto"/>
            <w:noWrap/>
            <w:vAlign w:val="bottom"/>
            <w:hideMark/>
          </w:tcPr>
          <w:p w14:paraId="3FB2159A" w14:textId="59AF6EBC"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(9,733,726)</w:t>
            </w:r>
          </w:p>
        </w:tc>
      </w:tr>
      <w:tr w:rsidR="00115843" w:rsidRPr="002A338C" w14:paraId="057C8D67" w14:textId="77777777" w:rsidTr="005334F2">
        <w:trPr>
          <w:trHeight w:val="204"/>
        </w:trPr>
        <w:tc>
          <w:tcPr>
            <w:tcW w:w="3534" w:type="dxa"/>
            <w:gridSpan w:val="2"/>
            <w:tcBorders>
              <w:top w:val="nil"/>
              <w:left w:val="nil"/>
              <w:bottom w:val="nil"/>
              <w:right w:val="nil"/>
            </w:tcBorders>
            <w:shd w:val="clear" w:color="auto" w:fill="auto"/>
            <w:noWrap/>
            <w:vAlign w:val="bottom"/>
            <w:hideMark/>
          </w:tcPr>
          <w:p w14:paraId="719FFEDF" w14:textId="77777777" w:rsidR="00115843" w:rsidRPr="002A338C" w:rsidRDefault="00115843" w:rsidP="00FB0D02">
            <w:pPr>
              <w:spacing w:after="0" w:line="240" w:lineRule="auto"/>
              <w:ind w:left="57"/>
              <w:rPr>
                <w:rFonts w:ascii="Arial" w:hAnsi="Arial" w:cs="Arial"/>
                <w:b/>
                <w:bCs/>
                <w:color w:val="000000"/>
                <w:sz w:val="16"/>
                <w:szCs w:val="16"/>
              </w:rPr>
            </w:pPr>
            <w:r w:rsidRPr="002A338C">
              <w:rPr>
                <w:rFonts w:ascii="Arial" w:hAnsi="Arial" w:cs="Arial"/>
                <w:b/>
                <w:bCs/>
                <w:color w:val="000000"/>
                <w:sz w:val="16"/>
                <w:szCs w:val="16"/>
              </w:rPr>
              <w:t>OTHER COMPREHENSIVE INCOME</w:t>
            </w:r>
          </w:p>
        </w:tc>
        <w:tc>
          <w:tcPr>
            <w:tcW w:w="0" w:type="auto"/>
            <w:tcBorders>
              <w:top w:val="nil"/>
              <w:left w:val="nil"/>
              <w:bottom w:val="nil"/>
              <w:right w:val="nil"/>
            </w:tcBorders>
            <w:shd w:val="clear" w:color="auto" w:fill="E6E6E6"/>
            <w:noWrap/>
            <w:vAlign w:val="bottom"/>
            <w:hideMark/>
          </w:tcPr>
          <w:p w14:paraId="2201B423" w14:textId="77777777" w:rsidR="00115843" w:rsidRPr="002A338C" w:rsidRDefault="00115843" w:rsidP="00FB0D02">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366877C2" w14:textId="77777777" w:rsidR="00115843" w:rsidRPr="002A338C" w:rsidRDefault="00115843" w:rsidP="00FB0D02">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60C72D88" w14:textId="77777777" w:rsidR="00115843" w:rsidRPr="002A338C" w:rsidRDefault="00115843" w:rsidP="00FB0D02">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42AB55D" w14:textId="77777777" w:rsidR="00115843" w:rsidRPr="002A338C" w:rsidRDefault="00115843" w:rsidP="00FB0D02">
            <w:pPr>
              <w:spacing w:after="0" w:line="240" w:lineRule="auto"/>
              <w:jc w:val="right"/>
              <w:rPr>
                <w:rFonts w:ascii="Arial" w:hAnsi="Arial" w:cs="Arial"/>
                <w:sz w:val="16"/>
                <w:szCs w:val="16"/>
              </w:rPr>
            </w:pPr>
          </w:p>
        </w:tc>
      </w:tr>
      <w:tr w:rsidR="00115843" w:rsidRPr="002A338C" w14:paraId="0532EAB1" w14:textId="77777777" w:rsidTr="005334F2">
        <w:trPr>
          <w:trHeight w:val="204"/>
        </w:trPr>
        <w:tc>
          <w:tcPr>
            <w:tcW w:w="2410" w:type="dxa"/>
            <w:tcBorders>
              <w:top w:val="nil"/>
              <w:left w:val="nil"/>
              <w:bottom w:val="nil"/>
              <w:right w:val="nil"/>
            </w:tcBorders>
            <w:shd w:val="clear" w:color="auto" w:fill="auto"/>
            <w:vAlign w:val="bottom"/>
            <w:hideMark/>
          </w:tcPr>
          <w:p w14:paraId="16494904" w14:textId="77777777" w:rsidR="00115843" w:rsidRPr="002A338C" w:rsidRDefault="00115843" w:rsidP="000723E3">
            <w:pPr>
              <w:spacing w:after="0" w:line="240" w:lineRule="auto"/>
              <w:ind w:left="113"/>
              <w:rPr>
                <w:rFonts w:ascii="Arial" w:hAnsi="Arial" w:cs="Arial"/>
                <w:sz w:val="16"/>
                <w:szCs w:val="16"/>
              </w:rPr>
            </w:pPr>
            <w:r w:rsidRPr="002A338C">
              <w:rPr>
                <w:rFonts w:ascii="Arial" w:hAnsi="Arial" w:cs="Arial"/>
                <w:sz w:val="16"/>
                <w:szCs w:val="16"/>
              </w:rPr>
              <w:t>Changes in asset revaluation surplus</w:t>
            </w:r>
          </w:p>
        </w:tc>
        <w:tc>
          <w:tcPr>
            <w:tcW w:w="0" w:type="auto"/>
            <w:tcBorders>
              <w:top w:val="nil"/>
              <w:left w:val="nil"/>
              <w:bottom w:val="nil"/>
              <w:right w:val="nil"/>
            </w:tcBorders>
            <w:shd w:val="clear" w:color="auto" w:fill="auto"/>
            <w:noWrap/>
            <w:vAlign w:val="bottom"/>
            <w:hideMark/>
          </w:tcPr>
          <w:p w14:paraId="1482D275"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1,451,750</w:t>
            </w:r>
          </w:p>
        </w:tc>
        <w:tc>
          <w:tcPr>
            <w:tcW w:w="0" w:type="auto"/>
            <w:tcBorders>
              <w:top w:val="nil"/>
              <w:left w:val="nil"/>
              <w:bottom w:val="nil"/>
              <w:right w:val="nil"/>
            </w:tcBorders>
            <w:shd w:val="clear" w:color="auto" w:fill="E6E6E6"/>
            <w:noWrap/>
            <w:vAlign w:val="bottom"/>
            <w:hideMark/>
          </w:tcPr>
          <w:p w14:paraId="79D08839"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5006FBFA"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36FD76AB"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w:t>
            </w:r>
          </w:p>
        </w:tc>
        <w:tc>
          <w:tcPr>
            <w:tcW w:w="0" w:type="auto"/>
            <w:tcBorders>
              <w:top w:val="nil"/>
              <w:left w:val="nil"/>
              <w:bottom w:val="nil"/>
              <w:right w:val="nil"/>
            </w:tcBorders>
            <w:shd w:val="clear" w:color="auto" w:fill="auto"/>
            <w:noWrap/>
            <w:vAlign w:val="bottom"/>
            <w:hideMark/>
          </w:tcPr>
          <w:p w14:paraId="34BE5796"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w:t>
            </w:r>
          </w:p>
        </w:tc>
      </w:tr>
      <w:tr w:rsidR="00115843" w:rsidRPr="002A338C" w14:paraId="18AD2926" w14:textId="77777777" w:rsidTr="005334F2">
        <w:trPr>
          <w:trHeight w:val="204"/>
        </w:trPr>
        <w:tc>
          <w:tcPr>
            <w:tcW w:w="2410" w:type="dxa"/>
            <w:tcBorders>
              <w:top w:val="nil"/>
              <w:left w:val="nil"/>
              <w:bottom w:val="nil"/>
              <w:right w:val="nil"/>
            </w:tcBorders>
            <w:shd w:val="clear" w:color="auto" w:fill="auto"/>
            <w:noWrap/>
            <w:vAlign w:val="bottom"/>
            <w:hideMark/>
          </w:tcPr>
          <w:p w14:paraId="0D622993"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Total other comprehensive income</w:t>
            </w:r>
          </w:p>
        </w:tc>
        <w:tc>
          <w:tcPr>
            <w:tcW w:w="0" w:type="auto"/>
            <w:tcBorders>
              <w:top w:val="single" w:sz="4" w:space="0" w:color="000000"/>
              <w:left w:val="nil"/>
              <w:bottom w:val="single" w:sz="4" w:space="0" w:color="000000"/>
              <w:right w:val="nil"/>
            </w:tcBorders>
            <w:shd w:val="clear" w:color="auto" w:fill="auto"/>
            <w:noWrap/>
            <w:vAlign w:val="bottom"/>
            <w:hideMark/>
          </w:tcPr>
          <w:p w14:paraId="09E19265"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1,451,750</w:t>
            </w:r>
          </w:p>
        </w:tc>
        <w:tc>
          <w:tcPr>
            <w:tcW w:w="0" w:type="auto"/>
            <w:tcBorders>
              <w:top w:val="single" w:sz="4" w:space="0" w:color="000000"/>
              <w:left w:val="nil"/>
              <w:bottom w:val="single" w:sz="4" w:space="0" w:color="000000"/>
              <w:right w:val="nil"/>
            </w:tcBorders>
            <w:shd w:val="clear" w:color="auto" w:fill="E6E6E6"/>
            <w:noWrap/>
            <w:vAlign w:val="bottom"/>
            <w:hideMark/>
          </w:tcPr>
          <w:p w14:paraId="2DB9E3B1"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w:t>
            </w:r>
          </w:p>
        </w:tc>
        <w:tc>
          <w:tcPr>
            <w:tcW w:w="0" w:type="auto"/>
            <w:tcBorders>
              <w:top w:val="single" w:sz="4" w:space="0" w:color="000000"/>
              <w:left w:val="nil"/>
              <w:bottom w:val="single" w:sz="4" w:space="0" w:color="000000"/>
              <w:right w:val="nil"/>
            </w:tcBorders>
            <w:shd w:val="clear" w:color="auto" w:fill="auto"/>
            <w:noWrap/>
            <w:vAlign w:val="bottom"/>
            <w:hideMark/>
          </w:tcPr>
          <w:p w14:paraId="4F60BD37"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w:t>
            </w:r>
          </w:p>
        </w:tc>
        <w:tc>
          <w:tcPr>
            <w:tcW w:w="0" w:type="auto"/>
            <w:tcBorders>
              <w:top w:val="single" w:sz="4" w:space="0" w:color="000000"/>
              <w:left w:val="nil"/>
              <w:bottom w:val="single" w:sz="4" w:space="0" w:color="000000"/>
              <w:right w:val="nil"/>
            </w:tcBorders>
            <w:shd w:val="clear" w:color="auto" w:fill="auto"/>
            <w:noWrap/>
            <w:vAlign w:val="bottom"/>
            <w:hideMark/>
          </w:tcPr>
          <w:p w14:paraId="4D47BE7F"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w:t>
            </w:r>
          </w:p>
        </w:tc>
        <w:tc>
          <w:tcPr>
            <w:tcW w:w="0" w:type="auto"/>
            <w:tcBorders>
              <w:top w:val="single" w:sz="4" w:space="0" w:color="000000"/>
              <w:left w:val="nil"/>
              <w:bottom w:val="single" w:sz="4" w:space="0" w:color="000000"/>
              <w:right w:val="nil"/>
            </w:tcBorders>
            <w:shd w:val="clear" w:color="auto" w:fill="auto"/>
            <w:noWrap/>
            <w:vAlign w:val="bottom"/>
            <w:hideMark/>
          </w:tcPr>
          <w:p w14:paraId="5463EDF8"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w:t>
            </w:r>
          </w:p>
        </w:tc>
      </w:tr>
      <w:tr w:rsidR="00115843" w:rsidRPr="002A338C" w14:paraId="58D8B8AE" w14:textId="77777777" w:rsidTr="005334F2">
        <w:trPr>
          <w:trHeight w:val="204"/>
        </w:trPr>
        <w:tc>
          <w:tcPr>
            <w:tcW w:w="2410" w:type="dxa"/>
            <w:tcBorders>
              <w:top w:val="nil"/>
              <w:left w:val="nil"/>
              <w:bottom w:val="single" w:sz="4" w:space="0" w:color="auto"/>
              <w:right w:val="nil"/>
            </w:tcBorders>
            <w:shd w:val="clear" w:color="auto" w:fill="auto"/>
            <w:vAlign w:val="bottom"/>
            <w:hideMark/>
          </w:tcPr>
          <w:p w14:paraId="4610596A"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Total comprehensive income/(loss)</w:t>
            </w:r>
          </w:p>
        </w:tc>
        <w:tc>
          <w:tcPr>
            <w:tcW w:w="0" w:type="auto"/>
            <w:tcBorders>
              <w:top w:val="nil"/>
              <w:left w:val="nil"/>
              <w:bottom w:val="single" w:sz="4" w:space="0" w:color="000000"/>
              <w:right w:val="nil"/>
            </w:tcBorders>
            <w:shd w:val="clear" w:color="auto" w:fill="auto"/>
            <w:noWrap/>
            <w:vAlign w:val="bottom"/>
            <w:hideMark/>
          </w:tcPr>
          <w:p w14:paraId="7C4323B3"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(9,227,925)</w:t>
            </w:r>
          </w:p>
        </w:tc>
        <w:tc>
          <w:tcPr>
            <w:tcW w:w="0" w:type="auto"/>
            <w:tcBorders>
              <w:top w:val="nil"/>
              <w:left w:val="nil"/>
              <w:bottom w:val="single" w:sz="4" w:space="0" w:color="000000"/>
              <w:right w:val="nil"/>
            </w:tcBorders>
            <w:shd w:val="clear" w:color="auto" w:fill="E6E6E6"/>
            <w:noWrap/>
            <w:vAlign w:val="bottom"/>
            <w:hideMark/>
          </w:tcPr>
          <w:p w14:paraId="36BD9552"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(8,146,523)</w:t>
            </w:r>
          </w:p>
        </w:tc>
        <w:tc>
          <w:tcPr>
            <w:tcW w:w="0" w:type="auto"/>
            <w:tcBorders>
              <w:top w:val="nil"/>
              <w:left w:val="nil"/>
              <w:bottom w:val="single" w:sz="4" w:space="0" w:color="000000"/>
              <w:right w:val="nil"/>
            </w:tcBorders>
            <w:shd w:val="clear" w:color="auto" w:fill="auto"/>
            <w:noWrap/>
            <w:vAlign w:val="bottom"/>
            <w:hideMark/>
          </w:tcPr>
          <w:p w14:paraId="2216380B"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(9,628,204)</w:t>
            </w:r>
          </w:p>
        </w:tc>
        <w:tc>
          <w:tcPr>
            <w:tcW w:w="0" w:type="auto"/>
            <w:tcBorders>
              <w:top w:val="nil"/>
              <w:left w:val="nil"/>
              <w:bottom w:val="single" w:sz="4" w:space="0" w:color="000000"/>
              <w:right w:val="nil"/>
            </w:tcBorders>
            <w:shd w:val="clear" w:color="auto" w:fill="auto"/>
            <w:noWrap/>
            <w:vAlign w:val="bottom"/>
            <w:hideMark/>
          </w:tcPr>
          <w:p w14:paraId="4970BBE3"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(9,581,261)</w:t>
            </w:r>
          </w:p>
        </w:tc>
        <w:tc>
          <w:tcPr>
            <w:tcW w:w="0" w:type="auto"/>
            <w:tcBorders>
              <w:top w:val="nil"/>
              <w:left w:val="nil"/>
              <w:bottom w:val="single" w:sz="4" w:space="0" w:color="000000"/>
              <w:right w:val="nil"/>
            </w:tcBorders>
            <w:shd w:val="clear" w:color="auto" w:fill="auto"/>
            <w:noWrap/>
            <w:vAlign w:val="bottom"/>
            <w:hideMark/>
          </w:tcPr>
          <w:p w14:paraId="04E4CEA8" w14:textId="77777777" w:rsidR="00115843" w:rsidRPr="002A338C" w:rsidRDefault="00115843" w:rsidP="00FB0D02">
            <w:pPr>
              <w:spacing w:after="0" w:line="240" w:lineRule="auto"/>
              <w:jc w:val="right"/>
              <w:rPr>
                <w:rFonts w:ascii="Arial" w:hAnsi="Arial" w:cs="Arial"/>
                <w:b/>
                <w:bCs/>
                <w:color w:val="000000"/>
                <w:sz w:val="16"/>
                <w:szCs w:val="16"/>
              </w:rPr>
            </w:pPr>
            <w:r w:rsidRPr="002A338C">
              <w:rPr>
                <w:rFonts w:ascii="Arial" w:hAnsi="Arial" w:cs="Arial"/>
                <w:b/>
                <w:bCs/>
                <w:color w:val="000000"/>
                <w:sz w:val="16"/>
                <w:szCs w:val="16"/>
              </w:rPr>
              <w:t>(9,733,726)</w:t>
            </w:r>
          </w:p>
        </w:tc>
      </w:tr>
    </w:tbl>
    <w:p w14:paraId="0D31C727" w14:textId="165A213B" w:rsidR="0089177F" w:rsidRDefault="00115843" w:rsidP="00115843">
      <w:pPr>
        <w:pStyle w:val="TableGraphic"/>
        <w:spacing w:before="60"/>
        <w:rPr>
          <w:rFonts w:ascii="Arial" w:hAnsi="Arial" w:cs="Arial"/>
          <w:sz w:val="16"/>
        </w:rPr>
      </w:pPr>
      <w:r w:rsidRPr="0075714A">
        <w:rPr>
          <w:rFonts w:ascii="Arial" w:hAnsi="Arial" w:cs="Arial"/>
          <w:sz w:val="16"/>
        </w:rPr>
        <w:t>Prepared on Australian Accounting Standards basis.</w:t>
      </w:r>
    </w:p>
    <w:p w14:paraId="1AB99446" w14:textId="77777777" w:rsidR="0089177F" w:rsidRDefault="0089177F">
      <w:pPr>
        <w:spacing w:after="0" w:line="240" w:lineRule="auto"/>
        <w:rPr>
          <w:rFonts w:ascii="Arial" w:hAnsi="Arial" w:cs="Arial"/>
          <w:sz w:val="16"/>
        </w:rPr>
      </w:pPr>
      <w:r>
        <w:rPr>
          <w:rFonts w:ascii="Arial" w:hAnsi="Arial" w:cs="Arial"/>
          <w:sz w:val="16"/>
        </w:rPr>
        <w:br w:type="page"/>
      </w:r>
    </w:p>
    <w:p w14:paraId="45C97205" w14:textId="77777777" w:rsidR="00115843" w:rsidRDefault="00115843" w:rsidP="00115843">
      <w:pPr>
        <w:pStyle w:val="TableHeading"/>
        <w:spacing w:before="360"/>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8" w:type="pct"/>
        <w:tblLook w:val="04A0" w:firstRow="1" w:lastRow="0" w:firstColumn="1" w:lastColumn="0" w:noHBand="0" w:noVBand="1"/>
      </w:tblPr>
      <w:tblGrid>
        <w:gridCol w:w="2587"/>
        <w:gridCol w:w="1017"/>
        <w:gridCol w:w="1065"/>
        <w:gridCol w:w="1018"/>
        <w:gridCol w:w="1018"/>
        <w:gridCol w:w="1017"/>
      </w:tblGrid>
      <w:tr w:rsidR="00115843" w:rsidRPr="002A338C" w14:paraId="3EC4A156" w14:textId="77777777" w:rsidTr="005334F2">
        <w:trPr>
          <w:trHeight w:val="204"/>
        </w:trPr>
        <w:tc>
          <w:tcPr>
            <w:tcW w:w="1675" w:type="pct"/>
            <w:tcBorders>
              <w:top w:val="single" w:sz="4" w:space="0" w:color="auto"/>
              <w:left w:val="nil"/>
              <w:bottom w:val="nil"/>
              <w:right w:val="nil"/>
            </w:tcBorders>
            <w:shd w:val="clear" w:color="auto" w:fill="auto"/>
            <w:noWrap/>
            <w:vAlign w:val="bottom"/>
            <w:hideMark/>
          </w:tcPr>
          <w:p w14:paraId="5C280288"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659" w:type="pct"/>
            <w:tcBorders>
              <w:top w:val="single" w:sz="4" w:space="0" w:color="auto"/>
              <w:left w:val="nil"/>
              <w:bottom w:val="single" w:sz="4" w:space="0" w:color="auto"/>
              <w:right w:val="nil"/>
            </w:tcBorders>
            <w:shd w:val="clear" w:color="auto" w:fill="auto"/>
            <w:vAlign w:val="bottom"/>
            <w:hideMark/>
          </w:tcPr>
          <w:p w14:paraId="05F5F7A6"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690" w:type="pct"/>
            <w:tcBorders>
              <w:top w:val="single" w:sz="4" w:space="0" w:color="auto"/>
              <w:left w:val="nil"/>
              <w:bottom w:val="single" w:sz="4" w:space="0" w:color="auto"/>
              <w:right w:val="nil"/>
            </w:tcBorders>
            <w:shd w:val="clear" w:color="auto" w:fill="E6E6E6"/>
            <w:vAlign w:val="bottom"/>
            <w:hideMark/>
          </w:tcPr>
          <w:p w14:paraId="482A3F6C"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vAlign w:val="bottom"/>
            <w:hideMark/>
          </w:tcPr>
          <w:p w14:paraId="17CFDAD8"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vAlign w:val="bottom"/>
            <w:hideMark/>
          </w:tcPr>
          <w:p w14:paraId="1C0B4452"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659" w:type="pct"/>
            <w:tcBorders>
              <w:top w:val="single" w:sz="4" w:space="0" w:color="auto"/>
              <w:left w:val="nil"/>
              <w:bottom w:val="single" w:sz="4" w:space="0" w:color="auto"/>
              <w:right w:val="nil"/>
            </w:tcBorders>
            <w:shd w:val="clear" w:color="auto" w:fill="auto"/>
            <w:vAlign w:val="bottom"/>
            <w:hideMark/>
          </w:tcPr>
          <w:p w14:paraId="7748CBF0"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7E09ECA2" w14:textId="77777777" w:rsidTr="005334F2">
        <w:trPr>
          <w:trHeight w:val="204"/>
        </w:trPr>
        <w:tc>
          <w:tcPr>
            <w:tcW w:w="1675" w:type="pct"/>
            <w:tcBorders>
              <w:top w:val="nil"/>
              <w:left w:val="nil"/>
              <w:bottom w:val="nil"/>
              <w:right w:val="nil"/>
            </w:tcBorders>
            <w:shd w:val="clear" w:color="auto" w:fill="auto"/>
            <w:noWrap/>
            <w:vAlign w:val="bottom"/>
            <w:hideMark/>
          </w:tcPr>
          <w:p w14:paraId="186E307E"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 xml:space="preserve">ASSETS </w:t>
            </w:r>
          </w:p>
        </w:tc>
        <w:tc>
          <w:tcPr>
            <w:tcW w:w="659" w:type="pct"/>
            <w:tcBorders>
              <w:top w:val="nil"/>
              <w:left w:val="nil"/>
              <w:bottom w:val="nil"/>
              <w:right w:val="nil"/>
            </w:tcBorders>
            <w:shd w:val="clear" w:color="auto" w:fill="auto"/>
            <w:noWrap/>
            <w:vAlign w:val="bottom"/>
            <w:hideMark/>
          </w:tcPr>
          <w:p w14:paraId="564719DA" w14:textId="77777777" w:rsidR="00115843" w:rsidRPr="002A338C" w:rsidRDefault="00115843" w:rsidP="00FB0D02">
            <w:pPr>
              <w:spacing w:after="0" w:line="240" w:lineRule="auto"/>
              <w:jc w:val="right"/>
              <w:rPr>
                <w:rFonts w:ascii="Arial" w:hAnsi="Arial" w:cs="Arial"/>
                <w:b/>
                <w:bCs/>
                <w:color w:val="000000"/>
                <w:sz w:val="16"/>
                <w:szCs w:val="16"/>
              </w:rPr>
            </w:pPr>
          </w:p>
        </w:tc>
        <w:tc>
          <w:tcPr>
            <w:tcW w:w="690" w:type="pct"/>
            <w:tcBorders>
              <w:top w:val="nil"/>
              <w:left w:val="nil"/>
              <w:bottom w:val="nil"/>
              <w:right w:val="nil"/>
            </w:tcBorders>
            <w:shd w:val="clear" w:color="auto" w:fill="E6E6E6"/>
            <w:noWrap/>
            <w:vAlign w:val="bottom"/>
            <w:hideMark/>
          </w:tcPr>
          <w:p w14:paraId="00B7B65D" w14:textId="77777777" w:rsidR="00115843" w:rsidRPr="002A338C" w:rsidRDefault="00115843" w:rsidP="00FB0D02">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22DBAC0F" w14:textId="77777777" w:rsidR="00115843" w:rsidRPr="002A338C" w:rsidRDefault="00115843" w:rsidP="00FB0D02">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60647D9C" w14:textId="77777777" w:rsidR="00115843" w:rsidRPr="002A338C" w:rsidRDefault="00115843" w:rsidP="00FB0D02">
            <w:pPr>
              <w:spacing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0A33BDED" w14:textId="77777777" w:rsidR="00115843" w:rsidRPr="002A338C" w:rsidRDefault="00115843" w:rsidP="00FB0D02">
            <w:pPr>
              <w:spacing w:after="0" w:line="240" w:lineRule="auto"/>
              <w:jc w:val="right"/>
              <w:rPr>
                <w:rFonts w:ascii="Arial" w:hAnsi="Arial" w:cs="Arial"/>
                <w:sz w:val="16"/>
                <w:szCs w:val="16"/>
              </w:rPr>
            </w:pPr>
          </w:p>
        </w:tc>
      </w:tr>
      <w:tr w:rsidR="00115843" w:rsidRPr="002A338C" w14:paraId="0ECEF9FE" w14:textId="77777777" w:rsidTr="005334F2">
        <w:trPr>
          <w:trHeight w:val="204"/>
        </w:trPr>
        <w:tc>
          <w:tcPr>
            <w:tcW w:w="1675" w:type="pct"/>
            <w:tcBorders>
              <w:top w:val="nil"/>
              <w:left w:val="nil"/>
              <w:bottom w:val="nil"/>
              <w:right w:val="nil"/>
            </w:tcBorders>
            <w:shd w:val="clear" w:color="auto" w:fill="auto"/>
            <w:noWrap/>
            <w:vAlign w:val="bottom"/>
            <w:hideMark/>
          </w:tcPr>
          <w:p w14:paraId="5DC80440" w14:textId="77777777" w:rsidR="00115843" w:rsidRPr="002A338C" w:rsidRDefault="00115843" w:rsidP="00FB0D02">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Financial assets</w:t>
            </w:r>
          </w:p>
        </w:tc>
        <w:tc>
          <w:tcPr>
            <w:tcW w:w="659" w:type="pct"/>
            <w:tcBorders>
              <w:top w:val="nil"/>
              <w:left w:val="nil"/>
              <w:bottom w:val="nil"/>
              <w:right w:val="nil"/>
            </w:tcBorders>
            <w:shd w:val="clear" w:color="auto" w:fill="auto"/>
            <w:noWrap/>
            <w:vAlign w:val="bottom"/>
            <w:hideMark/>
          </w:tcPr>
          <w:p w14:paraId="5D57FFC3" w14:textId="77777777" w:rsidR="00115843" w:rsidRPr="002A338C" w:rsidRDefault="00115843" w:rsidP="00FB0D02">
            <w:pPr>
              <w:spacing w:after="0" w:line="240" w:lineRule="auto"/>
              <w:ind w:firstLineChars="100" w:firstLine="161"/>
              <w:jc w:val="right"/>
              <w:rPr>
                <w:rFonts w:ascii="Arial" w:hAnsi="Arial" w:cs="Arial"/>
                <w:b/>
                <w:bCs/>
                <w:color w:val="000000"/>
                <w:sz w:val="16"/>
                <w:szCs w:val="16"/>
              </w:rPr>
            </w:pPr>
          </w:p>
        </w:tc>
        <w:tc>
          <w:tcPr>
            <w:tcW w:w="690" w:type="pct"/>
            <w:tcBorders>
              <w:top w:val="nil"/>
              <w:left w:val="nil"/>
              <w:bottom w:val="nil"/>
              <w:right w:val="nil"/>
            </w:tcBorders>
            <w:shd w:val="clear" w:color="auto" w:fill="E6E6E6"/>
            <w:noWrap/>
            <w:vAlign w:val="bottom"/>
            <w:hideMark/>
          </w:tcPr>
          <w:p w14:paraId="13FBC6FE" w14:textId="77777777" w:rsidR="00115843" w:rsidRPr="002A338C" w:rsidRDefault="00115843" w:rsidP="00FB0D02">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3D0DA802" w14:textId="77777777" w:rsidR="00115843" w:rsidRPr="002A338C" w:rsidRDefault="00115843" w:rsidP="00FB0D02">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4FF3353C" w14:textId="77777777" w:rsidR="00115843" w:rsidRPr="002A338C" w:rsidRDefault="00115843" w:rsidP="00FB0D02">
            <w:pPr>
              <w:spacing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404E16D7" w14:textId="77777777" w:rsidR="00115843" w:rsidRPr="002A338C" w:rsidRDefault="00115843" w:rsidP="00FB0D02">
            <w:pPr>
              <w:spacing w:after="0" w:line="240" w:lineRule="auto"/>
              <w:jc w:val="right"/>
              <w:rPr>
                <w:rFonts w:ascii="Arial" w:hAnsi="Arial" w:cs="Arial"/>
                <w:sz w:val="16"/>
                <w:szCs w:val="16"/>
              </w:rPr>
            </w:pPr>
          </w:p>
        </w:tc>
      </w:tr>
      <w:tr w:rsidR="0089177F" w:rsidRPr="002A338C" w14:paraId="48E73FCA" w14:textId="77777777" w:rsidTr="005334F2">
        <w:trPr>
          <w:trHeight w:val="204"/>
        </w:trPr>
        <w:tc>
          <w:tcPr>
            <w:tcW w:w="1675" w:type="pct"/>
            <w:tcBorders>
              <w:top w:val="nil"/>
              <w:left w:val="nil"/>
              <w:bottom w:val="nil"/>
              <w:right w:val="nil"/>
            </w:tcBorders>
            <w:shd w:val="clear" w:color="auto" w:fill="auto"/>
            <w:noWrap/>
            <w:vAlign w:val="bottom"/>
            <w:hideMark/>
          </w:tcPr>
          <w:p w14:paraId="35594E7B" w14:textId="77777777" w:rsidR="0089177F" w:rsidRPr="002A338C" w:rsidRDefault="0089177F" w:rsidP="0089177F">
            <w:pPr>
              <w:spacing w:after="0" w:line="240" w:lineRule="auto"/>
              <w:ind w:left="227"/>
              <w:rPr>
                <w:rFonts w:ascii="Arial" w:hAnsi="Arial" w:cs="Arial"/>
                <w:sz w:val="16"/>
                <w:szCs w:val="16"/>
              </w:rPr>
            </w:pPr>
            <w:r w:rsidRPr="002A338C">
              <w:rPr>
                <w:rFonts w:ascii="Arial" w:hAnsi="Arial" w:cs="Arial"/>
                <w:sz w:val="16"/>
                <w:szCs w:val="16"/>
              </w:rPr>
              <w:t>Cash and cash equivalents</w:t>
            </w:r>
          </w:p>
        </w:tc>
        <w:tc>
          <w:tcPr>
            <w:tcW w:w="659" w:type="pct"/>
            <w:tcBorders>
              <w:top w:val="nil"/>
              <w:left w:val="nil"/>
              <w:bottom w:val="nil"/>
              <w:right w:val="nil"/>
            </w:tcBorders>
            <w:shd w:val="clear" w:color="auto" w:fill="auto"/>
            <w:noWrap/>
            <w:vAlign w:val="bottom"/>
            <w:hideMark/>
          </w:tcPr>
          <w:p w14:paraId="3E2489EB" w14:textId="725AD14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90" w:type="pct"/>
            <w:tcBorders>
              <w:top w:val="nil"/>
              <w:left w:val="nil"/>
              <w:bottom w:val="nil"/>
              <w:right w:val="nil"/>
            </w:tcBorders>
            <w:shd w:val="clear" w:color="auto" w:fill="E6E6E6"/>
            <w:noWrap/>
            <w:vAlign w:val="bottom"/>
            <w:hideMark/>
          </w:tcPr>
          <w:p w14:paraId="1ACBCFEB" w14:textId="211CA12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59" w:type="pct"/>
            <w:tcBorders>
              <w:top w:val="nil"/>
              <w:left w:val="nil"/>
              <w:bottom w:val="nil"/>
              <w:right w:val="nil"/>
            </w:tcBorders>
            <w:shd w:val="clear" w:color="auto" w:fill="auto"/>
            <w:noWrap/>
            <w:vAlign w:val="bottom"/>
            <w:hideMark/>
          </w:tcPr>
          <w:p w14:paraId="17F43228" w14:textId="625E82AC"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59" w:type="pct"/>
            <w:tcBorders>
              <w:top w:val="nil"/>
              <w:left w:val="nil"/>
              <w:bottom w:val="nil"/>
              <w:right w:val="nil"/>
            </w:tcBorders>
            <w:shd w:val="clear" w:color="auto" w:fill="auto"/>
            <w:noWrap/>
            <w:vAlign w:val="bottom"/>
            <w:hideMark/>
          </w:tcPr>
          <w:p w14:paraId="0E34DC76" w14:textId="5EC7DAD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659" w:type="pct"/>
            <w:tcBorders>
              <w:top w:val="nil"/>
              <w:left w:val="nil"/>
              <w:bottom w:val="nil"/>
              <w:right w:val="nil"/>
            </w:tcBorders>
            <w:shd w:val="clear" w:color="auto" w:fill="auto"/>
            <w:noWrap/>
            <w:vAlign w:val="bottom"/>
            <w:hideMark/>
          </w:tcPr>
          <w:p w14:paraId="1CFA49A0" w14:textId="342392EC"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50,039</w:t>
            </w:r>
          </w:p>
        </w:tc>
      </w:tr>
      <w:tr w:rsidR="0089177F" w:rsidRPr="002A338C" w14:paraId="3F4BBC81" w14:textId="77777777" w:rsidTr="005334F2">
        <w:trPr>
          <w:trHeight w:val="204"/>
        </w:trPr>
        <w:tc>
          <w:tcPr>
            <w:tcW w:w="1675" w:type="pct"/>
            <w:tcBorders>
              <w:top w:val="nil"/>
              <w:left w:val="nil"/>
              <w:bottom w:val="nil"/>
              <w:right w:val="nil"/>
            </w:tcBorders>
            <w:shd w:val="clear" w:color="auto" w:fill="auto"/>
            <w:noWrap/>
            <w:vAlign w:val="bottom"/>
            <w:hideMark/>
          </w:tcPr>
          <w:p w14:paraId="6A86F8DB" w14:textId="77777777" w:rsidR="0089177F" w:rsidRPr="002A338C" w:rsidRDefault="0089177F" w:rsidP="0089177F">
            <w:pPr>
              <w:spacing w:after="0" w:line="240" w:lineRule="auto"/>
              <w:ind w:left="227"/>
              <w:rPr>
                <w:rFonts w:ascii="Arial" w:hAnsi="Arial" w:cs="Arial"/>
                <w:sz w:val="16"/>
                <w:szCs w:val="16"/>
              </w:rPr>
            </w:pPr>
            <w:r w:rsidRPr="002A338C">
              <w:rPr>
                <w:rFonts w:ascii="Arial" w:hAnsi="Arial" w:cs="Arial"/>
                <w:sz w:val="16"/>
                <w:szCs w:val="16"/>
              </w:rPr>
              <w:t>Receivables</w:t>
            </w:r>
          </w:p>
        </w:tc>
        <w:tc>
          <w:tcPr>
            <w:tcW w:w="659" w:type="pct"/>
            <w:tcBorders>
              <w:top w:val="nil"/>
              <w:left w:val="nil"/>
              <w:bottom w:val="nil"/>
              <w:right w:val="nil"/>
            </w:tcBorders>
            <w:shd w:val="clear" w:color="auto" w:fill="auto"/>
            <w:noWrap/>
            <w:vAlign w:val="bottom"/>
            <w:hideMark/>
          </w:tcPr>
          <w:p w14:paraId="5705C68B" w14:textId="53C8244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9,204,135</w:t>
            </w:r>
          </w:p>
        </w:tc>
        <w:tc>
          <w:tcPr>
            <w:tcW w:w="690" w:type="pct"/>
            <w:tcBorders>
              <w:top w:val="nil"/>
              <w:left w:val="nil"/>
              <w:bottom w:val="nil"/>
              <w:right w:val="nil"/>
            </w:tcBorders>
            <w:shd w:val="clear" w:color="auto" w:fill="E6E6E6"/>
            <w:noWrap/>
            <w:vAlign w:val="bottom"/>
            <w:hideMark/>
          </w:tcPr>
          <w:p w14:paraId="139EAC4C" w14:textId="402488A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8,880,866</w:t>
            </w:r>
          </w:p>
        </w:tc>
        <w:tc>
          <w:tcPr>
            <w:tcW w:w="659" w:type="pct"/>
            <w:tcBorders>
              <w:top w:val="nil"/>
              <w:left w:val="nil"/>
              <w:bottom w:val="nil"/>
              <w:right w:val="nil"/>
            </w:tcBorders>
            <w:shd w:val="clear" w:color="auto" w:fill="auto"/>
            <w:noWrap/>
            <w:vAlign w:val="bottom"/>
            <w:hideMark/>
          </w:tcPr>
          <w:p w14:paraId="4944A55E" w14:textId="549AD50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4,095,935</w:t>
            </w:r>
          </w:p>
        </w:tc>
        <w:tc>
          <w:tcPr>
            <w:tcW w:w="659" w:type="pct"/>
            <w:tcBorders>
              <w:top w:val="nil"/>
              <w:left w:val="nil"/>
              <w:bottom w:val="nil"/>
              <w:right w:val="nil"/>
            </w:tcBorders>
            <w:shd w:val="clear" w:color="auto" w:fill="auto"/>
            <w:noWrap/>
            <w:vAlign w:val="bottom"/>
            <w:hideMark/>
          </w:tcPr>
          <w:p w14:paraId="6988E51B" w14:textId="52EBDC3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4,872,705</w:t>
            </w:r>
          </w:p>
        </w:tc>
        <w:tc>
          <w:tcPr>
            <w:tcW w:w="659" w:type="pct"/>
            <w:tcBorders>
              <w:top w:val="nil"/>
              <w:left w:val="nil"/>
              <w:bottom w:val="nil"/>
              <w:right w:val="nil"/>
            </w:tcBorders>
            <w:shd w:val="clear" w:color="auto" w:fill="auto"/>
            <w:noWrap/>
            <w:vAlign w:val="bottom"/>
            <w:hideMark/>
          </w:tcPr>
          <w:p w14:paraId="43CA3478" w14:textId="3D6B0B6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5,476,564</w:t>
            </w:r>
          </w:p>
        </w:tc>
      </w:tr>
      <w:tr w:rsidR="0089177F" w:rsidRPr="002A338C" w14:paraId="6D62565B" w14:textId="77777777" w:rsidTr="005334F2">
        <w:trPr>
          <w:trHeight w:val="204"/>
        </w:trPr>
        <w:tc>
          <w:tcPr>
            <w:tcW w:w="1675" w:type="pct"/>
            <w:tcBorders>
              <w:top w:val="nil"/>
              <w:left w:val="nil"/>
              <w:bottom w:val="nil"/>
              <w:right w:val="nil"/>
            </w:tcBorders>
            <w:shd w:val="clear" w:color="auto" w:fill="auto"/>
            <w:noWrap/>
            <w:vAlign w:val="bottom"/>
            <w:hideMark/>
          </w:tcPr>
          <w:p w14:paraId="578B83B1"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Other investments</w:t>
            </w:r>
          </w:p>
        </w:tc>
        <w:tc>
          <w:tcPr>
            <w:tcW w:w="659" w:type="pct"/>
            <w:tcBorders>
              <w:top w:val="nil"/>
              <w:left w:val="nil"/>
              <w:bottom w:val="nil"/>
              <w:right w:val="nil"/>
            </w:tcBorders>
            <w:shd w:val="clear" w:color="auto" w:fill="auto"/>
            <w:noWrap/>
            <w:vAlign w:val="bottom"/>
            <w:hideMark/>
          </w:tcPr>
          <w:p w14:paraId="1E480D8C" w14:textId="4EA26DA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38,601,862</w:t>
            </w:r>
          </w:p>
        </w:tc>
        <w:tc>
          <w:tcPr>
            <w:tcW w:w="690" w:type="pct"/>
            <w:tcBorders>
              <w:top w:val="nil"/>
              <w:left w:val="nil"/>
              <w:bottom w:val="nil"/>
              <w:right w:val="nil"/>
            </w:tcBorders>
            <w:shd w:val="clear" w:color="auto" w:fill="E6E6E6"/>
            <w:noWrap/>
            <w:vAlign w:val="bottom"/>
            <w:hideMark/>
          </w:tcPr>
          <w:p w14:paraId="4D3C6B15" w14:textId="4856633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42,681,499</w:t>
            </w:r>
          </w:p>
        </w:tc>
        <w:tc>
          <w:tcPr>
            <w:tcW w:w="659" w:type="pct"/>
            <w:tcBorders>
              <w:top w:val="nil"/>
              <w:left w:val="nil"/>
              <w:bottom w:val="nil"/>
              <w:right w:val="nil"/>
            </w:tcBorders>
            <w:shd w:val="clear" w:color="auto" w:fill="auto"/>
            <w:noWrap/>
            <w:vAlign w:val="bottom"/>
            <w:hideMark/>
          </w:tcPr>
          <w:p w14:paraId="21E4D973" w14:textId="3528CE8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47,599,551</w:t>
            </w:r>
          </w:p>
        </w:tc>
        <w:tc>
          <w:tcPr>
            <w:tcW w:w="659" w:type="pct"/>
            <w:tcBorders>
              <w:top w:val="nil"/>
              <w:left w:val="nil"/>
              <w:bottom w:val="nil"/>
              <w:right w:val="nil"/>
            </w:tcBorders>
            <w:shd w:val="clear" w:color="auto" w:fill="auto"/>
            <w:noWrap/>
            <w:vAlign w:val="bottom"/>
            <w:hideMark/>
          </w:tcPr>
          <w:p w14:paraId="6376DBEE" w14:textId="79880EE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52,731,534</w:t>
            </w:r>
          </w:p>
        </w:tc>
        <w:tc>
          <w:tcPr>
            <w:tcW w:w="659" w:type="pct"/>
            <w:tcBorders>
              <w:top w:val="nil"/>
              <w:left w:val="nil"/>
              <w:bottom w:val="nil"/>
              <w:right w:val="nil"/>
            </w:tcBorders>
            <w:shd w:val="clear" w:color="auto" w:fill="auto"/>
            <w:noWrap/>
            <w:vAlign w:val="bottom"/>
            <w:hideMark/>
          </w:tcPr>
          <w:p w14:paraId="61E01A6B" w14:textId="73B15391"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57,237,016</w:t>
            </w:r>
          </w:p>
        </w:tc>
      </w:tr>
      <w:tr w:rsidR="0089177F" w:rsidRPr="002A338C" w14:paraId="02ABD1CC" w14:textId="77777777" w:rsidTr="005334F2">
        <w:trPr>
          <w:trHeight w:val="204"/>
        </w:trPr>
        <w:tc>
          <w:tcPr>
            <w:tcW w:w="1675" w:type="pct"/>
            <w:tcBorders>
              <w:top w:val="nil"/>
              <w:left w:val="nil"/>
              <w:bottom w:val="nil"/>
              <w:right w:val="nil"/>
            </w:tcBorders>
            <w:shd w:val="clear" w:color="auto" w:fill="auto"/>
            <w:noWrap/>
            <w:vAlign w:val="bottom"/>
            <w:hideMark/>
          </w:tcPr>
          <w:p w14:paraId="7097D8F1"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Other financial assets</w:t>
            </w:r>
          </w:p>
        </w:tc>
        <w:tc>
          <w:tcPr>
            <w:tcW w:w="659" w:type="pct"/>
            <w:tcBorders>
              <w:top w:val="nil"/>
              <w:left w:val="nil"/>
              <w:bottom w:val="nil"/>
              <w:right w:val="nil"/>
            </w:tcBorders>
            <w:shd w:val="clear" w:color="auto" w:fill="auto"/>
            <w:noWrap/>
            <w:vAlign w:val="bottom"/>
            <w:hideMark/>
          </w:tcPr>
          <w:p w14:paraId="0C6A875F" w14:textId="74DFC7C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77,577</w:t>
            </w:r>
          </w:p>
        </w:tc>
        <w:tc>
          <w:tcPr>
            <w:tcW w:w="690" w:type="pct"/>
            <w:tcBorders>
              <w:top w:val="nil"/>
              <w:left w:val="nil"/>
              <w:bottom w:val="nil"/>
              <w:right w:val="nil"/>
            </w:tcBorders>
            <w:shd w:val="clear" w:color="auto" w:fill="E6E6E6"/>
            <w:noWrap/>
            <w:vAlign w:val="bottom"/>
            <w:hideMark/>
          </w:tcPr>
          <w:p w14:paraId="6DD7F7B0" w14:textId="4800F37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82,305</w:t>
            </w:r>
          </w:p>
        </w:tc>
        <w:tc>
          <w:tcPr>
            <w:tcW w:w="659" w:type="pct"/>
            <w:tcBorders>
              <w:top w:val="nil"/>
              <w:left w:val="nil"/>
              <w:bottom w:val="nil"/>
              <w:right w:val="nil"/>
            </w:tcBorders>
            <w:shd w:val="clear" w:color="auto" w:fill="auto"/>
            <w:noWrap/>
            <w:vAlign w:val="bottom"/>
            <w:hideMark/>
          </w:tcPr>
          <w:p w14:paraId="11461347" w14:textId="6789F18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82,305</w:t>
            </w:r>
          </w:p>
        </w:tc>
        <w:tc>
          <w:tcPr>
            <w:tcW w:w="659" w:type="pct"/>
            <w:tcBorders>
              <w:top w:val="nil"/>
              <w:left w:val="nil"/>
              <w:bottom w:val="nil"/>
              <w:right w:val="nil"/>
            </w:tcBorders>
            <w:shd w:val="clear" w:color="auto" w:fill="auto"/>
            <w:noWrap/>
            <w:vAlign w:val="bottom"/>
            <w:hideMark/>
          </w:tcPr>
          <w:p w14:paraId="485E337B" w14:textId="3203B03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82,305</w:t>
            </w:r>
          </w:p>
        </w:tc>
        <w:tc>
          <w:tcPr>
            <w:tcW w:w="659" w:type="pct"/>
            <w:tcBorders>
              <w:top w:val="nil"/>
              <w:left w:val="nil"/>
              <w:bottom w:val="nil"/>
              <w:right w:val="nil"/>
            </w:tcBorders>
            <w:shd w:val="clear" w:color="auto" w:fill="auto"/>
            <w:noWrap/>
            <w:vAlign w:val="bottom"/>
            <w:hideMark/>
          </w:tcPr>
          <w:p w14:paraId="60E9C15C" w14:textId="528B341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82,305</w:t>
            </w:r>
          </w:p>
        </w:tc>
      </w:tr>
      <w:tr w:rsidR="0089177F" w:rsidRPr="002A338C" w14:paraId="7E14D60F" w14:textId="77777777" w:rsidTr="005334F2">
        <w:trPr>
          <w:trHeight w:val="204"/>
        </w:trPr>
        <w:tc>
          <w:tcPr>
            <w:tcW w:w="1675" w:type="pct"/>
            <w:tcBorders>
              <w:top w:val="nil"/>
              <w:left w:val="nil"/>
              <w:bottom w:val="nil"/>
              <w:right w:val="nil"/>
            </w:tcBorders>
            <w:shd w:val="clear" w:color="auto" w:fill="auto"/>
            <w:noWrap/>
            <w:vAlign w:val="bottom"/>
            <w:hideMark/>
          </w:tcPr>
          <w:p w14:paraId="149C3DC1" w14:textId="77777777" w:rsidR="0089177F" w:rsidRPr="002A338C" w:rsidRDefault="0089177F" w:rsidP="0089177F">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financial assets</w:t>
            </w:r>
          </w:p>
        </w:tc>
        <w:tc>
          <w:tcPr>
            <w:tcW w:w="659" w:type="pct"/>
            <w:tcBorders>
              <w:top w:val="single" w:sz="4" w:space="0" w:color="000000"/>
              <w:left w:val="nil"/>
              <w:bottom w:val="single" w:sz="4" w:space="0" w:color="000000"/>
              <w:right w:val="nil"/>
            </w:tcBorders>
            <w:shd w:val="clear" w:color="auto" w:fill="auto"/>
            <w:noWrap/>
            <w:vAlign w:val="bottom"/>
            <w:hideMark/>
          </w:tcPr>
          <w:p w14:paraId="48F9C2E6" w14:textId="41598270"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47,933,613</w:t>
            </w:r>
          </w:p>
        </w:tc>
        <w:tc>
          <w:tcPr>
            <w:tcW w:w="690" w:type="pct"/>
            <w:tcBorders>
              <w:top w:val="single" w:sz="4" w:space="0" w:color="000000"/>
              <w:left w:val="nil"/>
              <w:bottom w:val="single" w:sz="4" w:space="0" w:color="000000"/>
              <w:right w:val="nil"/>
            </w:tcBorders>
            <w:shd w:val="clear" w:color="auto" w:fill="E6E6E6"/>
            <w:noWrap/>
            <w:vAlign w:val="bottom"/>
            <w:hideMark/>
          </w:tcPr>
          <w:p w14:paraId="30B6BB5C" w14:textId="21EDCBBF"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51,694,709</w:t>
            </w:r>
          </w:p>
        </w:tc>
        <w:tc>
          <w:tcPr>
            <w:tcW w:w="659" w:type="pct"/>
            <w:tcBorders>
              <w:top w:val="single" w:sz="4" w:space="0" w:color="000000"/>
              <w:left w:val="nil"/>
              <w:bottom w:val="single" w:sz="4" w:space="0" w:color="000000"/>
              <w:right w:val="nil"/>
            </w:tcBorders>
            <w:shd w:val="clear" w:color="auto" w:fill="auto"/>
            <w:noWrap/>
            <w:vAlign w:val="bottom"/>
            <w:hideMark/>
          </w:tcPr>
          <w:p w14:paraId="6D3E8F09" w14:textId="3AAE15AF"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51,827,830</w:t>
            </w:r>
          </w:p>
        </w:tc>
        <w:tc>
          <w:tcPr>
            <w:tcW w:w="659" w:type="pct"/>
            <w:tcBorders>
              <w:top w:val="single" w:sz="4" w:space="0" w:color="000000"/>
              <w:left w:val="nil"/>
              <w:bottom w:val="single" w:sz="4" w:space="0" w:color="000000"/>
              <w:right w:val="nil"/>
            </w:tcBorders>
            <w:shd w:val="clear" w:color="auto" w:fill="auto"/>
            <w:noWrap/>
            <w:vAlign w:val="bottom"/>
            <w:hideMark/>
          </w:tcPr>
          <w:p w14:paraId="14024B93" w14:textId="4382B65D"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57,736,583</w:t>
            </w:r>
          </w:p>
        </w:tc>
        <w:tc>
          <w:tcPr>
            <w:tcW w:w="659" w:type="pct"/>
            <w:tcBorders>
              <w:top w:val="single" w:sz="4" w:space="0" w:color="000000"/>
              <w:left w:val="nil"/>
              <w:bottom w:val="single" w:sz="4" w:space="0" w:color="000000"/>
              <w:right w:val="nil"/>
            </w:tcBorders>
            <w:shd w:val="clear" w:color="auto" w:fill="auto"/>
            <w:noWrap/>
            <w:vAlign w:val="bottom"/>
            <w:hideMark/>
          </w:tcPr>
          <w:p w14:paraId="371A1142" w14:textId="089AD4D2"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62,845,924</w:t>
            </w:r>
          </w:p>
        </w:tc>
      </w:tr>
      <w:tr w:rsidR="0089177F" w:rsidRPr="002A338C" w14:paraId="114A3DB1" w14:textId="77777777" w:rsidTr="005334F2">
        <w:trPr>
          <w:trHeight w:val="204"/>
        </w:trPr>
        <w:tc>
          <w:tcPr>
            <w:tcW w:w="1675" w:type="pct"/>
            <w:tcBorders>
              <w:top w:val="nil"/>
              <w:left w:val="nil"/>
              <w:bottom w:val="nil"/>
              <w:right w:val="nil"/>
            </w:tcBorders>
            <w:shd w:val="clear" w:color="auto" w:fill="auto"/>
            <w:noWrap/>
            <w:vAlign w:val="bottom"/>
            <w:hideMark/>
          </w:tcPr>
          <w:p w14:paraId="0064E96D"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Non-financial assets</w:t>
            </w:r>
          </w:p>
        </w:tc>
        <w:tc>
          <w:tcPr>
            <w:tcW w:w="659" w:type="pct"/>
            <w:tcBorders>
              <w:top w:val="nil"/>
              <w:left w:val="nil"/>
              <w:bottom w:val="nil"/>
              <w:right w:val="nil"/>
            </w:tcBorders>
            <w:shd w:val="clear" w:color="auto" w:fill="auto"/>
            <w:noWrap/>
            <w:vAlign w:val="bottom"/>
            <w:hideMark/>
          </w:tcPr>
          <w:p w14:paraId="3A5BA455" w14:textId="77777777" w:rsidR="0089177F" w:rsidRPr="002A338C" w:rsidRDefault="0089177F" w:rsidP="0089177F">
            <w:pPr>
              <w:spacing w:after="0" w:line="240" w:lineRule="auto"/>
              <w:jc w:val="right"/>
              <w:rPr>
                <w:rFonts w:ascii="Arial" w:hAnsi="Arial" w:cs="Arial"/>
                <w:b/>
                <w:bCs/>
                <w:i/>
                <w:iCs/>
                <w:color w:val="000000"/>
                <w:sz w:val="16"/>
                <w:szCs w:val="16"/>
              </w:rPr>
            </w:pPr>
          </w:p>
        </w:tc>
        <w:tc>
          <w:tcPr>
            <w:tcW w:w="690" w:type="pct"/>
            <w:tcBorders>
              <w:top w:val="nil"/>
              <w:left w:val="nil"/>
              <w:bottom w:val="nil"/>
              <w:right w:val="nil"/>
            </w:tcBorders>
            <w:shd w:val="clear" w:color="auto" w:fill="E6E6E6"/>
            <w:noWrap/>
            <w:vAlign w:val="bottom"/>
            <w:hideMark/>
          </w:tcPr>
          <w:p w14:paraId="68BC3163" w14:textId="36E33742"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16BF8965" w14:textId="77777777"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4D06A6C8" w14:textId="77777777" w:rsidR="0089177F" w:rsidRPr="002A338C" w:rsidRDefault="0089177F" w:rsidP="0089177F">
            <w:pPr>
              <w:spacing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13391E40"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0AAA4E3C" w14:textId="77777777" w:rsidTr="005334F2">
        <w:trPr>
          <w:trHeight w:val="204"/>
        </w:trPr>
        <w:tc>
          <w:tcPr>
            <w:tcW w:w="1675" w:type="pct"/>
            <w:tcBorders>
              <w:top w:val="nil"/>
              <w:left w:val="nil"/>
              <w:bottom w:val="nil"/>
              <w:right w:val="nil"/>
            </w:tcBorders>
            <w:shd w:val="clear" w:color="auto" w:fill="auto"/>
            <w:noWrap/>
            <w:vAlign w:val="bottom"/>
            <w:hideMark/>
          </w:tcPr>
          <w:p w14:paraId="682D6ADE"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Land and buildings</w:t>
            </w:r>
          </w:p>
        </w:tc>
        <w:tc>
          <w:tcPr>
            <w:tcW w:w="659" w:type="pct"/>
            <w:tcBorders>
              <w:top w:val="nil"/>
              <w:left w:val="nil"/>
              <w:bottom w:val="nil"/>
              <w:right w:val="nil"/>
            </w:tcBorders>
            <w:shd w:val="clear" w:color="auto" w:fill="auto"/>
            <w:noWrap/>
            <w:vAlign w:val="bottom"/>
            <w:hideMark/>
          </w:tcPr>
          <w:p w14:paraId="3169B000" w14:textId="45CBB6F1"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224,466</w:t>
            </w:r>
          </w:p>
        </w:tc>
        <w:tc>
          <w:tcPr>
            <w:tcW w:w="690" w:type="pct"/>
            <w:tcBorders>
              <w:top w:val="nil"/>
              <w:left w:val="nil"/>
              <w:bottom w:val="nil"/>
              <w:right w:val="nil"/>
            </w:tcBorders>
            <w:shd w:val="clear" w:color="auto" w:fill="E6E6E6"/>
            <w:noWrap/>
            <w:vAlign w:val="bottom"/>
            <w:hideMark/>
          </w:tcPr>
          <w:p w14:paraId="3E91B250" w14:textId="33361ED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210,454</w:t>
            </w:r>
          </w:p>
        </w:tc>
        <w:tc>
          <w:tcPr>
            <w:tcW w:w="659" w:type="pct"/>
            <w:tcBorders>
              <w:top w:val="nil"/>
              <w:left w:val="nil"/>
              <w:bottom w:val="nil"/>
              <w:right w:val="nil"/>
            </w:tcBorders>
            <w:shd w:val="clear" w:color="auto" w:fill="auto"/>
            <w:noWrap/>
            <w:vAlign w:val="bottom"/>
            <w:hideMark/>
          </w:tcPr>
          <w:p w14:paraId="76727762" w14:textId="3E499EB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189,611</w:t>
            </w:r>
          </w:p>
        </w:tc>
        <w:tc>
          <w:tcPr>
            <w:tcW w:w="659" w:type="pct"/>
            <w:tcBorders>
              <w:top w:val="nil"/>
              <w:left w:val="nil"/>
              <w:bottom w:val="nil"/>
              <w:right w:val="nil"/>
            </w:tcBorders>
            <w:shd w:val="clear" w:color="auto" w:fill="auto"/>
            <w:noWrap/>
            <w:vAlign w:val="bottom"/>
            <w:hideMark/>
          </w:tcPr>
          <w:p w14:paraId="205AE004" w14:textId="295A4A9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191,285</w:t>
            </w:r>
          </w:p>
        </w:tc>
        <w:tc>
          <w:tcPr>
            <w:tcW w:w="659" w:type="pct"/>
            <w:tcBorders>
              <w:top w:val="nil"/>
              <w:left w:val="nil"/>
              <w:bottom w:val="nil"/>
              <w:right w:val="nil"/>
            </w:tcBorders>
            <w:shd w:val="clear" w:color="auto" w:fill="auto"/>
            <w:noWrap/>
            <w:vAlign w:val="bottom"/>
            <w:hideMark/>
          </w:tcPr>
          <w:p w14:paraId="5950C534" w14:textId="07ED401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211,004</w:t>
            </w:r>
          </w:p>
        </w:tc>
      </w:tr>
      <w:tr w:rsidR="0089177F" w:rsidRPr="002A338C" w14:paraId="754D7CCD" w14:textId="77777777" w:rsidTr="005334F2">
        <w:trPr>
          <w:trHeight w:val="204"/>
        </w:trPr>
        <w:tc>
          <w:tcPr>
            <w:tcW w:w="1675" w:type="pct"/>
            <w:tcBorders>
              <w:top w:val="nil"/>
              <w:left w:val="nil"/>
              <w:bottom w:val="nil"/>
              <w:right w:val="nil"/>
            </w:tcBorders>
            <w:shd w:val="clear" w:color="auto" w:fill="auto"/>
            <w:noWrap/>
            <w:vAlign w:val="bottom"/>
            <w:hideMark/>
          </w:tcPr>
          <w:p w14:paraId="42880E51"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Property, plant and equipment</w:t>
            </w:r>
          </w:p>
        </w:tc>
        <w:tc>
          <w:tcPr>
            <w:tcW w:w="659" w:type="pct"/>
            <w:tcBorders>
              <w:top w:val="nil"/>
              <w:left w:val="nil"/>
              <w:bottom w:val="nil"/>
              <w:right w:val="nil"/>
            </w:tcBorders>
            <w:shd w:val="clear" w:color="auto" w:fill="auto"/>
            <w:noWrap/>
            <w:vAlign w:val="bottom"/>
            <w:hideMark/>
          </w:tcPr>
          <w:p w14:paraId="789A0DF1" w14:textId="33C101D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492,848</w:t>
            </w:r>
          </w:p>
        </w:tc>
        <w:tc>
          <w:tcPr>
            <w:tcW w:w="690" w:type="pct"/>
            <w:tcBorders>
              <w:top w:val="nil"/>
              <w:left w:val="nil"/>
              <w:bottom w:val="nil"/>
              <w:right w:val="nil"/>
            </w:tcBorders>
            <w:shd w:val="clear" w:color="auto" w:fill="E6E6E6"/>
            <w:noWrap/>
            <w:vAlign w:val="bottom"/>
            <w:hideMark/>
          </w:tcPr>
          <w:p w14:paraId="4915D28F" w14:textId="0E7020CC"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537,504</w:t>
            </w:r>
          </w:p>
        </w:tc>
        <w:tc>
          <w:tcPr>
            <w:tcW w:w="659" w:type="pct"/>
            <w:tcBorders>
              <w:top w:val="nil"/>
              <w:left w:val="nil"/>
              <w:bottom w:val="nil"/>
              <w:right w:val="nil"/>
            </w:tcBorders>
            <w:shd w:val="clear" w:color="auto" w:fill="auto"/>
            <w:noWrap/>
            <w:vAlign w:val="bottom"/>
            <w:hideMark/>
          </w:tcPr>
          <w:p w14:paraId="653B831A" w14:textId="7EA6F27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609,050</w:t>
            </w:r>
          </w:p>
        </w:tc>
        <w:tc>
          <w:tcPr>
            <w:tcW w:w="659" w:type="pct"/>
            <w:tcBorders>
              <w:top w:val="nil"/>
              <w:left w:val="nil"/>
              <w:bottom w:val="nil"/>
              <w:right w:val="nil"/>
            </w:tcBorders>
            <w:shd w:val="clear" w:color="auto" w:fill="auto"/>
            <w:noWrap/>
            <w:vAlign w:val="bottom"/>
            <w:hideMark/>
          </w:tcPr>
          <w:p w14:paraId="37215D67" w14:textId="65B0E6E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611,390</w:t>
            </w:r>
          </w:p>
        </w:tc>
        <w:tc>
          <w:tcPr>
            <w:tcW w:w="659" w:type="pct"/>
            <w:tcBorders>
              <w:top w:val="nil"/>
              <w:left w:val="nil"/>
              <w:bottom w:val="nil"/>
              <w:right w:val="nil"/>
            </w:tcBorders>
            <w:shd w:val="clear" w:color="auto" w:fill="auto"/>
            <w:noWrap/>
            <w:vAlign w:val="bottom"/>
            <w:hideMark/>
          </w:tcPr>
          <w:p w14:paraId="160913E9" w14:textId="4E97B2F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592,146</w:t>
            </w:r>
          </w:p>
        </w:tc>
      </w:tr>
      <w:tr w:rsidR="0089177F" w:rsidRPr="002A338C" w14:paraId="16C15C49" w14:textId="77777777" w:rsidTr="005334F2">
        <w:trPr>
          <w:trHeight w:val="204"/>
        </w:trPr>
        <w:tc>
          <w:tcPr>
            <w:tcW w:w="1675" w:type="pct"/>
            <w:tcBorders>
              <w:top w:val="nil"/>
              <w:left w:val="nil"/>
              <w:bottom w:val="nil"/>
              <w:right w:val="nil"/>
            </w:tcBorders>
            <w:shd w:val="clear" w:color="auto" w:fill="auto"/>
            <w:noWrap/>
            <w:vAlign w:val="bottom"/>
            <w:hideMark/>
          </w:tcPr>
          <w:p w14:paraId="38B9B64A"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Heritage and cultural assets</w:t>
            </w:r>
          </w:p>
        </w:tc>
        <w:tc>
          <w:tcPr>
            <w:tcW w:w="659" w:type="pct"/>
            <w:tcBorders>
              <w:top w:val="nil"/>
              <w:left w:val="nil"/>
              <w:bottom w:val="nil"/>
              <w:right w:val="nil"/>
            </w:tcBorders>
            <w:shd w:val="clear" w:color="auto" w:fill="auto"/>
            <w:noWrap/>
            <w:vAlign w:val="bottom"/>
            <w:hideMark/>
          </w:tcPr>
          <w:p w14:paraId="47930B6D" w14:textId="2CBA8A2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185,576</w:t>
            </w:r>
          </w:p>
        </w:tc>
        <w:tc>
          <w:tcPr>
            <w:tcW w:w="690" w:type="pct"/>
            <w:tcBorders>
              <w:top w:val="nil"/>
              <w:left w:val="nil"/>
              <w:bottom w:val="nil"/>
              <w:right w:val="nil"/>
            </w:tcBorders>
            <w:shd w:val="clear" w:color="auto" w:fill="E6E6E6"/>
            <w:noWrap/>
            <w:vAlign w:val="bottom"/>
            <w:hideMark/>
          </w:tcPr>
          <w:p w14:paraId="6F2A2691" w14:textId="0B529F6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183,695</w:t>
            </w:r>
          </w:p>
        </w:tc>
        <w:tc>
          <w:tcPr>
            <w:tcW w:w="659" w:type="pct"/>
            <w:tcBorders>
              <w:top w:val="nil"/>
              <w:left w:val="nil"/>
              <w:bottom w:val="nil"/>
              <w:right w:val="nil"/>
            </w:tcBorders>
            <w:shd w:val="clear" w:color="auto" w:fill="auto"/>
            <w:noWrap/>
            <w:vAlign w:val="bottom"/>
            <w:hideMark/>
          </w:tcPr>
          <w:p w14:paraId="3F167DF0" w14:textId="7BBA3D2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181,810</w:t>
            </w:r>
          </w:p>
        </w:tc>
        <w:tc>
          <w:tcPr>
            <w:tcW w:w="659" w:type="pct"/>
            <w:tcBorders>
              <w:top w:val="nil"/>
              <w:left w:val="nil"/>
              <w:bottom w:val="nil"/>
              <w:right w:val="nil"/>
            </w:tcBorders>
            <w:shd w:val="clear" w:color="auto" w:fill="auto"/>
            <w:noWrap/>
            <w:vAlign w:val="bottom"/>
            <w:hideMark/>
          </w:tcPr>
          <w:p w14:paraId="5CEA445D" w14:textId="32CA1D3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181,010</w:t>
            </w:r>
          </w:p>
        </w:tc>
        <w:tc>
          <w:tcPr>
            <w:tcW w:w="659" w:type="pct"/>
            <w:tcBorders>
              <w:top w:val="nil"/>
              <w:left w:val="nil"/>
              <w:bottom w:val="nil"/>
              <w:right w:val="nil"/>
            </w:tcBorders>
            <w:shd w:val="clear" w:color="auto" w:fill="auto"/>
            <w:noWrap/>
            <w:vAlign w:val="bottom"/>
            <w:hideMark/>
          </w:tcPr>
          <w:p w14:paraId="224D9E5F" w14:textId="0ECF016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178,573</w:t>
            </w:r>
          </w:p>
        </w:tc>
      </w:tr>
      <w:tr w:rsidR="0089177F" w:rsidRPr="002A338C" w14:paraId="05FA0BB4" w14:textId="77777777" w:rsidTr="005334F2">
        <w:trPr>
          <w:trHeight w:val="204"/>
        </w:trPr>
        <w:tc>
          <w:tcPr>
            <w:tcW w:w="1675" w:type="pct"/>
            <w:tcBorders>
              <w:top w:val="nil"/>
              <w:left w:val="nil"/>
              <w:bottom w:val="nil"/>
              <w:right w:val="nil"/>
            </w:tcBorders>
            <w:shd w:val="clear" w:color="auto" w:fill="auto"/>
            <w:noWrap/>
            <w:vAlign w:val="bottom"/>
            <w:hideMark/>
          </w:tcPr>
          <w:p w14:paraId="12FE11B9"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Intangibles</w:t>
            </w:r>
          </w:p>
        </w:tc>
        <w:tc>
          <w:tcPr>
            <w:tcW w:w="659" w:type="pct"/>
            <w:tcBorders>
              <w:top w:val="nil"/>
              <w:left w:val="nil"/>
              <w:bottom w:val="nil"/>
              <w:right w:val="nil"/>
            </w:tcBorders>
            <w:shd w:val="clear" w:color="auto" w:fill="auto"/>
            <w:noWrap/>
            <w:vAlign w:val="bottom"/>
            <w:hideMark/>
          </w:tcPr>
          <w:p w14:paraId="37FA9856" w14:textId="36747D2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4,407</w:t>
            </w:r>
          </w:p>
        </w:tc>
        <w:tc>
          <w:tcPr>
            <w:tcW w:w="690" w:type="pct"/>
            <w:tcBorders>
              <w:top w:val="nil"/>
              <w:left w:val="nil"/>
              <w:bottom w:val="nil"/>
              <w:right w:val="nil"/>
            </w:tcBorders>
            <w:shd w:val="clear" w:color="auto" w:fill="E6E6E6"/>
            <w:noWrap/>
            <w:vAlign w:val="bottom"/>
            <w:hideMark/>
          </w:tcPr>
          <w:p w14:paraId="23B2E293" w14:textId="2DF2A46D"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4,407</w:t>
            </w:r>
          </w:p>
        </w:tc>
        <w:tc>
          <w:tcPr>
            <w:tcW w:w="659" w:type="pct"/>
            <w:tcBorders>
              <w:top w:val="nil"/>
              <w:left w:val="nil"/>
              <w:bottom w:val="nil"/>
              <w:right w:val="nil"/>
            </w:tcBorders>
            <w:shd w:val="clear" w:color="auto" w:fill="auto"/>
            <w:noWrap/>
            <w:vAlign w:val="bottom"/>
            <w:hideMark/>
          </w:tcPr>
          <w:p w14:paraId="20AAF83F" w14:textId="509AC03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4,404</w:t>
            </w:r>
          </w:p>
        </w:tc>
        <w:tc>
          <w:tcPr>
            <w:tcW w:w="659" w:type="pct"/>
            <w:tcBorders>
              <w:top w:val="nil"/>
              <w:left w:val="nil"/>
              <w:bottom w:val="nil"/>
              <w:right w:val="nil"/>
            </w:tcBorders>
            <w:shd w:val="clear" w:color="auto" w:fill="auto"/>
            <w:noWrap/>
            <w:vAlign w:val="bottom"/>
            <w:hideMark/>
          </w:tcPr>
          <w:p w14:paraId="5A02505E" w14:textId="5BCCD6E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4,404</w:t>
            </w:r>
          </w:p>
        </w:tc>
        <w:tc>
          <w:tcPr>
            <w:tcW w:w="659" w:type="pct"/>
            <w:tcBorders>
              <w:top w:val="nil"/>
              <w:left w:val="nil"/>
              <w:bottom w:val="nil"/>
              <w:right w:val="nil"/>
            </w:tcBorders>
            <w:shd w:val="clear" w:color="auto" w:fill="auto"/>
            <w:noWrap/>
            <w:vAlign w:val="bottom"/>
            <w:hideMark/>
          </w:tcPr>
          <w:p w14:paraId="25D20AEE" w14:textId="5C5DE68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4,404</w:t>
            </w:r>
          </w:p>
        </w:tc>
      </w:tr>
      <w:tr w:rsidR="0089177F" w:rsidRPr="002A338C" w14:paraId="6E0A4905" w14:textId="77777777" w:rsidTr="005334F2">
        <w:trPr>
          <w:trHeight w:val="204"/>
        </w:trPr>
        <w:tc>
          <w:tcPr>
            <w:tcW w:w="1675" w:type="pct"/>
            <w:tcBorders>
              <w:top w:val="nil"/>
              <w:left w:val="nil"/>
              <w:bottom w:val="nil"/>
              <w:right w:val="nil"/>
            </w:tcBorders>
            <w:shd w:val="clear" w:color="auto" w:fill="auto"/>
            <w:noWrap/>
            <w:vAlign w:val="bottom"/>
            <w:hideMark/>
          </w:tcPr>
          <w:p w14:paraId="649FB78E"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Inventories</w:t>
            </w:r>
          </w:p>
        </w:tc>
        <w:tc>
          <w:tcPr>
            <w:tcW w:w="659" w:type="pct"/>
            <w:tcBorders>
              <w:top w:val="nil"/>
              <w:left w:val="nil"/>
              <w:bottom w:val="nil"/>
              <w:right w:val="nil"/>
            </w:tcBorders>
            <w:shd w:val="clear" w:color="auto" w:fill="auto"/>
            <w:noWrap/>
            <w:vAlign w:val="bottom"/>
            <w:hideMark/>
          </w:tcPr>
          <w:p w14:paraId="5E51A125" w14:textId="1961141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90" w:type="pct"/>
            <w:tcBorders>
              <w:top w:val="nil"/>
              <w:left w:val="nil"/>
              <w:bottom w:val="nil"/>
              <w:right w:val="nil"/>
            </w:tcBorders>
            <w:shd w:val="clear" w:color="auto" w:fill="E6E6E6"/>
            <w:noWrap/>
            <w:vAlign w:val="bottom"/>
            <w:hideMark/>
          </w:tcPr>
          <w:p w14:paraId="7C9FEB1E" w14:textId="3C4BC04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59" w:type="pct"/>
            <w:tcBorders>
              <w:top w:val="nil"/>
              <w:left w:val="nil"/>
              <w:bottom w:val="nil"/>
              <w:right w:val="nil"/>
            </w:tcBorders>
            <w:shd w:val="clear" w:color="auto" w:fill="auto"/>
            <w:noWrap/>
            <w:vAlign w:val="bottom"/>
            <w:hideMark/>
          </w:tcPr>
          <w:p w14:paraId="1E0BE692" w14:textId="411BE6B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59" w:type="pct"/>
            <w:tcBorders>
              <w:top w:val="nil"/>
              <w:left w:val="nil"/>
              <w:bottom w:val="nil"/>
              <w:right w:val="nil"/>
            </w:tcBorders>
            <w:shd w:val="clear" w:color="auto" w:fill="auto"/>
            <w:noWrap/>
            <w:vAlign w:val="bottom"/>
            <w:hideMark/>
          </w:tcPr>
          <w:p w14:paraId="49992E81" w14:textId="666ED78A"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3,067</w:t>
            </w:r>
          </w:p>
        </w:tc>
        <w:tc>
          <w:tcPr>
            <w:tcW w:w="659" w:type="pct"/>
            <w:tcBorders>
              <w:top w:val="nil"/>
              <w:left w:val="nil"/>
              <w:bottom w:val="nil"/>
              <w:right w:val="nil"/>
            </w:tcBorders>
            <w:shd w:val="clear" w:color="auto" w:fill="auto"/>
            <w:noWrap/>
            <w:vAlign w:val="bottom"/>
            <w:hideMark/>
          </w:tcPr>
          <w:p w14:paraId="1499DEF0" w14:textId="454FB9E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3,067</w:t>
            </w:r>
          </w:p>
        </w:tc>
      </w:tr>
      <w:tr w:rsidR="0089177F" w:rsidRPr="002A338C" w14:paraId="366E5B45" w14:textId="77777777" w:rsidTr="005334F2">
        <w:trPr>
          <w:trHeight w:val="204"/>
        </w:trPr>
        <w:tc>
          <w:tcPr>
            <w:tcW w:w="1675" w:type="pct"/>
            <w:tcBorders>
              <w:top w:val="nil"/>
              <w:left w:val="nil"/>
              <w:bottom w:val="nil"/>
              <w:right w:val="nil"/>
            </w:tcBorders>
            <w:shd w:val="clear" w:color="auto" w:fill="auto"/>
            <w:noWrap/>
            <w:vAlign w:val="bottom"/>
            <w:hideMark/>
          </w:tcPr>
          <w:p w14:paraId="1BA028A0"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Other non-financial assets</w:t>
            </w:r>
          </w:p>
        </w:tc>
        <w:tc>
          <w:tcPr>
            <w:tcW w:w="659" w:type="pct"/>
            <w:tcBorders>
              <w:top w:val="nil"/>
              <w:left w:val="nil"/>
              <w:bottom w:val="nil"/>
              <w:right w:val="nil"/>
            </w:tcBorders>
            <w:shd w:val="clear" w:color="auto" w:fill="auto"/>
            <w:noWrap/>
            <w:vAlign w:val="bottom"/>
            <w:hideMark/>
          </w:tcPr>
          <w:p w14:paraId="6A433380" w14:textId="1E9B948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3,078</w:t>
            </w:r>
          </w:p>
        </w:tc>
        <w:tc>
          <w:tcPr>
            <w:tcW w:w="690" w:type="pct"/>
            <w:tcBorders>
              <w:top w:val="nil"/>
              <w:left w:val="nil"/>
              <w:bottom w:val="nil"/>
              <w:right w:val="nil"/>
            </w:tcBorders>
            <w:shd w:val="clear" w:color="auto" w:fill="E6E6E6"/>
            <w:noWrap/>
            <w:vAlign w:val="bottom"/>
            <w:hideMark/>
          </w:tcPr>
          <w:p w14:paraId="2F1BAA3D" w14:textId="519EE9E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3,158</w:t>
            </w:r>
          </w:p>
        </w:tc>
        <w:tc>
          <w:tcPr>
            <w:tcW w:w="659" w:type="pct"/>
            <w:tcBorders>
              <w:top w:val="nil"/>
              <w:left w:val="nil"/>
              <w:bottom w:val="nil"/>
              <w:right w:val="nil"/>
            </w:tcBorders>
            <w:shd w:val="clear" w:color="auto" w:fill="auto"/>
            <w:noWrap/>
            <w:vAlign w:val="bottom"/>
            <w:hideMark/>
          </w:tcPr>
          <w:p w14:paraId="535EBFD9" w14:textId="5880D08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3,314</w:t>
            </w:r>
          </w:p>
        </w:tc>
        <w:tc>
          <w:tcPr>
            <w:tcW w:w="659" w:type="pct"/>
            <w:tcBorders>
              <w:top w:val="nil"/>
              <w:left w:val="nil"/>
              <w:bottom w:val="nil"/>
              <w:right w:val="nil"/>
            </w:tcBorders>
            <w:shd w:val="clear" w:color="auto" w:fill="auto"/>
            <w:noWrap/>
            <w:vAlign w:val="bottom"/>
            <w:hideMark/>
          </w:tcPr>
          <w:p w14:paraId="74F2D1ED" w14:textId="60CBF9E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3,314</w:t>
            </w:r>
          </w:p>
        </w:tc>
        <w:tc>
          <w:tcPr>
            <w:tcW w:w="659" w:type="pct"/>
            <w:tcBorders>
              <w:top w:val="nil"/>
              <w:left w:val="nil"/>
              <w:bottom w:val="nil"/>
              <w:right w:val="nil"/>
            </w:tcBorders>
            <w:shd w:val="clear" w:color="auto" w:fill="auto"/>
            <w:noWrap/>
            <w:vAlign w:val="bottom"/>
            <w:hideMark/>
          </w:tcPr>
          <w:p w14:paraId="226C7918" w14:textId="0C3EAAE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3,314</w:t>
            </w:r>
          </w:p>
        </w:tc>
      </w:tr>
      <w:tr w:rsidR="0089177F" w:rsidRPr="002A338C" w14:paraId="7B6905BE" w14:textId="77777777" w:rsidTr="005334F2">
        <w:trPr>
          <w:trHeight w:val="204"/>
        </w:trPr>
        <w:tc>
          <w:tcPr>
            <w:tcW w:w="1675" w:type="pct"/>
            <w:tcBorders>
              <w:top w:val="nil"/>
              <w:left w:val="nil"/>
              <w:bottom w:val="nil"/>
              <w:right w:val="nil"/>
            </w:tcBorders>
            <w:shd w:val="clear" w:color="auto" w:fill="auto"/>
            <w:noWrap/>
            <w:vAlign w:val="bottom"/>
            <w:hideMark/>
          </w:tcPr>
          <w:p w14:paraId="42B03FD5" w14:textId="77777777" w:rsidR="0089177F" w:rsidRPr="002A338C" w:rsidRDefault="0089177F" w:rsidP="0089177F">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non-financial assets</w:t>
            </w:r>
          </w:p>
        </w:tc>
        <w:tc>
          <w:tcPr>
            <w:tcW w:w="659" w:type="pct"/>
            <w:tcBorders>
              <w:top w:val="single" w:sz="4" w:space="0" w:color="000000"/>
              <w:left w:val="nil"/>
              <w:bottom w:val="single" w:sz="4" w:space="0" w:color="000000"/>
              <w:right w:val="nil"/>
            </w:tcBorders>
            <w:shd w:val="clear" w:color="000000" w:fill="FFFFFF"/>
            <w:noWrap/>
            <w:vAlign w:val="bottom"/>
            <w:hideMark/>
          </w:tcPr>
          <w:p w14:paraId="7E8D9914" w14:textId="5B2EF1D3"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913,442</w:t>
            </w:r>
          </w:p>
        </w:tc>
        <w:tc>
          <w:tcPr>
            <w:tcW w:w="690" w:type="pct"/>
            <w:tcBorders>
              <w:top w:val="single" w:sz="4" w:space="0" w:color="000000"/>
              <w:left w:val="nil"/>
              <w:bottom w:val="single" w:sz="4" w:space="0" w:color="000000"/>
              <w:right w:val="nil"/>
            </w:tcBorders>
            <w:shd w:val="clear" w:color="auto" w:fill="E6E6E6"/>
            <w:noWrap/>
            <w:vAlign w:val="bottom"/>
            <w:hideMark/>
          </w:tcPr>
          <w:p w14:paraId="19369824" w14:textId="3300154D"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942,285</w:t>
            </w:r>
          </w:p>
        </w:tc>
        <w:tc>
          <w:tcPr>
            <w:tcW w:w="659" w:type="pct"/>
            <w:tcBorders>
              <w:top w:val="single" w:sz="4" w:space="0" w:color="000000"/>
              <w:left w:val="nil"/>
              <w:bottom w:val="single" w:sz="4" w:space="0" w:color="000000"/>
              <w:right w:val="nil"/>
            </w:tcBorders>
            <w:shd w:val="clear" w:color="auto" w:fill="auto"/>
            <w:noWrap/>
            <w:vAlign w:val="bottom"/>
            <w:hideMark/>
          </w:tcPr>
          <w:p w14:paraId="5E776AED" w14:textId="253E0929"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991,256</w:t>
            </w:r>
          </w:p>
        </w:tc>
        <w:tc>
          <w:tcPr>
            <w:tcW w:w="659" w:type="pct"/>
            <w:tcBorders>
              <w:top w:val="single" w:sz="4" w:space="0" w:color="000000"/>
              <w:left w:val="nil"/>
              <w:bottom w:val="single" w:sz="4" w:space="0" w:color="000000"/>
              <w:right w:val="nil"/>
            </w:tcBorders>
            <w:shd w:val="clear" w:color="auto" w:fill="auto"/>
            <w:noWrap/>
            <w:vAlign w:val="bottom"/>
            <w:hideMark/>
          </w:tcPr>
          <w:p w14:paraId="264DFBBD" w14:textId="57F229BB"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994,470</w:t>
            </w:r>
          </w:p>
        </w:tc>
        <w:tc>
          <w:tcPr>
            <w:tcW w:w="659" w:type="pct"/>
            <w:tcBorders>
              <w:top w:val="single" w:sz="4" w:space="0" w:color="000000"/>
              <w:left w:val="nil"/>
              <w:bottom w:val="single" w:sz="4" w:space="0" w:color="000000"/>
              <w:right w:val="nil"/>
            </w:tcBorders>
            <w:shd w:val="clear" w:color="auto" w:fill="auto"/>
            <w:noWrap/>
            <w:vAlign w:val="bottom"/>
            <w:hideMark/>
          </w:tcPr>
          <w:p w14:paraId="18BF3BE2" w14:textId="0037E1D9"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992,508</w:t>
            </w:r>
          </w:p>
        </w:tc>
      </w:tr>
      <w:tr w:rsidR="0089177F" w:rsidRPr="002A338C" w14:paraId="625AC425" w14:textId="77777777" w:rsidTr="005334F2">
        <w:trPr>
          <w:trHeight w:val="204"/>
        </w:trPr>
        <w:tc>
          <w:tcPr>
            <w:tcW w:w="1675" w:type="pct"/>
            <w:tcBorders>
              <w:top w:val="nil"/>
              <w:left w:val="nil"/>
              <w:bottom w:val="nil"/>
              <w:right w:val="nil"/>
            </w:tcBorders>
            <w:shd w:val="clear" w:color="auto" w:fill="auto"/>
            <w:vAlign w:val="bottom"/>
            <w:hideMark/>
          </w:tcPr>
          <w:p w14:paraId="070E5685"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Total assets administered on behalf of Government</w:t>
            </w:r>
          </w:p>
        </w:tc>
        <w:tc>
          <w:tcPr>
            <w:tcW w:w="659" w:type="pct"/>
            <w:tcBorders>
              <w:top w:val="nil"/>
              <w:left w:val="nil"/>
              <w:bottom w:val="single" w:sz="4" w:space="0" w:color="auto"/>
              <w:right w:val="nil"/>
            </w:tcBorders>
            <w:shd w:val="clear" w:color="auto" w:fill="auto"/>
            <w:noWrap/>
            <w:vAlign w:val="bottom"/>
            <w:hideMark/>
          </w:tcPr>
          <w:p w14:paraId="4C19CF9B" w14:textId="7ADFFF6B"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48,847,055</w:t>
            </w:r>
          </w:p>
        </w:tc>
        <w:tc>
          <w:tcPr>
            <w:tcW w:w="690" w:type="pct"/>
            <w:tcBorders>
              <w:top w:val="nil"/>
              <w:left w:val="nil"/>
              <w:bottom w:val="single" w:sz="4" w:space="0" w:color="auto"/>
              <w:right w:val="nil"/>
            </w:tcBorders>
            <w:shd w:val="clear" w:color="auto" w:fill="E6E6E6"/>
            <w:noWrap/>
            <w:vAlign w:val="bottom"/>
            <w:hideMark/>
          </w:tcPr>
          <w:p w14:paraId="153E5C5B" w14:textId="7E56B7E9"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52,636,994</w:t>
            </w:r>
          </w:p>
        </w:tc>
        <w:tc>
          <w:tcPr>
            <w:tcW w:w="659" w:type="pct"/>
            <w:tcBorders>
              <w:top w:val="nil"/>
              <w:left w:val="nil"/>
              <w:bottom w:val="single" w:sz="4" w:space="0" w:color="auto"/>
              <w:right w:val="nil"/>
            </w:tcBorders>
            <w:shd w:val="clear" w:color="auto" w:fill="auto"/>
            <w:noWrap/>
            <w:vAlign w:val="bottom"/>
            <w:hideMark/>
          </w:tcPr>
          <w:p w14:paraId="1469C9E1" w14:textId="5FDA609A"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52,819,086</w:t>
            </w:r>
          </w:p>
        </w:tc>
        <w:tc>
          <w:tcPr>
            <w:tcW w:w="659" w:type="pct"/>
            <w:tcBorders>
              <w:top w:val="nil"/>
              <w:left w:val="nil"/>
              <w:bottom w:val="single" w:sz="4" w:space="0" w:color="auto"/>
              <w:right w:val="nil"/>
            </w:tcBorders>
            <w:shd w:val="clear" w:color="auto" w:fill="auto"/>
            <w:noWrap/>
            <w:vAlign w:val="bottom"/>
            <w:hideMark/>
          </w:tcPr>
          <w:p w14:paraId="397286C5" w14:textId="57B8D0A1"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58,731,053</w:t>
            </w:r>
          </w:p>
        </w:tc>
        <w:tc>
          <w:tcPr>
            <w:tcW w:w="659" w:type="pct"/>
            <w:tcBorders>
              <w:top w:val="nil"/>
              <w:left w:val="nil"/>
              <w:bottom w:val="single" w:sz="4" w:space="0" w:color="auto"/>
              <w:right w:val="nil"/>
            </w:tcBorders>
            <w:shd w:val="clear" w:color="auto" w:fill="auto"/>
            <w:noWrap/>
            <w:vAlign w:val="bottom"/>
            <w:hideMark/>
          </w:tcPr>
          <w:p w14:paraId="79A8F8B9" w14:textId="6828A4C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63,838,432</w:t>
            </w:r>
          </w:p>
        </w:tc>
      </w:tr>
      <w:tr w:rsidR="0089177F" w:rsidRPr="002A338C" w14:paraId="07D5B2F1" w14:textId="77777777" w:rsidTr="005334F2">
        <w:trPr>
          <w:trHeight w:val="204"/>
        </w:trPr>
        <w:tc>
          <w:tcPr>
            <w:tcW w:w="1675" w:type="pct"/>
            <w:tcBorders>
              <w:top w:val="nil"/>
              <w:left w:val="nil"/>
              <w:bottom w:val="nil"/>
              <w:right w:val="nil"/>
            </w:tcBorders>
            <w:shd w:val="clear" w:color="auto" w:fill="auto"/>
            <w:noWrap/>
            <w:vAlign w:val="bottom"/>
            <w:hideMark/>
          </w:tcPr>
          <w:p w14:paraId="4F23B1DB"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LIABILITIES</w:t>
            </w:r>
          </w:p>
        </w:tc>
        <w:tc>
          <w:tcPr>
            <w:tcW w:w="659" w:type="pct"/>
            <w:tcBorders>
              <w:top w:val="nil"/>
              <w:left w:val="nil"/>
              <w:bottom w:val="nil"/>
              <w:right w:val="nil"/>
            </w:tcBorders>
            <w:shd w:val="clear" w:color="auto" w:fill="auto"/>
            <w:noWrap/>
            <w:vAlign w:val="bottom"/>
            <w:hideMark/>
          </w:tcPr>
          <w:p w14:paraId="276B0669" w14:textId="77777777" w:rsidR="0089177F" w:rsidRPr="002A338C" w:rsidRDefault="0089177F" w:rsidP="0089177F">
            <w:pPr>
              <w:spacing w:after="0" w:line="240" w:lineRule="auto"/>
              <w:jc w:val="right"/>
              <w:rPr>
                <w:rFonts w:ascii="Arial" w:hAnsi="Arial" w:cs="Arial"/>
                <w:b/>
                <w:bCs/>
                <w:color w:val="000000"/>
                <w:sz w:val="16"/>
                <w:szCs w:val="16"/>
              </w:rPr>
            </w:pPr>
          </w:p>
        </w:tc>
        <w:tc>
          <w:tcPr>
            <w:tcW w:w="690" w:type="pct"/>
            <w:tcBorders>
              <w:top w:val="nil"/>
              <w:left w:val="nil"/>
              <w:bottom w:val="nil"/>
              <w:right w:val="nil"/>
            </w:tcBorders>
            <w:shd w:val="clear" w:color="auto" w:fill="E6E6E6"/>
            <w:noWrap/>
            <w:vAlign w:val="bottom"/>
            <w:hideMark/>
          </w:tcPr>
          <w:p w14:paraId="4FE1BA8B" w14:textId="7A463C88"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21BE3C84" w14:textId="77777777"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1A245B83" w14:textId="77777777" w:rsidR="0089177F" w:rsidRPr="002A338C" w:rsidRDefault="0089177F" w:rsidP="0089177F">
            <w:pPr>
              <w:spacing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7FD775F8"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26F3A528" w14:textId="77777777" w:rsidTr="005334F2">
        <w:trPr>
          <w:trHeight w:val="204"/>
        </w:trPr>
        <w:tc>
          <w:tcPr>
            <w:tcW w:w="1675" w:type="pct"/>
            <w:tcBorders>
              <w:top w:val="nil"/>
              <w:left w:val="nil"/>
              <w:bottom w:val="nil"/>
              <w:right w:val="nil"/>
            </w:tcBorders>
            <w:shd w:val="clear" w:color="auto" w:fill="auto"/>
            <w:noWrap/>
            <w:vAlign w:val="bottom"/>
            <w:hideMark/>
          </w:tcPr>
          <w:p w14:paraId="2C3E872B" w14:textId="77777777" w:rsidR="0089177F" w:rsidRPr="002A338C" w:rsidRDefault="0089177F" w:rsidP="0089177F">
            <w:pPr>
              <w:spacing w:after="0" w:line="240" w:lineRule="auto"/>
              <w:ind w:firstLineChars="100" w:firstLine="161"/>
              <w:rPr>
                <w:rFonts w:ascii="Arial" w:hAnsi="Arial" w:cs="Arial"/>
                <w:b/>
                <w:bCs/>
                <w:color w:val="000000"/>
                <w:sz w:val="16"/>
                <w:szCs w:val="16"/>
              </w:rPr>
            </w:pPr>
            <w:r w:rsidRPr="002A338C">
              <w:rPr>
                <w:rFonts w:ascii="Arial" w:hAnsi="Arial" w:cs="Arial"/>
                <w:b/>
                <w:bCs/>
                <w:color w:val="000000"/>
                <w:sz w:val="16"/>
                <w:szCs w:val="16"/>
              </w:rPr>
              <w:t>Payables</w:t>
            </w:r>
          </w:p>
        </w:tc>
        <w:tc>
          <w:tcPr>
            <w:tcW w:w="659" w:type="pct"/>
            <w:tcBorders>
              <w:top w:val="nil"/>
              <w:left w:val="nil"/>
              <w:bottom w:val="nil"/>
              <w:right w:val="nil"/>
            </w:tcBorders>
            <w:shd w:val="clear" w:color="auto" w:fill="auto"/>
            <w:noWrap/>
            <w:vAlign w:val="bottom"/>
            <w:hideMark/>
          </w:tcPr>
          <w:p w14:paraId="75D43843" w14:textId="77777777" w:rsidR="0089177F" w:rsidRPr="002A338C" w:rsidRDefault="0089177F" w:rsidP="0089177F">
            <w:pPr>
              <w:spacing w:after="0" w:line="240" w:lineRule="auto"/>
              <w:jc w:val="right"/>
              <w:rPr>
                <w:rFonts w:ascii="Arial" w:hAnsi="Arial" w:cs="Arial"/>
                <w:sz w:val="16"/>
                <w:szCs w:val="16"/>
              </w:rPr>
            </w:pPr>
          </w:p>
        </w:tc>
        <w:tc>
          <w:tcPr>
            <w:tcW w:w="690" w:type="pct"/>
            <w:tcBorders>
              <w:top w:val="nil"/>
              <w:left w:val="nil"/>
              <w:bottom w:val="nil"/>
              <w:right w:val="nil"/>
            </w:tcBorders>
            <w:shd w:val="clear" w:color="auto" w:fill="E6E6E6"/>
            <w:noWrap/>
            <w:vAlign w:val="bottom"/>
            <w:hideMark/>
          </w:tcPr>
          <w:p w14:paraId="697F52A8" w14:textId="738D303A"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5492DBA9" w14:textId="77777777"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2101BA10" w14:textId="77777777" w:rsidR="0089177F" w:rsidRPr="002A338C" w:rsidRDefault="0089177F" w:rsidP="0089177F">
            <w:pPr>
              <w:spacing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5A4BBF38"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70AD42CB" w14:textId="77777777" w:rsidTr="005334F2">
        <w:trPr>
          <w:trHeight w:val="204"/>
        </w:trPr>
        <w:tc>
          <w:tcPr>
            <w:tcW w:w="1675" w:type="pct"/>
            <w:tcBorders>
              <w:top w:val="nil"/>
              <w:left w:val="nil"/>
              <w:bottom w:val="nil"/>
              <w:right w:val="nil"/>
            </w:tcBorders>
            <w:shd w:val="clear" w:color="auto" w:fill="auto"/>
            <w:noWrap/>
            <w:vAlign w:val="bottom"/>
            <w:hideMark/>
          </w:tcPr>
          <w:p w14:paraId="6C13B2E4"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Suppliers</w:t>
            </w:r>
          </w:p>
        </w:tc>
        <w:tc>
          <w:tcPr>
            <w:tcW w:w="659" w:type="pct"/>
            <w:tcBorders>
              <w:top w:val="nil"/>
              <w:left w:val="nil"/>
              <w:bottom w:val="nil"/>
              <w:right w:val="nil"/>
            </w:tcBorders>
            <w:shd w:val="clear" w:color="auto" w:fill="auto"/>
            <w:noWrap/>
            <w:vAlign w:val="bottom"/>
            <w:hideMark/>
          </w:tcPr>
          <w:p w14:paraId="4AC2B9FB" w14:textId="0A8026F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338,561</w:t>
            </w:r>
          </w:p>
        </w:tc>
        <w:tc>
          <w:tcPr>
            <w:tcW w:w="690" w:type="pct"/>
            <w:tcBorders>
              <w:top w:val="nil"/>
              <w:left w:val="nil"/>
              <w:bottom w:val="nil"/>
              <w:right w:val="nil"/>
            </w:tcBorders>
            <w:shd w:val="clear" w:color="auto" w:fill="E6E6E6"/>
            <w:noWrap/>
            <w:vAlign w:val="bottom"/>
            <w:hideMark/>
          </w:tcPr>
          <w:p w14:paraId="2B65B46B" w14:textId="7163C258"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272,749</w:t>
            </w:r>
          </w:p>
        </w:tc>
        <w:tc>
          <w:tcPr>
            <w:tcW w:w="659" w:type="pct"/>
            <w:tcBorders>
              <w:top w:val="nil"/>
              <w:left w:val="nil"/>
              <w:bottom w:val="nil"/>
              <w:right w:val="nil"/>
            </w:tcBorders>
            <w:shd w:val="clear" w:color="auto" w:fill="auto"/>
            <w:noWrap/>
            <w:vAlign w:val="bottom"/>
            <w:hideMark/>
          </w:tcPr>
          <w:p w14:paraId="77C7255D" w14:textId="1B23AA6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408,815</w:t>
            </w:r>
          </w:p>
        </w:tc>
        <w:tc>
          <w:tcPr>
            <w:tcW w:w="659" w:type="pct"/>
            <w:tcBorders>
              <w:top w:val="nil"/>
              <w:left w:val="nil"/>
              <w:bottom w:val="nil"/>
              <w:right w:val="nil"/>
            </w:tcBorders>
            <w:shd w:val="clear" w:color="auto" w:fill="auto"/>
            <w:noWrap/>
            <w:vAlign w:val="bottom"/>
            <w:hideMark/>
          </w:tcPr>
          <w:p w14:paraId="2DF15F57" w14:textId="424CCB6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327,323</w:t>
            </w:r>
          </w:p>
        </w:tc>
        <w:tc>
          <w:tcPr>
            <w:tcW w:w="659" w:type="pct"/>
            <w:tcBorders>
              <w:top w:val="nil"/>
              <w:left w:val="nil"/>
              <w:bottom w:val="nil"/>
              <w:right w:val="nil"/>
            </w:tcBorders>
            <w:shd w:val="clear" w:color="auto" w:fill="auto"/>
            <w:noWrap/>
            <w:vAlign w:val="bottom"/>
            <w:hideMark/>
          </w:tcPr>
          <w:p w14:paraId="1FE35E81" w14:textId="1724A2D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289,762</w:t>
            </w:r>
          </w:p>
        </w:tc>
      </w:tr>
      <w:tr w:rsidR="0089177F" w:rsidRPr="002A338C" w14:paraId="780F7E74" w14:textId="77777777" w:rsidTr="005334F2">
        <w:trPr>
          <w:trHeight w:val="204"/>
        </w:trPr>
        <w:tc>
          <w:tcPr>
            <w:tcW w:w="1675" w:type="pct"/>
            <w:tcBorders>
              <w:top w:val="nil"/>
              <w:left w:val="nil"/>
              <w:bottom w:val="nil"/>
              <w:right w:val="nil"/>
            </w:tcBorders>
            <w:shd w:val="clear" w:color="auto" w:fill="auto"/>
            <w:noWrap/>
            <w:vAlign w:val="bottom"/>
            <w:hideMark/>
          </w:tcPr>
          <w:p w14:paraId="41E84DF9"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Subsidies</w:t>
            </w:r>
          </w:p>
        </w:tc>
        <w:tc>
          <w:tcPr>
            <w:tcW w:w="659" w:type="pct"/>
            <w:tcBorders>
              <w:top w:val="nil"/>
              <w:left w:val="nil"/>
              <w:bottom w:val="nil"/>
              <w:right w:val="nil"/>
            </w:tcBorders>
            <w:shd w:val="clear" w:color="auto" w:fill="auto"/>
            <w:noWrap/>
            <w:vAlign w:val="bottom"/>
            <w:hideMark/>
          </w:tcPr>
          <w:p w14:paraId="0804166A" w14:textId="7387B2D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44,675</w:t>
            </w:r>
          </w:p>
        </w:tc>
        <w:tc>
          <w:tcPr>
            <w:tcW w:w="690" w:type="pct"/>
            <w:tcBorders>
              <w:top w:val="nil"/>
              <w:left w:val="nil"/>
              <w:bottom w:val="nil"/>
              <w:right w:val="nil"/>
            </w:tcBorders>
            <w:shd w:val="clear" w:color="auto" w:fill="E6E6E6"/>
            <w:noWrap/>
            <w:vAlign w:val="bottom"/>
            <w:hideMark/>
          </w:tcPr>
          <w:p w14:paraId="1FDC8287" w14:textId="37E5172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38,573</w:t>
            </w:r>
          </w:p>
        </w:tc>
        <w:tc>
          <w:tcPr>
            <w:tcW w:w="659" w:type="pct"/>
            <w:tcBorders>
              <w:top w:val="nil"/>
              <w:left w:val="nil"/>
              <w:bottom w:val="nil"/>
              <w:right w:val="nil"/>
            </w:tcBorders>
            <w:shd w:val="clear" w:color="auto" w:fill="auto"/>
            <w:noWrap/>
            <w:vAlign w:val="bottom"/>
            <w:hideMark/>
          </w:tcPr>
          <w:p w14:paraId="69883A59" w14:textId="6AB5473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39,744</w:t>
            </w:r>
          </w:p>
        </w:tc>
        <w:tc>
          <w:tcPr>
            <w:tcW w:w="659" w:type="pct"/>
            <w:tcBorders>
              <w:top w:val="nil"/>
              <w:left w:val="nil"/>
              <w:bottom w:val="nil"/>
              <w:right w:val="nil"/>
            </w:tcBorders>
            <w:shd w:val="clear" w:color="auto" w:fill="auto"/>
            <w:noWrap/>
            <w:vAlign w:val="bottom"/>
            <w:hideMark/>
          </w:tcPr>
          <w:p w14:paraId="2A336936" w14:textId="47792CD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40,387</w:t>
            </w:r>
          </w:p>
        </w:tc>
        <w:tc>
          <w:tcPr>
            <w:tcW w:w="659" w:type="pct"/>
            <w:tcBorders>
              <w:top w:val="nil"/>
              <w:left w:val="nil"/>
              <w:bottom w:val="nil"/>
              <w:right w:val="nil"/>
            </w:tcBorders>
            <w:shd w:val="clear" w:color="auto" w:fill="auto"/>
            <w:noWrap/>
            <w:vAlign w:val="bottom"/>
            <w:hideMark/>
          </w:tcPr>
          <w:p w14:paraId="11580048" w14:textId="0EB93E19"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42,545</w:t>
            </w:r>
          </w:p>
        </w:tc>
      </w:tr>
      <w:tr w:rsidR="0089177F" w:rsidRPr="002A338C" w14:paraId="400D2AC1" w14:textId="77777777" w:rsidTr="005334F2">
        <w:trPr>
          <w:trHeight w:val="204"/>
        </w:trPr>
        <w:tc>
          <w:tcPr>
            <w:tcW w:w="1675" w:type="pct"/>
            <w:tcBorders>
              <w:top w:val="nil"/>
              <w:left w:val="nil"/>
              <w:bottom w:val="nil"/>
              <w:right w:val="nil"/>
            </w:tcBorders>
            <w:shd w:val="clear" w:color="auto" w:fill="auto"/>
            <w:noWrap/>
            <w:vAlign w:val="bottom"/>
            <w:hideMark/>
          </w:tcPr>
          <w:p w14:paraId="0573201B"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Grants</w:t>
            </w:r>
          </w:p>
        </w:tc>
        <w:tc>
          <w:tcPr>
            <w:tcW w:w="659" w:type="pct"/>
            <w:tcBorders>
              <w:top w:val="nil"/>
              <w:left w:val="nil"/>
              <w:bottom w:val="nil"/>
              <w:right w:val="nil"/>
            </w:tcBorders>
            <w:shd w:val="clear" w:color="auto" w:fill="auto"/>
            <w:noWrap/>
            <w:vAlign w:val="bottom"/>
            <w:hideMark/>
          </w:tcPr>
          <w:p w14:paraId="2CA357F1" w14:textId="738FF555"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145,219</w:t>
            </w:r>
          </w:p>
        </w:tc>
        <w:tc>
          <w:tcPr>
            <w:tcW w:w="690" w:type="pct"/>
            <w:tcBorders>
              <w:top w:val="nil"/>
              <w:left w:val="nil"/>
              <w:bottom w:val="nil"/>
              <w:right w:val="nil"/>
            </w:tcBorders>
            <w:shd w:val="clear" w:color="auto" w:fill="E6E6E6"/>
            <w:noWrap/>
            <w:vAlign w:val="bottom"/>
            <w:hideMark/>
          </w:tcPr>
          <w:p w14:paraId="117191DE" w14:textId="74C3BD2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147,657</w:t>
            </w:r>
          </w:p>
        </w:tc>
        <w:tc>
          <w:tcPr>
            <w:tcW w:w="659" w:type="pct"/>
            <w:tcBorders>
              <w:top w:val="nil"/>
              <w:left w:val="nil"/>
              <w:bottom w:val="nil"/>
              <w:right w:val="nil"/>
            </w:tcBorders>
            <w:shd w:val="clear" w:color="auto" w:fill="auto"/>
            <w:noWrap/>
            <w:vAlign w:val="bottom"/>
            <w:hideMark/>
          </w:tcPr>
          <w:p w14:paraId="4CF5B8E8" w14:textId="143D7EE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148,613</w:t>
            </w:r>
          </w:p>
        </w:tc>
        <w:tc>
          <w:tcPr>
            <w:tcW w:w="659" w:type="pct"/>
            <w:tcBorders>
              <w:top w:val="nil"/>
              <w:left w:val="nil"/>
              <w:bottom w:val="nil"/>
              <w:right w:val="nil"/>
            </w:tcBorders>
            <w:shd w:val="clear" w:color="auto" w:fill="auto"/>
            <w:noWrap/>
            <w:vAlign w:val="bottom"/>
            <w:hideMark/>
          </w:tcPr>
          <w:p w14:paraId="09C36C29" w14:textId="163B359F"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146,243</w:t>
            </w:r>
          </w:p>
        </w:tc>
        <w:tc>
          <w:tcPr>
            <w:tcW w:w="659" w:type="pct"/>
            <w:tcBorders>
              <w:top w:val="nil"/>
              <w:left w:val="nil"/>
              <w:bottom w:val="nil"/>
              <w:right w:val="nil"/>
            </w:tcBorders>
            <w:shd w:val="clear" w:color="auto" w:fill="auto"/>
            <w:noWrap/>
            <w:vAlign w:val="bottom"/>
            <w:hideMark/>
          </w:tcPr>
          <w:p w14:paraId="29190623" w14:textId="7884E15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146,293</w:t>
            </w:r>
          </w:p>
        </w:tc>
      </w:tr>
      <w:tr w:rsidR="0089177F" w:rsidRPr="002A338C" w14:paraId="71152EBB" w14:textId="77777777" w:rsidTr="005334F2">
        <w:trPr>
          <w:trHeight w:val="204"/>
        </w:trPr>
        <w:tc>
          <w:tcPr>
            <w:tcW w:w="1675" w:type="pct"/>
            <w:tcBorders>
              <w:top w:val="nil"/>
              <w:left w:val="nil"/>
              <w:bottom w:val="nil"/>
              <w:right w:val="nil"/>
            </w:tcBorders>
            <w:shd w:val="clear" w:color="auto" w:fill="auto"/>
            <w:noWrap/>
            <w:vAlign w:val="bottom"/>
            <w:hideMark/>
          </w:tcPr>
          <w:p w14:paraId="542E173D"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Other payables</w:t>
            </w:r>
          </w:p>
        </w:tc>
        <w:tc>
          <w:tcPr>
            <w:tcW w:w="659" w:type="pct"/>
            <w:tcBorders>
              <w:top w:val="nil"/>
              <w:left w:val="nil"/>
              <w:bottom w:val="nil"/>
              <w:right w:val="nil"/>
            </w:tcBorders>
            <w:shd w:val="clear" w:color="auto" w:fill="auto"/>
            <w:noWrap/>
            <w:vAlign w:val="bottom"/>
            <w:hideMark/>
          </w:tcPr>
          <w:p w14:paraId="073E52EF" w14:textId="1CC5928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358,762</w:t>
            </w:r>
          </w:p>
        </w:tc>
        <w:tc>
          <w:tcPr>
            <w:tcW w:w="690" w:type="pct"/>
            <w:tcBorders>
              <w:top w:val="nil"/>
              <w:left w:val="nil"/>
              <w:bottom w:val="nil"/>
              <w:right w:val="nil"/>
            </w:tcBorders>
            <w:shd w:val="clear" w:color="auto" w:fill="E6E6E6"/>
            <w:noWrap/>
            <w:vAlign w:val="bottom"/>
            <w:hideMark/>
          </w:tcPr>
          <w:p w14:paraId="7D005125" w14:textId="62925F3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377,686</w:t>
            </w:r>
          </w:p>
        </w:tc>
        <w:tc>
          <w:tcPr>
            <w:tcW w:w="659" w:type="pct"/>
            <w:tcBorders>
              <w:top w:val="nil"/>
              <w:left w:val="nil"/>
              <w:bottom w:val="nil"/>
              <w:right w:val="nil"/>
            </w:tcBorders>
            <w:shd w:val="clear" w:color="auto" w:fill="auto"/>
            <w:noWrap/>
            <w:vAlign w:val="bottom"/>
            <w:hideMark/>
          </w:tcPr>
          <w:p w14:paraId="1035ECBC" w14:textId="245BA097"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333,269</w:t>
            </w:r>
          </w:p>
        </w:tc>
        <w:tc>
          <w:tcPr>
            <w:tcW w:w="659" w:type="pct"/>
            <w:tcBorders>
              <w:top w:val="nil"/>
              <w:left w:val="nil"/>
              <w:bottom w:val="nil"/>
              <w:right w:val="nil"/>
            </w:tcBorders>
            <w:shd w:val="clear" w:color="auto" w:fill="auto"/>
            <w:noWrap/>
            <w:vAlign w:val="bottom"/>
            <w:hideMark/>
          </w:tcPr>
          <w:p w14:paraId="7FC7982C" w14:textId="6A2C9200"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270,107</w:t>
            </w:r>
          </w:p>
        </w:tc>
        <w:tc>
          <w:tcPr>
            <w:tcW w:w="659" w:type="pct"/>
            <w:tcBorders>
              <w:top w:val="nil"/>
              <w:left w:val="nil"/>
              <w:bottom w:val="nil"/>
              <w:right w:val="nil"/>
            </w:tcBorders>
            <w:shd w:val="clear" w:color="auto" w:fill="auto"/>
            <w:noWrap/>
            <w:vAlign w:val="bottom"/>
            <w:hideMark/>
          </w:tcPr>
          <w:p w14:paraId="2725D2D0" w14:textId="4AE9FF5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124,146</w:t>
            </w:r>
          </w:p>
        </w:tc>
      </w:tr>
      <w:tr w:rsidR="0089177F" w:rsidRPr="002A338C" w14:paraId="20CA7D32" w14:textId="77777777" w:rsidTr="005334F2">
        <w:trPr>
          <w:trHeight w:val="204"/>
        </w:trPr>
        <w:tc>
          <w:tcPr>
            <w:tcW w:w="1675" w:type="pct"/>
            <w:tcBorders>
              <w:top w:val="nil"/>
              <w:left w:val="nil"/>
              <w:bottom w:val="nil"/>
              <w:right w:val="nil"/>
            </w:tcBorders>
            <w:shd w:val="clear" w:color="auto" w:fill="auto"/>
            <w:noWrap/>
            <w:vAlign w:val="bottom"/>
            <w:hideMark/>
          </w:tcPr>
          <w:p w14:paraId="54AEAC7A" w14:textId="77777777" w:rsidR="0089177F" w:rsidRPr="002A338C" w:rsidRDefault="0089177F" w:rsidP="0089177F">
            <w:pPr>
              <w:spacing w:after="0" w:line="240" w:lineRule="auto"/>
              <w:ind w:firstLineChars="100" w:firstLine="161"/>
              <w:rPr>
                <w:rFonts w:ascii="Arial" w:hAnsi="Arial" w:cs="Arial"/>
                <w:b/>
                <w:bCs/>
                <w:i/>
                <w:iCs/>
                <w:color w:val="000000"/>
                <w:sz w:val="16"/>
                <w:szCs w:val="16"/>
              </w:rPr>
            </w:pPr>
            <w:r w:rsidRPr="002A338C">
              <w:rPr>
                <w:rFonts w:ascii="Arial" w:hAnsi="Arial" w:cs="Arial"/>
                <w:b/>
                <w:bCs/>
                <w:i/>
                <w:iCs/>
                <w:color w:val="000000"/>
                <w:sz w:val="16"/>
                <w:szCs w:val="16"/>
              </w:rPr>
              <w:t>Total payables</w:t>
            </w:r>
          </w:p>
        </w:tc>
        <w:tc>
          <w:tcPr>
            <w:tcW w:w="659" w:type="pct"/>
            <w:tcBorders>
              <w:top w:val="single" w:sz="4" w:space="0" w:color="000000"/>
              <w:left w:val="nil"/>
              <w:bottom w:val="single" w:sz="4" w:space="0" w:color="000000"/>
              <w:right w:val="nil"/>
            </w:tcBorders>
            <w:shd w:val="clear" w:color="auto" w:fill="auto"/>
            <w:noWrap/>
            <w:vAlign w:val="bottom"/>
            <w:hideMark/>
          </w:tcPr>
          <w:p w14:paraId="4C1B9791" w14:textId="0DF57151"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887,217</w:t>
            </w:r>
          </w:p>
        </w:tc>
        <w:tc>
          <w:tcPr>
            <w:tcW w:w="690" w:type="pct"/>
            <w:tcBorders>
              <w:top w:val="single" w:sz="4" w:space="0" w:color="000000"/>
              <w:left w:val="nil"/>
              <w:bottom w:val="single" w:sz="4" w:space="0" w:color="000000"/>
              <w:right w:val="nil"/>
            </w:tcBorders>
            <w:shd w:val="clear" w:color="auto" w:fill="E6E6E6"/>
            <w:noWrap/>
            <w:vAlign w:val="bottom"/>
            <w:hideMark/>
          </w:tcPr>
          <w:p w14:paraId="599267F2" w14:textId="1C08F98F"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836,665</w:t>
            </w:r>
          </w:p>
        </w:tc>
        <w:tc>
          <w:tcPr>
            <w:tcW w:w="659" w:type="pct"/>
            <w:tcBorders>
              <w:top w:val="single" w:sz="4" w:space="0" w:color="000000"/>
              <w:left w:val="nil"/>
              <w:bottom w:val="single" w:sz="4" w:space="0" w:color="000000"/>
              <w:right w:val="nil"/>
            </w:tcBorders>
            <w:shd w:val="clear" w:color="auto" w:fill="auto"/>
            <w:noWrap/>
            <w:vAlign w:val="bottom"/>
            <w:hideMark/>
          </w:tcPr>
          <w:p w14:paraId="60AA99AF" w14:textId="1F5AA138"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930,441</w:t>
            </w:r>
          </w:p>
        </w:tc>
        <w:tc>
          <w:tcPr>
            <w:tcW w:w="659" w:type="pct"/>
            <w:tcBorders>
              <w:top w:val="single" w:sz="4" w:space="0" w:color="000000"/>
              <w:left w:val="nil"/>
              <w:bottom w:val="single" w:sz="4" w:space="0" w:color="000000"/>
              <w:right w:val="nil"/>
            </w:tcBorders>
            <w:shd w:val="clear" w:color="auto" w:fill="auto"/>
            <w:noWrap/>
            <w:vAlign w:val="bottom"/>
            <w:hideMark/>
          </w:tcPr>
          <w:p w14:paraId="0BD6C890" w14:textId="72E792A5"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784,060</w:t>
            </w:r>
          </w:p>
        </w:tc>
        <w:tc>
          <w:tcPr>
            <w:tcW w:w="659" w:type="pct"/>
            <w:tcBorders>
              <w:top w:val="single" w:sz="4" w:space="0" w:color="000000"/>
              <w:left w:val="nil"/>
              <w:bottom w:val="single" w:sz="4" w:space="0" w:color="000000"/>
              <w:right w:val="nil"/>
            </w:tcBorders>
            <w:shd w:val="clear" w:color="auto" w:fill="auto"/>
            <w:noWrap/>
            <w:vAlign w:val="bottom"/>
            <w:hideMark/>
          </w:tcPr>
          <w:p w14:paraId="49D8E4B3" w14:textId="38F1B1B6"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602,746</w:t>
            </w:r>
          </w:p>
        </w:tc>
      </w:tr>
      <w:tr w:rsidR="0089177F" w:rsidRPr="002A338C" w14:paraId="2AA33855" w14:textId="77777777" w:rsidTr="005334F2">
        <w:trPr>
          <w:trHeight w:val="204"/>
        </w:trPr>
        <w:tc>
          <w:tcPr>
            <w:tcW w:w="1675" w:type="pct"/>
            <w:tcBorders>
              <w:top w:val="nil"/>
              <w:left w:val="nil"/>
              <w:bottom w:val="nil"/>
              <w:right w:val="nil"/>
            </w:tcBorders>
            <w:shd w:val="clear" w:color="auto" w:fill="auto"/>
            <w:noWrap/>
            <w:vAlign w:val="bottom"/>
            <w:hideMark/>
          </w:tcPr>
          <w:p w14:paraId="1331BCA9" w14:textId="77777777" w:rsidR="0089177F" w:rsidRPr="002A338C" w:rsidRDefault="0089177F" w:rsidP="0089177F">
            <w:pPr>
              <w:spacing w:after="0" w:line="240" w:lineRule="auto"/>
              <w:ind w:firstLineChars="100" w:firstLine="161"/>
              <w:rPr>
                <w:rFonts w:ascii="Arial" w:hAnsi="Arial" w:cs="Arial"/>
                <w:b/>
                <w:bCs/>
                <w:color w:val="000000"/>
                <w:sz w:val="16"/>
                <w:szCs w:val="16"/>
              </w:rPr>
            </w:pPr>
            <w:r w:rsidRPr="002A338C">
              <w:rPr>
                <w:rFonts w:ascii="Arial" w:hAnsi="Arial" w:cs="Arial"/>
                <w:b/>
                <w:bCs/>
                <w:color w:val="000000"/>
                <w:sz w:val="16"/>
                <w:szCs w:val="16"/>
              </w:rPr>
              <w:t>Provisions</w:t>
            </w:r>
          </w:p>
        </w:tc>
        <w:tc>
          <w:tcPr>
            <w:tcW w:w="659" w:type="pct"/>
            <w:tcBorders>
              <w:top w:val="nil"/>
              <w:left w:val="nil"/>
              <w:bottom w:val="nil"/>
              <w:right w:val="nil"/>
            </w:tcBorders>
            <w:shd w:val="clear" w:color="auto" w:fill="auto"/>
            <w:noWrap/>
            <w:vAlign w:val="bottom"/>
            <w:hideMark/>
          </w:tcPr>
          <w:p w14:paraId="761F5C88" w14:textId="77777777" w:rsidR="0089177F" w:rsidRPr="002A338C" w:rsidRDefault="0089177F" w:rsidP="0089177F">
            <w:pPr>
              <w:spacing w:after="0" w:line="240" w:lineRule="auto"/>
              <w:jc w:val="right"/>
              <w:rPr>
                <w:rFonts w:ascii="Arial" w:hAnsi="Arial" w:cs="Arial"/>
                <w:b/>
                <w:bCs/>
                <w:i/>
                <w:iCs/>
                <w:color w:val="000000"/>
                <w:sz w:val="16"/>
                <w:szCs w:val="16"/>
              </w:rPr>
            </w:pPr>
          </w:p>
        </w:tc>
        <w:tc>
          <w:tcPr>
            <w:tcW w:w="690" w:type="pct"/>
            <w:tcBorders>
              <w:top w:val="nil"/>
              <w:left w:val="nil"/>
              <w:bottom w:val="nil"/>
              <w:right w:val="nil"/>
            </w:tcBorders>
            <w:shd w:val="clear" w:color="auto" w:fill="E6E6E6"/>
            <w:noWrap/>
            <w:vAlign w:val="bottom"/>
            <w:hideMark/>
          </w:tcPr>
          <w:p w14:paraId="2C2DD601" w14:textId="2B3B7101"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75779CEE" w14:textId="77777777" w:rsidR="0089177F" w:rsidRPr="002A338C" w:rsidRDefault="0089177F" w:rsidP="0089177F">
            <w:pPr>
              <w:spacing w:after="0" w:line="240" w:lineRule="auto"/>
              <w:jc w:val="right"/>
              <w:rPr>
                <w:rFonts w:ascii="Arial" w:hAnsi="Arial" w:cs="Arial"/>
                <w:color w:val="000000"/>
                <w:sz w:val="16"/>
                <w:szCs w:val="16"/>
              </w:rPr>
            </w:pPr>
          </w:p>
        </w:tc>
        <w:tc>
          <w:tcPr>
            <w:tcW w:w="659" w:type="pct"/>
            <w:tcBorders>
              <w:top w:val="nil"/>
              <w:left w:val="nil"/>
              <w:bottom w:val="nil"/>
              <w:right w:val="nil"/>
            </w:tcBorders>
            <w:shd w:val="clear" w:color="auto" w:fill="auto"/>
            <w:noWrap/>
            <w:vAlign w:val="bottom"/>
            <w:hideMark/>
          </w:tcPr>
          <w:p w14:paraId="08CC5BFD" w14:textId="77777777" w:rsidR="0089177F" w:rsidRPr="002A338C" w:rsidRDefault="0089177F" w:rsidP="0089177F">
            <w:pPr>
              <w:spacing w:after="0" w:line="240" w:lineRule="auto"/>
              <w:jc w:val="right"/>
              <w:rPr>
                <w:rFonts w:ascii="Arial" w:hAnsi="Arial" w:cs="Arial"/>
                <w:sz w:val="16"/>
                <w:szCs w:val="16"/>
              </w:rPr>
            </w:pPr>
          </w:p>
        </w:tc>
        <w:tc>
          <w:tcPr>
            <w:tcW w:w="659" w:type="pct"/>
            <w:tcBorders>
              <w:top w:val="nil"/>
              <w:left w:val="nil"/>
              <w:bottom w:val="nil"/>
              <w:right w:val="nil"/>
            </w:tcBorders>
            <w:shd w:val="clear" w:color="auto" w:fill="auto"/>
            <w:noWrap/>
            <w:vAlign w:val="bottom"/>
            <w:hideMark/>
          </w:tcPr>
          <w:p w14:paraId="22F1A066" w14:textId="77777777" w:rsidR="0089177F" w:rsidRPr="002A338C" w:rsidRDefault="0089177F" w:rsidP="0089177F">
            <w:pPr>
              <w:spacing w:after="0" w:line="240" w:lineRule="auto"/>
              <w:jc w:val="right"/>
              <w:rPr>
                <w:rFonts w:ascii="Arial" w:hAnsi="Arial" w:cs="Arial"/>
                <w:sz w:val="16"/>
                <w:szCs w:val="16"/>
              </w:rPr>
            </w:pPr>
          </w:p>
        </w:tc>
      </w:tr>
      <w:tr w:rsidR="0089177F" w:rsidRPr="002A338C" w14:paraId="06236751" w14:textId="77777777" w:rsidTr="005334F2">
        <w:trPr>
          <w:trHeight w:val="204"/>
        </w:trPr>
        <w:tc>
          <w:tcPr>
            <w:tcW w:w="1675" w:type="pct"/>
            <w:tcBorders>
              <w:top w:val="nil"/>
              <w:left w:val="nil"/>
              <w:bottom w:val="nil"/>
              <w:right w:val="nil"/>
            </w:tcBorders>
            <w:shd w:val="clear" w:color="auto" w:fill="auto"/>
            <w:noWrap/>
            <w:vAlign w:val="bottom"/>
            <w:hideMark/>
          </w:tcPr>
          <w:p w14:paraId="52B4CF19"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Employee provisions</w:t>
            </w:r>
          </w:p>
        </w:tc>
        <w:tc>
          <w:tcPr>
            <w:tcW w:w="659" w:type="pct"/>
            <w:tcBorders>
              <w:top w:val="nil"/>
              <w:left w:val="nil"/>
              <w:bottom w:val="nil"/>
              <w:right w:val="nil"/>
            </w:tcBorders>
            <w:shd w:val="clear" w:color="auto" w:fill="auto"/>
            <w:noWrap/>
            <w:vAlign w:val="bottom"/>
            <w:hideMark/>
          </w:tcPr>
          <w:p w14:paraId="7D79D116" w14:textId="226AFDB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3,900</w:t>
            </w:r>
          </w:p>
        </w:tc>
        <w:tc>
          <w:tcPr>
            <w:tcW w:w="690" w:type="pct"/>
            <w:tcBorders>
              <w:top w:val="nil"/>
              <w:left w:val="nil"/>
              <w:bottom w:val="nil"/>
              <w:right w:val="nil"/>
            </w:tcBorders>
            <w:shd w:val="clear" w:color="auto" w:fill="E6E6E6"/>
            <w:noWrap/>
            <w:vAlign w:val="bottom"/>
            <w:hideMark/>
          </w:tcPr>
          <w:p w14:paraId="4557457C" w14:textId="7D935054"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4,242</w:t>
            </w:r>
          </w:p>
        </w:tc>
        <w:tc>
          <w:tcPr>
            <w:tcW w:w="659" w:type="pct"/>
            <w:tcBorders>
              <w:top w:val="nil"/>
              <w:left w:val="nil"/>
              <w:bottom w:val="nil"/>
              <w:right w:val="nil"/>
            </w:tcBorders>
            <w:shd w:val="clear" w:color="auto" w:fill="auto"/>
            <w:noWrap/>
            <w:vAlign w:val="bottom"/>
            <w:hideMark/>
          </w:tcPr>
          <w:p w14:paraId="40116FB4" w14:textId="177DAF56"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4,285</w:t>
            </w:r>
          </w:p>
        </w:tc>
        <w:tc>
          <w:tcPr>
            <w:tcW w:w="659" w:type="pct"/>
            <w:tcBorders>
              <w:top w:val="nil"/>
              <w:left w:val="nil"/>
              <w:bottom w:val="nil"/>
              <w:right w:val="nil"/>
            </w:tcBorders>
            <w:shd w:val="clear" w:color="auto" w:fill="auto"/>
            <w:noWrap/>
            <w:vAlign w:val="bottom"/>
            <w:hideMark/>
          </w:tcPr>
          <w:p w14:paraId="77F71511" w14:textId="4BBC43C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4,078</w:t>
            </w:r>
          </w:p>
        </w:tc>
        <w:tc>
          <w:tcPr>
            <w:tcW w:w="659" w:type="pct"/>
            <w:tcBorders>
              <w:top w:val="nil"/>
              <w:left w:val="nil"/>
              <w:bottom w:val="nil"/>
              <w:right w:val="nil"/>
            </w:tcBorders>
            <w:shd w:val="clear" w:color="auto" w:fill="auto"/>
            <w:noWrap/>
            <w:vAlign w:val="bottom"/>
            <w:hideMark/>
          </w:tcPr>
          <w:p w14:paraId="5CF034B8" w14:textId="10819C8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4,223</w:t>
            </w:r>
          </w:p>
        </w:tc>
      </w:tr>
      <w:tr w:rsidR="0089177F" w:rsidRPr="002A338C" w14:paraId="32582BB0" w14:textId="77777777" w:rsidTr="005334F2">
        <w:trPr>
          <w:trHeight w:val="204"/>
        </w:trPr>
        <w:tc>
          <w:tcPr>
            <w:tcW w:w="1675" w:type="pct"/>
            <w:tcBorders>
              <w:top w:val="nil"/>
              <w:left w:val="nil"/>
              <w:bottom w:val="nil"/>
              <w:right w:val="nil"/>
            </w:tcBorders>
            <w:shd w:val="clear" w:color="auto" w:fill="auto"/>
            <w:noWrap/>
            <w:vAlign w:val="bottom"/>
            <w:hideMark/>
          </w:tcPr>
          <w:p w14:paraId="173F3431" w14:textId="77777777" w:rsidR="0089177F" w:rsidRPr="002A338C" w:rsidRDefault="0089177F" w:rsidP="0089177F">
            <w:pPr>
              <w:spacing w:after="0" w:line="240" w:lineRule="auto"/>
              <w:ind w:left="227"/>
              <w:rPr>
                <w:rFonts w:ascii="Arial" w:hAnsi="Arial" w:cs="Arial"/>
                <w:color w:val="000000"/>
                <w:sz w:val="16"/>
                <w:szCs w:val="16"/>
              </w:rPr>
            </w:pPr>
            <w:r w:rsidRPr="002A338C">
              <w:rPr>
                <w:rFonts w:ascii="Arial" w:hAnsi="Arial" w:cs="Arial"/>
                <w:color w:val="000000"/>
                <w:sz w:val="16"/>
                <w:szCs w:val="16"/>
              </w:rPr>
              <w:t>Other provisions</w:t>
            </w:r>
          </w:p>
        </w:tc>
        <w:tc>
          <w:tcPr>
            <w:tcW w:w="659" w:type="pct"/>
            <w:tcBorders>
              <w:top w:val="nil"/>
              <w:left w:val="nil"/>
              <w:bottom w:val="nil"/>
              <w:right w:val="nil"/>
            </w:tcBorders>
            <w:shd w:val="clear" w:color="auto" w:fill="auto"/>
            <w:noWrap/>
            <w:vAlign w:val="bottom"/>
            <w:hideMark/>
          </w:tcPr>
          <w:p w14:paraId="6EC20441" w14:textId="575E184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730,196</w:t>
            </w:r>
          </w:p>
        </w:tc>
        <w:tc>
          <w:tcPr>
            <w:tcW w:w="690" w:type="pct"/>
            <w:tcBorders>
              <w:top w:val="nil"/>
              <w:left w:val="nil"/>
              <w:bottom w:val="nil"/>
              <w:right w:val="nil"/>
            </w:tcBorders>
            <w:shd w:val="clear" w:color="auto" w:fill="E6E6E6"/>
            <w:noWrap/>
            <w:vAlign w:val="bottom"/>
            <w:hideMark/>
          </w:tcPr>
          <w:p w14:paraId="242A2441" w14:textId="4FD6D2C2"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767,772</w:t>
            </w:r>
          </w:p>
        </w:tc>
        <w:tc>
          <w:tcPr>
            <w:tcW w:w="659" w:type="pct"/>
            <w:tcBorders>
              <w:top w:val="nil"/>
              <w:left w:val="nil"/>
              <w:bottom w:val="nil"/>
              <w:right w:val="nil"/>
            </w:tcBorders>
            <w:shd w:val="clear" w:color="auto" w:fill="auto"/>
            <w:noWrap/>
            <w:vAlign w:val="bottom"/>
            <w:hideMark/>
          </w:tcPr>
          <w:p w14:paraId="7FBDA827" w14:textId="7F602A53"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798,268</w:t>
            </w:r>
          </w:p>
        </w:tc>
        <w:tc>
          <w:tcPr>
            <w:tcW w:w="659" w:type="pct"/>
            <w:tcBorders>
              <w:top w:val="nil"/>
              <w:left w:val="nil"/>
              <w:bottom w:val="nil"/>
              <w:right w:val="nil"/>
            </w:tcBorders>
            <w:shd w:val="clear" w:color="auto" w:fill="auto"/>
            <w:noWrap/>
            <w:vAlign w:val="bottom"/>
            <w:hideMark/>
          </w:tcPr>
          <w:p w14:paraId="29E8D881" w14:textId="2744A7CB"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829,598</w:t>
            </w:r>
          </w:p>
        </w:tc>
        <w:tc>
          <w:tcPr>
            <w:tcW w:w="659" w:type="pct"/>
            <w:tcBorders>
              <w:top w:val="nil"/>
              <w:left w:val="nil"/>
              <w:bottom w:val="nil"/>
              <w:right w:val="nil"/>
            </w:tcBorders>
            <w:shd w:val="clear" w:color="auto" w:fill="auto"/>
            <w:noWrap/>
            <w:vAlign w:val="bottom"/>
            <w:hideMark/>
          </w:tcPr>
          <w:p w14:paraId="64C69BE9" w14:textId="0FE5D11E" w:rsidR="0089177F" w:rsidRPr="002A338C" w:rsidRDefault="0089177F" w:rsidP="0089177F">
            <w:pPr>
              <w:spacing w:after="0" w:line="240" w:lineRule="auto"/>
              <w:jc w:val="right"/>
              <w:rPr>
                <w:rFonts w:ascii="Arial" w:hAnsi="Arial" w:cs="Arial"/>
                <w:color w:val="000000"/>
                <w:sz w:val="16"/>
                <w:szCs w:val="16"/>
              </w:rPr>
            </w:pPr>
            <w:r>
              <w:rPr>
                <w:rFonts w:ascii="Arial" w:hAnsi="Arial" w:cs="Arial"/>
                <w:color w:val="000000"/>
                <w:sz w:val="16"/>
                <w:szCs w:val="16"/>
              </w:rPr>
              <w:t>884,662</w:t>
            </w:r>
          </w:p>
        </w:tc>
      </w:tr>
      <w:tr w:rsidR="0089177F" w:rsidRPr="002A338C" w14:paraId="7B4088F1" w14:textId="77777777" w:rsidTr="005334F2">
        <w:trPr>
          <w:trHeight w:val="204"/>
        </w:trPr>
        <w:tc>
          <w:tcPr>
            <w:tcW w:w="1675" w:type="pct"/>
            <w:tcBorders>
              <w:top w:val="nil"/>
              <w:left w:val="nil"/>
              <w:bottom w:val="nil"/>
              <w:right w:val="nil"/>
            </w:tcBorders>
            <w:shd w:val="clear" w:color="auto" w:fill="auto"/>
            <w:noWrap/>
            <w:vAlign w:val="bottom"/>
            <w:hideMark/>
          </w:tcPr>
          <w:p w14:paraId="7B90C3F1" w14:textId="77777777" w:rsidR="0089177F" w:rsidRPr="002A338C" w:rsidRDefault="0089177F" w:rsidP="0089177F">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Total provisions</w:t>
            </w:r>
          </w:p>
        </w:tc>
        <w:tc>
          <w:tcPr>
            <w:tcW w:w="659" w:type="pct"/>
            <w:tcBorders>
              <w:top w:val="single" w:sz="4" w:space="0" w:color="000000"/>
              <w:left w:val="nil"/>
              <w:bottom w:val="single" w:sz="4" w:space="0" w:color="000000"/>
              <w:right w:val="nil"/>
            </w:tcBorders>
            <w:shd w:val="clear" w:color="auto" w:fill="auto"/>
            <w:noWrap/>
            <w:vAlign w:val="bottom"/>
            <w:hideMark/>
          </w:tcPr>
          <w:p w14:paraId="7BB9FFEA" w14:textId="7E94327A"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734,096</w:t>
            </w:r>
          </w:p>
        </w:tc>
        <w:tc>
          <w:tcPr>
            <w:tcW w:w="690" w:type="pct"/>
            <w:tcBorders>
              <w:top w:val="single" w:sz="4" w:space="0" w:color="000000"/>
              <w:left w:val="nil"/>
              <w:bottom w:val="single" w:sz="4" w:space="0" w:color="000000"/>
              <w:right w:val="nil"/>
            </w:tcBorders>
            <w:shd w:val="clear" w:color="auto" w:fill="E6E6E6"/>
            <w:noWrap/>
            <w:vAlign w:val="bottom"/>
            <w:hideMark/>
          </w:tcPr>
          <w:p w14:paraId="299BAE84" w14:textId="16617692"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772,014</w:t>
            </w:r>
          </w:p>
        </w:tc>
        <w:tc>
          <w:tcPr>
            <w:tcW w:w="659" w:type="pct"/>
            <w:tcBorders>
              <w:top w:val="single" w:sz="4" w:space="0" w:color="000000"/>
              <w:left w:val="nil"/>
              <w:bottom w:val="single" w:sz="4" w:space="0" w:color="000000"/>
              <w:right w:val="nil"/>
            </w:tcBorders>
            <w:shd w:val="clear" w:color="auto" w:fill="auto"/>
            <w:noWrap/>
            <w:vAlign w:val="bottom"/>
            <w:hideMark/>
          </w:tcPr>
          <w:p w14:paraId="5482D731" w14:textId="340E8972"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802,553</w:t>
            </w:r>
          </w:p>
        </w:tc>
        <w:tc>
          <w:tcPr>
            <w:tcW w:w="659" w:type="pct"/>
            <w:tcBorders>
              <w:top w:val="single" w:sz="4" w:space="0" w:color="000000"/>
              <w:left w:val="nil"/>
              <w:bottom w:val="single" w:sz="4" w:space="0" w:color="000000"/>
              <w:right w:val="nil"/>
            </w:tcBorders>
            <w:shd w:val="clear" w:color="auto" w:fill="auto"/>
            <w:noWrap/>
            <w:vAlign w:val="bottom"/>
            <w:hideMark/>
          </w:tcPr>
          <w:p w14:paraId="3A865974" w14:textId="2CBB9C0E"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833,676</w:t>
            </w:r>
          </w:p>
        </w:tc>
        <w:tc>
          <w:tcPr>
            <w:tcW w:w="659" w:type="pct"/>
            <w:tcBorders>
              <w:top w:val="single" w:sz="4" w:space="0" w:color="000000"/>
              <w:left w:val="nil"/>
              <w:bottom w:val="single" w:sz="4" w:space="0" w:color="000000"/>
              <w:right w:val="nil"/>
            </w:tcBorders>
            <w:shd w:val="clear" w:color="auto" w:fill="auto"/>
            <w:noWrap/>
            <w:vAlign w:val="bottom"/>
            <w:hideMark/>
          </w:tcPr>
          <w:p w14:paraId="4F228B22" w14:textId="345E7D0F" w:rsidR="0089177F" w:rsidRPr="002A338C" w:rsidRDefault="0089177F" w:rsidP="0089177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888,885</w:t>
            </w:r>
          </w:p>
        </w:tc>
      </w:tr>
      <w:tr w:rsidR="0089177F" w:rsidRPr="002A338C" w14:paraId="0C17D054" w14:textId="77777777" w:rsidTr="005334F2">
        <w:trPr>
          <w:trHeight w:val="204"/>
        </w:trPr>
        <w:tc>
          <w:tcPr>
            <w:tcW w:w="1675" w:type="pct"/>
            <w:tcBorders>
              <w:top w:val="nil"/>
              <w:left w:val="nil"/>
              <w:bottom w:val="nil"/>
              <w:right w:val="nil"/>
            </w:tcBorders>
            <w:shd w:val="clear" w:color="auto" w:fill="auto"/>
            <w:vAlign w:val="bottom"/>
            <w:hideMark/>
          </w:tcPr>
          <w:p w14:paraId="75D26D79"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Total liabilities administered on behalf of Government</w:t>
            </w:r>
          </w:p>
        </w:tc>
        <w:tc>
          <w:tcPr>
            <w:tcW w:w="659" w:type="pct"/>
            <w:tcBorders>
              <w:top w:val="nil"/>
              <w:left w:val="nil"/>
              <w:bottom w:val="single" w:sz="4" w:space="0" w:color="000000"/>
              <w:right w:val="nil"/>
            </w:tcBorders>
            <w:shd w:val="clear" w:color="auto" w:fill="auto"/>
            <w:noWrap/>
            <w:vAlign w:val="bottom"/>
            <w:hideMark/>
          </w:tcPr>
          <w:p w14:paraId="24BEB8C3" w14:textId="27F0763A"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1,621,313</w:t>
            </w:r>
          </w:p>
        </w:tc>
        <w:tc>
          <w:tcPr>
            <w:tcW w:w="690" w:type="pct"/>
            <w:tcBorders>
              <w:top w:val="nil"/>
              <w:left w:val="nil"/>
              <w:bottom w:val="single" w:sz="4" w:space="0" w:color="000000"/>
              <w:right w:val="nil"/>
            </w:tcBorders>
            <w:shd w:val="clear" w:color="auto" w:fill="E6E6E6"/>
            <w:noWrap/>
            <w:vAlign w:val="bottom"/>
            <w:hideMark/>
          </w:tcPr>
          <w:p w14:paraId="43C2E9C8" w14:textId="4EF45760"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1,608,679</w:t>
            </w:r>
          </w:p>
        </w:tc>
        <w:tc>
          <w:tcPr>
            <w:tcW w:w="659" w:type="pct"/>
            <w:tcBorders>
              <w:top w:val="nil"/>
              <w:left w:val="nil"/>
              <w:bottom w:val="single" w:sz="4" w:space="0" w:color="000000"/>
              <w:right w:val="nil"/>
            </w:tcBorders>
            <w:shd w:val="clear" w:color="auto" w:fill="auto"/>
            <w:noWrap/>
            <w:vAlign w:val="bottom"/>
            <w:hideMark/>
          </w:tcPr>
          <w:p w14:paraId="278F6870" w14:textId="0EC8E295"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1,732,994</w:t>
            </w:r>
          </w:p>
        </w:tc>
        <w:tc>
          <w:tcPr>
            <w:tcW w:w="659" w:type="pct"/>
            <w:tcBorders>
              <w:top w:val="nil"/>
              <w:left w:val="nil"/>
              <w:bottom w:val="single" w:sz="4" w:space="0" w:color="000000"/>
              <w:right w:val="nil"/>
            </w:tcBorders>
            <w:shd w:val="clear" w:color="auto" w:fill="auto"/>
            <w:noWrap/>
            <w:vAlign w:val="bottom"/>
            <w:hideMark/>
          </w:tcPr>
          <w:p w14:paraId="43A64ECE" w14:textId="4BA92666"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1,617,736</w:t>
            </w:r>
          </w:p>
        </w:tc>
        <w:tc>
          <w:tcPr>
            <w:tcW w:w="659" w:type="pct"/>
            <w:tcBorders>
              <w:top w:val="nil"/>
              <w:left w:val="nil"/>
              <w:bottom w:val="single" w:sz="4" w:space="0" w:color="000000"/>
              <w:right w:val="nil"/>
            </w:tcBorders>
            <w:shd w:val="clear" w:color="auto" w:fill="auto"/>
            <w:noWrap/>
            <w:vAlign w:val="bottom"/>
            <w:hideMark/>
          </w:tcPr>
          <w:p w14:paraId="5E29FE90" w14:textId="333300B4"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1,491,631</w:t>
            </w:r>
          </w:p>
        </w:tc>
      </w:tr>
      <w:tr w:rsidR="0089177F" w:rsidRPr="002A338C" w14:paraId="39FFF8B1" w14:textId="77777777" w:rsidTr="005334F2">
        <w:trPr>
          <w:trHeight w:val="204"/>
        </w:trPr>
        <w:tc>
          <w:tcPr>
            <w:tcW w:w="1675" w:type="pct"/>
            <w:tcBorders>
              <w:top w:val="nil"/>
              <w:left w:val="nil"/>
              <w:bottom w:val="single" w:sz="4" w:space="0" w:color="000000"/>
              <w:right w:val="nil"/>
            </w:tcBorders>
            <w:shd w:val="clear" w:color="auto" w:fill="auto"/>
            <w:noWrap/>
            <w:vAlign w:val="bottom"/>
            <w:hideMark/>
          </w:tcPr>
          <w:p w14:paraId="089FDD38" w14:textId="77777777" w:rsidR="0089177F" w:rsidRPr="002A338C" w:rsidRDefault="0089177F" w:rsidP="0089177F">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Net assets/(liabilities)</w:t>
            </w:r>
          </w:p>
        </w:tc>
        <w:tc>
          <w:tcPr>
            <w:tcW w:w="659" w:type="pct"/>
            <w:tcBorders>
              <w:top w:val="nil"/>
              <w:left w:val="nil"/>
              <w:bottom w:val="single" w:sz="4" w:space="0" w:color="000000"/>
              <w:right w:val="nil"/>
            </w:tcBorders>
            <w:shd w:val="clear" w:color="auto" w:fill="auto"/>
            <w:noWrap/>
            <w:vAlign w:val="bottom"/>
            <w:hideMark/>
          </w:tcPr>
          <w:p w14:paraId="77F65162" w14:textId="46AED793"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47,225,742</w:t>
            </w:r>
          </w:p>
        </w:tc>
        <w:tc>
          <w:tcPr>
            <w:tcW w:w="690" w:type="pct"/>
            <w:tcBorders>
              <w:top w:val="nil"/>
              <w:left w:val="nil"/>
              <w:bottom w:val="single" w:sz="4" w:space="0" w:color="000000"/>
              <w:right w:val="nil"/>
            </w:tcBorders>
            <w:shd w:val="clear" w:color="auto" w:fill="E6E6E6"/>
            <w:noWrap/>
            <w:vAlign w:val="bottom"/>
            <w:hideMark/>
          </w:tcPr>
          <w:p w14:paraId="3F9D049A" w14:textId="3C91089B" w:rsidR="0089177F" w:rsidRPr="0089177F" w:rsidRDefault="0089177F" w:rsidP="0089177F">
            <w:pPr>
              <w:spacing w:after="0" w:line="240" w:lineRule="auto"/>
              <w:jc w:val="right"/>
              <w:rPr>
                <w:rFonts w:ascii="Arial" w:hAnsi="Arial" w:cs="Arial"/>
                <w:b/>
                <w:bCs/>
                <w:iCs/>
                <w:color w:val="000000"/>
                <w:sz w:val="16"/>
                <w:szCs w:val="16"/>
              </w:rPr>
            </w:pPr>
            <w:r w:rsidRPr="0089177F">
              <w:rPr>
                <w:rFonts w:ascii="Arial" w:hAnsi="Arial" w:cs="Arial"/>
                <w:b/>
                <w:bCs/>
                <w:iCs/>
                <w:color w:val="000000"/>
                <w:sz w:val="16"/>
                <w:szCs w:val="16"/>
              </w:rPr>
              <w:t>51,028,315</w:t>
            </w:r>
          </w:p>
        </w:tc>
        <w:tc>
          <w:tcPr>
            <w:tcW w:w="659" w:type="pct"/>
            <w:tcBorders>
              <w:top w:val="nil"/>
              <w:left w:val="nil"/>
              <w:bottom w:val="single" w:sz="4" w:space="0" w:color="000000"/>
              <w:right w:val="nil"/>
            </w:tcBorders>
            <w:shd w:val="clear" w:color="auto" w:fill="auto"/>
            <w:noWrap/>
            <w:vAlign w:val="bottom"/>
            <w:hideMark/>
          </w:tcPr>
          <w:p w14:paraId="05C66649" w14:textId="2303F2DC"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51,086,092</w:t>
            </w:r>
          </w:p>
        </w:tc>
        <w:tc>
          <w:tcPr>
            <w:tcW w:w="659" w:type="pct"/>
            <w:tcBorders>
              <w:top w:val="nil"/>
              <w:left w:val="nil"/>
              <w:bottom w:val="single" w:sz="4" w:space="0" w:color="000000"/>
              <w:right w:val="nil"/>
            </w:tcBorders>
            <w:shd w:val="clear" w:color="auto" w:fill="auto"/>
            <w:noWrap/>
            <w:vAlign w:val="bottom"/>
            <w:hideMark/>
          </w:tcPr>
          <w:p w14:paraId="274EA5EF" w14:textId="69889F83"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57,113,317</w:t>
            </w:r>
          </w:p>
        </w:tc>
        <w:tc>
          <w:tcPr>
            <w:tcW w:w="659" w:type="pct"/>
            <w:tcBorders>
              <w:top w:val="nil"/>
              <w:left w:val="nil"/>
              <w:bottom w:val="single" w:sz="4" w:space="0" w:color="000000"/>
              <w:right w:val="nil"/>
            </w:tcBorders>
            <w:shd w:val="clear" w:color="auto" w:fill="auto"/>
            <w:noWrap/>
            <w:vAlign w:val="bottom"/>
            <w:hideMark/>
          </w:tcPr>
          <w:p w14:paraId="0F408A22" w14:textId="395C4A45" w:rsidR="0089177F" w:rsidRPr="002A338C" w:rsidRDefault="0089177F" w:rsidP="0089177F">
            <w:pPr>
              <w:spacing w:after="0" w:line="240" w:lineRule="auto"/>
              <w:jc w:val="right"/>
              <w:rPr>
                <w:rFonts w:ascii="Arial" w:hAnsi="Arial" w:cs="Arial"/>
                <w:b/>
                <w:bCs/>
                <w:color w:val="000000"/>
                <w:sz w:val="16"/>
                <w:szCs w:val="16"/>
              </w:rPr>
            </w:pPr>
            <w:r>
              <w:rPr>
                <w:rFonts w:ascii="Arial" w:hAnsi="Arial" w:cs="Arial"/>
                <w:b/>
                <w:bCs/>
                <w:color w:val="000000"/>
                <w:sz w:val="16"/>
                <w:szCs w:val="16"/>
              </w:rPr>
              <w:t>62,346,801</w:t>
            </w:r>
          </w:p>
        </w:tc>
      </w:tr>
    </w:tbl>
    <w:p w14:paraId="2BF47CF0" w14:textId="77777777" w:rsidR="00115843" w:rsidRDefault="00115843" w:rsidP="00115843">
      <w:pPr>
        <w:pStyle w:val="TableHeadingcontinued"/>
        <w:spacing w:before="60"/>
      </w:pPr>
      <w:r w:rsidRPr="002B65A3">
        <w:rPr>
          <w:rFonts w:ascii="Arial" w:hAnsi="Arial" w:cs="Arial"/>
          <w:b w:val="0"/>
          <w:sz w:val="16"/>
          <w:lang w:val="x-none" w:eastAsia="x-none"/>
        </w:rPr>
        <w:t>Prepared on Australian Accounting Standards basis.</w:t>
      </w:r>
      <w:r w:rsidRPr="002B65A3">
        <w:br w:type="page"/>
      </w:r>
      <w:bookmarkStart w:id="50" w:name="OLE_LINK1"/>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5000" w:type="pct"/>
        <w:tblLook w:val="04A0" w:firstRow="1" w:lastRow="0" w:firstColumn="1" w:lastColumn="0" w:noHBand="0" w:noVBand="1"/>
      </w:tblPr>
      <w:tblGrid>
        <w:gridCol w:w="2423"/>
        <w:gridCol w:w="1125"/>
        <w:gridCol w:w="1035"/>
        <w:gridCol w:w="1045"/>
        <w:gridCol w:w="1047"/>
        <w:gridCol w:w="1035"/>
      </w:tblGrid>
      <w:tr w:rsidR="00115843" w:rsidRPr="0013747E" w14:paraId="00021F42" w14:textId="77777777" w:rsidTr="005334F2">
        <w:trPr>
          <w:trHeight w:val="204"/>
        </w:trPr>
        <w:tc>
          <w:tcPr>
            <w:tcW w:w="1571" w:type="pct"/>
            <w:tcBorders>
              <w:top w:val="single" w:sz="4" w:space="0" w:color="auto"/>
              <w:left w:val="nil"/>
              <w:bottom w:val="nil"/>
              <w:right w:val="nil"/>
            </w:tcBorders>
            <w:shd w:val="clear" w:color="auto" w:fill="auto"/>
            <w:noWrap/>
            <w:vAlign w:val="bottom"/>
            <w:hideMark/>
          </w:tcPr>
          <w:p w14:paraId="5D69C679" w14:textId="77777777" w:rsidR="00115843" w:rsidRPr="0013747E" w:rsidRDefault="00115843" w:rsidP="00FB0D02">
            <w:pPr>
              <w:spacing w:after="0" w:line="240" w:lineRule="auto"/>
              <w:rPr>
                <w:rFonts w:ascii="Arial" w:hAnsi="Arial" w:cs="Arial"/>
                <w:b/>
                <w:bCs/>
                <w:sz w:val="16"/>
                <w:szCs w:val="16"/>
              </w:rPr>
            </w:pPr>
            <w:r w:rsidRPr="0013747E">
              <w:rPr>
                <w:rFonts w:ascii="Arial" w:hAnsi="Arial" w:cs="Arial"/>
                <w:b/>
                <w:bCs/>
                <w:sz w:val="16"/>
                <w:szCs w:val="16"/>
              </w:rPr>
              <w:t> </w:t>
            </w:r>
          </w:p>
        </w:tc>
        <w:tc>
          <w:tcPr>
            <w:tcW w:w="729" w:type="pct"/>
            <w:tcBorders>
              <w:top w:val="single" w:sz="4" w:space="0" w:color="auto"/>
              <w:left w:val="nil"/>
              <w:bottom w:val="single" w:sz="4" w:space="0" w:color="auto"/>
              <w:right w:val="nil"/>
            </w:tcBorders>
            <w:shd w:val="clear" w:color="auto" w:fill="auto"/>
            <w:vAlign w:val="bottom"/>
            <w:hideMark/>
          </w:tcPr>
          <w:p w14:paraId="3DEFEE24" w14:textId="77777777" w:rsidR="00115843" w:rsidRPr="0013747E" w:rsidRDefault="00115843" w:rsidP="00FB0D02">
            <w:pPr>
              <w:spacing w:after="0" w:line="240" w:lineRule="auto"/>
              <w:jc w:val="right"/>
              <w:rPr>
                <w:rFonts w:ascii="Arial" w:hAnsi="Arial" w:cs="Arial"/>
                <w:sz w:val="16"/>
                <w:szCs w:val="16"/>
              </w:rPr>
            </w:pPr>
            <w:r w:rsidRPr="0013747E">
              <w:rPr>
                <w:rFonts w:ascii="Arial" w:hAnsi="Arial" w:cs="Arial"/>
                <w:sz w:val="16"/>
                <w:szCs w:val="16"/>
              </w:rPr>
              <w:t>2021-22</w:t>
            </w:r>
            <w:r w:rsidRPr="0013747E">
              <w:rPr>
                <w:rFonts w:ascii="Arial" w:hAnsi="Arial" w:cs="Arial"/>
                <w:sz w:val="16"/>
                <w:szCs w:val="16"/>
              </w:rPr>
              <w:br/>
              <w:t>Estimated actual</w:t>
            </w:r>
            <w:r w:rsidRPr="0013747E">
              <w:rPr>
                <w:rFonts w:ascii="Arial" w:hAnsi="Arial" w:cs="Arial"/>
                <w:sz w:val="16"/>
                <w:szCs w:val="16"/>
              </w:rPr>
              <w:br/>
              <w:t>$'000</w:t>
            </w:r>
          </w:p>
        </w:tc>
        <w:tc>
          <w:tcPr>
            <w:tcW w:w="671" w:type="pct"/>
            <w:tcBorders>
              <w:top w:val="single" w:sz="4" w:space="0" w:color="auto"/>
              <w:left w:val="nil"/>
              <w:bottom w:val="single" w:sz="4" w:space="0" w:color="auto"/>
              <w:right w:val="nil"/>
            </w:tcBorders>
            <w:shd w:val="clear" w:color="auto" w:fill="E6E6E6"/>
            <w:vAlign w:val="bottom"/>
            <w:hideMark/>
          </w:tcPr>
          <w:p w14:paraId="388FC148" w14:textId="77777777" w:rsidR="00115843" w:rsidRPr="0013747E" w:rsidRDefault="00115843" w:rsidP="00FB0D02">
            <w:pPr>
              <w:spacing w:after="0" w:line="240" w:lineRule="auto"/>
              <w:jc w:val="right"/>
              <w:rPr>
                <w:rFonts w:ascii="Arial" w:hAnsi="Arial" w:cs="Arial"/>
                <w:sz w:val="16"/>
                <w:szCs w:val="16"/>
              </w:rPr>
            </w:pPr>
            <w:r w:rsidRPr="0013747E">
              <w:rPr>
                <w:rFonts w:ascii="Arial" w:hAnsi="Arial" w:cs="Arial"/>
                <w:sz w:val="16"/>
                <w:szCs w:val="16"/>
              </w:rPr>
              <w:t>2022-23</w:t>
            </w:r>
            <w:r w:rsidRPr="0013747E">
              <w:rPr>
                <w:rFonts w:ascii="Arial" w:hAnsi="Arial" w:cs="Arial"/>
                <w:sz w:val="16"/>
                <w:szCs w:val="16"/>
              </w:rPr>
              <w:br/>
              <w:t>Budget</w:t>
            </w:r>
            <w:r w:rsidRPr="0013747E">
              <w:rPr>
                <w:rFonts w:ascii="Arial" w:hAnsi="Arial" w:cs="Arial"/>
                <w:sz w:val="16"/>
                <w:szCs w:val="16"/>
              </w:rPr>
              <w:br/>
            </w:r>
            <w:r w:rsidRPr="0013747E">
              <w:rPr>
                <w:rFonts w:ascii="Arial" w:hAnsi="Arial" w:cs="Arial"/>
                <w:sz w:val="16"/>
                <w:szCs w:val="16"/>
              </w:rPr>
              <w:br/>
              <w:t>$'000</w:t>
            </w:r>
          </w:p>
        </w:tc>
        <w:tc>
          <w:tcPr>
            <w:tcW w:w="678" w:type="pct"/>
            <w:tcBorders>
              <w:top w:val="single" w:sz="4" w:space="0" w:color="auto"/>
              <w:left w:val="nil"/>
              <w:bottom w:val="single" w:sz="4" w:space="0" w:color="auto"/>
              <w:right w:val="nil"/>
            </w:tcBorders>
            <w:shd w:val="clear" w:color="auto" w:fill="auto"/>
            <w:vAlign w:val="bottom"/>
            <w:hideMark/>
          </w:tcPr>
          <w:p w14:paraId="7DF6B7B3" w14:textId="77777777" w:rsidR="00115843" w:rsidRPr="0013747E" w:rsidRDefault="00115843" w:rsidP="00FB0D02">
            <w:pPr>
              <w:spacing w:after="0" w:line="240" w:lineRule="auto"/>
              <w:jc w:val="right"/>
              <w:rPr>
                <w:rFonts w:ascii="Arial" w:hAnsi="Arial" w:cs="Arial"/>
                <w:sz w:val="16"/>
                <w:szCs w:val="16"/>
              </w:rPr>
            </w:pPr>
            <w:r w:rsidRPr="0013747E">
              <w:rPr>
                <w:rFonts w:ascii="Arial" w:hAnsi="Arial" w:cs="Arial"/>
                <w:sz w:val="16"/>
                <w:szCs w:val="16"/>
              </w:rPr>
              <w:t>2023-24</w:t>
            </w:r>
            <w:r w:rsidRPr="0013747E">
              <w:rPr>
                <w:rFonts w:ascii="Arial" w:hAnsi="Arial" w:cs="Arial"/>
                <w:sz w:val="16"/>
                <w:szCs w:val="16"/>
              </w:rPr>
              <w:br/>
              <w:t>Forward estimate</w:t>
            </w:r>
            <w:r w:rsidRPr="0013747E">
              <w:rPr>
                <w:rFonts w:ascii="Arial" w:hAnsi="Arial" w:cs="Arial"/>
                <w:sz w:val="16"/>
                <w:szCs w:val="16"/>
              </w:rPr>
              <w:br/>
              <w:t>$'000</w:t>
            </w:r>
          </w:p>
        </w:tc>
        <w:tc>
          <w:tcPr>
            <w:tcW w:w="679" w:type="pct"/>
            <w:tcBorders>
              <w:top w:val="single" w:sz="4" w:space="0" w:color="auto"/>
              <w:left w:val="nil"/>
              <w:bottom w:val="single" w:sz="4" w:space="0" w:color="auto"/>
              <w:right w:val="nil"/>
            </w:tcBorders>
            <w:shd w:val="clear" w:color="auto" w:fill="auto"/>
            <w:vAlign w:val="bottom"/>
            <w:hideMark/>
          </w:tcPr>
          <w:p w14:paraId="7CF25857" w14:textId="77777777" w:rsidR="00115843" w:rsidRPr="0013747E" w:rsidRDefault="00115843" w:rsidP="00FB0D02">
            <w:pPr>
              <w:spacing w:after="0" w:line="240" w:lineRule="auto"/>
              <w:jc w:val="right"/>
              <w:rPr>
                <w:rFonts w:ascii="Arial" w:hAnsi="Arial" w:cs="Arial"/>
                <w:sz w:val="16"/>
                <w:szCs w:val="16"/>
              </w:rPr>
            </w:pPr>
            <w:r w:rsidRPr="0013747E">
              <w:rPr>
                <w:rFonts w:ascii="Arial" w:hAnsi="Arial" w:cs="Arial"/>
                <w:sz w:val="16"/>
                <w:szCs w:val="16"/>
              </w:rPr>
              <w:t>2024-25</w:t>
            </w:r>
            <w:r w:rsidRPr="0013747E">
              <w:rPr>
                <w:rFonts w:ascii="Arial" w:hAnsi="Arial" w:cs="Arial"/>
                <w:sz w:val="16"/>
                <w:szCs w:val="16"/>
              </w:rPr>
              <w:br/>
              <w:t>Forward estimate</w:t>
            </w:r>
            <w:r w:rsidRPr="0013747E">
              <w:rPr>
                <w:rFonts w:ascii="Arial" w:hAnsi="Arial" w:cs="Arial"/>
                <w:sz w:val="16"/>
                <w:szCs w:val="16"/>
              </w:rPr>
              <w:br/>
              <w:t>$'000</w:t>
            </w:r>
          </w:p>
        </w:tc>
        <w:tc>
          <w:tcPr>
            <w:tcW w:w="671" w:type="pct"/>
            <w:tcBorders>
              <w:top w:val="single" w:sz="4" w:space="0" w:color="auto"/>
              <w:left w:val="nil"/>
              <w:bottom w:val="single" w:sz="4" w:space="0" w:color="auto"/>
              <w:right w:val="nil"/>
            </w:tcBorders>
            <w:shd w:val="clear" w:color="auto" w:fill="auto"/>
            <w:vAlign w:val="bottom"/>
            <w:hideMark/>
          </w:tcPr>
          <w:p w14:paraId="78340DCB" w14:textId="77777777" w:rsidR="00115843" w:rsidRPr="0013747E" w:rsidRDefault="00115843" w:rsidP="00FB0D02">
            <w:pPr>
              <w:spacing w:after="0" w:line="240" w:lineRule="auto"/>
              <w:jc w:val="right"/>
              <w:rPr>
                <w:rFonts w:ascii="Arial" w:hAnsi="Arial" w:cs="Arial"/>
                <w:sz w:val="16"/>
                <w:szCs w:val="16"/>
              </w:rPr>
            </w:pPr>
            <w:r w:rsidRPr="0013747E">
              <w:rPr>
                <w:rFonts w:ascii="Arial" w:hAnsi="Arial" w:cs="Arial"/>
                <w:sz w:val="16"/>
                <w:szCs w:val="16"/>
              </w:rPr>
              <w:t>2025-26</w:t>
            </w:r>
            <w:r w:rsidRPr="0013747E">
              <w:rPr>
                <w:rFonts w:ascii="Arial" w:hAnsi="Arial" w:cs="Arial"/>
                <w:sz w:val="16"/>
                <w:szCs w:val="16"/>
              </w:rPr>
              <w:br/>
              <w:t>Forward estimate</w:t>
            </w:r>
            <w:r w:rsidRPr="0013747E">
              <w:rPr>
                <w:rFonts w:ascii="Arial" w:hAnsi="Arial" w:cs="Arial"/>
                <w:sz w:val="16"/>
                <w:szCs w:val="16"/>
              </w:rPr>
              <w:br/>
              <w:t>$'000</w:t>
            </w:r>
          </w:p>
        </w:tc>
      </w:tr>
      <w:tr w:rsidR="00115843" w:rsidRPr="0013747E" w14:paraId="202061DA" w14:textId="77777777" w:rsidTr="005334F2">
        <w:trPr>
          <w:trHeight w:val="204"/>
        </w:trPr>
        <w:tc>
          <w:tcPr>
            <w:tcW w:w="1571" w:type="pct"/>
            <w:tcBorders>
              <w:top w:val="nil"/>
              <w:left w:val="nil"/>
              <w:bottom w:val="nil"/>
              <w:right w:val="nil"/>
            </w:tcBorders>
            <w:shd w:val="clear" w:color="auto" w:fill="auto"/>
            <w:noWrap/>
            <w:vAlign w:val="bottom"/>
            <w:hideMark/>
          </w:tcPr>
          <w:p w14:paraId="6C75D9DA" w14:textId="77777777" w:rsidR="00115843" w:rsidRPr="0013747E" w:rsidRDefault="00115843" w:rsidP="00FB0D02">
            <w:pPr>
              <w:spacing w:after="0" w:line="240" w:lineRule="auto"/>
              <w:rPr>
                <w:rFonts w:ascii="Arial" w:hAnsi="Arial" w:cs="Arial"/>
                <w:b/>
                <w:bCs/>
                <w:color w:val="000000"/>
                <w:sz w:val="16"/>
                <w:szCs w:val="16"/>
              </w:rPr>
            </w:pPr>
            <w:r w:rsidRPr="0013747E">
              <w:rPr>
                <w:rFonts w:ascii="Arial" w:hAnsi="Arial" w:cs="Arial"/>
                <w:b/>
                <w:bCs/>
                <w:color w:val="000000"/>
                <w:sz w:val="16"/>
                <w:szCs w:val="16"/>
              </w:rPr>
              <w:t>OPERATING ACTIVITIES</w:t>
            </w:r>
          </w:p>
        </w:tc>
        <w:tc>
          <w:tcPr>
            <w:tcW w:w="729" w:type="pct"/>
            <w:tcBorders>
              <w:top w:val="nil"/>
              <w:left w:val="nil"/>
              <w:bottom w:val="nil"/>
              <w:right w:val="nil"/>
            </w:tcBorders>
            <w:shd w:val="clear" w:color="auto" w:fill="auto"/>
            <w:noWrap/>
            <w:vAlign w:val="bottom"/>
            <w:hideMark/>
          </w:tcPr>
          <w:p w14:paraId="003366DA" w14:textId="77777777" w:rsidR="00115843" w:rsidRPr="0013747E" w:rsidRDefault="00115843" w:rsidP="00FB0D02">
            <w:pPr>
              <w:spacing w:after="0" w:line="240" w:lineRule="auto"/>
              <w:jc w:val="right"/>
              <w:rPr>
                <w:rFonts w:ascii="Arial" w:hAnsi="Arial" w:cs="Arial"/>
                <w:b/>
                <w:bCs/>
                <w:color w:val="000000"/>
                <w:sz w:val="16"/>
                <w:szCs w:val="16"/>
              </w:rPr>
            </w:pPr>
          </w:p>
        </w:tc>
        <w:tc>
          <w:tcPr>
            <w:tcW w:w="671" w:type="pct"/>
            <w:tcBorders>
              <w:top w:val="nil"/>
              <w:left w:val="nil"/>
              <w:bottom w:val="nil"/>
              <w:right w:val="nil"/>
            </w:tcBorders>
            <w:shd w:val="clear" w:color="auto" w:fill="E6E6E6"/>
            <w:noWrap/>
            <w:vAlign w:val="bottom"/>
            <w:hideMark/>
          </w:tcPr>
          <w:p w14:paraId="4EFD74C3" w14:textId="77777777" w:rsidR="00115843" w:rsidRPr="0013747E" w:rsidRDefault="00115843" w:rsidP="00FB0D02">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6C754630" w14:textId="77777777" w:rsidR="00115843" w:rsidRPr="0013747E" w:rsidRDefault="00115843" w:rsidP="00FB0D02">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6A12967F" w14:textId="77777777" w:rsidR="00115843" w:rsidRPr="0013747E" w:rsidRDefault="00115843" w:rsidP="00FB0D02">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6624781A" w14:textId="77777777" w:rsidR="00115843" w:rsidRPr="0013747E" w:rsidRDefault="00115843" w:rsidP="00FB0D02">
            <w:pPr>
              <w:spacing w:after="0" w:line="240" w:lineRule="auto"/>
              <w:jc w:val="right"/>
              <w:rPr>
                <w:rFonts w:ascii="Times New Roman" w:hAnsi="Times New Roman"/>
              </w:rPr>
            </w:pPr>
          </w:p>
        </w:tc>
      </w:tr>
      <w:tr w:rsidR="00115843" w:rsidRPr="0013747E" w14:paraId="24A91B8E" w14:textId="77777777" w:rsidTr="005334F2">
        <w:trPr>
          <w:trHeight w:val="204"/>
        </w:trPr>
        <w:tc>
          <w:tcPr>
            <w:tcW w:w="1571" w:type="pct"/>
            <w:tcBorders>
              <w:top w:val="nil"/>
              <w:left w:val="nil"/>
              <w:bottom w:val="nil"/>
              <w:right w:val="nil"/>
            </w:tcBorders>
            <w:shd w:val="clear" w:color="auto" w:fill="auto"/>
            <w:noWrap/>
            <w:vAlign w:val="bottom"/>
            <w:hideMark/>
          </w:tcPr>
          <w:p w14:paraId="1556AAF6" w14:textId="77777777" w:rsidR="00115843" w:rsidRPr="0013747E" w:rsidRDefault="00115843" w:rsidP="00FB0D02">
            <w:pPr>
              <w:spacing w:after="0" w:line="240" w:lineRule="auto"/>
              <w:ind w:left="113"/>
              <w:rPr>
                <w:rFonts w:ascii="Arial" w:hAnsi="Arial" w:cs="Arial"/>
                <w:b/>
                <w:bCs/>
                <w:color w:val="000000"/>
                <w:sz w:val="16"/>
                <w:szCs w:val="16"/>
              </w:rPr>
            </w:pPr>
            <w:r w:rsidRPr="0013747E">
              <w:rPr>
                <w:rFonts w:ascii="Arial" w:hAnsi="Arial" w:cs="Arial"/>
                <w:b/>
                <w:bCs/>
                <w:color w:val="000000"/>
                <w:sz w:val="16"/>
                <w:szCs w:val="16"/>
              </w:rPr>
              <w:t>Cash received</w:t>
            </w:r>
          </w:p>
        </w:tc>
        <w:tc>
          <w:tcPr>
            <w:tcW w:w="729" w:type="pct"/>
            <w:tcBorders>
              <w:top w:val="nil"/>
              <w:left w:val="nil"/>
              <w:bottom w:val="nil"/>
              <w:right w:val="nil"/>
            </w:tcBorders>
            <w:shd w:val="clear" w:color="auto" w:fill="auto"/>
            <w:noWrap/>
            <w:vAlign w:val="bottom"/>
            <w:hideMark/>
          </w:tcPr>
          <w:p w14:paraId="38E94CC6" w14:textId="77777777" w:rsidR="00115843" w:rsidRPr="0013747E" w:rsidRDefault="00115843" w:rsidP="00FB0D02">
            <w:pPr>
              <w:spacing w:after="0" w:line="240" w:lineRule="auto"/>
              <w:ind w:firstLineChars="100" w:firstLine="161"/>
              <w:jc w:val="right"/>
              <w:rPr>
                <w:rFonts w:ascii="Arial" w:hAnsi="Arial" w:cs="Arial"/>
                <w:b/>
                <w:bCs/>
                <w:color w:val="000000"/>
                <w:sz w:val="16"/>
                <w:szCs w:val="16"/>
              </w:rPr>
            </w:pPr>
          </w:p>
        </w:tc>
        <w:tc>
          <w:tcPr>
            <w:tcW w:w="671" w:type="pct"/>
            <w:tcBorders>
              <w:top w:val="nil"/>
              <w:left w:val="nil"/>
              <w:bottom w:val="nil"/>
              <w:right w:val="nil"/>
            </w:tcBorders>
            <w:shd w:val="clear" w:color="auto" w:fill="E6E6E6"/>
            <w:noWrap/>
            <w:vAlign w:val="bottom"/>
            <w:hideMark/>
          </w:tcPr>
          <w:p w14:paraId="6933249D" w14:textId="77777777" w:rsidR="00115843" w:rsidRPr="0013747E" w:rsidRDefault="00115843" w:rsidP="00FB0D02">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6A108F52" w14:textId="77777777" w:rsidR="00115843" w:rsidRPr="0013747E" w:rsidRDefault="00115843" w:rsidP="00FB0D02">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18573966" w14:textId="77777777" w:rsidR="00115843" w:rsidRPr="0013747E" w:rsidRDefault="00115843" w:rsidP="00FB0D02">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6541B427" w14:textId="77777777" w:rsidR="00115843" w:rsidRPr="0013747E" w:rsidRDefault="00115843" w:rsidP="00FB0D02">
            <w:pPr>
              <w:spacing w:after="0" w:line="240" w:lineRule="auto"/>
              <w:jc w:val="right"/>
              <w:rPr>
                <w:rFonts w:ascii="Times New Roman" w:hAnsi="Times New Roman"/>
              </w:rPr>
            </w:pPr>
          </w:p>
        </w:tc>
      </w:tr>
      <w:tr w:rsidR="00AB3B87" w:rsidRPr="0013747E" w14:paraId="0F2195E2" w14:textId="77777777" w:rsidTr="005334F2">
        <w:trPr>
          <w:trHeight w:val="204"/>
        </w:trPr>
        <w:tc>
          <w:tcPr>
            <w:tcW w:w="1571" w:type="pct"/>
            <w:tcBorders>
              <w:top w:val="nil"/>
              <w:left w:val="nil"/>
              <w:bottom w:val="nil"/>
              <w:right w:val="nil"/>
            </w:tcBorders>
            <w:shd w:val="clear" w:color="auto" w:fill="auto"/>
            <w:vAlign w:val="bottom"/>
            <w:hideMark/>
          </w:tcPr>
          <w:p w14:paraId="0692D2D5"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Revenue from contracts with customers</w:t>
            </w:r>
          </w:p>
        </w:tc>
        <w:tc>
          <w:tcPr>
            <w:tcW w:w="729" w:type="pct"/>
            <w:tcBorders>
              <w:top w:val="nil"/>
              <w:left w:val="nil"/>
              <w:bottom w:val="nil"/>
              <w:right w:val="nil"/>
            </w:tcBorders>
            <w:shd w:val="clear" w:color="auto" w:fill="auto"/>
            <w:noWrap/>
            <w:vAlign w:val="bottom"/>
            <w:hideMark/>
          </w:tcPr>
          <w:p w14:paraId="49AEEA5A" w14:textId="1ED45968"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193,798</w:t>
            </w:r>
          </w:p>
        </w:tc>
        <w:tc>
          <w:tcPr>
            <w:tcW w:w="671" w:type="pct"/>
            <w:tcBorders>
              <w:top w:val="nil"/>
              <w:left w:val="nil"/>
              <w:bottom w:val="nil"/>
              <w:right w:val="nil"/>
            </w:tcBorders>
            <w:shd w:val="clear" w:color="auto" w:fill="E6E6E6"/>
            <w:noWrap/>
            <w:vAlign w:val="bottom"/>
            <w:hideMark/>
          </w:tcPr>
          <w:p w14:paraId="566168A5" w14:textId="53769F9B"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186,090</w:t>
            </w:r>
          </w:p>
        </w:tc>
        <w:tc>
          <w:tcPr>
            <w:tcW w:w="678" w:type="pct"/>
            <w:tcBorders>
              <w:top w:val="nil"/>
              <w:left w:val="nil"/>
              <w:bottom w:val="nil"/>
              <w:right w:val="nil"/>
            </w:tcBorders>
            <w:shd w:val="clear" w:color="auto" w:fill="auto"/>
            <w:noWrap/>
            <w:vAlign w:val="bottom"/>
            <w:hideMark/>
          </w:tcPr>
          <w:p w14:paraId="71F855A2" w14:textId="08D5D95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201,902</w:t>
            </w:r>
          </w:p>
        </w:tc>
        <w:tc>
          <w:tcPr>
            <w:tcW w:w="679" w:type="pct"/>
            <w:tcBorders>
              <w:top w:val="nil"/>
              <w:left w:val="nil"/>
              <w:bottom w:val="nil"/>
              <w:right w:val="nil"/>
            </w:tcBorders>
            <w:shd w:val="clear" w:color="auto" w:fill="auto"/>
            <w:noWrap/>
            <w:vAlign w:val="bottom"/>
            <w:hideMark/>
          </w:tcPr>
          <w:p w14:paraId="5EFA23EE" w14:textId="0EFEFABB"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242,856</w:t>
            </w:r>
          </w:p>
        </w:tc>
        <w:tc>
          <w:tcPr>
            <w:tcW w:w="671" w:type="pct"/>
            <w:tcBorders>
              <w:top w:val="nil"/>
              <w:left w:val="nil"/>
              <w:bottom w:val="nil"/>
              <w:right w:val="nil"/>
            </w:tcBorders>
            <w:shd w:val="clear" w:color="auto" w:fill="auto"/>
            <w:noWrap/>
            <w:vAlign w:val="bottom"/>
            <w:hideMark/>
          </w:tcPr>
          <w:p w14:paraId="3D4159DF" w14:textId="66E5868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215,138</w:t>
            </w:r>
          </w:p>
        </w:tc>
      </w:tr>
      <w:tr w:rsidR="00AB3B87" w:rsidRPr="0013747E" w14:paraId="42ED455D" w14:textId="77777777" w:rsidTr="005334F2">
        <w:trPr>
          <w:trHeight w:val="204"/>
        </w:trPr>
        <w:tc>
          <w:tcPr>
            <w:tcW w:w="1571" w:type="pct"/>
            <w:tcBorders>
              <w:top w:val="nil"/>
              <w:left w:val="nil"/>
              <w:bottom w:val="nil"/>
              <w:right w:val="nil"/>
            </w:tcBorders>
            <w:shd w:val="clear" w:color="auto" w:fill="auto"/>
            <w:noWrap/>
            <w:vAlign w:val="bottom"/>
            <w:hideMark/>
          </w:tcPr>
          <w:p w14:paraId="167FB8B9"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Dividends</w:t>
            </w:r>
          </w:p>
        </w:tc>
        <w:tc>
          <w:tcPr>
            <w:tcW w:w="729" w:type="pct"/>
            <w:tcBorders>
              <w:top w:val="nil"/>
              <w:left w:val="nil"/>
              <w:bottom w:val="nil"/>
              <w:right w:val="nil"/>
            </w:tcBorders>
            <w:shd w:val="clear" w:color="auto" w:fill="auto"/>
            <w:noWrap/>
            <w:vAlign w:val="bottom"/>
            <w:hideMark/>
          </w:tcPr>
          <w:p w14:paraId="3CDE5ED5" w14:textId="0E67353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124,086</w:t>
            </w:r>
          </w:p>
        </w:tc>
        <w:tc>
          <w:tcPr>
            <w:tcW w:w="671" w:type="pct"/>
            <w:tcBorders>
              <w:top w:val="nil"/>
              <w:left w:val="nil"/>
              <w:bottom w:val="nil"/>
              <w:right w:val="nil"/>
            </w:tcBorders>
            <w:shd w:val="clear" w:color="auto" w:fill="E6E6E6"/>
            <w:noWrap/>
            <w:vAlign w:val="bottom"/>
            <w:hideMark/>
          </w:tcPr>
          <w:p w14:paraId="39E8F21D" w14:textId="2871A46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21,805</w:t>
            </w:r>
          </w:p>
        </w:tc>
        <w:tc>
          <w:tcPr>
            <w:tcW w:w="678" w:type="pct"/>
            <w:tcBorders>
              <w:top w:val="nil"/>
              <w:left w:val="nil"/>
              <w:bottom w:val="nil"/>
              <w:right w:val="nil"/>
            </w:tcBorders>
            <w:shd w:val="clear" w:color="auto" w:fill="auto"/>
            <w:noWrap/>
            <w:vAlign w:val="bottom"/>
            <w:hideMark/>
          </w:tcPr>
          <w:p w14:paraId="389D091E" w14:textId="2ABD9F7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400</w:t>
            </w:r>
          </w:p>
        </w:tc>
        <w:tc>
          <w:tcPr>
            <w:tcW w:w="679" w:type="pct"/>
            <w:tcBorders>
              <w:top w:val="nil"/>
              <w:left w:val="nil"/>
              <w:bottom w:val="nil"/>
              <w:right w:val="nil"/>
            </w:tcBorders>
            <w:shd w:val="clear" w:color="auto" w:fill="auto"/>
            <w:noWrap/>
            <w:vAlign w:val="bottom"/>
            <w:hideMark/>
          </w:tcPr>
          <w:p w14:paraId="7B73A1C8" w14:textId="479BAF70"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12,500</w:t>
            </w:r>
          </w:p>
        </w:tc>
        <w:tc>
          <w:tcPr>
            <w:tcW w:w="671" w:type="pct"/>
            <w:tcBorders>
              <w:top w:val="nil"/>
              <w:left w:val="nil"/>
              <w:bottom w:val="nil"/>
              <w:right w:val="nil"/>
            </w:tcBorders>
            <w:shd w:val="clear" w:color="auto" w:fill="auto"/>
            <w:noWrap/>
            <w:vAlign w:val="bottom"/>
            <w:hideMark/>
          </w:tcPr>
          <w:p w14:paraId="1E12665A" w14:textId="3AA6244B"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3,000</w:t>
            </w:r>
          </w:p>
        </w:tc>
      </w:tr>
      <w:tr w:rsidR="00AB3B87" w:rsidRPr="0013747E" w14:paraId="5576B3A2" w14:textId="77777777" w:rsidTr="005334F2">
        <w:trPr>
          <w:trHeight w:val="204"/>
        </w:trPr>
        <w:tc>
          <w:tcPr>
            <w:tcW w:w="1571" w:type="pct"/>
            <w:tcBorders>
              <w:top w:val="nil"/>
              <w:left w:val="nil"/>
              <w:bottom w:val="nil"/>
              <w:right w:val="nil"/>
            </w:tcBorders>
            <w:shd w:val="clear" w:color="auto" w:fill="auto"/>
            <w:noWrap/>
            <w:vAlign w:val="bottom"/>
            <w:hideMark/>
          </w:tcPr>
          <w:p w14:paraId="238AE33E"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Taxes</w:t>
            </w:r>
          </w:p>
        </w:tc>
        <w:tc>
          <w:tcPr>
            <w:tcW w:w="729" w:type="pct"/>
            <w:tcBorders>
              <w:top w:val="nil"/>
              <w:left w:val="nil"/>
              <w:bottom w:val="nil"/>
              <w:right w:val="nil"/>
            </w:tcBorders>
            <w:shd w:val="clear" w:color="auto" w:fill="auto"/>
            <w:noWrap/>
            <w:vAlign w:val="bottom"/>
            <w:hideMark/>
          </w:tcPr>
          <w:p w14:paraId="223C8EED" w14:textId="12CB2B76"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34,160</w:t>
            </w:r>
          </w:p>
        </w:tc>
        <w:tc>
          <w:tcPr>
            <w:tcW w:w="671" w:type="pct"/>
            <w:tcBorders>
              <w:top w:val="nil"/>
              <w:left w:val="nil"/>
              <w:bottom w:val="nil"/>
              <w:right w:val="nil"/>
            </w:tcBorders>
            <w:shd w:val="clear" w:color="auto" w:fill="E6E6E6"/>
            <w:noWrap/>
            <w:vAlign w:val="bottom"/>
            <w:hideMark/>
          </w:tcPr>
          <w:p w14:paraId="0843E5EE" w14:textId="174F1C05"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29,272</w:t>
            </w:r>
          </w:p>
        </w:tc>
        <w:tc>
          <w:tcPr>
            <w:tcW w:w="678" w:type="pct"/>
            <w:tcBorders>
              <w:top w:val="nil"/>
              <w:left w:val="nil"/>
              <w:bottom w:val="nil"/>
              <w:right w:val="nil"/>
            </w:tcBorders>
            <w:shd w:val="clear" w:color="auto" w:fill="auto"/>
            <w:noWrap/>
            <w:vAlign w:val="bottom"/>
            <w:hideMark/>
          </w:tcPr>
          <w:p w14:paraId="2FD8880B" w14:textId="50F2B09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26,707</w:t>
            </w:r>
          </w:p>
        </w:tc>
        <w:tc>
          <w:tcPr>
            <w:tcW w:w="679" w:type="pct"/>
            <w:tcBorders>
              <w:top w:val="nil"/>
              <w:left w:val="nil"/>
              <w:bottom w:val="nil"/>
              <w:right w:val="nil"/>
            </w:tcBorders>
            <w:shd w:val="clear" w:color="auto" w:fill="auto"/>
            <w:noWrap/>
            <w:vAlign w:val="bottom"/>
            <w:hideMark/>
          </w:tcPr>
          <w:p w14:paraId="20E7EAC2" w14:textId="096DD40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27,307</w:t>
            </w:r>
          </w:p>
        </w:tc>
        <w:tc>
          <w:tcPr>
            <w:tcW w:w="671" w:type="pct"/>
            <w:tcBorders>
              <w:top w:val="nil"/>
              <w:left w:val="nil"/>
              <w:bottom w:val="nil"/>
              <w:right w:val="nil"/>
            </w:tcBorders>
            <w:shd w:val="clear" w:color="auto" w:fill="auto"/>
            <w:noWrap/>
            <w:vAlign w:val="bottom"/>
            <w:hideMark/>
          </w:tcPr>
          <w:p w14:paraId="7C25E95E" w14:textId="556C8A81"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24,200</w:t>
            </w:r>
          </w:p>
        </w:tc>
      </w:tr>
      <w:tr w:rsidR="00AB3B87" w:rsidRPr="0013747E" w14:paraId="642FBEB5" w14:textId="77777777" w:rsidTr="005334F2">
        <w:trPr>
          <w:trHeight w:val="204"/>
        </w:trPr>
        <w:tc>
          <w:tcPr>
            <w:tcW w:w="1571" w:type="pct"/>
            <w:tcBorders>
              <w:top w:val="nil"/>
              <w:left w:val="nil"/>
              <w:bottom w:val="nil"/>
              <w:right w:val="nil"/>
            </w:tcBorders>
            <w:shd w:val="clear" w:color="auto" w:fill="auto"/>
            <w:noWrap/>
            <w:vAlign w:val="bottom"/>
            <w:hideMark/>
          </w:tcPr>
          <w:p w14:paraId="45D62AB0"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Other</w:t>
            </w:r>
          </w:p>
        </w:tc>
        <w:tc>
          <w:tcPr>
            <w:tcW w:w="729" w:type="pct"/>
            <w:tcBorders>
              <w:top w:val="nil"/>
              <w:left w:val="nil"/>
              <w:bottom w:val="nil"/>
              <w:right w:val="nil"/>
            </w:tcBorders>
            <w:shd w:val="clear" w:color="auto" w:fill="auto"/>
            <w:noWrap/>
            <w:vAlign w:val="bottom"/>
            <w:hideMark/>
          </w:tcPr>
          <w:p w14:paraId="44307DCD" w14:textId="400A4EE8"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217,275</w:t>
            </w:r>
          </w:p>
        </w:tc>
        <w:tc>
          <w:tcPr>
            <w:tcW w:w="671" w:type="pct"/>
            <w:tcBorders>
              <w:top w:val="nil"/>
              <w:left w:val="nil"/>
              <w:bottom w:val="nil"/>
              <w:right w:val="nil"/>
            </w:tcBorders>
            <w:shd w:val="clear" w:color="auto" w:fill="E6E6E6"/>
            <w:noWrap/>
            <w:vAlign w:val="bottom"/>
            <w:hideMark/>
          </w:tcPr>
          <w:p w14:paraId="1356EF7A" w14:textId="6681DE2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10,816</w:t>
            </w:r>
          </w:p>
        </w:tc>
        <w:tc>
          <w:tcPr>
            <w:tcW w:w="678" w:type="pct"/>
            <w:tcBorders>
              <w:top w:val="nil"/>
              <w:left w:val="nil"/>
              <w:bottom w:val="nil"/>
              <w:right w:val="nil"/>
            </w:tcBorders>
            <w:shd w:val="clear" w:color="auto" w:fill="auto"/>
            <w:noWrap/>
            <w:vAlign w:val="bottom"/>
            <w:hideMark/>
          </w:tcPr>
          <w:p w14:paraId="092DD22C" w14:textId="1F34E0D4"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30,580</w:t>
            </w:r>
          </w:p>
        </w:tc>
        <w:tc>
          <w:tcPr>
            <w:tcW w:w="679" w:type="pct"/>
            <w:tcBorders>
              <w:top w:val="nil"/>
              <w:left w:val="nil"/>
              <w:bottom w:val="nil"/>
              <w:right w:val="nil"/>
            </w:tcBorders>
            <w:shd w:val="clear" w:color="auto" w:fill="auto"/>
            <w:noWrap/>
            <w:vAlign w:val="bottom"/>
            <w:hideMark/>
          </w:tcPr>
          <w:p w14:paraId="3DE493F6" w14:textId="4AA1EA40"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36,738</w:t>
            </w:r>
          </w:p>
        </w:tc>
        <w:tc>
          <w:tcPr>
            <w:tcW w:w="671" w:type="pct"/>
            <w:tcBorders>
              <w:top w:val="nil"/>
              <w:left w:val="nil"/>
              <w:bottom w:val="nil"/>
              <w:right w:val="nil"/>
            </w:tcBorders>
            <w:shd w:val="clear" w:color="auto" w:fill="auto"/>
            <w:noWrap/>
            <w:vAlign w:val="bottom"/>
            <w:hideMark/>
          </w:tcPr>
          <w:p w14:paraId="050D2421" w14:textId="40A46CC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39,690</w:t>
            </w:r>
          </w:p>
        </w:tc>
      </w:tr>
      <w:tr w:rsidR="00AB3B87" w:rsidRPr="0013747E" w14:paraId="0B25DB25" w14:textId="77777777" w:rsidTr="005334F2">
        <w:trPr>
          <w:trHeight w:val="204"/>
        </w:trPr>
        <w:tc>
          <w:tcPr>
            <w:tcW w:w="1571" w:type="pct"/>
            <w:tcBorders>
              <w:top w:val="nil"/>
              <w:left w:val="nil"/>
              <w:bottom w:val="nil"/>
              <w:right w:val="nil"/>
            </w:tcBorders>
            <w:shd w:val="clear" w:color="auto" w:fill="auto"/>
            <w:noWrap/>
            <w:vAlign w:val="bottom"/>
            <w:hideMark/>
          </w:tcPr>
          <w:p w14:paraId="16B412DA" w14:textId="77777777" w:rsidR="00AB3B87" w:rsidRPr="0013747E" w:rsidRDefault="00AB3B87" w:rsidP="00AB3B87">
            <w:pPr>
              <w:spacing w:after="0" w:line="240" w:lineRule="auto"/>
              <w:ind w:left="113"/>
              <w:rPr>
                <w:rFonts w:ascii="Arial" w:hAnsi="Arial" w:cs="Arial"/>
                <w:b/>
                <w:bCs/>
                <w:i/>
                <w:iCs/>
                <w:color w:val="000000"/>
                <w:sz w:val="16"/>
                <w:szCs w:val="16"/>
              </w:rPr>
            </w:pPr>
            <w:r w:rsidRPr="0013747E">
              <w:rPr>
                <w:rFonts w:ascii="Arial" w:hAnsi="Arial" w:cs="Arial"/>
                <w:b/>
                <w:bCs/>
                <w:i/>
                <w:iCs/>
                <w:color w:val="000000"/>
                <w:sz w:val="16"/>
                <w:szCs w:val="16"/>
              </w:rPr>
              <w:t>Total cash received</w:t>
            </w:r>
          </w:p>
        </w:tc>
        <w:tc>
          <w:tcPr>
            <w:tcW w:w="729" w:type="pct"/>
            <w:tcBorders>
              <w:top w:val="single" w:sz="4" w:space="0" w:color="000000"/>
              <w:left w:val="nil"/>
              <w:bottom w:val="single" w:sz="4" w:space="0" w:color="000000"/>
              <w:right w:val="nil"/>
            </w:tcBorders>
            <w:shd w:val="clear" w:color="auto" w:fill="auto"/>
            <w:noWrap/>
            <w:vAlign w:val="bottom"/>
            <w:hideMark/>
          </w:tcPr>
          <w:p w14:paraId="1543FAA8" w14:textId="7EEE95E3"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569,319</w:t>
            </w:r>
          </w:p>
        </w:tc>
        <w:tc>
          <w:tcPr>
            <w:tcW w:w="671" w:type="pct"/>
            <w:tcBorders>
              <w:top w:val="single" w:sz="4" w:space="0" w:color="000000"/>
              <w:left w:val="nil"/>
              <w:bottom w:val="single" w:sz="4" w:space="0" w:color="000000"/>
              <w:right w:val="nil"/>
            </w:tcBorders>
            <w:shd w:val="clear" w:color="auto" w:fill="E6E6E6"/>
            <w:noWrap/>
            <w:vAlign w:val="bottom"/>
            <w:hideMark/>
          </w:tcPr>
          <w:p w14:paraId="6BF3C11E" w14:textId="21F9261E"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247,983</w:t>
            </w:r>
          </w:p>
        </w:tc>
        <w:tc>
          <w:tcPr>
            <w:tcW w:w="678" w:type="pct"/>
            <w:tcBorders>
              <w:top w:val="single" w:sz="4" w:space="0" w:color="000000"/>
              <w:left w:val="nil"/>
              <w:bottom w:val="single" w:sz="4" w:space="0" w:color="000000"/>
              <w:right w:val="nil"/>
            </w:tcBorders>
            <w:shd w:val="clear" w:color="auto" w:fill="auto"/>
            <w:noWrap/>
            <w:vAlign w:val="bottom"/>
            <w:hideMark/>
          </w:tcPr>
          <w:p w14:paraId="01447DAF" w14:textId="6E382217"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259,589</w:t>
            </w:r>
          </w:p>
        </w:tc>
        <w:tc>
          <w:tcPr>
            <w:tcW w:w="679" w:type="pct"/>
            <w:tcBorders>
              <w:top w:val="single" w:sz="4" w:space="0" w:color="000000"/>
              <w:left w:val="nil"/>
              <w:bottom w:val="single" w:sz="4" w:space="0" w:color="000000"/>
              <w:right w:val="nil"/>
            </w:tcBorders>
            <w:shd w:val="clear" w:color="auto" w:fill="auto"/>
            <w:noWrap/>
            <w:vAlign w:val="bottom"/>
            <w:hideMark/>
          </w:tcPr>
          <w:p w14:paraId="3B9657B3" w14:textId="7A80BA59"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319,401</w:t>
            </w:r>
          </w:p>
        </w:tc>
        <w:tc>
          <w:tcPr>
            <w:tcW w:w="671" w:type="pct"/>
            <w:tcBorders>
              <w:top w:val="single" w:sz="4" w:space="0" w:color="000000"/>
              <w:left w:val="nil"/>
              <w:bottom w:val="single" w:sz="4" w:space="0" w:color="000000"/>
              <w:right w:val="nil"/>
            </w:tcBorders>
            <w:shd w:val="clear" w:color="auto" w:fill="auto"/>
            <w:noWrap/>
            <w:vAlign w:val="bottom"/>
            <w:hideMark/>
          </w:tcPr>
          <w:p w14:paraId="11AF3F8E" w14:textId="3779DB0C"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282,028</w:t>
            </w:r>
          </w:p>
        </w:tc>
      </w:tr>
      <w:tr w:rsidR="00AB3B87" w:rsidRPr="0013747E" w14:paraId="1C2EFCDF" w14:textId="77777777" w:rsidTr="005334F2">
        <w:trPr>
          <w:trHeight w:val="204"/>
        </w:trPr>
        <w:tc>
          <w:tcPr>
            <w:tcW w:w="1571" w:type="pct"/>
            <w:tcBorders>
              <w:top w:val="nil"/>
              <w:left w:val="nil"/>
              <w:bottom w:val="nil"/>
              <w:right w:val="nil"/>
            </w:tcBorders>
            <w:shd w:val="clear" w:color="auto" w:fill="auto"/>
            <w:noWrap/>
            <w:vAlign w:val="bottom"/>
            <w:hideMark/>
          </w:tcPr>
          <w:p w14:paraId="4654C287" w14:textId="77777777" w:rsidR="00AB3B87" w:rsidRPr="0013747E" w:rsidRDefault="00AB3B87" w:rsidP="00AB3B87">
            <w:pPr>
              <w:spacing w:after="0" w:line="240" w:lineRule="auto"/>
              <w:ind w:left="113"/>
              <w:rPr>
                <w:rFonts w:ascii="Arial" w:hAnsi="Arial" w:cs="Arial"/>
                <w:b/>
                <w:bCs/>
                <w:color w:val="000000"/>
                <w:sz w:val="16"/>
                <w:szCs w:val="16"/>
              </w:rPr>
            </w:pPr>
            <w:r w:rsidRPr="0013747E">
              <w:rPr>
                <w:rFonts w:ascii="Arial" w:hAnsi="Arial" w:cs="Arial"/>
                <w:b/>
                <w:bCs/>
                <w:color w:val="000000"/>
                <w:sz w:val="16"/>
                <w:szCs w:val="16"/>
              </w:rPr>
              <w:t>Cash used</w:t>
            </w:r>
          </w:p>
        </w:tc>
        <w:tc>
          <w:tcPr>
            <w:tcW w:w="729" w:type="pct"/>
            <w:tcBorders>
              <w:top w:val="nil"/>
              <w:left w:val="nil"/>
              <w:bottom w:val="nil"/>
              <w:right w:val="nil"/>
            </w:tcBorders>
            <w:shd w:val="clear" w:color="auto" w:fill="auto"/>
            <w:noWrap/>
            <w:vAlign w:val="bottom"/>
            <w:hideMark/>
          </w:tcPr>
          <w:p w14:paraId="3CB795B3" w14:textId="77777777" w:rsidR="00AB3B87" w:rsidRPr="0013747E" w:rsidRDefault="00AB3B87" w:rsidP="00AB3B87">
            <w:pPr>
              <w:spacing w:after="0" w:line="240" w:lineRule="auto"/>
              <w:ind w:firstLineChars="100" w:firstLine="161"/>
              <w:jc w:val="right"/>
              <w:rPr>
                <w:rFonts w:ascii="Arial" w:hAnsi="Arial" w:cs="Arial"/>
                <w:b/>
                <w:bCs/>
                <w:color w:val="000000"/>
                <w:sz w:val="16"/>
                <w:szCs w:val="16"/>
              </w:rPr>
            </w:pPr>
          </w:p>
        </w:tc>
        <w:tc>
          <w:tcPr>
            <w:tcW w:w="671" w:type="pct"/>
            <w:tcBorders>
              <w:top w:val="nil"/>
              <w:left w:val="nil"/>
              <w:bottom w:val="nil"/>
              <w:right w:val="nil"/>
            </w:tcBorders>
            <w:shd w:val="clear" w:color="auto" w:fill="E6E6E6"/>
            <w:noWrap/>
            <w:vAlign w:val="bottom"/>
            <w:hideMark/>
          </w:tcPr>
          <w:p w14:paraId="69F6DA01" w14:textId="58D538CB" w:rsidR="00AB3B87" w:rsidRPr="0013747E" w:rsidRDefault="00AB3B87" w:rsidP="00AB3B87">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3E163A5F" w14:textId="77777777" w:rsidR="00AB3B87" w:rsidRPr="0013747E" w:rsidRDefault="00AB3B87" w:rsidP="00AB3B87">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75CA1877" w14:textId="77777777" w:rsidR="00AB3B87" w:rsidRPr="0013747E" w:rsidRDefault="00AB3B87" w:rsidP="00AB3B8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651971C8" w14:textId="77777777" w:rsidR="00AB3B87" w:rsidRPr="0013747E" w:rsidRDefault="00AB3B87" w:rsidP="00AB3B87">
            <w:pPr>
              <w:spacing w:after="0" w:line="240" w:lineRule="auto"/>
              <w:jc w:val="right"/>
              <w:rPr>
                <w:rFonts w:ascii="Times New Roman" w:hAnsi="Times New Roman"/>
              </w:rPr>
            </w:pPr>
          </w:p>
        </w:tc>
      </w:tr>
      <w:tr w:rsidR="00AB3B87" w:rsidRPr="0013747E" w14:paraId="27417DAF" w14:textId="77777777" w:rsidTr="005334F2">
        <w:trPr>
          <w:trHeight w:val="204"/>
        </w:trPr>
        <w:tc>
          <w:tcPr>
            <w:tcW w:w="1571" w:type="pct"/>
            <w:tcBorders>
              <w:top w:val="nil"/>
              <w:left w:val="nil"/>
              <w:bottom w:val="nil"/>
              <w:right w:val="nil"/>
            </w:tcBorders>
            <w:shd w:val="clear" w:color="auto" w:fill="auto"/>
            <w:noWrap/>
            <w:vAlign w:val="bottom"/>
            <w:hideMark/>
          </w:tcPr>
          <w:p w14:paraId="51A7AA1D"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Grant payments</w:t>
            </w:r>
          </w:p>
        </w:tc>
        <w:tc>
          <w:tcPr>
            <w:tcW w:w="729" w:type="pct"/>
            <w:tcBorders>
              <w:top w:val="nil"/>
              <w:left w:val="nil"/>
              <w:bottom w:val="nil"/>
              <w:right w:val="nil"/>
            </w:tcBorders>
            <w:shd w:val="clear" w:color="auto" w:fill="auto"/>
            <w:noWrap/>
            <w:vAlign w:val="bottom"/>
            <w:hideMark/>
          </w:tcPr>
          <w:p w14:paraId="2835EFBB" w14:textId="06F0B0FF"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6,749,638</w:t>
            </w:r>
          </w:p>
        </w:tc>
        <w:tc>
          <w:tcPr>
            <w:tcW w:w="671" w:type="pct"/>
            <w:tcBorders>
              <w:top w:val="nil"/>
              <w:left w:val="nil"/>
              <w:bottom w:val="nil"/>
              <w:right w:val="nil"/>
            </w:tcBorders>
            <w:shd w:val="clear" w:color="auto" w:fill="E6E6E6"/>
            <w:noWrap/>
            <w:vAlign w:val="bottom"/>
            <w:hideMark/>
          </w:tcPr>
          <w:p w14:paraId="383AA091" w14:textId="5AC2D3AB"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4,612,284</w:t>
            </w:r>
          </w:p>
        </w:tc>
        <w:tc>
          <w:tcPr>
            <w:tcW w:w="678" w:type="pct"/>
            <w:tcBorders>
              <w:top w:val="nil"/>
              <w:left w:val="nil"/>
              <w:bottom w:val="nil"/>
              <w:right w:val="nil"/>
            </w:tcBorders>
            <w:shd w:val="clear" w:color="auto" w:fill="auto"/>
            <w:noWrap/>
            <w:vAlign w:val="bottom"/>
            <w:hideMark/>
          </w:tcPr>
          <w:p w14:paraId="3C2EA707" w14:textId="7F3F275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6,142,153</w:t>
            </w:r>
          </w:p>
        </w:tc>
        <w:tc>
          <w:tcPr>
            <w:tcW w:w="679" w:type="pct"/>
            <w:tcBorders>
              <w:top w:val="nil"/>
              <w:left w:val="nil"/>
              <w:bottom w:val="nil"/>
              <w:right w:val="nil"/>
            </w:tcBorders>
            <w:shd w:val="clear" w:color="auto" w:fill="auto"/>
            <w:noWrap/>
            <w:vAlign w:val="bottom"/>
            <w:hideMark/>
          </w:tcPr>
          <w:p w14:paraId="64CA94E7" w14:textId="34D4A40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5,995,283</w:t>
            </w:r>
          </w:p>
        </w:tc>
        <w:tc>
          <w:tcPr>
            <w:tcW w:w="671" w:type="pct"/>
            <w:tcBorders>
              <w:top w:val="nil"/>
              <w:left w:val="nil"/>
              <w:bottom w:val="nil"/>
              <w:right w:val="nil"/>
            </w:tcBorders>
            <w:shd w:val="clear" w:color="auto" w:fill="auto"/>
            <w:noWrap/>
            <w:vAlign w:val="bottom"/>
            <w:hideMark/>
          </w:tcPr>
          <w:p w14:paraId="4ABF4832" w14:textId="5CA634C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5,916,001</w:t>
            </w:r>
          </w:p>
        </w:tc>
      </w:tr>
      <w:tr w:rsidR="00AB3B87" w:rsidRPr="0013747E" w14:paraId="5B6A0BDF" w14:textId="77777777" w:rsidTr="005334F2">
        <w:trPr>
          <w:trHeight w:val="204"/>
        </w:trPr>
        <w:tc>
          <w:tcPr>
            <w:tcW w:w="1571" w:type="pct"/>
            <w:tcBorders>
              <w:top w:val="nil"/>
              <w:left w:val="nil"/>
              <w:bottom w:val="nil"/>
              <w:right w:val="nil"/>
            </w:tcBorders>
            <w:shd w:val="clear" w:color="auto" w:fill="auto"/>
            <w:noWrap/>
            <w:vAlign w:val="bottom"/>
            <w:hideMark/>
          </w:tcPr>
          <w:p w14:paraId="167F5C0C"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Subsidies paid</w:t>
            </w:r>
          </w:p>
        </w:tc>
        <w:tc>
          <w:tcPr>
            <w:tcW w:w="729" w:type="pct"/>
            <w:tcBorders>
              <w:top w:val="nil"/>
              <w:left w:val="nil"/>
              <w:bottom w:val="nil"/>
              <w:right w:val="nil"/>
            </w:tcBorders>
            <w:shd w:val="clear" w:color="auto" w:fill="auto"/>
            <w:noWrap/>
            <w:vAlign w:val="bottom"/>
            <w:hideMark/>
          </w:tcPr>
          <w:p w14:paraId="2EFAF80D" w14:textId="6F449182"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1,167,478</w:t>
            </w:r>
          </w:p>
        </w:tc>
        <w:tc>
          <w:tcPr>
            <w:tcW w:w="671" w:type="pct"/>
            <w:tcBorders>
              <w:top w:val="nil"/>
              <w:left w:val="nil"/>
              <w:bottom w:val="nil"/>
              <w:right w:val="nil"/>
            </w:tcBorders>
            <w:shd w:val="clear" w:color="auto" w:fill="E6E6E6"/>
            <w:noWrap/>
            <w:vAlign w:val="bottom"/>
            <w:hideMark/>
          </w:tcPr>
          <w:p w14:paraId="6D0ACD55" w14:textId="348F1DC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282,760</w:t>
            </w:r>
          </w:p>
        </w:tc>
        <w:tc>
          <w:tcPr>
            <w:tcW w:w="678" w:type="pct"/>
            <w:tcBorders>
              <w:top w:val="nil"/>
              <w:left w:val="nil"/>
              <w:bottom w:val="nil"/>
              <w:right w:val="nil"/>
            </w:tcBorders>
            <w:shd w:val="clear" w:color="auto" w:fill="auto"/>
            <w:noWrap/>
            <w:vAlign w:val="bottom"/>
            <w:hideMark/>
          </w:tcPr>
          <w:p w14:paraId="52742213" w14:textId="7176A812"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292,266</w:t>
            </w:r>
          </w:p>
        </w:tc>
        <w:tc>
          <w:tcPr>
            <w:tcW w:w="679" w:type="pct"/>
            <w:tcBorders>
              <w:top w:val="nil"/>
              <w:left w:val="nil"/>
              <w:bottom w:val="nil"/>
              <w:right w:val="nil"/>
            </w:tcBorders>
            <w:shd w:val="clear" w:color="auto" w:fill="auto"/>
            <w:noWrap/>
            <w:vAlign w:val="bottom"/>
            <w:hideMark/>
          </w:tcPr>
          <w:p w14:paraId="4C4C17D5" w14:textId="701AA4A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288,589</w:t>
            </w:r>
          </w:p>
        </w:tc>
        <w:tc>
          <w:tcPr>
            <w:tcW w:w="671" w:type="pct"/>
            <w:tcBorders>
              <w:top w:val="nil"/>
              <w:left w:val="nil"/>
              <w:bottom w:val="nil"/>
              <w:right w:val="nil"/>
            </w:tcBorders>
            <w:shd w:val="clear" w:color="auto" w:fill="auto"/>
            <w:noWrap/>
            <w:vAlign w:val="bottom"/>
            <w:hideMark/>
          </w:tcPr>
          <w:p w14:paraId="1E3B138F" w14:textId="492AE2D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289,517</w:t>
            </w:r>
          </w:p>
        </w:tc>
      </w:tr>
      <w:tr w:rsidR="00AB3B87" w:rsidRPr="0013747E" w14:paraId="3A8D93D0" w14:textId="77777777" w:rsidTr="005334F2">
        <w:trPr>
          <w:trHeight w:val="204"/>
        </w:trPr>
        <w:tc>
          <w:tcPr>
            <w:tcW w:w="1571" w:type="pct"/>
            <w:tcBorders>
              <w:top w:val="nil"/>
              <w:left w:val="nil"/>
              <w:bottom w:val="nil"/>
              <w:right w:val="nil"/>
            </w:tcBorders>
            <w:shd w:val="clear" w:color="auto" w:fill="auto"/>
            <w:noWrap/>
            <w:vAlign w:val="bottom"/>
            <w:hideMark/>
          </w:tcPr>
          <w:p w14:paraId="0E564953"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Employee benefits</w:t>
            </w:r>
          </w:p>
        </w:tc>
        <w:tc>
          <w:tcPr>
            <w:tcW w:w="729" w:type="pct"/>
            <w:tcBorders>
              <w:top w:val="nil"/>
              <w:left w:val="nil"/>
              <w:bottom w:val="nil"/>
              <w:right w:val="nil"/>
            </w:tcBorders>
            <w:shd w:val="clear" w:color="auto" w:fill="auto"/>
            <w:noWrap/>
            <w:vAlign w:val="bottom"/>
            <w:hideMark/>
          </w:tcPr>
          <w:p w14:paraId="1F47AA6E" w14:textId="0D4D6C6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16,149</w:t>
            </w:r>
          </w:p>
        </w:tc>
        <w:tc>
          <w:tcPr>
            <w:tcW w:w="671" w:type="pct"/>
            <w:tcBorders>
              <w:top w:val="nil"/>
              <w:left w:val="nil"/>
              <w:bottom w:val="nil"/>
              <w:right w:val="nil"/>
            </w:tcBorders>
            <w:shd w:val="clear" w:color="auto" w:fill="E6E6E6"/>
            <w:noWrap/>
            <w:vAlign w:val="bottom"/>
            <w:hideMark/>
          </w:tcPr>
          <w:p w14:paraId="1B61F70F" w14:textId="6E43C55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17,290</w:t>
            </w:r>
          </w:p>
        </w:tc>
        <w:tc>
          <w:tcPr>
            <w:tcW w:w="678" w:type="pct"/>
            <w:tcBorders>
              <w:top w:val="nil"/>
              <w:left w:val="nil"/>
              <w:bottom w:val="nil"/>
              <w:right w:val="nil"/>
            </w:tcBorders>
            <w:shd w:val="clear" w:color="auto" w:fill="auto"/>
            <w:noWrap/>
            <w:vAlign w:val="bottom"/>
            <w:hideMark/>
          </w:tcPr>
          <w:p w14:paraId="184FBDAA" w14:textId="38F771D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17,367</w:t>
            </w:r>
          </w:p>
        </w:tc>
        <w:tc>
          <w:tcPr>
            <w:tcW w:w="679" w:type="pct"/>
            <w:tcBorders>
              <w:top w:val="nil"/>
              <w:left w:val="nil"/>
              <w:bottom w:val="nil"/>
              <w:right w:val="nil"/>
            </w:tcBorders>
            <w:shd w:val="clear" w:color="auto" w:fill="auto"/>
            <w:noWrap/>
            <w:vAlign w:val="bottom"/>
            <w:hideMark/>
          </w:tcPr>
          <w:p w14:paraId="462BD39C" w14:textId="07D795C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16,646</w:t>
            </w:r>
          </w:p>
        </w:tc>
        <w:tc>
          <w:tcPr>
            <w:tcW w:w="671" w:type="pct"/>
            <w:tcBorders>
              <w:top w:val="nil"/>
              <w:left w:val="nil"/>
              <w:bottom w:val="nil"/>
              <w:right w:val="nil"/>
            </w:tcBorders>
            <w:shd w:val="clear" w:color="auto" w:fill="auto"/>
            <w:noWrap/>
            <w:vAlign w:val="bottom"/>
            <w:hideMark/>
          </w:tcPr>
          <w:p w14:paraId="1A61F1FF" w14:textId="7499EE7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16,877</w:t>
            </w:r>
          </w:p>
        </w:tc>
      </w:tr>
      <w:tr w:rsidR="00AB3B87" w:rsidRPr="0013747E" w14:paraId="2BD04EFD" w14:textId="77777777" w:rsidTr="005334F2">
        <w:trPr>
          <w:trHeight w:val="204"/>
        </w:trPr>
        <w:tc>
          <w:tcPr>
            <w:tcW w:w="1571" w:type="pct"/>
            <w:tcBorders>
              <w:top w:val="nil"/>
              <w:left w:val="nil"/>
              <w:bottom w:val="nil"/>
              <w:right w:val="nil"/>
            </w:tcBorders>
            <w:shd w:val="clear" w:color="auto" w:fill="auto"/>
            <w:noWrap/>
            <w:vAlign w:val="bottom"/>
            <w:hideMark/>
          </w:tcPr>
          <w:p w14:paraId="646C53AC"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Suppliers</w:t>
            </w:r>
          </w:p>
        </w:tc>
        <w:tc>
          <w:tcPr>
            <w:tcW w:w="729" w:type="pct"/>
            <w:tcBorders>
              <w:top w:val="nil"/>
              <w:left w:val="nil"/>
              <w:bottom w:val="nil"/>
              <w:right w:val="nil"/>
            </w:tcBorders>
            <w:shd w:val="clear" w:color="auto" w:fill="auto"/>
            <w:noWrap/>
            <w:vAlign w:val="bottom"/>
            <w:hideMark/>
          </w:tcPr>
          <w:p w14:paraId="2AD2E7C5" w14:textId="505E897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848,106</w:t>
            </w:r>
          </w:p>
        </w:tc>
        <w:tc>
          <w:tcPr>
            <w:tcW w:w="671" w:type="pct"/>
            <w:tcBorders>
              <w:top w:val="nil"/>
              <w:left w:val="nil"/>
              <w:bottom w:val="nil"/>
              <w:right w:val="nil"/>
            </w:tcBorders>
            <w:shd w:val="clear" w:color="auto" w:fill="E6E6E6"/>
            <w:noWrap/>
            <w:vAlign w:val="bottom"/>
            <w:hideMark/>
          </w:tcPr>
          <w:p w14:paraId="781234D3" w14:textId="55CCC7F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765,886</w:t>
            </w:r>
          </w:p>
        </w:tc>
        <w:tc>
          <w:tcPr>
            <w:tcW w:w="678" w:type="pct"/>
            <w:tcBorders>
              <w:top w:val="nil"/>
              <w:left w:val="nil"/>
              <w:bottom w:val="nil"/>
              <w:right w:val="nil"/>
            </w:tcBorders>
            <w:shd w:val="clear" w:color="auto" w:fill="auto"/>
            <w:noWrap/>
            <w:vAlign w:val="bottom"/>
            <w:hideMark/>
          </w:tcPr>
          <w:p w14:paraId="6D816EB2" w14:textId="2C21175E"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484,729</w:t>
            </w:r>
          </w:p>
        </w:tc>
        <w:tc>
          <w:tcPr>
            <w:tcW w:w="679" w:type="pct"/>
            <w:tcBorders>
              <w:top w:val="nil"/>
              <w:left w:val="nil"/>
              <w:bottom w:val="nil"/>
              <w:right w:val="nil"/>
            </w:tcBorders>
            <w:shd w:val="clear" w:color="auto" w:fill="auto"/>
            <w:noWrap/>
            <w:vAlign w:val="bottom"/>
            <w:hideMark/>
          </w:tcPr>
          <w:p w14:paraId="1980A02C" w14:textId="0C8A3E8E"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584,848</w:t>
            </w:r>
          </w:p>
        </w:tc>
        <w:tc>
          <w:tcPr>
            <w:tcW w:w="671" w:type="pct"/>
            <w:tcBorders>
              <w:top w:val="nil"/>
              <w:left w:val="nil"/>
              <w:bottom w:val="nil"/>
              <w:right w:val="nil"/>
            </w:tcBorders>
            <w:shd w:val="clear" w:color="auto" w:fill="auto"/>
            <w:noWrap/>
            <w:vAlign w:val="bottom"/>
            <w:hideMark/>
          </w:tcPr>
          <w:p w14:paraId="768D750C" w14:textId="2E8E730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704,922</w:t>
            </w:r>
          </w:p>
        </w:tc>
      </w:tr>
      <w:tr w:rsidR="00AB3B87" w:rsidRPr="0013747E" w14:paraId="278AFECE" w14:textId="77777777" w:rsidTr="005334F2">
        <w:trPr>
          <w:trHeight w:val="204"/>
        </w:trPr>
        <w:tc>
          <w:tcPr>
            <w:tcW w:w="1571" w:type="pct"/>
            <w:tcBorders>
              <w:top w:val="nil"/>
              <w:left w:val="nil"/>
              <w:bottom w:val="nil"/>
              <w:right w:val="nil"/>
            </w:tcBorders>
            <w:shd w:val="clear" w:color="auto" w:fill="auto"/>
            <w:vAlign w:val="bottom"/>
            <w:hideMark/>
          </w:tcPr>
          <w:p w14:paraId="7172FCAD" w14:textId="77777777" w:rsidR="00AB3B87" w:rsidRPr="0013747E" w:rsidRDefault="00AB3B87" w:rsidP="00AB3B87">
            <w:pPr>
              <w:spacing w:after="0" w:line="240" w:lineRule="auto"/>
              <w:ind w:left="227"/>
              <w:rPr>
                <w:rFonts w:ascii="Arial" w:hAnsi="Arial" w:cs="Arial"/>
                <w:sz w:val="16"/>
                <w:szCs w:val="16"/>
              </w:rPr>
            </w:pPr>
            <w:r w:rsidRPr="0013747E">
              <w:rPr>
                <w:rFonts w:ascii="Arial" w:hAnsi="Arial" w:cs="Arial"/>
                <w:sz w:val="16"/>
                <w:szCs w:val="16"/>
              </w:rPr>
              <w:t>Payments to corporate entities</w:t>
            </w:r>
          </w:p>
        </w:tc>
        <w:tc>
          <w:tcPr>
            <w:tcW w:w="729" w:type="pct"/>
            <w:tcBorders>
              <w:top w:val="nil"/>
              <w:left w:val="nil"/>
              <w:bottom w:val="nil"/>
              <w:right w:val="nil"/>
            </w:tcBorders>
            <w:shd w:val="clear" w:color="auto" w:fill="auto"/>
            <w:noWrap/>
            <w:vAlign w:val="bottom"/>
            <w:hideMark/>
          </w:tcPr>
          <w:p w14:paraId="63545E99" w14:textId="29E08CA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2,118,140</w:t>
            </w:r>
          </w:p>
        </w:tc>
        <w:tc>
          <w:tcPr>
            <w:tcW w:w="671" w:type="pct"/>
            <w:tcBorders>
              <w:top w:val="nil"/>
              <w:left w:val="nil"/>
              <w:bottom w:val="nil"/>
              <w:right w:val="nil"/>
            </w:tcBorders>
            <w:shd w:val="clear" w:color="auto" w:fill="E6E6E6"/>
            <w:noWrap/>
            <w:vAlign w:val="bottom"/>
            <w:hideMark/>
          </w:tcPr>
          <w:p w14:paraId="36BE0733" w14:textId="268158E2"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2,160,012</w:t>
            </w:r>
          </w:p>
        </w:tc>
        <w:tc>
          <w:tcPr>
            <w:tcW w:w="678" w:type="pct"/>
            <w:tcBorders>
              <w:top w:val="nil"/>
              <w:left w:val="nil"/>
              <w:bottom w:val="nil"/>
              <w:right w:val="nil"/>
            </w:tcBorders>
            <w:shd w:val="clear" w:color="auto" w:fill="auto"/>
            <w:noWrap/>
            <w:vAlign w:val="bottom"/>
            <w:hideMark/>
          </w:tcPr>
          <w:p w14:paraId="3326ED6B" w14:textId="4B3BAAFF"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2,147,426</w:t>
            </w:r>
          </w:p>
        </w:tc>
        <w:tc>
          <w:tcPr>
            <w:tcW w:w="679" w:type="pct"/>
            <w:tcBorders>
              <w:top w:val="nil"/>
              <w:left w:val="nil"/>
              <w:bottom w:val="nil"/>
              <w:right w:val="nil"/>
            </w:tcBorders>
            <w:shd w:val="clear" w:color="auto" w:fill="auto"/>
            <w:noWrap/>
            <w:vAlign w:val="bottom"/>
            <w:hideMark/>
          </w:tcPr>
          <w:p w14:paraId="776EFD0E" w14:textId="4B1BCAC2"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2,173,742</w:t>
            </w:r>
          </w:p>
        </w:tc>
        <w:tc>
          <w:tcPr>
            <w:tcW w:w="671" w:type="pct"/>
            <w:tcBorders>
              <w:top w:val="nil"/>
              <w:left w:val="nil"/>
              <w:bottom w:val="nil"/>
              <w:right w:val="nil"/>
            </w:tcBorders>
            <w:shd w:val="clear" w:color="auto" w:fill="auto"/>
            <w:noWrap/>
            <w:vAlign w:val="bottom"/>
            <w:hideMark/>
          </w:tcPr>
          <w:p w14:paraId="77EF0475" w14:textId="043E5151"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2,197,347</w:t>
            </w:r>
          </w:p>
        </w:tc>
      </w:tr>
      <w:tr w:rsidR="00AB3B87" w:rsidRPr="0013747E" w14:paraId="04A14D21" w14:textId="77777777" w:rsidTr="005334F2">
        <w:trPr>
          <w:trHeight w:val="204"/>
        </w:trPr>
        <w:tc>
          <w:tcPr>
            <w:tcW w:w="1571" w:type="pct"/>
            <w:tcBorders>
              <w:top w:val="nil"/>
              <w:left w:val="nil"/>
              <w:bottom w:val="nil"/>
              <w:right w:val="nil"/>
            </w:tcBorders>
            <w:shd w:val="clear" w:color="auto" w:fill="auto"/>
            <w:noWrap/>
            <w:vAlign w:val="bottom"/>
            <w:hideMark/>
          </w:tcPr>
          <w:p w14:paraId="1A5DF9E2"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Other</w:t>
            </w:r>
          </w:p>
        </w:tc>
        <w:tc>
          <w:tcPr>
            <w:tcW w:w="729" w:type="pct"/>
            <w:tcBorders>
              <w:top w:val="nil"/>
              <w:left w:val="nil"/>
              <w:bottom w:val="nil"/>
              <w:right w:val="nil"/>
            </w:tcBorders>
            <w:shd w:val="clear" w:color="auto" w:fill="auto"/>
            <w:noWrap/>
            <w:vAlign w:val="bottom"/>
            <w:hideMark/>
          </w:tcPr>
          <w:p w14:paraId="22480CCC" w14:textId="65C245E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15,684</w:t>
            </w:r>
          </w:p>
        </w:tc>
        <w:tc>
          <w:tcPr>
            <w:tcW w:w="671" w:type="pct"/>
            <w:tcBorders>
              <w:top w:val="nil"/>
              <w:left w:val="nil"/>
              <w:bottom w:val="nil"/>
              <w:right w:val="nil"/>
            </w:tcBorders>
            <w:shd w:val="clear" w:color="auto" w:fill="E6E6E6"/>
            <w:noWrap/>
            <w:vAlign w:val="bottom"/>
            <w:hideMark/>
          </w:tcPr>
          <w:p w14:paraId="411FC2B4" w14:textId="6901631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9,650</w:t>
            </w:r>
          </w:p>
        </w:tc>
        <w:tc>
          <w:tcPr>
            <w:tcW w:w="678" w:type="pct"/>
            <w:tcBorders>
              <w:top w:val="nil"/>
              <w:left w:val="nil"/>
              <w:bottom w:val="nil"/>
              <w:right w:val="nil"/>
            </w:tcBorders>
            <w:shd w:val="clear" w:color="auto" w:fill="auto"/>
            <w:noWrap/>
            <w:vAlign w:val="bottom"/>
            <w:hideMark/>
          </w:tcPr>
          <w:p w14:paraId="7A7D5000" w14:textId="7543934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9,790</w:t>
            </w:r>
          </w:p>
        </w:tc>
        <w:tc>
          <w:tcPr>
            <w:tcW w:w="679" w:type="pct"/>
            <w:tcBorders>
              <w:top w:val="nil"/>
              <w:left w:val="nil"/>
              <w:bottom w:val="nil"/>
              <w:right w:val="nil"/>
            </w:tcBorders>
            <w:shd w:val="clear" w:color="auto" w:fill="auto"/>
            <w:noWrap/>
            <w:vAlign w:val="bottom"/>
            <w:hideMark/>
          </w:tcPr>
          <w:p w14:paraId="3472FD52" w14:textId="3C767C96"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10,313</w:t>
            </w:r>
          </w:p>
        </w:tc>
        <w:tc>
          <w:tcPr>
            <w:tcW w:w="671" w:type="pct"/>
            <w:tcBorders>
              <w:top w:val="nil"/>
              <w:left w:val="nil"/>
              <w:bottom w:val="nil"/>
              <w:right w:val="nil"/>
            </w:tcBorders>
            <w:shd w:val="clear" w:color="auto" w:fill="auto"/>
            <w:noWrap/>
            <w:vAlign w:val="bottom"/>
            <w:hideMark/>
          </w:tcPr>
          <w:p w14:paraId="3A6D0D3A" w14:textId="28966654"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2,801</w:t>
            </w:r>
          </w:p>
        </w:tc>
      </w:tr>
      <w:tr w:rsidR="00AB3B87" w:rsidRPr="0013747E" w14:paraId="5527BC0F" w14:textId="77777777" w:rsidTr="005334F2">
        <w:trPr>
          <w:trHeight w:val="204"/>
        </w:trPr>
        <w:tc>
          <w:tcPr>
            <w:tcW w:w="1571" w:type="pct"/>
            <w:tcBorders>
              <w:top w:val="nil"/>
              <w:left w:val="nil"/>
              <w:bottom w:val="nil"/>
              <w:right w:val="nil"/>
            </w:tcBorders>
            <w:shd w:val="clear" w:color="auto" w:fill="auto"/>
            <w:noWrap/>
            <w:vAlign w:val="bottom"/>
            <w:hideMark/>
          </w:tcPr>
          <w:p w14:paraId="3B18A369" w14:textId="77777777" w:rsidR="00AB3B87" w:rsidRPr="0013747E" w:rsidRDefault="00AB3B87" w:rsidP="00AB3B87">
            <w:pPr>
              <w:spacing w:after="0" w:line="240" w:lineRule="auto"/>
              <w:ind w:left="113"/>
              <w:rPr>
                <w:rFonts w:ascii="Arial" w:hAnsi="Arial" w:cs="Arial"/>
                <w:b/>
                <w:bCs/>
                <w:i/>
                <w:iCs/>
                <w:color w:val="000000"/>
                <w:sz w:val="16"/>
                <w:szCs w:val="16"/>
              </w:rPr>
            </w:pPr>
            <w:r w:rsidRPr="0013747E">
              <w:rPr>
                <w:rFonts w:ascii="Arial" w:hAnsi="Arial" w:cs="Arial"/>
                <w:b/>
                <w:bCs/>
                <w:i/>
                <w:iCs/>
                <w:color w:val="000000"/>
                <w:sz w:val="16"/>
                <w:szCs w:val="16"/>
              </w:rPr>
              <w:t>Total cash used</w:t>
            </w:r>
          </w:p>
        </w:tc>
        <w:tc>
          <w:tcPr>
            <w:tcW w:w="729" w:type="pct"/>
            <w:tcBorders>
              <w:top w:val="single" w:sz="4" w:space="0" w:color="000000"/>
              <w:left w:val="nil"/>
              <w:bottom w:val="single" w:sz="4" w:space="0" w:color="000000"/>
              <w:right w:val="nil"/>
            </w:tcBorders>
            <w:shd w:val="clear" w:color="auto" w:fill="auto"/>
            <w:noWrap/>
            <w:vAlign w:val="bottom"/>
            <w:hideMark/>
          </w:tcPr>
          <w:p w14:paraId="3B41C45E" w14:textId="2CE06435"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10,915,195</w:t>
            </w:r>
          </w:p>
        </w:tc>
        <w:tc>
          <w:tcPr>
            <w:tcW w:w="671" w:type="pct"/>
            <w:tcBorders>
              <w:top w:val="single" w:sz="4" w:space="0" w:color="000000"/>
              <w:left w:val="nil"/>
              <w:bottom w:val="single" w:sz="4" w:space="0" w:color="000000"/>
              <w:right w:val="nil"/>
            </w:tcBorders>
            <w:shd w:val="clear" w:color="auto" w:fill="E6E6E6"/>
            <w:noWrap/>
            <w:vAlign w:val="bottom"/>
            <w:hideMark/>
          </w:tcPr>
          <w:p w14:paraId="65172017" w14:textId="377107DE"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7,847,882</w:t>
            </w:r>
          </w:p>
        </w:tc>
        <w:tc>
          <w:tcPr>
            <w:tcW w:w="678" w:type="pct"/>
            <w:tcBorders>
              <w:top w:val="single" w:sz="4" w:space="0" w:color="000000"/>
              <w:left w:val="nil"/>
              <w:bottom w:val="single" w:sz="4" w:space="0" w:color="000000"/>
              <w:right w:val="nil"/>
            </w:tcBorders>
            <w:shd w:val="clear" w:color="auto" w:fill="auto"/>
            <w:noWrap/>
            <w:vAlign w:val="bottom"/>
            <w:hideMark/>
          </w:tcPr>
          <w:p w14:paraId="4336F94F" w14:textId="0647957C"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9,093,731</w:t>
            </w:r>
          </w:p>
        </w:tc>
        <w:tc>
          <w:tcPr>
            <w:tcW w:w="679" w:type="pct"/>
            <w:tcBorders>
              <w:top w:val="single" w:sz="4" w:space="0" w:color="000000"/>
              <w:left w:val="nil"/>
              <w:bottom w:val="single" w:sz="4" w:space="0" w:color="000000"/>
              <w:right w:val="nil"/>
            </w:tcBorders>
            <w:shd w:val="clear" w:color="auto" w:fill="auto"/>
            <w:noWrap/>
            <w:vAlign w:val="bottom"/>
            <w:hideMark/>
          </w:tcPr>
          <w:p w14:paraId="2F071535" w14:textId="033E749E"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9,069,421</w:t>
            </w:r>
          </w:p>
        </w:tc>
        <w:tc>
          <w:tcPr>
            <w:tcW w:w="671" w:type="pct"/>
            <w:tcBorders>
              <w:top w:val="single" w:sz="4" w:space="0" w:color="000000"/>
              <w:left w:val="nil"/>
              <w:bottom w:val="single" w:sz="4" w:space="0" w:color="000000"/>
              <w:right w:val="nil"/>
            </w:tcBorders>
            <w:shd w:val="clear" w:color="auto" w:fill="auto"/>
            <w:noWrap/>
            <w:vAlign w:val="bottom"/>
            <w:hideMark/>
          </w:tcPr>
          <w:p w14:paraId="3DC54D00" w14:textId="0E0C7837"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9,127,465</w:t>
            </w:r>
          </w:p>
        </w:tc>
      </w:tr>
      <w:tr w:rsidR="00AB3B87" w:rsidRPr="0013747E" w14:paraId="5EC850C9" w14:textId="77777777" w:rsidTr="005334F2">
        <w:trPr>
          <w:trHeight w:val="204"/>
        </w:trPr>
        <w:tc>
          <w:tcPr>
            <w:tcW w:w="1571" w:type="pct"/>
            <w:tcBorders>
              <w:top w:val="nil"/>
              <w:left w:val="nil"/>
              <w:bottom w:val="nil"/>
              <w:right w:val="nil"/>
            </w:tcBorders>
            <w:shd w:val="clear" w:color="auto" w:fill="auto"/>
            <w:vAlign w:val="bottom"/>
            <w:hideMark/>
          </w:tcPr>
          <w:p w14:paraId="70667B17" w14:textId="77777777" w:rsidR="00AB3B87" w:rsidRPr="0013747E" w:rsidRDefault="00AB3B87" w:rsidP="00AB3B87">
            <w:pPr>
              <w:spacing w:after="0" w:line="240" w:lineRule="auto"/>
              <w:rPr>
                <w:rFonts w:ascii="Arial" w:hAnsi="Arial" w:cs="Arial"/>
                <w:b/>
                <w:bCs/>
                <w:color w:val="000000"/>
                <w:sz w:val="16"/>
                <w:szCs w:val="16"/>
              </w:rPr>
            </w:pPr>
            <w:r w:rsidRPr="0013747E">
              <w:rPr>
                <w:rFonts w:ascii="Arial" w:hAnsi="Arial" w:cs="Arial"/>
                <w:b/>
                <w:bCs/>
                <w:color w:val="000000"/>
                <w:sz w:val="16"/>
                <w:szCs w:val="16"/>
              </w:rPr>
              <w:t>Net cash from/(used by) operating activities</w:t>
            </w:r>
          </w:p>
        </w:tc>
        <w:tc>
          <w:tcPr>
            <w:tcW w:w="729" w:type="pct"/>
            <w:tcBorders>
              <w:top w:val="nil"/>
              <w:left w:val="nil"/>
              <w:bottom w:val="single" w:sz="4" w:space="0" w:color="000000"/>
              <w:right w:val="nil"/>
            </w:tcBorders>
            <w:shd w:val="clear" w:color="auto" w:fill="auto"/>
            <w:noWrap/>
            <w:vAlign w:val="bottom"/>
            <w:hideMark/>
          </w:tcPr>
          <w:p w14:paraId="268D13EC" w14:textId="07AB1057"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(10,345,876)</w:t>
            </w:r>
          </w:p>
        </w:tc>
        <w:tc>
          <w:tcPr>
            <w:tcW w:w="671" w:type="pct"/>
            <w:tcBorders>
              <w:top w:val="nil"/>
              <w:left w:val="nil"/>
              <w:bottom w:val="single" w:sz="4" w:space="0" w:color="000000"/>
              <w:right w:val="nil"/>
            </w:tcBorders>
            <w:shd w:val="clear" w:color="auto" w:fill="E6E6E6"/>
            <w:noWrap/>
            <w:vAlign w:val="bottom"/>
            <w:hideMark/>
          </w:tcPr>
          <w:p w14:paraId="0D42143D" w14:textId="0896ADC6"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(7,599,899)</w:t>
            </w:r>
          </w:p>
        </w:tc>
        <w:tc>
          <w:tcPr>
            <w:tcW w:w="678" w:type="pct"/>
            <w:tcBorders>
              <w:top w:val="nil"/>
              <w:left w:val="nil"/>
              <w:bottom w:val="single" w:sz="4" w:space="0" w:color="000000"/>
              <w:right w:val="nil"/>
            </w:tcBorders>
            <w:shd w:val="clear" w:color="auto" w:fill="auto"/>
            <w:noWrap/>
            <w:vAlign w:val="bottom"/>
            <w:hideMark/>
          </w:tcPr>
          <w:p w14:paraId="3B0F10EC" w14:textId="54650B26"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(8,834,142)</w:t>
            </w:r>
          </w:p>
        </w:tc>
        <w:tc>
          <w:tcPr>
            <w:tcW w:w="679" w:type="pct"/>
            <w:tcBorders>
              <w:top w:val="nil"/>
              <w:left w:val="nil"/>
              <w:bottom w:val="single" w:sz="4" w:space="0" w:color="000000"/>
              <w:right w:val="nil"/>
            </w:tcBorders>
            <w:shd w:val="clear" w:color="auto" w:fill="auto"/>
            <w:noWrap/>
            <w:vAlign w:val="bottom"/>
            <w:hideMark/>
          </w:tcPr>
          <w:p w14:paraId="4C090061" w14:textId="43ADC577"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(8,750,020)</w:t>
            </w:r>
          </w:p>
        </w:tc>
        <w:tc>
          <w:tcPr>
            <w:tcW w:w="671" w:type="pct"/>
            <w:tcBorders>
              <w:top w:val="nil"/>
              <w:left w:val="nil"/>
              <w:bottom w:val="single" w:sz="4" w:space="0" w:color="000000"/>
              <w:right w:val="nil"/>
            </w:tcBorders>
            <w:shd w:val="clear" w:color="auto" w:fill="auto"/>
            <w:noWrap/>
            <w:vAlign w:val="bottom"/>
            <w:hideMark/>
          </w:tcPr>
          <w:p w14:paraId="1060707E" w14:textId="6D549598"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(8,845,437)</w:t>
            </w:r>
          </w:p>
        </w:tc>
      </w:tr>
      <w:tr w:rsidR="00AB3B87" w:rsidRPr="0013747E" w14:paraId="752AA1D0" w14:textId="77777777" w:rsidTr="005334F2">
        <w:trPr>
          <w:trHeight w:val="204"/>
        </w:trPr>
        <w:tc>
          <w:tcPr>
            <w:tcW w:w="1571" w:type="pct"/>
            <w:tcBorders>
              <w:top w:val="nil"/>
              <w:left w:val="nil"/>
              <w:bottom w:val="nil"/>
              <w:right w:val="nil"/>
            </w:tcBorders>
            <w:shd w:val="clear" w:color="auto" w:fill="auto"/>
            <w:noWrap/>
            <w:vAlign w:val="bottom"/>
            <w:hideMark/>
          </w:tcPr>
          <w:p w14:paraId="45D02601" w14:textId="77777777" w:rsidR="00AB3B87" w:rsidRPr="0013747E" w:rsidRDefault="00AB3B87" w:rsidP="00AB3B87">
            <w:pPr>
              <w:spacing w:after="0" w:line="240" w:lineRule="auto"/>
              <w:rPr>
                <w:rFonts w:ascii="Arial" w:hAnsi="Arial" w:cs="Arial"/>
                <w:b/>
                <w:bCs/>
                <w:color w:val="000000"/>
                <w:sz w:val="16"/>
                <w:szCs w:val="16"/>
              </w:rPr>
            </w:pPr>
            <w:r w:rsidRPr="0013747E">
              <w:rPr>
                <w:rFonts w:ascii="Arial" w:hAnsi="Arial" w:cs="Arial"/>
                <w:b/>
                <w:bCs/>
                <w:color w:val="000000"/>
                <w:sz w:val="16"/>
                <w:szCs w:val="16"/>
              </w:rPr>
              <w:t>INVESTING ACTIVITIES</w:t>
            </w:r>
          </w:p>
        </w:tc>
        <w:tc>
          <w:tcPr>
            <w:tcW w:w="729" w:type="pct"/>
            <w:tcBorders>
              <w:top w:val="nil"/>
              <w:left w:val="nil"/>
              <w:bottom w:val="nil"/>
              <w:right w:val="nil"/>
            </w:tcBorders>
            <w:shd w:val="clear" w:color="auto" w:fill="auto"/>
            <w:noWrap/>
            <w:vAlign w:val="bottom"/>
            <w:hideMark/>
          </w:tcPr>
          <w:p w14:paraId="5D4EDF49" w14:textId="77777777" w:rsidR="00AB3B87" w:rsidRPr="0013747E" w:rsidRDefault="00AB3B87" w:rsidP="00AB3B87">
            <w:pPr>
              <w:spacing w:after="0" w:line="240" w:lineRule="auto"/>
              <w:jc w:val="right"/>
              <w:rPr>
                <w:rFonts w:ascii="Arial" w:hAnsi="Arial" w:cs="Arial"/>
                <w:b/>
                <w:bCs/>
                <w:color w:val="000000"/>
                <w:sz w:val="16"/>
                <w:szCs w:val="16"/>
              </w:rPr>
            </w:pPr>
          </w:p>
        </w:tc>
        <w:tc>
          <w:tcPr>
            <w:tcW w:w="671" w:type="pct"/>
            <w:tcBorders>
              <w:top w:val="nil"/>
              <w:left w:val="nil"/>
              <w:bottom w:val="nil"/>
              <w:right w:val="nil"/>
            </w:tcBorders>
            <w:shd w:val="clear" w:color="auto" w:fill="E6E6E6"/>
            <w:noWrap/>
            <w:vAlign w:val="bottom"/>
            <w:hideMark/>
          </w:tcPr>
          <w:p w14:paraId="35D8D514" w14:textId="0F6C8CE9" w:rsidR="00AB3B87" w:rsidRPr="0013747E" w:rsidRDefault="00AB3B87" w:rsidP="00AB3B87">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5A7326C6" w14:textId="77777777" w:rsidR="00AB3B87" w:rsidRPr="0013747E" w:rsidRDefault="00AB3B87" w:rsidP="00AB3B87">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0EA350DA" w14:textId="77777777" w:rsidR="00AB3B87" w:rsidRPr="0013747E" w:rsidRDefault="00AB3B87" w:rsidP="00AB3B8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2A616349" w14:textId="77777777" w:rsidR="00AB3B87" w:rsidRPr="0013747E" w:rsidRDefault="00AB3B87" w:rsidP="00AB3B87">
            <w:pPr>
              <w:spacing w:after="0" w:line="240" w:lineRule="auto"/>
              <w:jc w:val="right"/>
              <w:rPr>
                <w:rFonts w:ascii="Times New Roman" w:hAnsi="Times New Roman"/>
              </w:rPr>
            </w:pPr>
          </w:p>
        </w:tc>
      </w:tr>
      <w:tr w:rsidR="00AB3B87" w:rsidRPr="0013747E" w14:paraId="70600778" w14:textId="77777777" w:rsidTr="005334F2">
        <w:trPr>
          <w:trHeight w:val="204"/>
        </w:trPr>
        <w:tc>
          <w:tcPr>
            <w:tcW w:w="1571" w:type="pct"/>
            <w:tcBorders>
              <w:top w:val="nil"/>
              <w:left w:val="nil"/>
              <w:bottom w:val="nil"/>
              <w:right w:val="nil"/>
            </w:tcBorders>
            <w:shd w:val="clear" w:color="auto" w:fill="auto"/>
            <w:noWrap/>
            <w:vAlign w:val="bottom"/>
            <w:hideMark/>
          </w:tcPr>
          <w:p w14:paraId="7F8E8E89" w14:textId="77777777" w:rsidR="00AB3B87" w:rsidRPr="0013747E" w:rsidRDefault="00AB3B87" w:rsidP="00AB3B87">
            <w:pPr>
              <w:spacing w:after="0" w:line="240" w:lineRule="auto"/>
              <w:ind w:left="113"/>
              <w:rPr>
                <w:rFonts w:ascii="Arial" w:hAnsi="Arial" w:cs="Arial"/>
                <w:b/>
                <w:bCs/>
                <w:color w:val="000000"/>
                <w:sz w:val="16"/>
                <w:szCs w:val="16"/>
              </w:rPr>
            </w:pPr>
            <w:r w:rsidRPr="0013747E">
              <w:rPr>
                <w:rFonts w:ascii="Arial" w:hAnsi="Arial" w:cs="Arial"/>
                <w:b/>
                <w:bCs/>
                <w:color w:val="000000"/>
                <w:sz w:val="16"/>
                <w:szCs w:val="16"/>
              </w:rPr>
              <w:t>Cash received</w:t>
            </w:r>
          </w:p>
        </w:tc>
        <w:tc>
          <w:tcPr>
            <w:tcW w:w="729" w:type="pct"/>
            <w:tcBorders>
              <w:top w:val="nil"/>
              <w:left w:val="nil"/>
              <w:bottom w:val="nil"/>
              <w:right w:val="nil"/>
            </w:tcBorders>
            <w:shd w:val="clear" w:color="auto" w:fill="auto"/>
            <w:noWrap/>
            <w:vAlign w:val="bottom"/>
            <w:hideMark/>
          </w:tcPr>
          <w:p w14:paraId="1AFF2637" w14:textId="77777777" w:rsidR="00AB3B87" w:rsidRPr="0013747E" w:rsidRDefault="00AB3B87" w:rsidP="00AB3B87">
            <w:pPr>
              <w:spacing w:after="0" w:line="240" w:lineRule="auto"/>
              <w:ind w:firstLineChars="100" w:firstLine="161"/>
              <w:jc w:val="right"/>
              <w:rPr>
                <w:rFonts w:ascii="Arial" w:hAnsi="Arial" w:cs="Arial"/>
                <w:b/>
                <w:bCs/>
                <w:color w:val="000000"/>
                <w:sz w:val="16"/>
                <w:szCs w:val="16"/>
              </w:rPr>
            </w:pPr>
          </w:p>
        </w:tc>
        <w:tc>
          <w:tcPr>
            <w:tcW w:w="671" w:type="pct"/>
            <w:tcBorders>
              <w:top w:val="nil"/>
              <w:left w:val="nil"/>
              <w:bottom w:val="nil"/>
              <w:right w:val="nil"/>
            </w:tcBorders>
            <w:shd w:val="clear" w:color="auto" w:fill="E6E6E6"/>
            <w:noWrap/>
            <w:vAlign w:val="bottom"/>
            <w:hideMark/>
          </w:tcPr>
          <w:p w14:paraId="4969DCFA" w14:textId="5266703B" w:rsidR="00AB3B87" w:rsidRPr="0013747E" w:rsidRDefault="00AB3B87" w:rsidP="00AB3B87">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7D4F4A38" w14:textId="77777777" w:rsidR="00AB3B87" w:rsidRPr="0013747E" w:rsidRDefault="00AB3B87" w:rsidP="00AB3B87">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65DF39A8" w14:textId="77777777" w:rsidR="00AB3B87" w:rsidRPr="0013747E" w:rsidRDefault="00AB3B87" w:rsidP="00AB3B8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3FB3D0DA" w14:textId="77777777" w:rsidR="00AB3B87" w:rsidRPr="0013747E" w:rsidRDefault="00AB3B87" w:rsidP="00AB3B87">
            <w:pPr>
              <w:spacing w:after="0" w:line="240" w:lineRule="auto"/>
              <w:jc w:val="right"/>
              <w:rPr>
                <w:rFonts w:ascii="Times New Roman" w:hAnsi="Times New Roman"/>
              </w:rPr>
            </w:pPr>
          </w:p>
        </w:tc>
      </w:tr>
      <w:tr w:rsidR="00AB3B87" w:rsidRPr="0013747E" w14:paraId="6420ADF8" w14:textId="77777777" w:rsidTr="005334F2">
        <w:trPr>
          <w:trHeight w:val="204"/>
        </w:trPr>
        <w:tc>
          <w:tcPr>
            <w:tcW w:w="1571" w:type="pct"/>
            <w:tcBorders>
              <w:top w:val="nil"/>
              <w:left w:val="nil"/>
              <w:bottom w:val="nil"/>
              <w:right w:val="nil"/>
            </w:tcBorders>
            <w:shd w:val="clear" w:color="auto" w:fill="auto"/>
            <w:vAlign w:val="bottom"/>
            <w:hideMark/>
          </w:tcPr>
          <w:p w14:paraId="2F0B835A"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Repayments of advances and loans</w:t>
            </w:r>
          </w:p>
        </w:tc>
        <w:tc>
          <w:tcPr>
            <w:tcW w:w="729" w:type="pct"/>
            <w:tcBorders>
              <w:top w:val="nil"/>
              <w:left w:val="nil"/>
              <w:bottom w:val="nil"/>
              <w:right w:val="nil"/>
            </w:tcBorders>
            <w:shd w:val="clear" w:color="auto" w:fill="auto"/>
            <w:noWrap/>
            <w:vAlign w:val="bottom"/>
            <w:hideMark/>
          </w:tcPr>
          <w:p w14:paraId="67BAD7CE" w14:textId="3EEC5A01"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6,955,623</w:t>
            </w:r>
          </w:p>
        </w:tc>
        <w:tc>
          <w:tcPr>
            <w:tcW w:w="671" w:type="pct"/>
            <w:tcBorders>
              <w:top w:val="nil"/>
              <w:left w:val="nil"/>
              <w:bottom w:val="nil"/>
              <w:right w:val="nil"/>
            </w:tcBorders>
            <w:shd w:val="clear" w:color="auto" w:fill="E6E6E6"/>
            <w:noWrap/>
            <w:vAlign w:val="bottom"/>
            <w:hideMark/>
          </w:tcPr>
          <w:p w14:paraId="05F5D7F3" w14:textId="0C45B8A6"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899,150</w:t>
            </w:r>
          </w:p>
        </w:tc>
        <w:tc>
          <w:tcPr>
            <w:tcW w:w="678" w:type="pct"/>
            <w:tcBorders>
              <w:top w:val="nil"/>
              <w:left w:val="nil"/>
              <w:bottom w:val="nil"/>
              <w:right w:val="nil"/>
            </w:tcBorders>
            <w:shd w:val="clear" w:color="auto" w:fill="auto"/>
            <w:noWrap/>
            <w:vAlign w:val="bottom"/>
            <w:hideMark/>
          </w:tcPr>
          <w:p w14:paraId="436A3E26" w14:textId="69C97B70"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5,529,304</w:t>
            </w:r>
          </w:p>
        </w:tc>
        <w:tc>
          <w:tcPr>
            <w:tcW w:w="679" w:type="pct"/>
            <w:tcBorders>
              <w:top w:val="nil"/>
              <w:left w:val="nil"/>
              <w:bottom w:val="nil"/>
              <w:right w:val="nil"/>
            </w:tcBorders>
            <w:shd w:val="clear" w:color="auto" w:fill="auto"/>
            <w:noWrap/>
            <w:vAlign w:val="bottom"/>
            <w:hideMark/>
          </w:tcPr>
          <w:p w14:paraId="5DDF0C79" w14:textId="71916E4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46,671</w:t>
            </w:r>
          </w:p>
        </w:tc>
        <w:tc>
          <w:tcPr>
            <w:tcW w:w="671" w:type="pct"/>
            <w:tcBorders>
              <w:top w:val="nil"/>
              <w:left w:val="nil"/>
              <w:bottom w:val="nil"/>
              <w:right w:val="nil"/>
            </w:tcBorders>
            <w:shd w:val="clear" w:color="auto" w:fill="auto"/>
            <w:noWrap/>
            <w:vAlign w:val="bottom"/>
            <w:hideMark/>
          </w:tcPr>
          <w:p w14:paraId="50EE6189" w14:textId="7341480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107,109</w:t>
            </w:r>
          </w:p>
        </w:tc>
      </w:tr>
      <w:tr w:rsidR="00AB3B87" w:rsidRPr="0013747E" w14:paraId="071CCD71" w14:textId="77777777" w:rsidTr="005334F2">
        <w:trPr>
          <w:trHeight w:val="204"/>
        </w:trPr>
        <w:tc>
          <w:tcPr>
            <w:tcW w:w="1571" w:type="pct"/>
            <w:tcBorders>
              <w:top w:val="nil"/>
              <w:left w:val="nil"/>
              <w:bottom w:val="nil"/>
              <w:right w:val="nil"/>
            </w:tcBorders>
            <w:shd w:val="clear" w:color="auto" w:fill="auto"/>
            <w:vAlign w:val="bottom"/>
            <w:hideMark/>
          </w:tcPr>
          <w:p w14:paraId="54BEDDD5"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Proceeds from sales of land</w:t>
            </w:r>
          </w:p>
        </w:tc>
        <w:tc>
          <w:tcPr>
            <w:tcW w:w="729" w:type="pct"/>
            <w:tcBorders>
              <w:top w:val="nil"/>
              <w:left w:val="nil"/>
              <w:bottom w:val="nil"/>
              <w:right w:val="nil"/>
            </w:tcBorders>
            <w:shd w:val="clear" w:color="auto" w:fill="auto"/>
            <w:noWrap/>
            <w:vAlign w:val="bottom"/>
            <w:hideMark/>
          </w:tcPr>
          <w:p w14:paraId="39510CF2" w14:textId="2A761109"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293,000</w:t>
            </w:r>
          </w:p>
        </w:tc>
        <w:tc>
          <w:tcPr>
            <w:tcW w:w="671" w:type="pct"/>
            <w:tcBorders>
              <w:top w:val="nil"/>
              <w:left w:val="nil"/>
              <w:bottom w:val="nil"/>
              <w:right w:val="nil"/>
            </w:tcBorders>
            <w:shd w:val="clear" w:color="auto" w:fill="E6E6E6"/>
            <w:noWrap/>
            <w:vAlign w:val="bottom"/>
            <w:hideMark/>
          </w:tcPr>
          <w:p w14:paraId="756A6E36" w14:textId="0E7858EB" w:rsidR="00AB3B87" w:rsidRPr="0013747E" w:rsidRDefault="00AB3B87" w:rsidP="00AB3B87">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0F1306B4" w14:textId="77777777" w:rsidR="00AB3B87" w:rsidRPr="0013747E" w:rsidRDefault="00AB3B87" w:rsidP="00AB3B87">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67F4EF3F" w14:textId="77777777" w:rsidR="00AB3B87" w:rsidRPr="0013747E" w:rsidRDefault="00AB3B87" w:rsidP="00AB3B8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3A8B2525" w14:textId="77777777" w:rsidR="00AB3B87" w:rsidRPr="0013747E" w:rsidRDefault="00AB3B87" w:rsidP="00AB3B87">
            <w:pPr>
              <w:spacing w:after="0" w:line="240" w:lineRule="auto"/>
              <w:jc w:val="right"/>
              <w:rPr>
                <w:rFonts w:ascii="Times New Roman" w:hAnsi="Times New Roman"/>
              </w:rPr>
            </w:pPr>
          </w:p>
        </w:tc>
      </w:tr>
      <w:tr w:rsidR="00AB3B87" w:rsidRPr="0013747E" w14:paraId="4B61EF89" w14:textId="77777777" w:rsidTr="005334F2">
        <w:trPr>
          <w:trHeight w:val="204"/>
        </w:trPr>
        <w:tc>
          <w:tcPr>
            <w:tcW w:w="1571" w:type="pct"/>
            <w:tcBorders>
              <w:top w:val="nil"/>
              <w:left w:val="nil"/>
              <w:bottom w:val="nil"/>
              <w:right w:val="nil"/>
            </w:tcBorders>
            <w:shd w:val="clear" w:color="auto" w:fill="auto"/>
            <w:noWrap/>
            <w:vAlign w:val="bottom"/>
            <w:hideMark/>
          </w:tcPr>
          <w:p w14:paraId="77022916"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Other</w:t>
            </w:r>
          </w:p>
        </w:tc>
        <w:tc>
          <w:tcPr>
            <w:tcW w:w="729" w:type="pct"/>
            <w:tcBorders>
              <w:top w:val="nil"/>
              <w:left w:val="nil"/>
              <w:bottom w:val="nil"/>
              <w:right w:val="nil"/>
            </w:tcBorders>
            <w:shd w:val="clear" w:color="auto" w:fill="auto"/>
            <w:noWrap/>
            <w:vAlign w:val="bottom"/>
            <w:hideMark/>
          </w:tcPr>
          <w:p w14:paraId="28EF244F" w14:textId="39F7F042"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348,478</w:t>
            </w:r>
          </w:p>
        </w:tc>
        <w:tc>
          <w:tcPr>
            <w:tcW w:w="671" w:type="pct"/>
            <w:tcBorders>
              <w:top w:val="nil"/>
              <w:left w:val="nil"/>
              <w:bottom w:val="nil"/>
              <w:right w:val="nil"/>
            </w:tcBorders>
            <w:shd w:val="clear" w:color="auto" w:fill="E6E6E6"/>
            <w:noWrap/>
            <w:vAlign w:val="bottom"/>
            <w:hideMark/>
          </w:tcPr>
          <w:p w14:paraId="7950B327" w14:textId="77C8F95A"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257,742</w:t>
            </w:r>
          </w:p>
        </w:tc>
        <w:tc>
          <w:tcPr>
            <w:tcW w:w="678" w:type="pct"/>
            <w:tcBorders>
              <w:top w:val="nil"/>
              <w:left w:val="nil"/>
              <w:bottom w:val="nil"/>
              <w:right w:val="nil"/>
            </w:tcBorders>
            <w:shd w:val="clear" w:color="auto" w:fill="auto"/>
            <w:noWrap/>
            <w:vAlign w:val="bottom"/>
            <w:hideMark/>
          </w:tcPr>
          <w:p w14:paraId="27F5D1CF" w14:textId="7412E8AE"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271,542</w:t>
            </w:r>
          </w:p>
        </w:tc>
        <w:tc>
          <w:tcPr>
            <w:tcW w:w="679" w:type="pct"/>
            <w:tcBorders>
              <w:top w:val="nil"/>
              <w:left w:val="nil"/>
              <w:bottom w:val="nil"/>
              <w:right w:val="nil"/>
            </w:tcBorders>
            <w:shd w:val="clear" w:color="auto" w:fill="auto"/>
            <w:noWrap/>
            <w:vAlign w:val="bottom"/>
            <w:hideMark/>
          </w:tcPr>
          <w:p w14:paraId="1C7EC8BE" w14:textId="1475462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58,416</w:t>
            </w:r>
          </w:p>
        </w:tc>
        <w:tc>
          <w:tcPr>
            <w:tcW w:w="671" w:type="pct"/>
            <w:tcBorders>
              <w:top w:val="nil"/>
              <w:left w:val="nil"/>
              <w:bottom w:val="nil"/>
              <w:right w:val="nil"/>
            </w:tcBorders>
            <w:shd w:val="clear" w:color="auto" w:fill="auto"/>
            <w:noWrap/>
            <w:vAlign w:val="bottom"/>
            <w:hideMark/>
          </w:tcPr>
          <w:p w14:paraId="46E7F2FF" w14:textId="721067FB"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81,280</w:t>
            </w:r>
          </w:p>
        </w:tc>
      </w:tr>
      <w:tr w:rsidR="00AB3B87" w:rsidRPr="0013747E" w14:paraId="3D54C0A4" w14:textId="77777777" w:rsidTr="005334F2">
        <w:trPr>
          <w:trHeight w:val="204"/>
        </w:trPr>
        <w:tc>
          <w:tcPr>
            <w:tcW w:w="1571" w:type="pct"/>
            <w:tcBorders>
              <w:top w:val="nil"/>
              <w:left w:val="nil"/>
              <w:bottom w:val="nil"/>
              <w:right w:val="nil"/>
            </w:tcBorders>
            <w:shd w:val="clear" w:color="auto" w:fill="auto"/>
            <w:noWrap/>
            <w:vAlign w:val="bottom"/>
            <w:hideMark/>
          </w:tcPr>
          <w:p w14:paraId="072F3EE1" w14:textId="77777777" w:rsidR="00AB3B87" w:rsidRPr="0013747E" w:rsidRDefault="00AB3B87" w:rsidP="00AB3B87">
            <w:pPr>
              <w:spacing w:after="0" w:line="240" w:lineRule="auto"/>
              <w:ind w:left="113"/>
              <w:rPr>
                <w:rFonts w:ascii="Arial" w:hAnsi="Arial" w:cs="Arial"/>
                <w:b/>
                <w:bCs/>
                <w:i/>
                <w:iCs/>
                <w:color w:val="000000"/>
                <w:sz w:val="16"/>
                <w:szCs w:val="16"/>
              </w:rPr>
            </w:pPr>
            <w:r w:rsidRPr="0013747E">
              <w:rPr>
                <w:rFonts w:ascii="Arial" w:hAnsi="Arial" w:cs="Arial"/>
                <w:b/>
                <w:bCs/>
                <w:i/>
                <w:iCs/>
                <w:color w:val="000000"/>
                <w:sz w:val="16"/>
                <w:szCs w:val="16"/>
              </w:rPr>
              <w:t>Total cash received</w:t>
            </w:r>
          </w:p>
        </w:tc>
        <w:tc>
          <w:tcPr>
            <w:tcW w:w="729" w:type="pct"/>
            <w:tcBorders>
              <w:top w:val="single" w:sz="4" w:space="0" w:color="000000"/>
              <w:left w:val="nil"/>
              <w:bottom w:val="single" w:sz="4" w:space="0" w:color="000000"/>
              <w:right w:val="nil"/>
            </w:tcBorders>
            <w:shd w:val="clear" w:color="auto" w:fill="auto"/>
            <w:noWrap/>
            <w:vAlign w:val="bottom"/>
            <w:hideMark/>
          </w:tcPr>
          <w:p w14:paraId="3A8BE4A0" w14:textId="7A71FC05"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7,597,101</w:t>
            </w:r>
          </w:p>
        </w:tc>
        <w:tc>
          <w:tcPr>
            <w:tcW w:w="671" w:type="pct"/>
            <w:tcBorders>
              <w:top w:val="single" w:sz="4" w:space="0" w:color="000000"/>
              <w:left w:val="nil"/>
              <w:bottom w:val="single" w:sz="4" w:space="0" w:color="000000"/>
              <w:right w:val="nil"/>
            </w:tcBorders>
            <w:shd w:val="clear" w:color="auto" w:fill="E6E6E6"/>
            <w:noWrap/>
            <w:vAlign w:val="bottom"/>
            <w:hideMark/>
          </w:tcPr>
          <w:p w14:paraId="23CEB262" w14:textId="01DE4521"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1,156,892</w:t>
            </w:r>
          </w:p>
        </w:tc>
        <w:tc>
          <w:tcPr>
            <w:tcW w:w="678" w:type="pct"/>
            <w:tcBorders>
              <w:top w:val="single" w:sz="4" w:space="0" w:color="000000"/>
              <w:left w:val="nil"/>
              <w:bottom w:val="single" w:sz="4" w:space="0" w:color="000000"/>
              <w:right w:val="nil"/>
            </w:tcBorders>
            <w:shd w:val="clear" w:color="auto" w:fill="auto"/>
            <w:noWrap/>
            <w:vAlign w:val="bottom"/>
            <w:hideMark/>
          </w:tcPr>
          <w:p w14:paraId="4B9E0E6D" w14:textId="470EB976"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5,800,846</w:t>
            </w:r>
          </w:p>
        </w:tc>
        <w:tc>
          <w:tcPr>
            <w:tcW w:w="679" w:type="pct"/>
            <w:tcBorders>
              <w:top w:val="single" w:sz="4" w:space="0" w:color="000000"/>
              <w:left w:val="nil"/>
              <w:bottom w:val="single" w:sz="4" w:space="0" w:color="000000"/>
              <w:right w:val="nil"/>
            </w:tcBorders>
            <w:shd w:val="clear" w:color="auto" w:fill="auto"/>
            <w:noWrap/>
            <w:vAlign w:val="bottom"/>
            <w:hideMark/>
          </w:tcPr>
          <w:p w14:paraId="099C479D" w14:textId="1AEDBFBC"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105,087</w:t>
            </w:r>
          </w:p>
        </w:tc>
        <w:tc>
          <w:tcPr>
            <w:tcW w:w="671" w:type="pct"/>
            <w:tcBorders>
              <w:top w:val="single" w:sz="4" w:space="0" w:color="000000"/>
              <w:left w:val="nil"/>
              <w:bottom w:val="single" w:sz="4" w:space="0" w:color="000000"/>
              <w:right w:val="nil"/>
            </w:tcBorders>
            <w:shd w:val="clear" w:color="auto" w:fill="auto"/>
            <w:noWrap/>
            <w:vAlign w:val="bottom"/>
            <w:hideMark/>
          </w:tcPr>
          <w:p w14:paraId="4B74079C" w14:textId="2DE14DF0"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188,389</w:t>
            </w:r>
          </w:p>
        </w:tc>
      </w:tr>
      <w:tr w:rsidR="00AB3B87" w:rsidRPr="0013747E" w14:paraId="3BA9365B" w14:textId="77777777" w:rsidTr="005334F2">
        <w:trPr>
          <w:trHeight w:val="204"/>
        </w:trPr>
        <w:tc>
          <w:tcPr>
            <w:tcW w:w="1571" w:type="pct"/>
            <w:tcBorders>
              <w:top w:val="nil"/>
              <w:left w:val="nil"/>
              <w:bottom w:val="nil"/>
              <w:right w:val="nil"/>
            </w:tcBorders>
            <w:shd w:val="clear" w:color="auto" w:fill="auto"/>
            <w:noWrap/>
            <w:vAlign w:val="bottom"/>
            <w:hideMark/>
          </w:tcPr>
          <w:p w14:paraId="776F2CAA" w14:textId="77777777" w:rsidR="00AB3B87" w:rsidRPr="0013747E" w:rsidRDefault="00AB3B87" w:rsidP="00AB3B87">
            <w:pPr>
              <w:spacing w:after="0" w:line="240" w:lineRule="auto"/>
              <w:ind w:left="113"/>
              <w:rPr>
                <w:rFonts w:ascii="Arial" w:hAnsi="Arial" w:cs="Arial"/>
                <w:b/>
                <w:bCs/>
                <w:color w:val="000000"/>
                <w:sz w:val="16"/>
                <w:szCs w:val="16"/>
              </w:rPr>
            </w:pPr>
            <w:r w:rsidRPr="0013747E">
              <w:rPr>
                <w:rFonts w:ascii="Arial" w:hAnsi="Arial" w:cs="Arial"/>
                <w:b/>
                <w:bCs/>
                <w:color w:val="000000"/>
                <w:sz w:val="16"/>
                <w:szCs w:val="16"/>
              </w:rPr>
              <w:t>Cash used</w:t>
            </w:r>
          </w:p>
        </w:tc>
        <w:tc>
          <w:tcPr>
            <w:tcW w:w="729" w:type="pct"/>
            <w:tcBorders>
              <w:top w:val="nil"/>
              <w:left w:val="nil"/>
              <w:bottom w:val="nil"/>
              <w:right w:val="nil"/>
            </w:tcBorders>
            <w:shd w:val="clear" w:color="auto" w:fill="auto"/>
            <w:noWrap/>
            <w:vAlign w:val="bottom"/>
            <w:hideMark/>
          </w:tcPr>
          <w:p w14:paraId="7F1174D5" w14:textId="77777777" w:rsidR="00AB3B87" w:rsidRPr="0013747E" w:rsidRDefault="00AB3B87" w:rsidP="00AB3B87">
            <w:pPr>
              <w:spacing w:after="0" w:line="240" w:lineRule="auto"/>
              <w:ind w:firstLineChars="100" w:firstLine="161"/>
              <w:jc w:val="right"/>
              <w:rPr>
                <w:rFonts w:ascii="Arial" w:hAnsi="Arial" w:cs="Arial"/>
                <w:b/>
                <w:bCs/>
                <w:color w:val="000000"/>
                <w:sz w:val="16"/>
                <w:szCs w:val="16"/>
              </w:rPr>
            </w:pPr>
          </w:p>
        </w:tc>
        <w:tc>
          <w:tcPr>
            <w:tcW w:w="671" w:type="pct"/>
            <w:tcBorders>
              <w:top w:val="nil"/>
              <w:left w:val="nil"/>
              <w:bottom w:val="nil"/>
              <w:right w:val="nil"/>
            </w:tcBorders>
            <w:shd w:val="clear" w:color="auto" w:fill="E6E6E6"/>
            <w:noWrap/>
            <w:vAlign w:val="bottom"/>
            <w:hideMark/>
          </w:tcPr>
          <w:p w14:paraId="5BBC11FA" w14:textId="3777C455" w:rsidR="00AB3B87" w:rsidRPr="0013747E" w:rsidRDefault="00AB3B87" w:rsidP="00AB3B87">
            <w:pPr>
              <w:spacing w:after="0" w:line="240" w:lineRule="auto"/>
              <w:jc w:val="right"/>
              <w:rPr>
                <w:rFonts w:ascii="Arial" w:hAnsi="Arial" w:cs="Arial"/>
                <w:color w:val="000000"/>
                <w:sz w:val="16"/>
                <w:szCs w:val="16"/>
              </w:rPr>
            </w:pPr>
          </w:p>
        </w:tc>
        <w:tc>
          <w:tcPr>
            <w:tcW w:w="678" w:type="pct"/>
            <w:tcBorders>
              <w:top w:val="nil"/>
              <w:left w:val="nil"/>
              <w:bottom w:val="nil"/>
              <w:right w:val="nil"/>
            </w:tcBorders>
            <w:shd w:val="clear" w:color="auto" w:fill="auto"/>
            <w:noWrap/>
            <w:vAlign w:val="bottom"/>
            <w:hideMark/>
          </w:tcPr>
          <w:p w14:paraId="590A94BC" w14:textId="77777777" w:rsidR="00AB3B87" w:rsidRPr="0013747E" w:rsidRDefault="00AB3B87" w:rsidP="00AB3B87">
            <w:pPr>
              <w:spacing w:after="0" w:line="240" w:lineRule="auto"/>
              <w:jc w:val="right"/>
              <w:rPr>
                <w:rFonts w:ascii="Arial" w:hAnsi="Arial" w:cs="Arial"/>
                <w:color w:val="000000"/>
                <w:sz w:val="16"/>
                <w:szCs w:val="16"/>
              </w:rPr>
            </w:pPr>
          </w:p>
        </w:tc>
        <w:tc>
          <w:tcPr>
            <w:tcW w:w="679" w:type="pct"/>
            <w:tcBorders>
              <w:top w:val="nil"/>
              <w:left w:val="nil"/>
              <w:bottom w:val="nil"/>
              <w:right w:val="nil"/>
            </w:tcBorders>
            <w:shd w:val="clear" w:color="auto" w:fill="auto"/>
            <w:noWrap/>
            <w:vAlign w:val="bottom"/>
            <w:hideMark/>
          </w:tcPr>
          <w:p w14:paraId="05F8E63D" w14:textId="77777777" w:rsidR="00AB3B87" w:rsidRPr="0013747E" w:rsidRDefault="00AB3B87" w:rsidP="00AB3B8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38A561E4" w14:textId="77777777" w:rsidR="00AB3B87" w:rsidRPr="0013747E" w:rsidRDefault="00AB3B87" w:rsidP="00AB3B87">
            <w:pPr>
              <w:spacing w:after="0" w:line="240" w:lineRule="auto"/>
              <w:jc w:val="right"/>
              <w:rPr>
                <w:rFonts w:ascii="Times New Roman" w:hAnsi="Times New Roman"/>
              </w:rPr>
            </w:pPr>
          </w:p>
        </w:tc>
      </w:tr>
      <w:tr w:rsidR="00AB3B87" w:rsidRPr="0013747E" w14:paraId="5DEA1023" w14:textId="77777777" w:rsidTr="005334F2">
        <w:trPr>
          <w:trHeight w:val="204"/>
        </w:trPr>
        <w:tc>
          <w:tcPr>
            <w:tcW w:w="1571" w:type="pct"/>
            <w:tcBorders>
              <w:top w:val="nil"/>
              <w:left w:val="nil"/>
              <w:bottom w:val="nil"/>
              <w:right w:val="nil"/>
            </w:tcBorders>
            <w:shd w:val="clear" w:color="auto" w:fill="auto"/>
            <w:vAlign w:val="bottom"/>
            <w:hideMark/>
          </w:tcPr>
          <w:p w14:paraId="65970252"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Purchase of property, plant and equipment and intangibles</w:t>
            </w:r>
          </w:p>
        </w:tc>
        <w:tc>
          <w:tcPr>
            <w:tcW w:w="729" w:type="pct"/>
            <w:tcBorders>
              <w:top w:val="nil"/>
              <w:left w:val="nil"/>
              <w:bottom w:val="nil"/>
              <w:right w:val="nil"/>
            </w:tcBorders>
            <w:shd w:val="clear" w:color="auto" w:fill="auto"/>
            <w:noWrap/>
            <w:vAlign w:val="bottom"/>
            <w:hideMark/>
          </w:tcPr>
          <w:p w14:paraId="6D40E5A5" w14:textId="08B3CA0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19,408</w:t>
            </w:r>
          </w:p>
        </w:tc>
        <w:tc>
          <w:tcPr>
            <w:tcW w:w="671" w:type="pct"/>
            <w:tcBorders>
              <w:top w:val="nil"/>
              <w:left w:val="nil"/>
              <w:bottom w:val="nil"/>
              <w:right w:val="nil"/>
            </w:tcBorders>
            <w:shd w:val="clear" w:color="auto" w:fill="E6E6E6"/>
            <w:noWrap/>
            <w:vAlign w:val="bottom"/>
            <w:hideMark/>
          </w:tcPr>
          <w:p w14:paraId="6DB6CD52" w14:textId="745AE7A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82,295</w:t>
            </w:r>
          </w:p>
        </w:tc>
        <w:tc>
          <w:tcPr>
            <w:tcW w:w="678" w:type="pct"/>
            <w:tcBorders>
              <w:top w:val="nil"/>
              <w:left w:val="nil"/>
              <w:bottom w:val="nil"/>
              <w:right w:val="nil"/>
            </w:tcBorders>
            <w:shd w:val="clear" w:color="auto" w:fill="auto"/>
            <w:noWrap/>
            <w:vAlign w:val="bottom"/>
            <w:hideMark/>
          </w:tcPr>
          <w:p w14:paraId="18EFAFAA" w14:textId="5E76D65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90,656</w:t>
            </w:r>
          </w:p>
        </w:tc>
        <w:tc>
          <w:tcPr>
            <w:tcW w:w="679" w:type="pct"/>
            <w:tcBorders>
              <w:top w:val="nil"/>
              <w:left w:val="nil"/>
              <w:bottom w:val="nil"/>
              <w:right w:val="nil"/>
            </w:tcBorders>
            <w:shd w:val="clear" w:color="auto" w:fill="auto"/>
            <w:noWrap/>
            <w:vAlign w:val="bottom"/>
            <w:hideMark/>
          </w:tcPr>
          <w:p w14:paraId="3E32BD63" w14:textId="10091F5F"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50,387</w:t>
            </w:r>
          </w:p>
        </w:tc>
        <w:tc>
          <w:tcPr>
            <w:tcW w:w="671" w:type="pct"/>
            <w:tcBorders>
              <w:top w:val="nil"/>
              <w:left w:val="nil"/>
              <w:bottom w:val="nil"/>
              <w:right w:val="nil"/>
            </w:tcBorders>
            <w:shd w:val="clear" w:color="auto" w:fill="auto"/>
            <w:noWrap/>
            <w:vAlign w:val="bottom"/>
            <w:hideMark/>
          </w:tcPr>
          <w:p w14:paraId="3B985462" w14:textId="49054498"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45,211</w:t>
            </w:r>
          </w:p>
        </w:tc>
      </w:tr>
      <w:tr w:rsidR="00AB3B87" w:rsidRPr="0013747E" w14:paraId="2E9E4F47" w14:textId="77777777" w:rsidTr="005334F2">
        <w:trPr>
          <w:trHeight w:val="204"/>
        </w:trPr>
        <w:tc>
          <w:tcPr>
            <w:tcW w:w="1571" w:type="pct"/>
            <w:tcBorders>
              <w:top w:val="nil"/>
              <w:left w:val="nil"/>
              <w:bottom w:val="nil"/>
              <w:right w:val="nil"/>
            </w:tcBorders>
            <w:shd w:val="clear" w:color="auto" w:fill="auto"/>
            <w:noWrap/>
            <w:vAlign w:val="bottom"/>
            <w:hideMark/>
          </w:tcPr>
          <w:p w14:paraId="7779F510"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Advances and loans made</w:t>
            </w:r>
          </w:p>
        </w:tc>
        <w:tc>
          <w:tcPr>
            <w:tcW w:w="729" w:type="pct"/>
            <w:tcBorders>
              <w:top w:val="nil"/>
              <w:left w:val="nil"/>
              <w:bottom w:val="nil"/>
              <w:right w:val="nil"/>
            </w:tcBorders>
            <w:shd w:val="clear" w:color="auto" w:fill="auto"/>
            <w:noWrap/>
            <w:vAlign w:val="bottom"/>
            <w:hideMark/>
          </w:tcPr>
          <w:p w14:paraId="1CBB6BAA" w14:textId="6A256730"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457,681</w:t>
            </w:r>
          </w:p>
        </w:tc>
        <w:tc>
          <w:tcPr>
            <w:tcW w:w="671" w:type="pct"/>
            <w:tcBorders>
              <w:top w:val="nil"/>
              <w:left w:val="nil"/>
              <w:bottom w:val="nil"/>
              <w:right w:val="nil"/>
            </w:tcBorders>
            <w:shd w:val="clear" w:color="auto" w:fill="E6E6E6"/>
            <w:noWrap/>
            <w:vAlign w:val="bottom"/>
            <w:hideMark/>
          </w:tcPr>
          <w:p w14:paraId="5D1E0E2E" w14:textId="37F492D3"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663,470</w:t>
            </w:r>
          </w:p>
        </w:tc>
        <w:tc>
          <w:tcPr>
            <w:tcW w:w="678" w:type="pct"/>
            <w:tcBorders>
              <w:top w:val="nil"/>
              <w:left w:val="nil"/>
              <w:bottom w:val="nil"/>
              <w:right w:val="nil"/>
            </w:tcBorders>
            <w:shd w:val="clear" w:color="auto" w:fill="auto"/>
            <w:noWrap/>
            <w:vAlign w:val="bottom"/>
            <w:hideMark/>
          </w:tcPr>
          <w:p w14:paraId="6512E81B" w14:textId="3CB18231"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941,277</w:t>
            </w:r>
          </w:p>
        </w:tc>
        <w:tc>
          <w:tcPr>
            <w:tcW w:w="679" w:type="pct"/>
            <w:tcBorders>
              <w:top w:val="nil"/>
              <w:left w:val="nil"/>
              <w:bottom w:val="nil"/>
              <w:right w:val="nil"/>
            </w:tcBorders>
            <w:shd w:val="clear" w:color="auto" w:fill="auto"/>
            <w:noWrap/>
            <w:vAlign w:val="bottom"/>
            <w:hideMark/>
          </w:tcPr>
          <w:p w14:paraId="215F3525" w14:textId="00DC6DF7"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1,016,384</w:t>
            </w:r>
          </w:p>
        </w:tc>
        <w:tc>
          <w:tcPr>
            <w:tcW w:w="671" w:type="pct"/>
            <w:tcBorders>
              <w:top w:val="nil"/>
              <w:left w:val="nil"/>
              <w:bottom w:val="nil"/>
              <w:right w:val="nil"/>
            </w:tcBorders>
            <w:shd w:val="clear" w:color="auto" w:fill="auto"/>
            <w:noWrap/>
            <w:vAlign w:val="bottom"/>
            <w:hideMark/>
          </w:tcPr>
          <w:p w14:paraId="5C867E0B" w14:textId="2373603E"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963,673</w:t>
            </w:r>
          </w:p>
        </w:tc>
      </w:tr>
      <w:tr w:rsidR="00AB3B87" w:rsidRPr="0013747E" w14:paraId="27300E46" w14:textId="77777777" w:rsidTr="005334F2">
        <w:trPr>
          <w:trHeight w:val="204"/>
        </w:trPr>
        <w:tc>
          <w:tcPr>
            <w:tcW w:w="1571" w:type="pct"/>
            <w:tcBorders>
              <w:top w:val="nil"/>
              <w:left w:val="nil"/>
              <w:bottom w:val="nil"/>
              <w:right w:val="nil"/>
            </w:tcBorders>
            <w:shd w:val="clear" w:color="auto" w:fill="auto"/>
            <w:noWrap/>
            <w:vAlign w:val="bottom"/>
            <w:hideMark/>
          </w:tcPr>
          <w:p w14:paraId="0A54241F" w14:textId="77777777" w:rsidR="00AB3B87" w:rsidRPr="0013747E" w:rsidRDefault="00AB3B87" w:rsidP="00AB3B87">
            <w:pPr>
              <w:spacing w:after="0" w:line="240" w:lineRule="auto"/>
              <w:ind w:left="227"/>
              <w:rPr>
                <w:rFonts w:ascii="Arial" w:hAnsi="Arial" w:cs="Arial"/>
                <w:color w:val="000000"/>
                <w:sz w:val="16"/>
                <w:szCs w:val="16"/>
              </w:rPr>
            </w:pPr>
            <w:r w:rsidRPr="0013747E">
              <w:rPr>
                <w:rFonts w:ascii="Arial" w:hAnsi="Arial" w:cs="Arial"/>
                <w:color w:val="000000"/>
                <w:sz w:val="16"/>
                <w:szCs w:val="16"/>
              </w:rPr>
              <w:t>Other</w:t>
            </w:r>
          </w:p>
        </w:tc>
        <w:tc>
          <w:tcPr>
            <w:tcW w:w="729" w:type="pct"/>
            <w:tcBorders>
              <w:top w:val="nil"/>
              <w:left w:val="nil"/>
              <w:bottom w:val="nil"/>
              <w:right w:val="nil"/>
            </w:tcBorders>
            <w:shd w:val="clear" w:color="auto" w:fill="auto"/>
            <w:noWrap/>
            <w:vAlign w:val="bottom"/>
            <w:hideMark/>
          </w:tcPr>
          <w:p w14:paraId="58FA7E1F" w14:textId="1C3FF741"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1,527,298</w:t>
            </w:r>
          </w:p>
        </w:tc>
        <w:tc>
          <w:tcPr>
            <w:tcW w:w="671" w:type="pct"/>
            <w:tcBorders>
              <w:top w:val="nil"/>
              <w:left w:val="nil"/>
              <w:bottom w:val="nil"/>
              <w:right w:val="nil"/>
            </w:tcBorders>
            <w:shd w:val="clear" w:color="auto" w:fill="E6E6E6"/>
            <w:noWrap/>
            <w:vAlign w:val="bottom"/>
            <w:hideMark/>
          </w:tcPr>
          <w:p w14:paraId="1CC54255" w14:textId="5CFD3797"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4,005,537</w:t>
            </w:r>
          </w:p>
        </w:tc>
        <w:tc>
          <w:tcPr>
            <w:tcW w:w="678" w:type="pct"/>
            <w:tcBorders>
              <w:top w:val="nil"/>
              <w:left w:val="nil"/>
              <w:bottom w:val="nil"/>
              <w:right w:val="nil"/>
            </w:tcBorders>
            <w:shd w:val="clear" w:color="auto" w:fill="auto"/>
            <w:noWrap/>
            <w:vAlign w:val="bottom"/>
            <w:hideMark/>
          </w:tcPr>
          <w:p w14:paraId="568E6CE7" w14:textId="794A7C2C"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4,918,052</w:t>
            </w:r>
          </w:p>
        </w:tc>
        <w:tc>
          <w:tcPr>
            <w:tcW w:w="679" w:type="pct"/>
            <w:tcBorders>
              <w:top w:val="nil"/>
              <w:left w:val="nil"/>
              <w:bottom w:val="nil"/>
              <w:right w:val="nil"/>
            </w:tcBorders>
            <w:shd w:val="clear" w:color="auto" w:fill="auto"/>
            <w:noWrap/>
            <w:vAlign w:val="bottom"/>
            <w:hideMark/>
          </w:tcPr>
          <w:p w14:paraId="30F4B256" w14:textId="398AA41D"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5,131,983</w:t>
            </w:r>
          </w:p>
        </w:tc>
        <w:tc>
          <w:tcPr>
            <w:tcW w:w="671" w:type="pct"/>
            <w:tcBorders>
              <w:top w:val="nil"/>
              <w:left w:val="nil"/>
              <w:bottom w:val="nil"/>
              <w:right w:val="nil"/>
            </w:tcBorders>
            <w:shd w:val="clear" w:color="auto" w:fill="auto"/>
            <w:noWrap/>
            <w:vAlign w:val="bottom"/>
            <w:hideMark/>
          </w:tcPr>
          <w:p w14:paraId="366A4D9B" w14:textId="16C6B764" w:rsidR="00AB3B87" w:rsidRPr="0013747E"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4,505,482</w:t>
            </w:r>
          </w:p>
        </w:tc>
      </w:tr>
      <w:tr w:rsidR="00AB3B87" w:rsidRPr="0013747E" w14:paraId="5067F126" w14:textId="77777777" w:rsidTr="005334F2">
        <w:trPr>
          <w:trHeight w:val="204"/>
        </w:trPr>
        <w:tc>
          <w:tcPr>
            <w:tcW w:w="1571" w:type="pct"/>
            <w:tcBorders>
              <w:top w:val="nil"/>
              <w:left w:val="nil"/>
              <w:bottom w:val="nil"/>
              <w:right w:val="nil"/>
            </w:tcBorders>
            <w:shd w:val="clear" w:color="auto" w:fill="auto"/>
            <w:noWrap/>
            <w:vAlign w:val="bottom"/>
            <w:hideMark/>
          </w:tcPr>
          <w:p w14:paraId="79A05A89" w14:textId="77777777" w:rsidR="00AB3B87" w:rsidRPr="0013747E" w:rsidRDefault="00AB3B87" w:rsidP="00AB3B87">
            <w:pPr>
              <w:spacing w:after="0" w:line="240" w:lineRule="auto"/>
              <w:ind w:left="113"/>
              <w:rPr>
                <w:rFonts w:ascii="Arial" w:hAnsi="Arial" w:cs="Arial"/>
                <w:b/>
                <w:bCs/>
                <w:i/>
                <w:iCs/>
                <w:color w:val="000000"/>
                <w:sz w:val="16"/>
                <w:szCs w:val="16"/>
              </w:rPr>
            </w:pPr>
            <w:r w:rsidRPr="0013747E">
              <w:rPr>
                <w:rFonts w:ascii="Arial" w:hAnsi="Arial" w:cs="Arial"/>
                <w:b/>
                <w:bCs/>
                <w:i/>
                <w:iCs/>
                <w:color w:val="000000"/>
                <w:sz w:val="16"/>
                <w:szCs w:val="16"/>
              </w:rPr>
              <w:t>Total cash used</w:t>
            </w:r>
          </w:p>
        </w:tc>
        <w:tc>
          <w:tcPr>
            <w:tcW w:w="729" w:type="pct"/>
            <w:tcBorders>
              <w:top w:val="single" w:sz="4" w:space="0" w:color="000000"/>
              <w:left w:val="nil"/>
              <w:bottom w:val="single" w:sz="4" w:space="0" w:color="000000"/>
              <w:right w:val="nil"/>
            </w:tcBorders>
            <w:shd w:val="clear" w:color="auto" w:fill="auto"/>
            <w:noWrap/>
            <w:vAlign w:val="bottom"/>
            <w:hideMark/>
          </w:tcPr>
          <w:p w14:paraId="17BE2213" w14:textId="60763C69"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2,004,387</w:t>
            </w:r>
          </w:p>
        </w:tc>
        <w:tc>
          <w:tcPr>
            <w:tcW w:w="671" w:type="pct"/>
            <w:tcBorders>
              <w:top w:val="single" w:sz="4" w:space="0" w:color="000000"/>
              <w:left w:val="nil"/>
              <w:bottom w:val="single" w:sz="4" w:space="0" w:color="000000"/>
              <w:right w:val="nil"/>
            </w:tcBorders>
            <w:shd w:val="clear" w:color="auto" w:fill="E6E6E6"/>
            <w:noWrap/>
            <w:vAlign w:val="bottom"/>
            <w:hideMark/>
          </w:tcPr>
          <w:p w14:paraId="742DE062" w14:textId="32F8741E"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4,751,302</w:t>
            </w:r>
          </w:p>
        </w:tc>
        <w:tc>
          <w:tcPr>
            <w:tcW w:w="678" w:type="pct"/>
            <w:tcBorders>
              <w:top w:val="single" w:sz="4" w:space="0" w:color="000000"/>
              <w:left w:val="nil"/>
              <w:bottom w:val="single" w:sz="4" w:space="0" w:color="000000"/>
              <w:right w:val="nil"/>
            </w:tcBorders>
            <w:shd w:val="clear" w:color="auto" w:fill="auto"/>
            <w:noWrap/>
            <w:vAlign w:val="bottom"/>
            <w:hideMark/>
          </w:tcPr>
          <w:p w14:paraId="1F05F342" w14:textId="008B72ED"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5,949,985</w:t>
            </w:r>
          </w:p>
        </w:tc>
        <w:tc>
          <w:tcPr>
            <w:tcW w:w="679" w:type="pct"/>
            <w:tcBorders>
              <w:top w:val="single" w:sz="4" w:space="0" w:color="000000"/>
              <w:left w:val="nil"/>
              <w:bottom w:val="single" w:sz="4" w:space="0" w:color="000000"/>
              <w:right w:val="nil"/>
            </w:tcBorders>
            <w:shd w:val="clear" w:color="auto" w:fill="auto"/>
            <w:noWrap/>
            <w:vAlign w:val="bottom"/>
            <w:hideMark/>
          </w:tcPr>
          <w:p w14:paraId="4251F4EE" w14:textId="00C4A147"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6,198,754</w:t>
            </w:r>
          </w:p>
        </w:tc>
        <w:tc>
          <w:tcPr>
            <w:tcW w:w="671" w:type="pct"/>
            <w:tcBorders>
              <w:top w:val="single" w:sz="4" w:space="0" w:color="000000"/>
              <w:left w:val="nil"/>
              <w:bottom w:val="single" w:sz="4" w:space="0" w:color="000000"/>
              <w:right w:val="nil"/>
            </w:tcBorders>
            <w:shd w:val="clear" w:color="auto" w:fill="auto"/>
            <w:noWrap/>
            <w:vAlign w:val="bottom"/>
            <w:hideMark/>
          </w:tcPr>
          <w:p w14:paraId="5D2E3303" w14:textId="126BD699" w:rsidR="00AB3B87" w:rsidRPr="0013747E"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5,514,366</w:t>
            </w:r>
          </w:p>
        </w:tc>
      </w:tr>
      <w:tr w:rsidR="00AB3B87" w:rsidRPr="0013747E" w14:paraId="6BBC71F0" w14:textId="77777777" w:rsidTr="005334F2">
        <w:trPr>
          <w:trHeight w:val="204"/>
        </w:trPr>
        <w:tc>
          <w:tcPr>
            <w:tcW w:w="1571" w:type="pct"/>
            <w:tcBorders>
              <w:top w:val="nil"/>
              <w:left w:val="nil"/>
              <w:bottom w:val="single" w:sz="4" w:space="0" w:color="auto"/>
              <w:right w:val="nil"/>
            </w:tcBorders>
            <w:shd w:val="clear" w:color="auto" w:fill="auto"/>
            <w:vAlign w:val="bottom"/>
            <w:hideMark/>
          </w:tcPr>
          <w:p w14:paraId="3E9B30B2" w14:textId="77777777" w:rsidR="00AB3B87" w:rsidRPr="0013747E" w:rsidRDefault="00AB3B87" w:rsidP="00AB3B87">
            <w:pPr>
              <w:spacing w:after="0" w:line="240" w:lineRule="auto"/>
              <w:rPr>
                <w:rFonts w:ascii="Arial" w:hAnsi="Arial" w:cs="Arial"/>
                <w:b/>
                <w:bCs/>
                <w:color w:val="000000"/>
                <w:sz w:val="16"/>
                <w:szCs w:val="16"/>
              </w:rPr>
            </w:pPr>
            <w:r w:rsidRPr="0013747E">
              <w:rPr>
                <w:rFonts w:ascii="Arial" w:hAnsi="Arial" w:cs="Arial"/>
                <w:b/>
                <w:bCs/>
                <w:color w:val="000000"/>
                <w:sz w:val="16"/>
                <w:szCs w:val="16"/>
              </w:rPr>
              <w:t>Net cash from/(used by) investing activities</w:t>
            </w:r>
          </w:p>
        </w:tc>
        <w:tc>
          <w:tcPr>
            <w:tcW w:w="729" w:type="pct"/>
            <w:tcBorders>
              <w:top w:val="nil"/>
              <w:left w:val="nil"/>
              <w:bottom w:val="single" w:sz="4" w:space="0" w:color="auto"/>
              <w:right w:val="nil"/>
            </w:tcBorders>
            <w:shd w:val="clear" w:color="auto" w:fill="auto"/>
            <w:noWrap/>
            <w:vAlign w:val="bottom"/>
            <w:hideMark/>
          </w:tcPr>
          <w:p w14:paraId="62A7FA19" w14:textId="4E14543A"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5,592,714</w:t>
            </w:r>
          </w:p>
        </w:tc>
        <w:tc>
          <w:tcPr>
            <w:tcW w:w="671" w:type="pct"/>
            <w:tcBorders>
              <w:top w:val="nil"/>
              <w:left w:val="nil"/>
              <w:bottom w:val="single" w:sz="4" w:space="0" w:color="auto"/>
              <w:right w:val="nil"/>
            </w:tcBorders>
            <w:shd w:val="clear" w:color="auto" w:fill="E6E6E6"/>
            <w:noWrap/>
            <w:vAlign w:val="bottom"/>
            <w:hideMark/>
          </w:tcPr>
          <w:p w14:paraId="61327E53" w14:textId="27ABEBE0"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(3,594,410)</w:t>
            </w:r>
          </w:p>
        </w:tc>
        <w:tc>
          <w:tcPr>
            <w:tcW w:w="678" w:type="pct"/>
            <w:tcBorders>
              <w:top w:val="nil"/>
              <w:left w:val="nil"/>
              <w:bottom w:val="single" w:sz="4" w:space="0" w:color="auto"/>
              <w:right w:val="nil"/>
            </w:tcBorders>
            <w:shd w:val="clear" w:color="auto" w:fill="auto"/>
            <w:noWrap/>
            <w:vAlign w:val="bottom"/>
            <w:hideMark/>
          </w:tcPr>
          <w:p w14:paraId="69252FE9" w14:textId="466290BF"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(149,139)</w:t>
            </w:r>
          </w:p>
        </w:tc>
        <w:tc>
          <w:tcPr>
            <w:tcW w:w="679" w:type="pct"/>
            <w:tcBorders>
              <w:top w:val="nil"/>
              <w:left w:val="nil"/>
              <w:bottom w:val="single" w:sz="4" w:space="0" w:color="auto"/>
              <w:right w:val="nil"/>
            </w:tcBorders>
            <w:shd w:val="clear" w:color="auto" w:fill="auto"/>
            <w:noWrap/>
            <w:vAlign w:val="bottom"/>
            <w:hideMark/>
          </w:tcPr>
          <w:p w14:paraId="52ABDDDA" w14:textId="1A2B5819"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(6,093,667)</w:t>
            </w:r>
          </w:p>
        </w:tc>
        <w:tc>
          <w:tcPr>
            <w:tcW w:w="671" w:type="pct"/>
            <w:tcBorders>
              <w:top w:val="nil"/>
              <w:left w:val="nil"/>
              <w:bottom w:val="single" w:sz="4" w:space="0" w:color="auto"/>
              <w:right w:val="nil"/>
            </w:tcBorders>
            <w:shd w:val="clear" w:color="auto" w:fill="auto"/>
            <w:noWrap/>
            <w:vAlign w:val="bottom"/>
            <w:hideMark/>
          </w:tcPr>
          <w:p w14:paraId="266AD6BA" w14:textId="14F96245" w:rsidR="00AB3B87" w:rsidRPr="0013747E"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(5,325,977)</w:t>
            </w:r>
          </w:p>
        </w:tc>
      </w:tr>
      <w:bookmarkEnd w:id="50"/>
    </w:tbl>
    <w:p w14:paraId="4339A15F" w14:textId="77777777" w:rsidR="00115843" w:rsidRDefault="00115843" w:rsidP="00115843">
      <w:pPr>
        <w:pStyle w:val="TableHeadingcontinued"/>
      </w:pPr>
      <w:r>
        <w:br w:type="page"/>
      </w:r>
      <w:r w:rsidRPr="004C5507">
        <w:lastRenderedPageBreak/>
        <w:t>Table</w:t>
      </w:r>
      <w:r>
        <w:t xml:space="preserve"> 3.9</w:t>
      </w:r>
      <w:r w:rsidRPr="004C5507">
        <w:t>: Schedule of budgeted administered cash flows</w:t>
      </w:r>
      <w:r>
        <w:t xml:space="preserve"> </w:t>
      </w:r>
      <w:r w:rsidRPr="004C5507">
        <w:t>(for the period ended 30 June) (continued)</w:t>
      </w:r>
    </w:p>
    <w:tbl>
      <w:tblPr>
        <w:tblW w:w="7714" w:type="dxa"/>
        <w:tblLook w:val="04A0" w:firstRow="1" w:lastRow="0" w:firstColumn="1" w:lastColumn="0" w:noHBand="0" w:noVBand="1"/>
      </w:tblPr>
      <w:tblGrid>
        <w:gridCol w:w="2184"/>
        <w:gridCol w:w="1123"/>
        <w:gridCol w:w="1124"/>
        <w:gridCol w:w="1035"/>
        <w:gridCol w:w="1124"/>
        <w:gridCol w:w="1124"/>
      </w:tblGrid>
      <w:tr w:rsidR="00115843" w:rsidRPr="002A338C" w14:paraId="594EB94F" w14:textId="77777777" w:rsidTr="005334F2">
        <w:trPr>
          <w:trHeight w:val="204"/>
        </w:trPr>
        <w:tc>
          <w:tcPr>
            <w:tcW w:w="2184" w:type="dxa"/>
            <w:tcBorders>
              <w:top w:val="single" w:sz="4" w:space="0" w:color="auto"/>
              <w:left w:val="nil"/>
              <w:bottom w:val="nil"/>
              <w:right w:val="nil"/>
            </w:tcBorders>
            <w:shd w:val="clear" w:color="auto" w:fill="auto"/>
            <w:noWrap/>
            <w:vAlign w:val="bottom"/>
            <w:hideMark/>
          </w:tcPr>
          <w:p w14:paraId="14F099B9"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1123" w:type="dxa"/>
            <w:tcBorders>
              <w:top w:val="single" w:sz="4" w:space="0" w:color="auto"/>
              <w:left w:val="nil"/>
              <w:bottom w:val="single" w:sz="4" w:space="0" w:color="auto"/>
              <w:right w:val="nil"/>
            </w:tcBorders>
            <w:shd w:val="clear" w:color="auto" w:fill="auto"/>
            <w:vAlign w:val="bottom"/>
            <w:hideMark/>
          </w:tcPr>
          <w:p w14:paraId="6D460A5F"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E6E6E6"/>
            <w:vAlign w:val="bottom"/>
            <w:hideMark/>
          </w:tcPr>
          <w:p w14:paraId="3308D93F"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75830DBD"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3FB31348"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53F7824D"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438F363F" w14:textId="77777777" w:rsidTr="005334F2">
        <w:trPr>
          <w:trHeight w:val="204"/>
        </w:trPr>
        <w:tc>
          <w:tcPr>
            <w:tcW w:w="2184" w:type="dxa"/>
            <w:tcBorders>
              <w:top w:val="nil"/>
              <w:left w:val="nil"/>
              <w:bottom w:val="nil"/>
              <w:right w:val="nil"/>
            </w:tcBorders>
            <w:shd w:val="clear" w:color="auto" w:fill="auto"/>
            <w:noWrap/>
            <w:vAlign w:val="bottom"/>
            <w:hideMark/>
          </w:tcPr>
          <w:p w14:paraId="3C27F6C6" w14:textId="77777777" w:rsidR="00115843" w:rsidRPr="002A338C" w:rsidRDefault="00115843" w:rsidP="00FB0D02">
            <w:pPr>
              <w:spacing w:after="0" w:line="240" w:lineRule="auto"/>
              <w:rPr>
                <w:rFonts w:ascii="Arial" w:hAnsi="Arial" w:cs="Arial"/>
                <w:b/>
                <w:bCs/>
                <w:color w:val="000000"/>
                <w:sz w:val="16"/>
                <w:szCs w:val="16"/>
              </w:rPr>
            </w:pPr>
            <w:r w:rsidRPr="002A338C">
              <w:rPr>
                <w:rFonts w:ascii="Arial" w:hAnsi="Arial" w:cs="Arial"/>
                <w:b/>
                <w:bCs/>
                <w:color w:val="000000"/>
                <w:sz w:val="16"/>
                <w:szCs w:val="16"/>
              </w:rPr>
              <w:t>FINANCING ACTIVITIES</w:t>
            </w:r>
          </w:p>
        </w:tc>
        <w:tc>
          <w:tcPr>
            <w:tcW w:w="1123" w:type="dxa"/>
            <w:tcBorders>
              <w:top w:val="nil"/>
              <w:left w:val="nil"/>
              <w:bottom w:val="nil"/>
              <w:right w:val="nil"/>
            </w:tcBorders>
            <w:shd w:val="clear" w:color="auto" w:fill="auto"/>
            <w:noWrap/>
            <w:vAlign w:val="bottom"/>
            <w:hideMark/>
          </w:tcPr>
          <w:p w14:paraId="6432D30F" w14:textId="77777777" w:rsidR="00115843" w:rsidRPr="002A338C" w:rsidRDefault="00115843" w:rsidP="00FB0D02">
            <w:pPr>
              <w:spacing w:after="0" w:line="240" w:lineRule="auto"/>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hideMark/>
          </w:tcPr>
          <w:p w14:paraId="0CD7CB15" w14:textId="77777777" w:rsidR="00115843" w:rsidRPr="002A338C" w:rsidRDefault="00115843" w:rsidP="00FB0D0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4D9695EE" w14:textId="77777777" w:rsidR="00115843" w:rsidRPr="002A338C" w:rsidRDefault="00115843" w:rsidP="00FB0D02">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2502B93C" w14:textId="77777777" w:rsidR="00115843" w:rsidRPr="002A338C" w:rsidRDefault="00115843" w:rsidP="00FB0D02">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hideMark/>
          </w:tcPr>
          <w:p w14:paraId="7488EA3E" w14:textId="77777777" w:rsidR="00115843" w:rsidRPr="002A338C" w:rsidRDefault="00115843" w:rsidP="00FB0D02">
            <w:pPr>
              <w:spacing w:after="0" w:line="240" w:lineRule="auto"/>
              <w:jc w:val="right"/>
              <w:rPr>
                <w:rFonts w:ascii="Arial" w:hAnsi="Arial" w:cs="Arial"/>
                <w:sz w:val="16"/>
                <w:szCs w:val="16"/>
              </w:rPr>
            </w:pPr>
          </w:p>
        </w:tc>
      </w:tr>
      <w:tr w:rsidR="00115843" w:rsidRPr="002A338C" w14:paraId="4914F9E3" w14:textId="77777777" w:rsidTr="005334F2">
        <w:trPr>
          <w:trHeight w:val="204"/>
        </w:trPr>
        <w:tc>
          <w:tcPr>
            <w:tcW w:w="2184" w:type="dxa"/>
            <w:tcBorders>
              <w:top w:val="nil"/>
              <w:left w:val="nil"/>
              <w:bottom w:val="nil"/>
              <w:right w:val="nil"/>
            </w:tcBorders>
            <w:shd w:val="clear" w:color="auto" w:fill="auto"/>
            <w:noWrap/>
            <w:vAlign w:val="bottom"/>
            <w:hideMark/>
          </w:tcPr>
          <w:p w14:paraId="6820F41D" w14:textId="77777777" w:rsidR="00115843" w:rsidRPr="002A338C" w:rsidRDefault="00115843" w:rsidP="00FB0D02">
            <w:pPr>
              <w:spacing w:after="0" w:line="240" w:lineRule="auto"/>
              <w:ind w:left="113"/>
              <w:rPr>
                <w:rFonts w:ascii="Arial" w:hAnsi="Arial" w:cs="Arial"/>
                <w:b/>
                <w:bCs/>
                <w:color w:val="000000"/>
                <w:sz w:val="16"/>
                <w:szCs w:val="16"/>
              </w:rPr>
            </w:pPr>
            <w:r w:rsidRPr="002A338C">
              <w:rPr>
                <w:rFonts w:ascii="Arial" w:hAnsi="Arial" w:cs="Arial"/>
                <w:b/>
                <w:bCs/>
                <w:color w:val="000000"/>
                <w:sz w:val="16"/>
                <w:szCs w:val="16"/>
              </w:rPr>
              <w:t>Cash received</w:t>
            </w:r>
          </w:p>
        </w:tc>
        <w:tc>
          <w:tcPr>
            <w:tcW w:w="1123" w:type="dxa"/>
            <w:tcBorders>
              <w:top w:val="nil"/>
              <w:left w:val="nil"/>
              <w:bottom w:val="nil"/>
              <w:right w:val="nil"/>
            </w:tcBorders>
            <w:shd w:val="clear" w:color="auto" w:fill="auto"/>
            <w:noWrap/>
            <w:vAlign w:val="bottom"/>
            <w:hideMark/>
          </w:tcPr>
          <w:p w14:paraId="5341E595" w14:textId="77777777" w:rsidR="00115843" w:rsidRPr="002A338C" w:rsidRDefault="00115843" w:rsidP="00FB0D02">
            <w:pPr>
              <w:spacing w:after="0" w:line="240" w:lineRule="auto"/>
              <w:ind w:firstLineChars="100" w:firstLine="161"/>
              <w:jc w:val="right"/>
              <w:rPr>
                <w:rFonts w:ascii="Arial" w:hAnsi="Arial" w:cs="Arial"/>
                <w:b/>
                <w:bCs/>
                <w:color w:val="000000"/>
                <w:sz w:val="16"/>
                <w:szCs w:val="16"/>
              </w:rPr>
            </w:pPr>
          </w:p>
        </w:tc>
        <w:tc>
          <w:tcPr>
            <w:tcW w:w="1124" w:type="dxa"/>
            <w:tcBorders>
              <w:top w:val="nil"/>
              <w:left w:val="nil"/>
              <w:bottom w:val="nil"/>
              <w:right w:val="nil"/>
            </w:tcBorders>
            <w:shd w:val="clear" w:color="auto" w:fill="E6E6E6"/>
            <w:noWrap/>
            <w:vAlign w:val="bottom"/>
            <w:hideMark/>
          </w:tcPr>
          <w:p w14:paraId="2211784C" w14:textId="77777777" w:rsidR="00115843" w:rsidRPr="002A338C" w:rsidRDefault="00115843" w:rsidP="00FB0D0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340B60E" w14:textId="77777777" w:rsidR="00115843" w:rsidRPr="002A338C" w:rsidRDefault="00115843" w:rsidP="00FB0D02">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49504A3" w14:textId="77777777" w:rsidR="00115843" w:rsidRPr="002A338C" w:rsidRDefault="00115843" w:rsidP="00FB0D02">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hideMark/>
          </w:tcPr>
          <w:p w14:paraId="53DFBAFA" w14:textId="77777777" w:rsidR="00115843" w:rsidRPr="002A338C" w:rsidRDefault="00115843" w:rsidP="00FB0D02">
            <w:pPr>
              <w:spacing w:after="0" w:line="240" w:lineRule="auto"/>
              <w:jc w:val="right"/>
              <w:rPr>
                <w:rFonts w:ascii="Arial" w:hAnsi="Arial" w:cs="Arial"/>
                <w:sz w:val="16"/>
                <w:szCs w:val="16"/>
              </w:rPr>
            </w:pPr>
          </w:p>
        </w:tc>
      </w:tr>
      <w:tr w:rsidR="00AB3B87" w:rsidRPr="002A338C" w14:paraId="15145282" w14:textId="77777777" w:rsidTr="005334F2">
        <w:trPr>
          <w:trHeight w:val="204"/>
        </w:trPr>
        <w:tc>
          <w:tcPr>
            <w:tcW w:w="2184" w:type="dxa"/>
            <w:tcBorders>
              <w:top w:val="nil"/>
              <w:left w:val="nil"/>
              <w:bottom w:val="nil"/>
              <w:right w:val="nil"/>
            </w:tcBorders>
            <w:shd w:val="clear" w:color="auto" w:fill="auto"/>
            <w:noWrap/>
            <w:vAlign w:val="bottom"/>
            <w:hideMark/>
          </w:tcPr>
          <w:p w14:paraId="44C356FA" w14:textId="77777777" w:rsidR="00AB3B87" w:rsidRPr="002A338C" w:rsidRDefault="00AB3B87" w:rsidP="00AB3B87">
            <w:pPr>
              <w:spacing w:after="0" w:line="240" w:lineRule="auto"/>
              <w:ind w:left="227"/>
              <w:rPr>
                <w:rFonts w:ascii="Arial" w:hAnsi="Arial" w:cs="Arial"/>
                <w:color w:val="000000"/>
                <w:sz w:val="16"/>
                <w:szCs w:val="16"/>
              </w:rPr>
            </w:pPr>
            <w:r w:rsidRPr="002A338C">
              <w:rPr>
                <w:rFonts w:ascii="Arial" w:hAnsi="Arial" w:cs="Arial"/>
                <w:color w:val="000000"/>
                <w:sz w:val="16"/>
                <w:szCs w:val="16"/>
              </w:rPr>
              <w:t>Other</w:t>
            </w:r>
          </w:p>
        </w:tc>
        <w:tc>
          <w:tcPr>
            <w:tcW w:w="1123" w:type="dxa"/>
            <w:tcBorders>
              <w:top w:val="nil"/>
              <w:left w:val="nil"/>
              <w:bottom w:val="nil"/>
              <w:right w:val="nil"/>
            </w:tcBorders>
            <w:shd w:val="clear" w:color="auto" w:fill="auto"/>
            <w:noWrap/>
            <w:vAlign w:val="bottom"/>
            <w:hideMark/>
          </w:tcPr>
          <w:p w14:paraId="14EC82AC" w14:textId="385DAB0F"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236,570</w:t>
            </w:r>
          </w:p>
        </w:tc>
        <w:tc>
          <w:tcPr>
            <w:tcW w:w="1124" w:type="dxa"/>
            <w:tcBorders>
              <w:top w:val="nil"/>
              <w:left w:val="nil"/>
              <w:bottom w:val="nil"/>
              <w:right w:val="nil"/>
            </w:tcBorders>
            <w:shd w:val="clear" w:color="auto" w:fill="E6E6E6"/>
            <w:noWrap/>
            <w:vAlign w:val="bottom"/>
            <w:hideMark/>
          </w:tcPr>
          <w:p w14:paraId="505DCFC2" w14:textId="7C7831B1"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39F8260F" w14:textId="2A174BF0"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7FD8EC74" w14:textId="5AC8FABF"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3FF42AA2" w14:textId="6B4852F1"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B3B87" w:rsidRPr="002A338C" w14:paraId="3B56FD89" w14:textId="77777777" w:rsidTr="005334F2">
        <w:trPr>
          <w:trHeight w:val="204"/>
        </w:trPr>
        <w:tc>
          <w:tcPr>
            <w:tcW w:w="2184" w:type="dxa"/>
            <w:tcBorders>
              <w:top w:val="nil"/>
              <w:left w:val="nil"/>
              <w:bottom w:val="nil"/>
              <w:right w:val="nil"/>
            </w:tcBorders>
            <w:shd w:val="clear" w:color="auto" w:fill="auto"/>
            <w:noWrap/>
            <w:vAlign w:val="bottom"/>
            <w:hideMark/>
          </w:tcPr>
          <w:p w14:paraId="47AE0DE8" w14:textId="77777777" w:rsidR="00AB3B87" w:rsidRPr="002A338C" w:rsidRDefault="00AB3B87" w:rsidP="00AB3B87">
            <w:pPr>
              <w:spacing w:after="0" w:line="240" w:lineRule="auto"/>
              <w:ind w:left="113"/>
              <w:rPr>
                <w:rFonts w:ascii="Arial" w:hAnsi="Arial" w:cs="Arial"/>
                <w:b/>
                <w:bCs/>
                <w:i/>
                <w:iCs/>
                <w:color w:val="000000"/>
                <w:sz w:val="16"/>
                <w:szCs w:val="16"/>
              </w:rPr>
            </w:pPr>
            <w:r w:rsidRPr="002A338C">
              <w:rPr>
                <w:rFonts w:ascii="Arial" w:hAnsi="Arial" w:cs="Arial"/>
                <w:b/>
                <w:bCs/>
                <w:i/>
                <w:iCs/>
                <w:color w:val="000000"/>
                <w:sz w:val="16"/>
                <w:szCs w:val="16"/>
              </w:rPr>
              <w:t xml:space="preserve">Total cash </w:t>
            </w:r>
            <w:r>
              <w:rPr>
                <w:rFonts w:ascii="Arial" w:hAnsi="Arial" w:cs="Arial"/>
                <w:b/>
                <w:bCs/>
                <w:i/>
                <w:iCs/>
                <w:color w:val="000000"/>
                <w:sz w:val="16"/>
                <w:szCs w:val="16"/>
              </w:rPr>
              <w:t>receive</w:t>
            </w:r>
            <w:r w:rsidRPr="002A338C">
              <w:rPr>
                <w:rFonts w:ascii="Arial" w:hAnsi="Arial" w:cs="Arial"/>
                <w:b/>
                <w:bCs/>
                <w:i/>
                <w:iCs/>
                <w:color w:val="000000"/>
                <w:sz w:val="16"/>
                <w:szCs w:val="16"/>
              </w:rPr>
              <w:t>d</w:t>
            </w:r>
          </w:p>
        </w:tc>
        <w:tc>
          <w:tcPr>
            <w:tcW w:w="1123" w:type="dxa"/>
            <w:tcBorders>
              <w:top w:val="single" w:sz="4" w:space="0" w:color="000000"/>
              <w:left w:val="nil"/>
              <w:bottom w:val="single" w:sz="4" w:space="0" w:color="000000"/>
              <w:right w:val="nil"/>
            </w:tcBorders>
            <w:shd w:val="clear" w:color="auto" w:fill="auto"/>
            <w:noWrap/>
            <w:vAlign w:val="bottom"/>
            <w:hideMark/>
          </w:tcPr>
          <w:p w14:paraId="7B585E76" w14:textId="50A2D46C"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236,570</w:t>
            </w:r>
          </w:p>
        </w:tc>
        <w:tc>
          <w:tcPr>
            <w:tcW w:w="1124" w:type="dxa"/>
            <w:tcBorders>
              <w:top w:val="single" w:sz="4" w:space="0" w:color="000000"/>
              <w:left w:val="nil"/>
              <w:bottom w:val="single" w:sz="4" w:space="0" w:color="000000"/>
              <w:right w:val="nil"/>
            </w:tcBorders>
            <w:shd w:val="clear" w:color="auto" w:fill="E6E6E6"/>
            <w:noWrap/>
            <w:vAlign w:val="bottom"/>
            <w:hideMark/>
          </w:tcPr>
          <w:p w14:paraId="082CC543" w14:textId="11BC0A3B"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hideMark/>
          </w:tcPr>
          <w:p w14:paraId="38986080" w14:textId="75E1287C"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48BADB14" w14:textId="59DB1FF2"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43735A2B" w14:textId="46656D57"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AB3B87" w:rsidRPr="002A338C" w14:paraId="7FA65F35" w14:textId="77777777" w:rsidTr="005334F2">
        <w:trPr>
          <w:trHeight w:val="204"/>
        </w:trPr>
        <w:tc>
          <w:tcPr>
            <w:tcW w:w="2184" w:type="dxa"/>
            <w:tcBorders>
              <w:top w:val="nil"/>
              <w:left w:val="nil"/>
              <w:bottom w:val="nil"/>
              <w:right w:val="nil"/>
            </w:tcBorders>
            <w:shd w:val="clear" w:color="auto" w:fill="auto"/>
            <w:vAlign w:val="bottom"/>
            <w:hideMark/>
          </w:tcPr>
          <w:p w14:paraId="1349496A" w14:textId="77777777" w:rsidR="00AB3B87" w:rsidRPr="002A338C" w:rsidRDefault="00AB3B87" w:rsidP="00AB3B87">
            <w:pPr>
              <w:spacing w:after="0" w:line="240" w:lineRule="auto"/>
              <w:rPr>
                <w:rFonts w:ascii="Arial" w:hAnsi="Arial" w:cs="Arial"/>
                <w:b/>
                <w:bCs/>
                <w:color w:val="000000"/>
                <w:sz w:val="16"/>
                <w:szCs w:val="16"/>
              </w:rPr>
            </w:pPr>
            <w:r w:rsidRPr="002A338C">
              <w:rPr>
                <w:rFonts w:ascii="Arial" w:hAnsi="Arial" w:cs="Arial"/>
                <w:b/>
                <w:bCs/>
                <w:color w:val="000000"/>
                <w:sz w:val="16"/>
                <w:szCs w:val="16"/>
              </w:rPr>
              <w:t>Net cash from/(used by) financing activities</w:t>
            </w:r>
          </w:p>
        </w:tc>
        <w:tc>
          <w:tcPr>
            <w:tcW w:w="1123" w:type="dxa"/>
            <w:tcBorders>
              <w:top w:val="nil"/>
              <w:left w:val="nil"/>
              <w:bottom w:val="single" w:sz="4" w:space="0" w:color="auto"/>
              <w:right w:val="nil"/>
            </w:tcBorders>
            <w:shd w:val="clear" w:color="auto" w:fill="auto"/>
            <w:noWrap/>
            <w:vAlign w:val="bottom"/>
            <w:hideMark/>
          </w:tcPr>
          <w:p w14:paraId="7D921669" w14:textId="3C20880F"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236,570</w:t>
            </w:r>
          </w:p>
        </w:tc>
        <w:tc>
          <w:tcPr>
            <w:tcW w:w="1124" w:type="dxa"/>
            <w:tcBorders>
              <w:top w:val="nil"/>
              <w:left w:val="nil"/>
              <w:bottom w:val="single" w:sz="4" w:space="0" w:color="auto"/>
              <w:right w:val="nil"/>
            </w:tcBorders>
            <w:shd w:val="clear" w:color="auto" w:fill="E6E6E6"/>
            <w:noWrap/>
            <w:vAlign w:val="bottom"/>
            <w:hideMark/>
          </w:tcPr>
          <w:p w14:paraId="6872AF1B" w14:textId="47107F0A"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nil"/>
              <w:left w:val="nil"/>
              <w:bottom w:val="single" w:sz="4" w:space="0" w:color="auto"/>
              <w:right w:val="nil"/>
            </w:tcBorders>
            <w:shd w:val="clear" w:color="auto" w:fill="auto"/>
            <w:noWrap/>
            <w:vAlign w:val="bottom"/>
            <w:hideMark/>
          </w:tcPr>
          <w:p w14:paraId="12B48D7B" w14:textId="5EE6896F"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33A46606" w14:textId="4D334941"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44EAD2D0" w14:textId="438E2BF6"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B3B87" w:rsidRPr="002A338C" w14:paraId="7DED0359" w14:textId="77777777" w:rsidTr="005334F2">
        <w:trPr>
          <w:trHeight w:val="204"/>
        </w:trPr>
        <w:tc>
          <w:tcPr>
            <w:tcW w:w="2184" w:type="dxa"/>
            <w:tcBorders>
              <w:top w:val="nil"/>
              <w:left w:val="nil"/>
              <w:bottom w:val="nil"/>
              <w:right w:val="nil"/>
            </w:tcBorders>
            <w:shd w:val="clear" w:color="auto" w:fill="auto"/>
            <w:vAlign w:val="bottom"/>
            <w:hideMark/>
          </w:tcPr>
          <w:p w14:paraId="2C9F78CE" w14:textId="77777777" w:rsidR="00AB3B87" w:rsidRPr="002A338C" w:rsidRDefault="00AB3B87" w:rsidP="00AB3B87">
            <w:pPr>
              <w:spacing w:after="0" w:line="240" w:lineRule="auto"/>
              <w:rPr>
                <w:rFonts w:ascii="Arial" w:hAnsi="Arial" w:cs="Arial"/>
                <w:b/>
                <w:bCs/>
                <w:i/>
                <w:iCs/>
                <w:color w:val="000000"/>
                <w:sz w:val="16"/>
                <w:szCs w:val="16"/>
              </w:rPr>
            </w:pPr>
            <w:r w:rsidRPr="002A338C">
              <w:rPr>
                <w:rFonts w:ascii="Arial" w:hAnsi="Arial" w:cs="Arial"/>
                <w:b/>
                <w:bCs/>
                <w:i/>
                <w:iCs/>
                <w:color w:val="000000"/>
                <w:sz w:val="16"/>
                <w:szCs w:val="16"/>
              </w:rPr>
              <w:t>Net increase/(decrease) in cash held</w:t>
            </w:r>
          </w:p>
        </w:tc>
        <w:tc>
          <w:tcPr>
            <w:tcW w:w="1123" w:type="dxa"/>
            <w:tcBorders>
              <w:top w:val="nil"/>
              <w:left w:val="nil"/>
              <w:bottom w:val="single" w:sz="4" w:space="0" w:color="auto"/>
              <w:right w:val="nil"/>
            </w:tcBorders>
            <w:shd w:val="clear" w:color="auto" w:fill="auto"/>
            <w:noWrap/>
            <w:vAlign w:val="bottom"/>
            <w:hideMark/>
          </w:tcPr>
          <w:p w14:paraId="7CEA36BF" w14:textId="653976C6"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(4,516,592)</w:t>
            </w:r>
          </w:p>
        </w:tc>
        <w:tc>
          <w:tcPr>
            <w:tcW w:w="1124" w:type="dxa"/>
            <w:tcBorders>
              <w:top w:val="nil"/>
              <w:left w:val="nil"/>
              <w:bottom w:val="single" w:sz="4" w:space="0" w:color="auto"/>
              <w:right w:val="nil"/>
            </w:tcBorders>
            <w:shd w:val="clear" w:color="auto" w:fill="E6E6E6"/>
            <w:noWrap/>
            <w:vAlign w:val="bottom"/>
            <w:hideMark/>
          </w:tcPr>
          <w:p w14:paraId="40433B44" w14:textId="3C596E6D"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(11,194,309)</w:t>
            </w:r>
          </w:p>
        </w:tc>
        <w:tc>
          <w:tcPr>
            <w:tcW w:w="1035" w:type="dxa"/>
            <w:tcBorders>
              <w:top w:val="nil"/>
              <w:left w:val="nil"/>
              <w:bottom w:val="single" w:sz="4" w:space="0" w:color="auto"/>
              <w:right w:val="nil"/>
            </w:tcBorders>
            <w:shd w:val="clear" w:color="auto" w:fill="auto"/>
            <w:noWrap/>
            <w:vAlign w:val="bottom"/>
            <w:hideMark/>
          </w:tcPr>
          <w:p w14:paraId="6E457F89" w14:textId="419B2854"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(8,983,281)</w:t>
            </w:r>
          </w:p>
        </w:tc>
        <w:tc>
          <w:tcPr>
            <w:tcW w:w="1124" w:type="dxa"/>
            <w:tcBorders>
              <w:top w:val="nil"/>
              <w:left w:val="nil"/>
              <w:bottom w:val="single" w:sz="4" w:space="0" w:color="auto"/>
              <w:right w:val="nil"/>
            </w:tcBorders>
            <w:shd w:val="clear" w:color="auto" w:fill="auto"/>
            <w:noWrap/>
            <w:vAlign w:val="bottom"/>
            <w:hideMark/>
          </w:tcPr>
          <w:p w14:paraId="7B3A90D2" w14:textId="219D495F"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(14,843,687)</w:t>
            </w:r>
          </w:p>
        </w:tc>
        <w:tc>
          <w:tcPr>
            <w:tcW w:w="1124" w:type="dxa"/>
            <w:tcBorders>
              <w:top w:val="nil"/>
              <w:left w:val="nil"/>
              <w:bottom w:val="single" w:sz="4" w:space="0" w:color="auto"/>
              <w:right w:val="nil"/>
            </w:tcBorders>
            <w:shd w:val="clear" w:color="auto" w:fill="auto"/>
            <w:noWrap/>
            <w:vAlign w:val="bottom"/>
            <w:hideMark/>
          </w:tcPr>
          <w:p w14:paraId="10D2B16B" w14:textId="6EF852A6" w:rsidR="00AB3B87" w:rsidRPr="002A338C" w:rsidRDefault="00AB3B87" w:rsidP="00AB3B8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(14,171,414)</w:t>
            </w:r>
          </w:p>
        </w:tc>
      </w:tr>
      <w:tr w:rsidR="00AB3B87" w:rsidRPr="002A338C" w14:paraId="64438513" w14:textId="77777777" w:rsidTr="005334F2">
        <w:trPr>
          <w:trHeight w:val="204"/>
        </w:trPr>
        <w:tc>
          <w:tcPr>
            <w:tcW w:w="2184" w:type="dxa"/>
            <w:tcBorders>
              <w:top w:val="nil"/>
              <w:left w:val="nil"/>
              <w:bottom w:val="nil"/>
              <w:right w:val="nil"/>
            </w:tcBorders>
            <w:shd w:val="clear" w:color="auto" w:fill="auto"/>
            <w:vAlign w:val="bottom"/>
            <w:hideMark/>
          </w:tcPr>
          <w:p w14:paraId="08A6775B" w14:textId="77777777" w:rsidR="00AB3B87" w:rsidRPr="002A338C" w:rsidRDefault="00AB3B87" w:rsidP="00AB3B87">
            <w:pPr>
              <w:spacing w:after="0" w:line="240" w:lineRule="auto"/>
              <w:rPr>
                <w:rFonts w:ascii="Arial" w:hAnsi="Arial" w:cs="Arial"/>
                <w:color w:val="000000"/>
                <w:sz w:val="16"/>
                <w:szCs w:val="16"/>
              </w:rPr>
            </w:pPr>
            <w:r w:rsidRPr="002A338C">
              <w:rPr>
                <w:rFonts w:ascii="Arial" w:hAnsi="Arial" w:cs="Arial"/>
                <w:color w:val="000000"/>
                <w:sz w:val="16"/>
                <w:szCs w:val="16"/>
              </w:rPr>
              <w:t>Cash and cash equivalents at beginning of reporting period</w:t>
            </w:r>
          </w:p>
        </w:tc>
        <w:tc>
          <w:tcPr>
            <w:tcW w:w="1123" w:type="dxa"/>
            <w:tcBorders>
              <w:top w:val="nil"/>
              <w:left w:val="nil"/>
              <w:bottom w:val="nil"/>
              <w:right w:val="nil"/>
            </w:tcBorders>
            <w:shd w:val="clear" w:color="auto" w:fill="auto"/>
            <w:noWrap/>
            <w:vAlign w:val="bottom"/>
            <w:hideMark/>
          </w:tcPr>
          <w:p w14:paraId="753D81A6" w14:textId="4039650B"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124" w:type="dxa"/>
            <w:tcBorders>
              <w:top w:val="nil"/>
              <w:left w:val="nil"/>
              <w:bottom w:val="nil"/>
              <w:right w:val="nil"/>
            </w:tcBorders>
            <w:shd w:val="clear" w:color="auto" w:fill="E6E6E6"/>
            <w:noWrap/>
            <w:vAlign w:val="bottom"/>
            <w:hideMark/>
          </w:tcPr>
          <w:p w14:paraId="53A3A1DC" w14:textId="74E62751"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1035" w:type="dxa"/>
            <w:tcBorders>
              <w:top w:val="nil"/>
              <w:left w:val="nil"/>
              <w:bottom w:val="nil"/>
              <w:right w:val="nil"/>
            </w:tcBorders>
            <w:shd w:val="clear" w:color="auto" w:fill="auto"/>
            <w:noWrap/>
            <w:vAlign w:val="bottom"/>
            <w:hideMark/>
          </w:tcPr>
          <w:p w14:paraId="478545C5" w14:textId="3C7F43D7"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1124" w:type="dxa"/>
            <w:tcBorders>
              <w:top w:val="nil"/>
              <w:left w:val="nil"/>
              <w:bottom w:val="nil"/>
              <w:right w:val="nil"/>
            </w:tcBorders>
            <w:shd w:val="clear" w:color="auto" w:fill="auto"/>
            <w:noWrap/>
            <w:vAlign w:val="bottom"/>
            <w:hideMark/>
          </w:tcPr>
          <w:p w14:paraId="5ED27007" w14:textId="795A5ADB"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50,039</w:t>
            </w:r>
          </w:p>
        </w:tc>
        <w:tc>
          <w:tcPr>
            <w:tcW w:w="1124" w:type="dxa"/>
            <w:tcBorders>
              <w:top w:val="nil"/>
              <w:left w:val="nil"/>
              <w:bottom w:val="nil"/>
              <w:right w:val="nil"/>
            </w:tcBorders>
            <w:shd w:val="clear" w:color="auto" w:fill="auto"/>
            <w:noWrap/>
            <w:vAlign w:val="bottom"/>
            <w:hideMark/>
          </w:tcPr>
          <w:p w14:paraId="4A20B819" w14:textId="1A5C75E7"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50,039</w:t>
            </w:r>
          </w:p>
        </w:tc>
      </w:tr>
      <w:tr w:rsidR="00AB3B87" w:rsidRPr="002A338C" w14:paraId="04C9F93C" w14:textId="77777777" w:rsidTr="005334F2">
        <w:trPr>
          <w:trHeight w:val="204"/>
        </w:trPr>
        <w:tc>
          <w:tcPr>
            <w:tcW w:w="2184" w:type="dxa"/>
            <w:tcBorders>
              <w:top w:val="nil"/>
              <w:left w:val="nil"/>
              <w:bottom w:val="nil"/>
              <w:right w:val="nil"/>
            </w:tcBorders>
            <w:shd w:val="clear" w:color="auto" w:fill="auto"/>
            <w:vAlign w:val="bottom"/>
            <w:hideMark/>
          </w:tcPr>
          <w:p w14:paraId="0D551C9F" w14:textId="77777777" w:rsidR="00AB3B87" w:rsidRPr="002A338C" w:rsidRDefault="00AB3B87" w:rsidP="00AB3B87">
            <w:pPr>
              <w:spacing w:after="0" w:line="240" w:lineRule="auto"/>
              <w:rPr>
                <w:rFonts w:ascii="Arial" w:hAnsi="Arial" w:cs="Arial"/>
                <w:color w:val="000000"/>
                <w:sz w:val="16"/>
                <w:szCs w:val="16"/>
              </w:rPr>
            </w:pPr>
            <w:r w:rsidRPr="002A338C">
              <w:rPr>
                <w:rFonts w:ascii="Arial" w:hAnsi="Arial" w:cs="Arial"/>
                <w:color w:val="000000"/>
                <w:sz w:val="16"/>
                <w:szCs w:val="16"/>
              </w:rPr>
              <w:t>Cash from Official Public Account for:</w:t>
            </w:r>
          </w:p>
        </w:tc>
        <w:tc>
          <w:tcPr>
            <w:tcW w:w="1123" w:type="dxa"/>
            <w:tcBorders>
              <w:top w:val="nil"/>
              <w:left w:val="nil"/>
              <w:bottom w:val="nil"/>
              <w:right w:val="nil"/>
            </w:tcBorders>
            <w:shd w:val="clear" w:color="auto" w:fill="auto"/>
            <w:noWrap/>
            <w:vAlign w:val="bottom"/>
            <w:hideMark/>
          </w:tcPr>
          <w:p w14:paraId="1537B6C3" w14:textId="77777777" w:rsidR="00AB3B87" w:rsidRPr="002A338C" w:rsidRDefault="00AB3B87" w:rsidP="00AB3B87">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E6E6E6"/>
            <w:noWrap/>
            <w:vAlign w:val="bottom"/>
            <w:hideMark/>
          </w:tcPr>
          <w:p w14:paraId="156B16C2" w14:textId="6823D996" w:rsidR="00AB3B87" w:rsidRPr="002A338C" w:rsidRDefault="00AB3B87" w:rsidP="00AB3B87">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4854C1A1" w14:textId="77777777" w:rsidR="00AB3B87" w:rsidRPr="002A338C" w:rsidRDefault="00AB3B87" w:rsidP="00AB3B87">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6951D52" w14:textId="77777777" w:rsidR="00AB3B87" w:rsidRPr="002A338C" w:rsidRDefault="00AB3B87" w:rsidP="00AB3B87">
            <w:pPr>
              <w:spacing w:after="0" w:line="240" w:lineRule="auto"/>
              <w:jc w:val="right"/>
              <w:rPr>
                <w:rFonts w:ascii="Arial" w:hAnsi="Arial" w:cs="Arial"/>
                <w:sz w:val="16"/>
                <w:szCs w:val="16"/>
              </w:rPr>
            </w:pPr>
          </w:p>
        </w:tc>
        <w:tc>
          <w:tcPr>
            <w:tcW w:w="1124" w:type="dxa"/>
            <w:tcBorders>
              <w:top w:val="nil"/>
              <w:left w:val="nil"/>
              <w:bottom w:val="nil"/>
              <w:right w:val="nil"/>
            </w:tcBorders>
            <w:shd w:val="clear" w:color="auto" w:fill="auto"/>
            <w:noWrap/>
            <w:vAlign w:val="bottom"/>
            <w:hideMark/>
          </w:tcPr>
          <w:p w14:paraId="5192B8D7" w14:textId="77777777" w:rsidR="00AB3B87" w:rsidRPr="002A338C" w:rsidRDefault="00AB3B87" w:rsidP="00AB3B87">
            <w:pPr>
              <w:spacing w:after="0" w:line="240" w:lineRule="auto"/>
              <w:jc w:val="right"/>
              <w:rPr>
                <w:rFonts w:ascii="Arial" w:hAnsi="Arial" w:cs="Arial"/>
                <w:sz w:val="16"/>
                <w:szCs w:val="16"/>
              </w:rPr>
            </w:pPr>
          </w:p>
        </w:tc>
      </w:tr>
      <w:tr w:rsidR="00AB3B87" w:rsidRPr="002A338C" w14:paraId="07792256" w14:textId="77777777" w:rsidTr="005334F2">
        <w:trPr>
          <w:trHeight w:val="204"/>
        </w:trPr>
        <w:tc>
          <w:tcPr>
            <w:tcW w:w="2184" w:type="dxa"/>
            <w:tcBorders>
              <w:top w:val="nil"/>
              <w:left w:val="nil"/>
              <w:bottom w:val="nil"/>
              <w:right w:val="nil"/>
            </w:tcBorders>
            <w:shd w:val="clear" w:color="auto" w:fill="auto"/>
            <w:noWrap/>
            <w:vAlign w:val="bottom"/>
            <w:hideMark/>
          </w:tcPr>
          <w:p w14:paraId="536B2034" w14:textId="77777777" w:rsidR="00AB3B87" w:rsidRPr="002A338C" w:rsidRDefault="00AB3B87" w:rsidP="00AB3B87">
            <w:pPr>
              <w:spacing w:after="0" w:line="240" w:lineRule="auto"/>
              <w:ind w:left="113"/>
              <w:rPr>
                <w:rFonts w:ascii="Arial" w:hAnsi="Arial" w:cs="Arial"/>
                <w:color w:val="000000"/>
                <w:sz w:val="16"/>
                <w:szCs w:val="16"/>
              </w:rPr>
            </w:pPr>
            <w:r w:rsidRPr="002A338C">
              <w:rPr>
                <w:rFonts w:ascii="Arial" w:hAnsi="Arial" w:cs="Arial"/>
                <w:color w:val="000000"/>
                <w:sz w:val="16"/>
                <w:szCs w:val="16"/>
              </w:rPr>
              <w:t>Appropriations</w:t>
            </w:r>
          </w:p>
        </w:tc>
        <w:tc>
          <w:tcPr>
            <w:tcW w:w="1123" w:type="dxa"/>
            <w:tcBorders>
              <w:top w:val="nil"/>
              <w:left w:val="nil"/>
              <w:bottom w:val="nil"/>
              <w:right w:val="nil"/>
            </w:tcBorders>
            <w:shd w:val="clear" w:color="auto" w:fill="auto"/>
            <w:noWrap/>
            <w:vAlign w:val="bottom"/>
            <w:hideMark/>
          </w:tcPr>
          <w:p w14:paraId="4FBF4794" w14:textId="425F31F3"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12,674,809</w:t>
            </w:r>
          </w:p>
        </w:tc>
        <w:tc>
          <w:tcPr>
            <w:tcW w:w="1124" w:type="dxa"/>
            <w:tcBorders>
              <w:top w:val="nil"/>
              <w:left w:val="nil"/>
              <w:bottom w:val="nil"/>
              <w:right w:val="nil"/>
            </w:tcBorders>
            <w:shd w:val="clear" w:color="auto" w:fill="E6E6E6"/>
            <w:noWrap/>
            <w:vAlign w:val="bottom"/>
            <w:hideMark/>
          </w:tcPr>
          <w:p w14:paraId="7829C6B0" w14:textId="590C04AD"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11,609,074</w:t>
            </w:r>
          </w:p>
        </w:tc>
        <w:tc>
          <w:tcPr>
            <w:tcW w:w="1035" w:type="dxa"/>
            <w:tcBorders>
              <w:top w:val="nil"/>
              <w:left w:val="nil"/>
              <w:bottom w:val="nil"/>
              <w:right w:val="nil"/>
            </w:tcBorders>
            <w:shd w:val="clear" w:color="auto" w:fill="auto"/>
            <w:noWrap/>
            <w:vAlign w:val="bottom"/>
            <w:hideMark/>
          </w:tcPr>
          <w:p w14:paraId="75B84A8A" w14:textId="3D1C530A"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9,443,452</w:t>
            </w:r>
          </w:p>
        </w:tc>
        <w:tc>
          <w:tcPr>
            <w:tcW w:w="1124" w:type="dxa"/>
            <w:tcBorders>
              <w:top w:val="nil"/>
              <w:left w:val="nil"/>
              <w:bottom w:val="nil"/>
              <w:right w:val="nil"/>
            </w:tcBorders>
            <w:shd w:val="clear" w:color="auto" w:fill="auto"/>
            <w:noWrap/>
            <w:vAlign w:val="bottom"/>
            <w:hideMark/>
          </w:tcPr>
          <w:p w14:paraId="3A109309" w14:textId="02AA7995"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15,050,449</w:t>
            </w:r>
          </w:p>
        </w:tc>
        <w:tc>
          <w:tcPr>
            <w:tcW w:w="1124" w:type="dxa"/>
            <w:tcBorders>
              <w:top w:val="nil"/>
              <w:left w:val="nil"/>
              <w:bottom w:val="nil"/>
              <w:right w:val="nil"/>
            </w:tcBorders>
            <w:shd w:val="clear" w:color="auto" w:fill="auto"/>
            <w:noWrap/>
            <w:vAlign w:val="bottom"/>
            <w:hideMark/>
          </w:tcPr>
          <w:p w14:paraId="28E58056" w14:textId="6106FF86"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14,424,006</w:t>
            </w:r>
          </w:p>
        </w:tc>
      </w:tr>
      <w:tr w:rsidR="00AB3B87" w:rsidRPr="002A338C" w14:paraId="77EC595C" w14:textId="77777777" w:rsidTr="005334F2">
        <w:trPr>
          <w:trHeight w:val="204"/>
        </w:trPr>
        <w:tc>
          <w:tcPr>
            <w:tcW w:w="2184" w:type="dxa"/>
            <w:tcBorders>
              <w:top w:val="nil"/>
              <w:left w:val="nil"/>
              <w:bottom w:val="nil"/>
              <w:right w:val="nil"/>
            </w:tcBorders>
            <w:shd w:val="clear" w:color="auto" w:fill="auto"/>
            <w:vAlign w:val="bottom"/>
            <w:hideMark/>
          </w:tcPr>
          <w:p w14:paraId="4D26EE78" w14:textId="77777777" w:rsidR="00AB3B87" w:rsidRPr="002A338C" w:rsidRDefault="00AB3B87" w:rsidP="00AB3B87">
            <w:pPr>
              <w:spacing w:after="0" w:line="240" w:lineRule="auto"/>
              <w:rPr>
                <w:rFonts w:ascii="Arial" w:hAnsi="Arial" w:cs="Arial"/>
                <w:i/>
                <w:iCs/>
                <w:color w:val="000000"/>
                <w:sz w:val="16"/>
                <w:szCs w:val="16"/>
              </w:rPr>
            </w:pPr>
            <w:r w:rsidRPr="002A338C">
              <w:rPr>
                <w:rFonts w:ascii="Arial" w:hAnsi="Arial" w:cs="Arial"/>
                <w:i/>
                <w:iCs/>
                <w:color w:val="000000"/>
                <w:sz w:val="16"/>
                <w:szCs w:val="16"/>
              </w:rPr>
              <w:t>Total cash from Official Public Account</w:t>
            </w:r>
          </w:p>
        </w:tc>
        <w:tc>
          <w:tcPr>
            <w:tcW w:w="1123" w:type="dxa"/>
            <w:tcBorders>
              <w:top w:val="single" w:sz="4" w:space="0" w:color="000000"/>
              <w:left w:val="nil"/>
              <w:bottom w:val="nil"/>
              <w:right w:val="nil"/>
            </w:tcBorders>
            <w:shd w:val="clear" w:color="000000" w:fill="FFFFFF"/>
            <w:noWrap/>
            <w:vAlign w:val="bottom"/>
            <w:hideMark/>
          </w:tcPr>
          <w:p w14:paraId="69975865" w14:textId="6485B2F0"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12,674,809</w:t>
            </w:r>
          </w:p>
        </w:tc>
        <w:tc>
          <w:tcPr>
            <w:tcW w:w="1124" w:type="dxa"/>
            <w:tcBorders>
              <w:top w:val="single" w:sz="4" w:space="0" w:color="000000"/>
              <w:left w:val="nil"/>
              <w:bottom w:val="nil"/>
              <w:right w:val="nil"/>
            </w:tcBorders>
            <w:shd w:val="clear" w:color="auto" w:fill="E6E6E6"/>
            <w:noWrap/>
            <w:vAlign w:val="bottom"/>
            <w:hideMark/>
          </w:tcPr>
          <w:p w14:paraId="6E26FC9F" w14:textId="782E8A4F"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11,609,074</w:t>
            </w:r>
          </w:p>
        </w:tc>
        <w:tc>
          <w:tcPr>
            <w:tcW w:w="1035" w:type="dxa"/>
            <w:tcBorders>
              <w:top w:val="single" w:sz="4" w:space="0" w:color="000000"/>
              <w:left w:val="nil"/>
              <w:bottom w:val="nil"/>
              <w:right w:val="nil"/>
            </w:tcBorders>
            <w:shd w:val="clear" w:color="auto" w:fill="auto"/>
            <w:noWrap/>
            <w:vAlign w:val="bottom"/>
            <w:hideMark/>
          </w:tcPr>
          <w:p w14:paraId="68B6491C" w14:textId="2C7CF2D5"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9,443,452</w:t>
            </w:r>
          </w:p>
        </w:tc>
        <w:tc>
          <w:tcPr>
            <w:tcW w:w="1124" w:type="dxa"/>
            <w:tcBorders>
              <w:top w:val="single" w:sz="4" w:space="0" w:color="000000"/>
              <w:left w:val="nil"/>
              <w:bottom w:val="nil"/>
              <w:right w:val="nil"/>
            </w:tcBorders>
            <w:shd w:val="clear" w:color="auto" w:fill="auto"/>
            <w:noWrap/>
            <w:vAlign w:val="bottom"/>
            <w:hideMark/>
          </w:tcPr>
          <w:p w14:paraId="341F9FFF" w14:textId="507CB237"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15,050,449</w:t>
            </w:r>
          </w:p>
        </w:tc>
        <w:tc>
          <w:tcPr>
            <w:tcW w:w="1124" w:type="dxa"/>
            <w:tcBorders>
              <w:top w:val="single" w:sz="4" w:space="0" w:color="000000"/>
              <w:left w:val="nil"/>
              <w:bottom w:val="nil"/>
              <w:right w:val="nil"/>
            </w:tcBorders>
            <w:shd w:val="clear" w:color="auto" w:fill="auto"/>
            <w:noWrap/>
            <w:vAlign w:val="bottom"/>
            <w:hideMark/>
          </w:tcPr>
          <w:p w14:paraId="3C49D7E6" w14:textId="5ACDC3D7"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14,424,006</w:t>
            </w:r>
          </w:p>
        </w:tc>
      </w:tr>
      <w:tr w:rsidR="00AB3B87" w:rsidRPr="002A338C" w14:paraId="12534AB5" w14:textId="77777777" w:rsidTr="005334F2">
        <w:trPr>
          <w:trHeight w:val="204"/>
        </w:trPr>
        <w:tc>
          <w:tcPr>
            <w:tcW w:w="2184" w:type="dxa"/>
            <w:tcBorders>
              <w:top w:val="nil"/>
              <w:left w:val="nil"/>
              <w:bottom w:val="nil"/>
              <w:right w:val="nil"/>
            </w:tcBorders>
            <w:shd w:val="clear" w:color="auto" w:fill="auto"/>
            <w:noWrap/>
            <w:vAlign w:val="bottom"/>
            <w:hideMark/>
          </w:tcPr>
          <w:p w14:paraId="412D1136" w14:textId="77777777" w:rsidR="00AB3B87" w:rsidRPr="002A338C" w:rsidRDefault="00AB3B87" w:rsidP="00AB3B87">
            <w:pPr>
              <w:spacing w:after="0" w:line="240" w:lineRule="auto"/>
              <w:rPr>
                <w:rFonts w:ascii="Arial" w:hAnsi="Arial" w:cs="Arial"/>
                <w:color w:val="000000"/>
                <w:sz w:val="16"/>
                <w:szCs w:val="16"/>
              </w:rPr>
            </w:pPr>
            <w:r w:rsidRPr="002A338C">
              <w:rPr>
                <w:rFonts w:ascii="Arial" w:hAnsi="Arial" w:cs="Arial"/>
                <w:color w:val="000000"/>
                <w:sz w:val="16"/>
                <w:szCs w:val="16"/>
              </w:rPr>
              <w:t>Cash to Official Public Account for:</w:t>
            </w:r>
          </w:p>
        </w:tc>
        <w:tc>
          <w:tcPr>
            <w:tcW w:w="1123" w:type="dxa"/>
            <w:tcBorders>
              <w:top w:val="single" w:sz="4" w:space="0" w:color="auto"/>
              <w:left w:val="nil"/>
              <w:bottom w:val="nil"/>
              <w:right w:val="nil"/>
            </w:tcBorders>
            <w:shd w:val="clear" w:color="auto" w:fill="auto"/>
            <w:noWrap/>
            <w:vAlign w:val="bottom"/>
            <w:hideMark/>
          </w:tcPr>
          <w:p w14:paraId="78FA28F1" w14:textId="22DF0379" w:rsidR="00AB3B87" w:rsidRPr="002A338C" w:rsidRDefault="00AB3B87" w:rsidP="00AB3B87">
            <w:pPr>
              <w:spacing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E6E6E6"/>
            <w:noWrap/>
            <w:vAlign w:val="bottom"/>
            <w:hideMark/>
          </w:tcPr>
          <w:p w14:paraId="3001AE12" w14:textId="6094EFCE" w:rsidR="00AB3B87" w:rsidRPr="002A338C" w:rsidRDefault="00AB3B87" w:rsidP="00AB3B87">
            <w:pPr>
              <w:spacing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4B7FC094" w14:textId="4CC08A2D" w:rsidR="00AB3B87" w:rsidRPr="002A338C" w:rsidRDefault="00AB3B87" w:rsidP="00AB3B87">
            <w:pPr>
              <w:spacing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7F0BD803" w14:textId="1181C01C" w:rsidR="00AB3B87" w:rsidRPr="002A338C" w:rsidRDefault="00AB3B87" w:rsidP="00AB3B87">
            <w:pPr>
              <w:spacing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046ADAA9" w14:textId="39B3AAE5" w:rsidR="00AB3B87" w:rsidRPr="002A338C" w:rsidRDefault="00AB3B87" w:rsidP="00AB3B87">
            <w:pPr>
              <w:spacing w:after="0" w:line="240" w:lineRule="auto"/>
              <w:jc w:val="right"/>
              <w:rPr>
                <w:rFonts w:ascii="Arial" w:hAnsi="Arial" w:cs="Arial"/>
                <w:color w:val="000000"/>
                <w:sz w:val="16"/>
                <w:szCs w:val="16"/>
              </w:rPr>
            </w:pPr>
          </w:p>
        </w:tc>
      </w:tr>
      <w:tr w:rsidR="00AB3B87" w:rsidRPr="002A338C" w14:paraId="7EFC0CCD" w14:textId="77777777" w:rsidTr="005334F2">
        <w:trPr>
          <w:trHeight w:val="204"/>
        </w:trPr>
        <w:tc>
          <w:tcPr>
            <w:tcW w:w="2184" w:type="dxa"/>
            <w:tcBorders>
              <w:top w:val="nil"/>
              <w:left w:val="nil"/>
              <w:bottom w:val="nil"/>
              <w:right w:val="nil"/>
            </w:tcBorders>
            <w:shd w:val="clear" w:color="auto" w:fill="auto"/>
            <w:noWrap/>
            <w:vAlign w:val="bottom"/>
            <w:hideMark/>
          </w:tcPr>
          <w:p w14:paraId="2065B5E8" w14:textId="77777777" w:rsidR="00AB3B87" w:rsidRPr="002A338C" w:rsidRDefault="00AB3B87" w:rsidP="00AB3B87">
            <w:pPr>
              <w:spacing w:after="0" w:line="240" w:lineRule="auto"/>
              <w:ind w:left="113"/>
              <w:rPr>
                <w:rFonts w:ascii="Arial" w:hAnsi="Arial" w:cs="Arial"/>
                <w:color w:val="000000"/>
                <w:sz w:val="16"/>
                <w:szCs w:val="16"/>
              </w:rPr>
            </w:pPr>
            <w:r w:rsidRPr="002A338C">
              <w:rPr>
                <w:rFonts w:ascii="Arial" w:hAnsi="Arial" w:cs="Arial"/>
                <w:color w:val="000000"/>
                <w:sz w:val="16"/>
                <w:szCs w:val="16"/>
              </w:rPr>
              <w:t>Appropriations</w:t>
            </w:r>
          </w:p>
        </w:tc>
        <w:tc>
          <w:tcPr>
            <w:tcW w:w="1123" w:type="dxa"/>
            <w:tcBorders>
              <w:top w:val="nil"/>
              <w:left w:val="nil"/>
              <w:bottom w:val="nil"/>
              <w:right w:val="nil"/>
            </w:tcBorders>
            <w:shd w:val="clear" w:color="auto" w:fill="auto"/>
            <w:noWrap/>
            <w:vAlign w:val="bottom"/>
            <w:hideMark/>
          </w:tcPr>
          <w:p w14:paraId="790048F0" w14:textId="198C7D5F"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(8,150,167)</w:t>
            </w:r>
          </w:p>
        </w:tc>
        <w:tc>
          <w:tcPr>
            <w:tcW w:w="1124" w:type="dxa"/>
            <w:tcBorders>
              <w:top w:val="nil"/>
              <w:left w:val="nil"/>
              <w:bottom w:val="nil"/>
              <w:right w:val="nil"/>
            </w:tcBorders>
            <w:shd w:val="clear" w:color="auto" w:fill="E6E6E6"/>
            <w:noWrap/>
            <w:vAlign w:val="bottom"/>
            <w:hideMark/>
          </w:tcPr>
          <w:p w14:paraId="1AFB2037" w14:textId="7F46057B"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(414,765)</w:t>
            </w:r>
          </w:p>
        </w:tc>
        <w:tc>
          <w:tcPr>
            <w:tcW w:w="1035" w:type="dxa"/>
            <w:tcBorders>
              <w:top w:val="nil"/>
              <w:left w:val="nil"/>
              <w:bottom w:val="nil"/>
              <w:right w:val="nil"/>
            </w:tcBorders>
            <w:shd w:val="clear" w:color="auto" w:fill="auto"/>
            <w:noWrap/>
            <w:vAlign w:val="bottom"/>
            <w:hideMark/>
          </w:tcPr>
          <w:p w14:paraId="2F0FAFBB" w14:textId="7C33C6CA"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(460,171)</w:t>
            </w:r>
          </w:p>
        </w:tc>
        <w:tc>
          <w:tcPr>
            <w:tcW w:w="1124" w:type="dxa"/>
            <w:tcBorders>
              <w:top w:val="nil"/>
              <w:left w:val="nil"/>
              <w:bottom w:val="nil"/>
              <w:right w:val="nil"/>
            </w:tcBorders>
            <w:shd w:val="clear" w:color="auto" w:fill="auto"/>
            <w:noWrap/>
            <w:vAlign w:val="bottom"/>
            <w:hideMark/>
          </w:tcPr>
          <w:p w14:paraId="07D552EF" w14:textId="5DDF73F6"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(206,762)</w:t>
            </w:r>
          </w:p>
        </w:tc>
        <w:tc>
          <w:tcPr>
            <w:tcW w:w="1124" w:type="dxa"/>
            <w:tcBorders>
              <w:top w:val="nil"/>
              <w:left w:val="nil"/>
              <w:bottom w:val="nil"/>
              <w:right w:val="nil"/>
            </w:tcBorders>
            <w:shd w:val="clear" w:color="auto" w:fill="auto"/>
            <w:noWrap/>
            <w:vAlign w:val="bottom"/>
            <w:hideMark/>
          </w:tcPr>
          <w:p w14:paraId="1DDB3E91" w14:textId="5602B04C"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(252,592)</w:t>
            </w:r>
          </w:p>
        </w:tc>
      </w:tr>
      <w:tr w:rsidR="00AB3B87" w:rsidRPr="002A338C" w14:paraId="0545261B" w14:textId="77777777" w:rsidTr="005334F2">
        <w:trPr>
          <w:trHeight w:val="204"/>
        </w:trPr>
        <w:tc>
          <w:tcPr>
            <w:tcW w:w="2184" w:type="dxa"/>
            <w:tcBorders>
              <w:top w:val="nil"/>
              <w:left w:val="nil"/>
              <w:bottom w:val="nil"/>
              <w:right w:val="nil"/>
            </w:tcBorders>
            <w:shd w:val="clear" w:color="auto" w:fill="auto"/>
            <w:vAlign w:val="bottom"/>
            <w:hideMark/>
          </w:tcPr>
          <w:p w14:paraId="2684034B" w14:textId="77777777" w:rsidR="00AB3B87" w:rsidRPr="002A338C" w:rsidRDefault="00AB3B87" w:rsidP="00AB3B87">
            <w:pPr>
              <w:spacing w:after="0" w:line="240" w:lineRule="auto"/>
              <w:rPr>
                <w:rFonts w:ascii="Arial" w:hAnsi="Arial" w:cs="Arial"/>
                <w:i/>
                <w:iCs/>
                <w:color w:val="000000"/>
                <w:sz w:val="16"/>
                <w:szCs w:val="16"/>
              </w:rPr>
            </w:pPr>
            <w:r w:rsidRPr="002A338C">
              <w:rPr>
                <w:rFonts w:ascii="Arial" w:hAnsi="Arial" w:cs="Arial"/>
                <w:i/>
                <w:iCs/>
                <w:color w:val="000000"/>
                <w:sz w:val="16"/>
                <w:szCs w:val="16"/>
              </w:rPr>
              <w:t>Total cash to Official Public Account</w:t>
            </w:r>
          </w:p>
        </w:tc>
        <w:tc>
          <w:tcPr>
            <w:tcW w:w="1123" w:type="dxa"/>
            <w:tcBorders>
              <w:top w:val="single" w:sz="4" w:space="0" w:color="000000"/>
              <w:left w:val="nil"/>
              <w:bottom w:val="nil"/>
              <w:right w:val="nil"/>
            </w:tcBorders>
            <w:shd w:val="clear" w:color="auto" w:fill="auto"/>
            <w:noWrap/>
            <w:vAlign w:val="bottom"/>
            <w:hideMark/>
          </w:tcPr>
          <w:p w14:paraId="317F2099" w14:textId="60AA3F13"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(8,150,167)</w:t>
            </w:r>
          </w:p>
        </w:tc>
        <w:tc>
          <w:tcPr>
            <w:tcW w:w="1124" w:type="dxa"/>
            <w:tcBorders>
              <w:top w:val="single" w:sz="4" w:space="0" w:color="000000"/>
              <w:left w:val="nil"/>
              <w:bottom w:val="nil"/>
              <w:right w:val="nil"/>
            </w:tcBorders>
            <w:shd w:val="clear" w:color="auto" w:fill="E6E6E6"/>
            <w:noWrap/>
            <w:vAlign w:val="bottom"/>
            <w:hideMark/>
          </w:tcPr>
          <w:p w14:paraId="75126AF1" w14:textId="6070D267"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(414,765)</w:t>
            </w:r>
          </w:p>
        </w:tc>
        <w:tc>
          <w:tcPr>
            <w:tcW w:w="1035" w:type="dxa"/>
            <w:tcBorders>
              <w:top w:val="single" w:sz="4" w:space="0" w:color="000000"/>
              <w:left w:val="nil"/>
              <w:bottom w:val="nil"/>
              <w:right w:val="nil"/>
            </w:tcBorders>
            <w:shd w:val="clear" w:color="auto" w:fill="auto"/>
            <w:noWrap/>
            <w:vAlign w:val="bottom"/>
            <w:hideMark/>
          </w:tcPr>
          <w:p w14:paraId="5E9D85D4" w14:textId="5B224202"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(460,171)</w:t>
            </w:r>
          </w:p>
        </w:tc>
        <w:tc>
          <w:tcPr>
            <w:tcW w:w="1124" w:type="dxa"/>
            <w:tcBorders>
              <w:top w:val="single" w:sz="4" w:space="0" w:color="000000"/>
              <w:left w:val="nil"/>
              <w:bottom w:val="nil"/>
              <w:right w:val="nil"/>
            </w:tcBorders>
            <w:shd w:val="clear" w:color="auto" w:fill="auto"/>
            <w:noWrap/>
            <w:vAlign w:val="bottom"/>
            <w:hideMark/>
          </w:tcPr>
          <w:p w14:paraId="5C23ED9B" w14:textId="785E35A8"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(206,762)</w:t>
            </w:r>
          </w:p>
        </w:tc>
        <w:tc>
          <w:tcPr>
            <w:tcW w:w="1124" w:type="dxa"/>
            <w:tcBorders>
              <w:top w:val="single" w:sz="4" w:space="0" w:color="000000"/>
              <w:left w:val="nil"/>
              <w:bottom w:val="nil"/>
              <w:right w:val="nil"/>
            </w:tcBorders>
            <w:shd w:val="clear" w:color="auto" w:fill="auto"/>
            <w:noWrap/>
            <w:vAlign w:val="bottom"/>
            <w:hideMark/>
          </w:tcPr>
          <w:p w14:paraId="695F3A1C" w14:textId="3B2297E9" w:rsidR="00AB3B87" w:rsidRPr="002A338C" w:rsidRDefault="00AB3B87" w:rsidP="00AB3B87">
            <w:pPr>
              <w:spacing w:after="0" w:line="240" w:lineRule="auto"/>
              <w:jc w:val="right"/>
              <w:rPr>
                <w:rFonts w:ascii="Arial" w:hAnsi="Arial" w:cs="Arial"/>
                <w:i/>
                <w:iCs/>
                <w:color w:val="000000"/>
                <w:sz w:val="16"/>
                <w:szCs w:val="16"/>
              </w:rPr>
            </w:pPr>
            <w:r>
              <w:rPr>
                <w:rFonts w:ascii="Arial" w:hAnsi="Arial" w:cs="Arial"/>
                <w:i/>
                <w:iCs/>
                <w:color w:val="000000"/>
                <w:sz w:val="16"/>
                <w:szCs w:val="16"/>
              </w:rPr>
              <w:t>(252,592)</w:t>
            </w:r>
          </w:p>
        </w:tc>
      </w:tr>
      <w:tr w:rsidR="00AB3B87" w:rsidRPr="002A338C" w14:paraId="43FB8459" w14:textId="77777777" w:rsidTr="005334F2">
        <w:trPr>
          <w:trHeight w:val="204"/>
        </w:trPr>
        <w:tc>
          <w:tcPr>
            <w:tcW w:w="2184" w:type="dxa"/>
            <w:tcBorders>
              <w:top w:val="nil"/>
              <w:left w:val="nil"/>
              <w:bottom w:val="single" w:sz="4" w:space="0" w:color="auto"/>
              <w:right w:val="nil"/>
            </w:tcBorders>
            <w:shd w:val="clear" w:color="auto" w:fill="auto"/>
            <w:vAlign w:val="bottom"/>
            <w:hideMark/>
          </w:tcPr>
          <w:p w14:paraId="48D39CCB" w14:textId="77777777" w:rsidR="00AB3B87" w:rsidRPr="002A338C" w:rsidRDefault="00AB3B87" w:rsidP="00AB3B87">
            <w:pPr>
              <w:spacing w:after="0" w:line="240" w:lineRule="auto"/>
              <w:rPr>
                <w:rFonts w:ascii="Arial" w:hAnsi="Arial" w:cs="Arial"/>
                <w:b/>
                <w:bCs/>
                <w:color w:val="000000"/>
                <w:sz w:val="16"/>
                <w:szCs w:val="16"/>
              </w:rPr>
            </w:pPr>
            <w:r w:rsidRPr="002A338C">
              <w:rPr>
                <w:rFonts w:ascii="Arial" w:hAnsi="Arial" w:cs="Arial"/>
                <w:b/>
                <w:bCs/>
                <w:color w:val="000000"/>
                <w:sz w:val="16"/>
                <w:szCs w:val="16"/>
              </w:rPr>
              <w:t>Cash and cash equivalents at end of reporting period</w:t>
            </w:r>
          </w:p>
        </w:tc>
        <w:tc>
          <w:tcPr>
            <w:tcW w:w="1123" w:type="dxa"/>
            <w:tcBorders>
              <w:top w:val="single" w:sz="4" w:space="0" w:color="000000"/>
              <w:left w:val="nil"/>
              <w:bottom w:val="single" w:sz="4" w:space="0" w:color="auto"/>
              <w:right w:val="nil"/>
            </w:tcBorders>
            <w:shd w:val="clear" w:color="auto" w:fill="auto"/>
            <w:noWrap/>
            <w:vAlign w:val="bottom"/>
            <w:hideMark/>
          </w:tcPr>
          <w:p w14:paraId="7933006B" w14:textId="3CAFD9ED"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50,039</w:t>
            </w:r>
          </w:p>
        </w:tc>
        <w:tc>
          <w:tcPr>
            <w:tcW w:w="1124" w:type="dxa"/>
            <w:tcBorders>
              <w:top w:val="single" w:sz="4" w:space="0" w:color="000000"/>
              <w:left w:val="nil"/>
              <w:bottom w:val="single" w:sz="4" w:space="0" w:color="auto"/>
              <w:right w:val="nil"/>
            </w:tcBorders>
            <w:shd w:val="clear" w:color="auto" w:fill="E6E6E6"/>
            <w:noWrap/>
            <w:vAlign w:val="bottom"/>
            <w:hideMark/>
          </w:tcPr>
          <w:p w14:paraId="34A3FF8F" w14:textId="41481E8E"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50,039</w:t>
            </w:r>
          </w:p>
        </w:tc>
        <w:tc>
          <w:tcPr>
            <w:tcW w:w="1035" w:type="dxa"/>
            <w:tcBorders>
              <w:top w:val="single" w:sz="4" w:space="0" w:color="000000"/>
              <w:left w:val="nil"/>
              <w:bottom w:val="single" w:sz="4" w:space="0" w:color="auto"/>
              <w:right w:val="nil"/>
            </w:tcBorders>
            <w:shd w:val="clear" w:color="auto" w:fill="auto"/>
            <w:noWrap/>
            <w:vAlign w:val="bottom"/>
            <w:hideMark/>
          </w:tcPr>
          <w:p w14:paraId="128FE000" w14:textId="06C9160A"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50,039</w:t>
            </w:r>
          </w:p>
        </w:tc>
        <w:tc>
          <w:tcPr>
            <w:tcW w:w="1124" w:type="dxa"/>
            <w:tcBorders>
              <w:top w:val="single" w:sz="4" w:space="0" w:color="000000"/>
              <w:left w:val="nil"/>
              <w:bottom w:val="single" w:sz="4" w:space="0" w:color="auto"/>
              <w:right w:val="nil"/>
            </w:tcBorders>
            <w:shd w:val="clear" w:color="auto" w:fill="auto"/>
            <w:noWrap/>
            <w:vAlign w:val="bottom"/>
            <w:hideMark/>
          </w:tcPr>
          <w:p w14:paraId="34912BAE" w14:textId="6B5F390C"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50,039</w:t>
            </w:r>
          </w:p>
        </w:tc>
        <w:tc>
          <w:tcPr>
            <w:tcW w:w="1124" w:type="dxa"/>
            <w:tcBorders>
              <w:top w:val="single" w:sz="4" w:space="0" w:color="000000"/>
              <w:left w:val="nil"/>
              <w:bottom w:val="single" w:sz="4" w:space="0" w:color="auto"/>
              <w:right w:val="nil"/>
            </w:tcBorders>
            <w:shd w:val="clear" w:color="auto" w:fill="auto"/>
            <w:noWrap/>
            <w:vAlign w:val="bottom"/>
            <w:hideMark/>
          </w:tcPr>
          <w:p w14:paraId="40457738" w14:textId="3F1C8323"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50,039</w:t>
            </w:r>
          </w:p>
        </w:tc>
      </w:tr>
    </w:tbl>
    <w:p w14:paraId="23111E7B" w14:textId="77777777" w:rsidR="00115843" w:rsidRDefault="00115843" w:rsidP="00115843">
      <w:pPr>
        <w:pStyle w:val="ChartandTableFootnote"/>
        <w:spacing w:before="60"/>
      </w:pPr>
      <w:r>
        <w:t>Prepared on Australian Accounting Standards basis.</w:t>
      </w:r>
    </w:p>
    <w:p w14:paraId="62CB077C" w14:textId="77777777" w:rsidR="00115843" w:rsidRDefault="00115843" w:rsidP="00115843">
      <w:pPr>
        <w:pStyle w:val="TableHeading"/>
      </w:pPr>
      <w:r>
        <w:br w:type="page"/>
      </w:r>
      <w:r w:rsidRPr="00D30CBA">
        <w:lastRenderedPageBreak/>
        <w:t>Table</w:t>
      </w:r>
      <w:r>
        <w:t xml:space="preserve"> 3.10</w:t>
      </w:r>
      <w:r w:rsidRPr="00D30CBA">
        <w:t xml:space="preserve">: </w:t>
      </w:r>
      <w:r>
        <w:t>Schedule of administered capital budget statement (for the period ended 30 June)</w:t>
      </w:r>
    </w:p>
    <w:tbl>
      <w:tblPr>
        <w:tblW w:w="5000" w:type="pct"/>
        <w:tblLook w:val="04A0" w:firstRow="1" w:lastRow="0" w:firstColumn="1" w:lastColumn="0" w:noHBand="0" w:noVBand="1"/>
      </w:tblPr>
      <w:tblGrid>
        <w:gridCol w:w="3011"/>
        <w:gridCol w:w="941"/>
        <w:gridCol w:w="933"/>
        <w:gridCol w:w="942"/>
        <w:gridCol w:w="942"/>
        <w:gridCol w:w="941"/>
      </w:tblGrid>
      <w:tr w:rsidR="00115843" w:rsidRPr="002A338C" w14:paraId="1E0F6B77" w14:textId="77777777" w:rsidTr="005334F2">
        <w:trPr>
          <w:trHeight w:val="204"/>
        </w:trPr>
        <w:tc>
          <w:tcPr>
            <w:tcW w:w="1953" w:type="pct"/>
            <w:tcBorders>
              <w:top w:val="single" w:sz="4" w:space="0" w:color="auto"/>
              <w:left w:val="nil"/>
              <w:bottom w:val="nil"/>
              <w:right w:val="nil"/>
            </w:tcBorders>
            <w:shd w:val="clear" w:color="auto" w:fill="auto"/>
            <w:noWrap/>
            <w:vAlign w:val="bottom"/>
            <w:hideMark/>
          </w:tcPr>
          <w:p w14:paraId="21EAFFBC"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vAlign w:val="bottom"/>
            <w:hideMark/>
          </w:tcPr>
          <w:p w14:paraId="4F61810C"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2021-22</w:t>
            </w:r>
            <w:r w:rsidRPr="002A338C">
              <w:rPr>
                <w:rFonts w:ascii="Arial" w:hAnsi="Arial" w:cs="Arial"/>
                <w:sz w:val="16"/>
                <w:szCs w:val="16"/>
              </w:rPr>
              <w:br/>
              <w:t>Estimated actual</w:t>
            </w:r>
            <w:r w:rsidRPr="002A338C">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E6E6E6"/>
            <w:vAlign w:val="bottom"/>
            <w:hideMark/>
          </w:tcPr>
          <w:p w14:paraId="6AA09A93"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2022-23</w:t>
            </w:r>
            <w:r w:rsidRPr="002A338C">
              <w:rPr>
                <w:rFonts w:ascii="Arial" w:hAnsi="Arial" w:cs="Arial"/>
                <w:sz w:val="16"/>
                <w:szCs w:val="16"/>
              </w:rPr>
              <w:br/>
              <w:t>Budget</w:t>
            </w:r>
            <w:r w:rsidRPr="002A338C">
              <w:rPr>
                <w:rFonts w:ascii="Arial" w:hAnsi="Arial" w:cs="Arial"/>
                <w:sz w:val="16"/>
                <w:szCs w:val="16"/>
              </w:rPr>
              <w:br/>
            </w:r>
            <w:r w:rsidRPr="002A338C">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bottom"/>
            <w:hideMark/>
          </w:tcPr>
          <w:p w14:paraId="2E56E4DA"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2023-24</w:t>
            </w:r>
            <w:r w:rsidRPr="002A338C">
              <w:rPr>
                <w:rFonts w:ascii="Arial" w:hAnsi="Arial" w:cs="Arial"/>
                <w:sz w:val="16"/>
                <w:szCs w:val="16"/>
              </w:rPr>
              <w:br/>
              <w:t>Forward estimate</w:t>
            </w:r>
            <w:r w:rsidRPr="002A338C">
              <w:rPr>
                <w:rFonts w:ascii="Arial" w:hAnsi="Arial" w:cs="Arial"/>
                <w:sz w:val="16"/>
                <w:szCs w:val="16"/>
              </w:rPr>
              <w:br/>
              <w:t>$'000</w:t>
            </w:r>
          </w:p>
        </w:tc>
        <w:tc>
          <w:tcPr>
            <w:tcW w:w="611" w:type="pct"/>
            <w:tcBorders>
              <w:top w:val="single" w:sz="4" w:space="0" w:color="auto"/>
              <w:left w:val="nil"/>
              <w:bottom w:val="single" w:sz="4" w:space="0" w:color="auto"/>
              <w:right w:val="nil"/>
            </w:tcBorders>
            <w:shd w:val="clear" w:color="auto" w:fill="auto"/>
            <w:vAlign w:val="bottom"/>
            <w:hideMark/>
          </w:tcPr>
          <w:p w14:paraId="569644CD"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2024-25</w:t>
            </w:r>
            <w:r w:rsidRPr="002A338C">
              <w:rPr>
                <w:rFonts w:ascii="Arial" w:hAnsi="Arial" w:cs="Arial"/>
                <w:sz w:val="16"/>
                <w:szCs w:val="16"/>
              </w:rPr>
              <w:br/>
              <w:t>Forward estimate</w:t>
            </w:r>
            <w:r w:rsidRPr="002A338C">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5DDA62DC"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2025-26</w:t>
            </w:r>
            <w:r w:rsidRPr="002A338C">
              <w:rPr>
                <w:rFonts w:ascii="Arial" w:hAnsi="Arial" w:cs="Arial"/>
                <w:sz w:val="16"/>
                <w:szCs w:val="16"/>
              </w:rPr>
              <w:br/>
              <w:t>Forward estimate</w:t>
            </w:r>
            <w:r w:rsidRPr="002A338C">
              <w:rPr>
                <w:rFonts w:ascii="Arial" w:hAnsi="Arial" w:cs="Arial"/>
                <w:sz w:val="16"/>
                <w:szCs w:val="16"/>
              </w:rPr>
              <w:br/>
              <w:t>$'000</w:t>
            </w:r>
          </w:p>
        </w:tc>
      </w:tr>
      <w:tr w:rsidR="00115843" w:rsidRPr="002A338C" w14:paraId="03B67DB7" w14:textId="77777777" w:rsidTr="005334F2">
        <w:trPr>
          <w:trHeight w:val="204"/>
        </w:trPr>
        <w:tc>
          <w:tcPr>
            <w:tcW w:w="1953" w:type="pct"/>
            <w:tcBorders>
              <w:top w:val="nil"/>
              <w:left w:val="nil"/>
              <w:bottom w:val="nil"/>
              <w:right w:val="nil"/>
            </w:tcBorders>
            <w:shd w:val="clear" w:color="auto" w:fill="auto"/>
            <w:noWrap/>
            <w:vAlign w:val="bottom"/>
            <w:hideMark/>
          </w:tcPr>
          <w:p w14:paraId="509A6A07"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NEW CAPITAL APPROPRIATIONS</w:t>
            </w:r>
          </w:p>
        </w:tc>
        <w:tc>
          <w:tcPr>
            <w:tcW w:w="610" w:type="pct"/>
            <w:tcBorders>
              <w:top w:val="nil"/>
              <w:left w:val="nil"/>
              <w:bottom w:val="nil"/>
              <w:right w:val="nil"/>
            </w:tcBorders>
            <w:shd w:val="clear" w:color="auto" w:fill="auto"/>
            <w:noWrap/>
            <w:vAlign w:val="bottom"/>
            <w:hideMark/>
          </w:tcPr>
          <w:p w14:paraId="4EE2786B" w14:textId="77777777" w:rsidR="00115843" w:rsidRPr="002A338C" w:rsidRDefault="00115843" w:rsidP="00FB0D02">
            <w:pPr>
              <w:spacing w:after="0" w:line="240" w:lineRule="auto"/>
              <w:rPr>
                <w:rFonts w:ascii="Arial" w:hAnsi="Arial" w:cs="Arial"/>
                <w:b/>
                <w:bCs/>
                <w:sz w:val="16"/>
                <w:szCs w:val="16"/>
              </w:rPr>
            </w:pPr>
          </w:p>
        </w:tc>
        <w:tc>
          <w:tcPr>
            <w:tcW w:w="605" w:type="pct"/>
            <w:tcBorders>
              <w:top w:val="nil"/>
              <w:left w:val="nil"/>
              <w:bottom w:val="nil"/>
              <w:right w:val="nil"/>
            </w:tcBorders>
            <w:shd w:val="clear" w:color="auto" w:fill="E6E6E6"/>
            <w:noWrap/>
            <w:vAlign w:val="bottom"/>
            <w:hideMark/>
          </w:tcPr>
          <w:p w14:paraId="61326D99" w14:textId="77777777" w:rsidR="00115843" w:rsidRPr="002A338C" w:rsidRDefault="00115843" w:rsidP="00FB0D02">
            <w:pPr>
              <w:spacing w:after="0" w:line="240" w:lineRule="auto"/>
              <w:jc w:val="right"/>
              <w:rPr>
                <w:rFonts w:ascii="Arial" w:hAnsi="Arial" w:cs="Arial"/>
                <w:color w:val="000000"/>
                <w:sz w:val="16"/>
                <w:szCs w:val="16"/>
              </w:rPr>
            </w:pPr>
            <w:r w:rsidRPr="002A338C">
              <w:rPr>
                <w:rFonts w:ascii="Arial" w:hAnsi="Arial" w:cs="Arial"/>
                <w:color w:val="000000"/>
                <w:sz w:val="16"/>
                <w:szCs w:val="16"/>
              </w:rPr>
              <w:t> </w:t>
            </w:r>
          </w:p>
        </w:tc>
        <w:tc>
          <w:tcPr>
            <w:tcW w:w="611" w:type="pct"/>
            <w:tcBorders>
              <w:top w:val="nil"/>
              <w:left w:val="nil"/>
              <w:bottom w:val="nil"/>
              <w:right w:val="nil"/>
            </w:tcBorders>
            <w:shd w:val="clear" w:color="auto" w:fill="auto"/>
            <w:noWrap/>
            <w:vAlign w:val="bottom"/>
            <w:hideMark/>
          </w:tcPr>
          <w:p w14:paraId="66A3606B" w14:textId="77777777" w:rsidR="00115843" w:rsidRPr="002A338C" w:rsidRDefault="00115843" w:rsidP="00FB0D02">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24B6E0E9" w14:textId="77777777" w:rsidR="00115843" w:rsidRPr="002A338C" w:rsidRDefault="00115843" w:rsidP="00FB0D02">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16DEFDAC" w14:textId="77777777" w:rsidR="00115843" w:rsidRPr="002A338C" w:rsidRDefault="00115843" w:rsidP="00FB0D02">
            <w:pPr>
              <w:spacing w:after="0" w:line="240" w:lineRule="auto"/>
              <w:jc w:val="right"/>
              <w:rPr>
                <w:rFonts w:ascii="Arial" w:hAnsi="Arial" w:cs="Arial"/>
                <w:sz w:val="16"/>
                <w:szCs w:val="16"/>
              </w:rPr>
            </w:pPr>
          </w:p>
        </w:tc>
      </w:tr>
      <w:tr w:rsidR="00AB3B87" w:rsidRPr="002A338C" w14:paraId="7E4C5B48" w14:textId="77777777" w:rsidTr="005334F2">
        <w:trPr>
          <w:trHeight w:val="204"/>
        </w:trPr>
        <w:tc>
          <w:tcPr>
            <w:tcW w:w="1953" w:type="pct"/>
            <w:tcBorders>
              <w:top w:val="nil"/>
              <w:left w:val="nil"/>
              <w:bottom w:val="nil"/>
              <w:right w:val="nil"/>
            </w:tcBorders>
            <w:shd w:val="clear" w:color="auto" w:fill="auto"/>
            <w:noWrap/>
            <w:vAlign w:val="bottom"/>
            <w:hideMark/>
          </w:tcPr>
          <w:p w14:paraId="0B017AE0" w14:textId="77777777" w:rsidR="00AB3B87" w:rsidRPr="002A338C" w:rsidRDefault="00AB3B87" w:rsidP="00AB3B87">
            <w:pPr>
              <w:spacing w:after="0" w:line="240" w:lineRule="auto"/>
              <w:ind w:left="113"/>
              <w:rPr>
                <w:rFonts w:ascii="Arial" w:hAnsi="Arial" w:cs="Arial"/>
                <w:sz w:val="16"/>
                <w:szCs w:val="16"/>
              </w:rPr>
            </w:pPr>
            <w:r w:rsidRPr="002A338C">
              <w:rPr>
                <w:rFonts w:ascii="Arial" w:hAnsi="Arial" w:cs="Arial"/>
                <w:sz w:val="16"/>
                <w:szCs w:val="16"/>
              </w:rPr>
              <w:t>Capital budget - Bill 1 (ACB)</w:t>
            </w:r>
          </w:p>
        </w:tc>
        <w:tc>
          <w:tcPr>
            <w:tcW w:w="610" w:type="pct"/>
            <w:tcBorders>
              <w:top w:val="nil"/>
              <w:left w:val="nil"/>
              <w:bottom w:val="nil"/>
              <w:right w:val="nil"/>
            </w:tcBorders>
            <w:shd w:val="clear" w:color="auto" w:fill="auto"/>
            <w:noWrap/>
            <w:vAlign w:val="bottom"/>
            <w:hideMark/>
          </w:tcPr>
          <w:p w14:paraId="52D388FD" w14:textId="317F0AE3"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18,331</w:t>
            </w:r>
          </w:p>
        </w:tc>
        <w:tc>
          <w:tcPr>
            <w:tcW w:w="605" w:type="pct"/>
            <w:tcBorders>
              <w:top w:val="nil"/>
              <w:left w:val="nil"/>
              <w:bottom w:val="nil"/>
              <w:right w:val="nil"/>
            </w:tcBorders>
            <w:shd w:val="clear" w:color="auto" w:fill="E6E6E6"/>
            <w:noWrap/>
            <w:vAlign w:val="bottom"/>
            <w:hideMark/>
          </w:tcPr>
          <w:p w14:paraId="183B32CC" w14:textId="71D183BF"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39,244</w:t>
            </w:r>
          </w:p>
        </w:tc>
        <w:tc>
          <w:tcPr>
            <w:tcW w:w="611" w:type="pct"/>
            <w:tcBorders>
              <w:top w:val="nil"/>
              <w:left w:val="nil"/>
              <w:bottom w:val="nil"/>
              <w:right w:val="nil"/>
            </w:tcBorders>
            <w:shd w:val="clear" w:color="auto" w:fill="auto"/>
            <w:noWrap/>
            <w:vAlign w:val="bottom"/>
            <w:hideMark/>
          </w:tcPr>
          <w:p w14:paraId="32186A44" w14:textId="0DB83C10"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26,953</w:t>
            </w:r>
          </w:p>
        </w:tc>
        <w:tc>
          <w:tcPr>
            <w:tcW w:w="611" w:type="pct"/>
            <w:tcBorders>
              <w:top w:val="nil"/>
              <w:left w:val="nil"/>
              <w:bottom w:val="nil"/>
              <w:right w:val="nil"/>
            </w:tcBorders>
            <w:shd w:val="clear" w:color="auto" w:fill="auto"/>
            <w:noWrap/>
            <w:vAlign w:val="bottom"/>
            <w:hideMark/>
          </w:tcPr>
          <w:p w14:paraId="6DB18858" w14:textId="6FE4E715"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19,715</w:t>
            </w:r>
          </w:p>
        </w:tc>
        <w:tc>
          <w:tcPr>
            <w:tcW w:w="610" w:type="pct"/>
            <w:tcBorders>
              <w:top w:val="nil"/>
              <w:left w:val="nil"/>
              <w:bottom w:val="nil"/>
              <w:right w:val="nil"/>
            </w:tcBorders>
            <w:shd w:val="clear" w:color="auto" w:fill="auto"/>
            <w:noWrap/>
            <w:vAlign w:val="bottom"/>
            <w:hideMark/>
          </w:tcPr>
          <w:p w14:paraId="4EC88969" w14:textId="3B821674"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18,121</w:t>
            </w:r>
          </w:p>
        </w:tc>
      </w:tr>
      <w:tr w:rsidR="00AB3B87" w:rsidRPr="002A338C" w14:paraId="5D52A195" w14:textId="77777777" w:rsidTr="005334F2">
        <w:trPr>
          <w:trHeight w:val="204"/>
        </w:trPr>
        <w:tc>
          <w:tcPr>
            <w:tcW w:w="1953" w:type="pct"/>
            <w:tcBorders>
              <w:top w:val="nil"/>
              <w:left w:val="nil"/>
              <w:bottom w:val="nil"/>
              <w:right w:val="nil"/>
            </w:tcBorders>
            <w:shd w:val="clear" w:color="000000" w:fill="FFFFFF"/>
            <w:vAlign w:val="bottom"/>
            <w:hideMark/>
          </w:tcPr>
          <w:p w14:paraId="5256C6B3" w14:textId="77777777" w:rsidR="00AB3B87" w:rsidRPr="002A338C" w:rsidRDefault="00AB3B87" w:rsidP="00AB3B87">
            <w:pPr>
              <w:spacing w:after="0" w:line="240" w:lineRule="auto"/>
              <w:ind w:left="113"/>
              <w:rPr>
                <w:rFonts w:ascii="Arial" w:hAnsi="Arial" w:cs="Arial"/>
                <w:sz w:val="16"/>
                <w:szCs w:val="16"/>
              </w:rPr>
            </w:pPr>
            <w:r w:rsidRPr="002A338C">
              <w:rPr>
                <w:rFonts w:ascii="Arial" w:hAnsi="Arial" w:cs="Arial"/>
                <w:sz w:val="16"/>
                <w:szCs w:val="16"/>
              </w:rPr>
              <w:t>Administered Assets and Liabilities - Bill 2</w:t>
            </w:r>
          </w:p>
        </w:tc>
        <w:tc>
          <w:tcPr>
            <w:tcW w:w="610" w:type="pct"/>
            <w:tcBorders>
              <w:top w:val="nil"/>
              <w:left w:val="nil"/>
              <w:bottom w:val="nil"/>
              <w:right w:val="nil"/>
            </w:tcBorders>
            <w:shd w:val="clear" w:color="auto" w:fill="auto"/>
            <w:noWrap/>
            <w:vAlign w:val="bottom"/>
            <w:hideMark/>
          </w:tcPr>
          <w:p w14:paraId="6611B072" w14:textId="08A42381"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1,455,520</w:t>
            </w:r>
          </w:p>
        </w:tc>
        <w:tc>
          <w:tcPr>
            <w:tcW w:w="605" w:type="pct"/>
            <w:tcBorders>
              <w:top w:val="nil"/>
              <w:left w:val="nil"/>
              <w:bottom w:val="nil"/>
              <w:right w:val="nil"/>
            </w:tcBorders>
            <w:shd w:val="clear" w:color="auto" w:fill="E6E6E6"/>
            <w:noWrap/>
            <w:vAlign w:val="bottom"/>
            <w:hideMark/>
          </w:tcPr>
          <w:p w14:paraId="4FAAE313" w14:textId="1BF2CAA8"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3,829,129</w:t>
            </w:r>
          </w:p>
        </w:tc>
        <w:tc>
          <w:tcPr>
            <w:tcW w:w="611" w:type="pct"/>
            <w:tcBorders>
              <w:top w:val="nil"/>
              <w:left w:val="nil"/>
              <w:bottom w:val="nil"/>
              <w:right w:val="nil"/>
            </w:tcBorders>
            <w:shd w:val="clear" w:color="000000" w:fill="FFFFFF"/>
            <w:noWrap/>
            <w:vAlign w:val="bottom"/>
            <w:hideMark/>
          </w:tcPr>
          <w:p w14:paraId="69D62BB0" w14:textId="4C554AC0"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4,821,771</w:t>
            </w:r>
          </w:p>
        </w:tc>
        <w:tc>
          <w:tcPr>
            <w:tcW w:w="611" w:type="pct"/>
            <w:tcBorders>
              <w:top w:val="nil"/>
              <w:left w:val="nil"/>
              <w:bottom w:val="nil"/>
              <w:right w:val="nil"/>
            </w:tcBorders>
            <w:shd w:val="clear" w:color="000000" w:fill="FFFFFF"/>
            <w:noWrap/>
            <w:vAlign w:val="bottom"/>
            <w:hideMark/>
          </w:tcPr>
          <w:p w14:paraId="5856EC55" w14:textId="7F2178AB"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5,017,902</w:t>
            </w:r>
          </w:p>
        </w:tc>
        <w:tc>
          <w:tcPr>
            <w:tcW w:w="610" w:type="pct"/>
            <w:tcBorders>
              <w:top w:val="nil"/>
              <w:left w:val="nil"/>
              <w:bottom w:val="nil"/>
              <w:right w:val="nil"/>
            </w:tcBorders>
            <w:shd w:val="clear" w:color="000000" w:fill="FFFFFF"/>
            <w:noWrap/>
            <w:vAlign w:val="bottom"/>
            <w:hideMark/>
          </w:tcPr>
          <w:p w14:paraId="19B55A37" w14:textId="421F3EEB"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4,398,642</w:t>
            </w:r>
          </w:p>
        </w:tc>
      </w:tr>
      <w:tr w:rsidR="00AB3B87" w:rsidRPr="002A338C" w14:paraId="2520CDEE" w14:textId="77777777" w:rsidTr="005334F2">
        <w:trPr>
          <w:trHeight w:val="204"/>
        </w:trPr>
        <w:tc>
          <w:tcPr>
            <w:tcW w:w="1953" w:type="pct"/>
            <w:tcBorders>
              <w:top w:val="nil"/>
              <w:left w:val="nil"/>
              <w:bottom w:val="nil"/>
              <w:right w:val="nil"/>
            </w:tcBorders>
            <w:shd w:val="clear" w:color="auto" w:fill="auto"/>
            <w:noWrap/>
            <w:vAlign w:val="bottom"/>
            <w:hideMark/>
          </w:tcPr>
          <w:p w14:paraId="460DB469" w14:textId="77777777" w:rsidR="00AB3B87" w:rsidRPr="002A338C" w:rsidRDefault="00AB3B87" w:rsidP="00AB3B87">
            <w:pPr>
              <w:spacing w:after="0" w:line="240" w:lineRule="auto"/>
              <w:rPr>
                <w:rFonts w:ascii="Arial" w:hAnsi="Arial" w:cs="Arial"/>
                <w:b/>
                <w:bCs/>
                <w:sz w:val="16"/>
                <w:szCs w:val="16"/>
              </w:rPr>
            </w:pPr>
            <w:r w:rsidRPr="002A338C">
              <w:rPr>
                <w:rFonts w:ascii="Arial" w:hAnsi="Arial" w:cs="Arial"/>
                <w:b/>
                <w:bCs/>
                <w:sz w:val="16"/>
                <w:szCs w:val="16"/>
              </w:rPr>
              <w:t>Total new capital appropriations</w:t>
            </w:r>
          </w:p>
        </w:tc>
        <w:tc>
          <w:tcPr>
            <w:tcW w:w="610" w:type="pct"/>
            <w:tcBorders>
              <w:top w:val="single" w:sz="4" w:space="0" w:color="auto"/>
              <w:left w:val="nil"/>
              <w:bottom w:val="single" w:sz="4" w:space="0" w:color="auto"/>
              <w:right w:val="nil"/>
            </w:tcBorders>
            <w:shd w:val="clear" w:color="auto" w:fill="auto"/>
            <w:noWrap/>
            <w:vAlign w:val="bottom"/>
            <w:hideMark/>
          </w:tcPr>
          <w:p w14:paraId="16CEED79" w14:textId="43BD8E85"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1,473,851</w:t>
            </w:r>
          </w:p>
        </w:tc>
        <w:tc>
          <w:tcPr>
            <w:tcW w:w="605" w:type="pct"/>
            <w:tcBorders>
              <w:top w:val="single" w:sz="4" w:space="0" w:color="000000"/>
              <w:left w:val="nil"/>
              <w:bottom w:val="single" w:sz="4" w:space="0" w:color="000000"/>
              <w:right w:val="nil"/>
            </w:tcBorders>
            <w:shd w:val="clear" w:color="auto" w:fill="E6E6E6"/>
            <w:noWrap/>
            <w:vAlign w:val="bottom"/>
            <w:hideMark/>
          </w:tcPr>
          <w:p w14:paraId="1B78FFD2" w14:textId="5A11534A"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3,868,373</w:t>
            </w:r>
          </w:p>
        </w:tc>
        <w:tc>
          <w:tcPr>
            <w:tcW w:w="611" w:type="pct"/>
            <w:tcBorders>
              <w:top w:val="single" w:sz="4" w:space="0" w:color="auto"/>
              <w:left w:val="nil"/>
              <w:bottom w:val="single" w:sz="4" w:space="0" w:color="auto"/>
              <w:right w:val="nil"/>
            </w:tcBorders>
            <w:shd w:val="clear" w:color="auto" w:fill="auto"/>
            <w:noWrap/>
            <w:vAlign w:val="bottom"/>
            <w:hideMark/>
          </w:tcPr>
          <w:p w14:paraId="0BFACBFF" w14:textId="65B528F4"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4,848,724</w:t>
            </w:r>
          </w:p>
        </w:tc>
        <w:tc>
          <w:tcPr>
            <w:tcW w:w="611" w:type="pct"/>
            <w:tcBorders>
              <w:top w:val="single" w:sz="4" w:space="0" w:color="auto"/>
              <w:left w:val="nil"/>
              <w:bottom w:val="single" w:sz="4" w:space="0" w:color="auto"/>
              <w:right w:val="nil"/>
            </w:tcBorders>
            <w:shd w:val="clear" w:color="auto" w:fill="auto"/>
            <w:noWrap/>
            <w:vAlign w:val="bottom"/>
            <w:hideMark/>
          </w:tcPr>
          <w:p w14:paraId="2F70ABA9" w14:textId="71F10822"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5,037,617</w:t>
            </w:r>
          </w:p>
        </w:tc>
        <w:tc>
          <w:tcPr>
            <w:tcW w:w="610" w:type="pct"/>
            <w:tcBorders>
              <w:top w:val="single" w:sz="4" w:space="0" w:color="auto"/>
              <w:left w:val="nil"/>
              <w:bottom w:val="single" w:sz="4" w:space="0" w:color="auto"/>
              <w:right w:val="nil"/>
            </w:tcBorders>
            <w:shd w:val="clear" w:color="auto" w:fill="auto"/>
            <w:noWrap/>
            <w:vAlign w:val="bottom"/>
            <w:hideMark/>
          </w:tcPr>
          <w:p w14:paraId="10764AD0" w14:textId="46D1E4FB"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4,416,763</w:t>
            </w:r>
          </w:p>
        </w:tc>
      </w:tr>
      <w:tr w:rsidR="00AB3B87" w:rsidRPr="002A338C" w14:paraId="06EDD977" w14:textId="77777777" w:rsidTr="005334F2">
        <w:trPr>
          <w:trHeight w:val="204"/>
        </w:trPr>
        <w:tc>
          <w:tcPr>
            <w:tcW w:w="1953" w:type="pct"/>
            <w:tcBorders>
              <w:top w:val="nil"/>
              <w:left w:val="nil"/>
              <w:bottom w:val="nil"/>
              <w:right w:val="nil"/>
            </w:tcBorders>
            <w:shd w:val="clear" w:color="auto" w:fill="auto"/>
            <w:noWrap/>
            <w:vAlign w:val="bottom"/>
            <w:hideMark/>
          </w:tcPr>
          <w:p w14:paraId="7688D80F" w14:textId="77777777" w:rsidR="00AB3B87" w:rsidRPr="002A338C" w:rsidRDefault="00AB3B87" w:rsidP="00AB3B87">
            <w:pPr>
              <w:spacing w:after="0" w:line="240" w:lineRule="auto"/>
              <w:ind w:left="113"/>
              <w:rPr>
                <w:rFonts w:ascii="Arial" w:hAnsi="Arial" w:cs="Arial"/>
                <w:b/>
                <w:bCs/>
                <w:i/>
                <w:iCs/>
                <w:sz w:val="16"/>
                <w:szCs w:val="16"/>
              </w:rPr>
            </w:pPr>
            <w:r w:rsidRPr="002A338C">
              <w:rPr>
                <w:rFonts w:ascii="Arial" w:hAnsi="Arial" w:cs="Arial"/>
                <w:b/>
                <w:bCs/>
                <w:i/>
                <w:iCs/>
                <w:sz w:val="16"/>
                <w:szCs w:val="16"/>
              </w:rPr>
              <w:t>Provided for:</w:t>
            </w:r>
          </w:p>
        </w:tc>
        <w:tc>
          <w:tcPr>
            <w:tcW w:w="610" w:type="pct"/>
            <w:tcBorders>
              <w:top w:val="nil"/>
              <w:left w:val="nil"/>
              <w:bottom w:val="nil"/>
              <w:right w:val="nil"/>
            </w:tcBorders>
            <w:shd w:val="clear" w:color="auto" w:fill="auto"/>
            <w:noWrap/>
            <w:vAlign w:val="bottom"/>
            <w:hideMark/>
          </w:tcPr>
          <w:p w14:paraId="7AD5A4EB" w14:textId="77777777" w:rsidR="00AB3B87" w:rsidRPr="002A338C" w:rsidRDefault="00AB3B87" w:rsidP="00AB3B87">
            <w:pPr>
              <w:spacing w:after="0" w:line="240" w:lineRule="auto"/>
              <w:jc w:val="right"/>
              <w:rPr>
                <w:rFonts w:ascii="Arial" w:hAnsi="Arial" w:cs="Arial"/>
                <w:b/>
                <w:bCs/>
                <w:sz w:val="16"/>
                <w:szCs w:val="16"/>
              </w:rPr>
            </w:pPr>
          </w:p>
        </w:tc>
        <w:tc>
          <w:tcPr>
            <w:tcW w:w="605" w:type="pct"/>
            <w:tcBorders>
              <w:top w:val="nil"/>
              <w:left w:val="nil"/>
              <w:bottom w:val="nil"/>
              <w:right w:val="nil"/>
            </w:tcBorders>
            <w:shd w:val="clear" w:color="auto" w:fill="E6E6E6"/>
            <w:noWrap/>
            <w:vAlign w:val="bottom"/>
            <w:hideMark/>
          </w:tcPr>
          <w:p w14:paraId="7124B3BE" w14:textId="7D4A48EC" w:rsidR="00AB3B87" w:rsidRPr="002A338C" w:rsidRDefault="00AB3B87" w:rsidP="00AB3B87">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28108147" w14:textId="77777777" w:rsidR="00AB3B87" w:rsidRPr="002A338C" w:rsidRDefault="00AB3B87" w:rsidP="00AB3B87">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1C3C4102" w14:textId="77777777" w:rsidR="00AB3B87" w:rsidRPr="002A338C" w:rsidRDefault="00AB3B87" w:rsidP="00AB3B8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4E96B6C1" w14:textId="77777777" w:rsidR="00AB3B87" w:rsidRPr="002A338C" w:rsidRDefault="00AB3B87" w:rsidP="00AB3B87">
            <w:pPr>
              <w:spacing w:after="0" w:line="240" w:lineRule="auto"/>
              <w:jc w:val="right"/>
              <w:rPr>
                <w:rFonts w:ascii="Arial" w:hAnsi="Arial" w:cs="Arial"/>
                <w:sz w:val="16"/>
                <w:szCs w:val="16"/>
              </w:rPr>
            </w:pPr>
          </w:p>
        </w:tc>
      </w:tr>
      <w:tr w:rsidR="00AB3B87" w:rsidRPr="002A338C" w14:paraId="6026C2C2" w14:textId="77777777" w:rsidTr="005334F2">
        <w:trPr>
          <w:trHeight w:val="204"/>
        </w:trPr>
        <w:tc>
          <w:tcPr>
            <w:tcW w:w="1953" w:type="pct"/>
            <w:tcBorders>
              <w:top w:val="nil"/>
              <w:left w:val="nil"/>
              <w:bottom w:val="nil"/>
              <w:right w:val="nil"/>
            </w:tcBorders>
            <w:shd w:val="clear" w:color="auto" w:fill="auto"/>
            <w:noWrap/>
            <w:vAlign w:val="bottom"/>
            <w:hideMark/>
          </w:tcPr>
          <w:p w14:paraId="6DBC6B6A" w14:textId="77777777" w:rsidR="00AB3B87" w:rsidRPr="002A338C" w:rsidRDefault="00AB3B87" w:rsidP="00AB3B87">
            <w:pPr>
              <w:spacing w:after="0" w:line="240" w:lineRule="auto"/>
              <w:ind w:left="227"/>
              <w:rPr>
                <w:rFonts w:ascii="Arial" w:hAnsi="Arial" w:cs="Arial"/>
                <w:sz w:val="16"/>
                <w:szCs w:val="16"/>
              </w:rPr>
            </w:pPr>
            <w:r w:rsidRPr="002A338C">
              <w:rPr>
                <w:rFonts w:ascii="Arial" w:hAnsi="Arial" w:cs="Arial"/>
                <w:sz w:val="16"/>
                <w:szCs w:val="16"/>
              </w:rPr>
              <w:t>Purchase of non-financial assets</w:t>
            </w:r>
          </w:p>
        </w:tc>
        <w:tc>
          <w:tcPr>
            <w:tcW w:w="610" w:type="pct"/>
            <w:tcBorders>
              <w:top w:val="nil"/>
              <w:left w:val="nil"/>
              <w:bottom w:val="nil"/>
              <w:right w:val="nil"/>
            </w:tcBorders>
            <w:shd w:val="clear" w:color="auto" w:fill="auto"/>
            <w:noWrap/>
            <w:vAlign w:val="bottom"/>
            <w:hideMark/>
          </w:tcPr>
          <w:p w14:paraId="7071C2C2" w14:textId="25DC7A79"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41,689</w:t>
            </w:r>
          </w:p>
        </w:tc>
        <w:tc>
          <w:tcPr>
            <w:tcW w:w="605" w:type="pct"/>
            <w:tcBorders>
              <w:top w:val="nil"/>
              <w:left w:val="nil"/>
              <w:bottom w:val="nil"/>
              <w:right w:val="nil"/>
            </w:tcBorders>
            <w:shd w:val="clear" w:color="auto" w:fill="E6E6E6"/>
            <w:noWrap/>
            <w:vAlign w:val="bottom"/>
            <w:hideMark/>
          </w:tcPr>
          <w:p w14:paraId="5749730D" w14:textId="16534DCD"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84,564</w:t>
            </w:r>
          </w:p>
        </w:tc>
        <w:tc>
          <w:tcPr>
            <w:tcW w:w="611" w:type="pct"/>
            <w:tcBorders>
              <w:top w:val="nil"/>
              <w:left w:val="nil"/>
              <w:bottom w:val="nil"/>
              <w:right w:val="nil"/>
            </w:tcBorders>
            <w:shd w:val="clear" w:color="auto" w:fill="auto"/>
            <w:noWrap/>
            <w:vAlign w:val="bottom"/>
            <w:hideMark/>
          </w:tcPr>
          <w:p w14:paraId="37CFAD30" w14:textId="14DC5CC9"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90,656</w:t>
            </w:r>
          </w:p>
        </w:tc>
        <w:tc>
          <w:tcPr>
            <w:tcW w:w="611" w:type="pct"/>
            <w:tcBorders>
              <w:top w:val="nil"/>
              <w:left w:val="nil"/>
              <w:bottom w:val="nil"/>
              <w:right w:val="nil"/>
            </w:tcBorders>
            <w:shd w:val="clear" w:color="auto" w:fill="auto"/>
            <w:noWrap/>
            <w:vAlign w:val="bottom"/>
            <w:hideMark/>
          </w:tcPr>
          <w:p w14:paraId="3533E0C2" w14:textId="64E03E0B"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50,387</w:t>
            </w:r>
          </w:p>
        </w:tc>
        <w:tc>
          <w:tcPr>
            <w:tcW w:w="610" w:type="pct"/>
            <w:tcBorders>
              <w:top w:val="nil"/>
              <w:left w:val="nil"/>
              <w:bottom w:val="nil"/>
              <w:right w:val="nil"/>
            </w:tcBorders>
            <w:shd w:val="clear" w:color="auto" w:fill="auto"/>
            <w:noWrap/>
            <w:vAlign w:val="bottom"/>
            <w:hideMark/>
          </w:tcPr>
          <w:p w14:paraId="22422F8C" w14:textId="09B92097"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45,211</w:t>
            </w:r>
          </w:p>
        </w:tc>
      </w:tr>
      <w:tr w:rsidR="00AB3B87" w:rsidRPr="002A338C" w14:paraId="35F16900" w14:textId="77777777" w:rsidTr="005334F2">
        <w:trPr>
          <w:trHeight w:val="204"/>
        </w:trPr>
        <w:tc>
          <w:tcPr>
            <w:tcW w:w="1953" w:type="pct"/>
            <w:tcBorders>
              <w:top w:val="nil"/>
              <w:left w:val="nil"/>
              <w:bottom w:val="nil"/>
              <w:right w:val="nil"/>
            </w:tcBorders>
            <w:shd w:val="clear" w:color="auto" w:fill="auto"/>
            <w:noWrap/>
            <w:vAlign w:val="bottom"/>
            <w:hideMark/>
          </w:tcPr>
          <w:p w14:paraId="4A0A6F75" w14:textId="77777777" w:rsidR="00AB3B87" w:rsidRPr="002A338C" w:rsidRDefault="00AB3B87" w:rsidP="00AB3B87">
            <w:pPr>
              <w:spacing w:after="0" w:line="240" w:lineRule="auto"/>
              <w:ind w:left="227"/>
              <w:rPr>
                <w:rFonts w:ascii="Arial" w:hAnsi="Arial" w:cs="Arial"/>
                <w:sz w:val="16"/>
                <w:szCs w:val="16"/>
              </w:rPr>
            </w:pPr>
            <w:r w:rsidRPr="002A338C">
              <w:rPr>
                <w:rFonts w:ascii="Arial" w:hAnsi="Arial" w:cs="Arial"/>
                <w:sz w:val="16"/>
                <w:szCs w:val="16"/>
              </w:rPr>
              <w:t>Other Items</w:t>
            </w:r>
          </w:p>
        </w:tc>
        <w:tc>
          <w:tcPr>
            <w:tcW w:w="610" w:type="pct"/>
            <w:tcBorders>
              <w:top w:val="nil"/>
              <w:left w:val="nil"/>
              <w:bottom w:val="nil"/>
              <w:right w:val="nil"/>
            </w:tcBorders>
            <w:shd w:val="clear" w:color="auto" w:fill="auto"/>
            <w:noWrap/>
            <w:vAlign w:val="bottom"/>
            <w:hideMark/>
          </w:tcPr>
          <w:p w14:paraId="0D62B353" w14:textId="1E23E63F"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1,432,162</w:t>
            </w:r>
          </w:p>
        </w:tc>
        <w:tc>
          <w:tcPr>
            <w:tcW w:w="605" w:type="pct"/>
            <w:tcBorders>
              <w:top w:val="nil"/>
              <w:left w:val="nil"/>
              <w:bottom w:val="nil"/>
              <w:right w:val="nil"/>
            </w:tcBorders>
            <w:shd w:val="clear" w:color="auto" w:fill="E6E6E6"/>
            <w:noWrap/>
            <w:vAlign w:val="bottom"/>
            <w:hideMark/>
          </w:tcPr>
          <w:p w14:paraId="1E862622" w14:textId="6244CADD"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3,783,809</w:t>
            </w:r>
          </w:p>
        </w:tc>
        <w:tc>
          <w:tcPr>
            <w:tcW w:w="611" w:type="pct"/>
            <w:tcBorders>
              <w:top w:val="nil"/>
              <w:left w:val="nil"/>
              <w:bottom w:val="nil"/>
              <w:right w:val="nil"/>
            </w:tcBorders>
            <w:shd w:val="clear" w:color="auto" w:fill="auto"/>
            <w:noWrap/>
            <w:vAlign w:val="bottom"/>
            <w:hideMark/>
          </w:tcPr>
          <w:p w14:paraId="1B71BBEC" w14:textId="0427612C"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4,758,068</w:t>
            </w:r>
          </w:p>
        </w:tc>
        <w:tc>
          <w:tcPr>
            <w:tcW w:w="611" w:type="pct"/>
            <w:tcBorders>
              <w:top w:val="nil"/>
              <w:left w:val="nil"/>
              <w:bottom w:val="nil"/>
              <w:right w:val="nil"/>
            </w:tcBorders>
            <w:shd w:val="clear" w:color="auto" w:fill="auto"/>
            <w:noWrap/>
            <w:vAlign w:val="bottom"/>
            <w:hideMark/>
          </w:tcPr>
          <w:p w14:paraId="754310D7" w14:textId="75C78323"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4,987,230</w:t>
            </w:r>
          </w:p>
        </w:tc>
        <w:tc>
          <w:tcPr>
            <w:tcW w:w="610" w:type="pct"/>
            <w:tcBorders>
              <w:top w:val="nil"/>
              <w:left w:val="nil"/>
              <w:bottom w:val="nil"/>
              <w:right w:val="nil"/>
            </w:tcBorders>
            <w:shd w:val="clear" w:color="auto" w:fill="auto"/>
            <w:noWrap/>
            <w:vAlign w:val="bottom"/>
            <w:hideMark/>
          </w:tcPr>
          <w:p w14:paraId="28EA0C95" w14:textId="01FED1BA"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4,371,552</w:t>
            </w:r>
          </w:p>
        </w:tc>
      </w:tr>
      <w:tr w:rsidR="00AB3B87" w:rsidRPr="002A338C" w14:paraId="01689068" w14:textId="77777777" w:rsidTr="005334F2">
        <w:trPr>
          <w:trHeight w:val="204"/>
        </w:trPr>
        <w:tc>
          <w:tcPr>
            <w:tcW w:w="1953" w:type="pct"/>
            <w:tcBorders>
              <w:top w:val="nil"/>
              <w:left w:val="nil"/>
              <w:bottom w:val="nil"/>
              <w:right w:val="nil"/>
            </w:tcBorders>
            <w:shd w:val="clear" w:color="auto" w:fill="auto"/>
            <w:noWrap/>
            <w:vAlign w:val="bottom"/>
            <w:hideMark/>
          </w:tcPr>
          <w:p w14:paraId="0955F9AC" w14:textId="77777777" w:rsidR="00AB3B87" w:rsidRPr="002A338C" w:rsidRDefault="00AB3B87" w:rsidP="00AB3B87">
            <w:pPr>
              <w:spacing w:after="0" w:line="240" w:lineRule="auto"/>
              <w:ind w:left="113"/>
              <w:rPr>
                <w:rFonts w:ascii="Arial" w:hAnsi="Arial" w:cs="Arial"/>
                <w:b/>
                <w:bCs/>
                <w:sz w:val="16"/>
                <w:szCs w:val="16"/>
              </w:rPr>
            </w:pPr>
            <w:r w:rsidRPr="002A338C">
              <w:rPr>
                <w:rFonts w:ascii="Arial" w:hAnsi="Arial" w:cs="Arial"/>
                <w:b/>
                <w:bCs/>
                <w:sz w:val="16"/>
                <w:szCs w:val="16"/>
              </w:rPr>
              <w:t>Total items</w:t>
            </w:r>
          </w:p>
        </w:tc>
        <w:tc>
          <w:tcPr>
            <w:tcW w:w="610" w:type="pct"/>
            <w:tcBorders>
              <w:top w:val="single" w:sz="4" w:space="0" w:color="auto"/>
              <w:left w:val="nil"/>
              <w:bottom w:val="single" w:sz="4" w:space="0" w:color="auto"/>
              <w:right w:val="nil"/>
            </w:tcBorders>
            <w:shd w:val="clear" w:color="auto" w:fill="auto"/>
            <w:noWrap/>
            <w:vAlign w:val="bottom"/>
            <w:hideMark/>
          </w:tcPr>
          <w:p w14:paraId="4257F8B3" w14:textId="27C0715D"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1,473,851</w:t>
            </w:r>
          </w:p>
        </w:tc>
        <w:tc>
          <w:tcPr>
            <w:tcW w:w="605" w:type="pct"/>
            <w:tcBorders>
              <w:top w:val="single" w:sz="4" w:space="0" w:color="auto"/>
              <w:left w:val="nil"/>
              <w:bottom w:val="single" w:sz="4" w:space="0" w:color="auto"/>
              <w:right w:val="nil"/>
            </w:tcBorders>
            <w:shd w:val="clear" w:color="auto" w:fill="E6E6E6"/>
            <w:noWrap/>
            <w:vAlign w:val="bottom"/>
            <w:hideMark/>
          </w:tcPr>
          <w:p w14:paraId="43ECD43A" w14:textId="1CC9B762"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3,868,373</w:t>
            </w:r>
          </w:p>
        </w:tc>
        <w:tc>
          <w:tcPr>
            <w:tcW w:w="611" w:type="pct"/>
            <w:tcBorders>
              <w:top w:val="single" w:sz="4" w:space="0" w:color="auto"/>
              <w:left w:val="nil"/>
              <w:bottom w:val="single" w:sz="4" w:space="0" w:color="auto"/>
              <w:right w:val="nil"/>
            </w:tcBorders>
            <w:shd w:val="clear" w:color="auto" w:fill="auto"/>
            <w:noWrap/>
            <w:vAlign w:val="bottom"/>
            <w:hideMark/>
          </w:tcPr>
          <w:p w14:paraId="6F968FCE" w14:textId="018CF6BC"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4,848,724</w:t>
            </w:r>
          </w:p>
        </w:tc>
        <w:tc>
          <w:tcPr>
            <w:tcW w:w="611" w:type="pct"/>
            <w:tcBorders>
              <w:top w:val="single" w:sz="4" w:space="0" w:color="auto"/>
              <w:left w:val="nil"/>
              <w:bottom w:val="single" w:sz="4" w:space="0" w:color="auto"/>
              <w:right w:val="nil"/>
            </w:tcBorders>
            <w:shd w:val="clear" w:color="auto" w:fill="auto"/>
            <w:noWrap/>
            <w:vAlign w:val="bottom"/>
            <w:hideMark/>
          </w:tcPr>
          <w:p w14:paraId="7E17D0C3" w14:textId="17E22C64"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5,037,617</w:t>
            </w:r>
          </w:p>
        </w:tc>
        <w:tc>
          <w:tcPr>
            <w:tcW w:w="610" w:type="pct"/>
            <w:tcBorders>
              <w:top w:val="single" w:sz="4" w:space="0" w:color="auto"/>
              <w:left w:val="nil"/>
              <w:bottom w:val="single" w:sz="4" w:space="0" w:color="auto"/>
              <w:right w:val="nil"/>
            </w:tcBorders>
            <w:shd w:val="clear" w:color="auto" w:fill="auto"/>
            <w:noWrap/>
            <w:vAlign w:val="bottom"/>
            <w:hideMark/>
          </w:tcPr>
          <w:p w14:paraId="72B0BDA6" w14:textId="5ACDC49B"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4,416,763</w:t>
            </w:r>
          </w:p>
        </w:tc>
      </w:tr>
      <w:tr w:rsidR="00AB3B87" w:rsidRPr="002A338C" w14:paraId="7CC0C364" w14:textId="77777777" w:rsidTr="005334F2">
        <w:trPr>
          <w:trHeight w:val="204"/>
        </w:trPr>
        <w:tc>
          <w:tcPr>
            <w:tcW w:w="1953" w:type="pct"/>
            <w:tcBorders>
              <w:top w:val="nil"/>
              <w:left w:val="nil"/>
              <w:bottom w:val="nil"/>
              <w:right w:val="nil"/>
            </w:tcBorders>
            <w:shd w:val="clear" w:color="auto" w:fill="auto"/>
            <w:vAlign w:val="bottom"/>
            <w:hideMark/>
          </w:tcPr>
          <w:p w14:paraId="23788614" w14:textId="77777777" w:rsidR="00AB3B87" w:rsidRPr="002A338C" w:rsidRDefault="00AB3B87" w:rsidP="00AB3B87">
            <w:pPr>
              <w:spacing w:after="0" w:line="240" w:lineRule="auto"/>
              <w:rPr>
                <w:rFonts w:ascii="Arial" w:hAnsi="Arial" w:cs="Arial"/>
                <w:b/>
                <w:bCs/>
                <w:sz w:val="16"/>
                <w:szCs w:val="16"/>
              </w:rPr>
            </w:pPr>
            <w:r w:rsidRPr="002A338C">
              <w:rPr>
                <w:rFonts w:ascii="Arial" w:hAnsi="Arial" w:cs="Arial"/>
                <w:b/>
                <w:bCs/>
                <w:sz w:val="16"/>
                <w:szCs w:val="16"/>
              </w:rPr>
              <w:t>PURCHASE OF NON-FINANCIAL ASSETS</w:t>
            </w:r>
          </w:p>
        </w:tc>
        <w:tc>
          <w:tcPr>
            <w:tcW w:w="610" w:type="pct"/>
            <w:tcBorders>
              <w:top w:val="nil"/>
              <w:left w:val="nil"/>
              <w:bottom w:val="nil"/>
              <w:right w:val="nil"/>
            </w:tcBorders>
            <w:shd w:val="clear" w:color="auto" w:fill="auto"/>
            <w:noWrap/>
            <w:vAlign w:val="bottom"/>
            <w:hideMark/>
          </w:tcPr>
          <w:p w14:paraId="61BC6BC1" w14:textId="77777777" w:rsidR="00AB3B87" w:rsidRPr="002A338C" w:rsidRDefault="00AB3B87" w:rsidP="00AB3B87">
            <w:pPr>
              <w:spacing w:after="0" w:line="240" w:lineRule="auto"/>
              <w:jc w:val="right"/>
              <w:rPr>
                <w:rFonts w:ascii="Arial" w:hAnsi="Arial" w:cs="Arial"/>
                <w:b/>
                <w:bCs/>
                <w:sz w:val="16"/>
                <w:szCs w:val="16"/>
              </w:rPr>
            </w:pPr>
          </w:p>
        </w:tc>
        <w:tc>
          <w:tcPr>
            <w:tcW w:w="605" w:type="pct"/>
            <w:tcBorders>
              <w:top w:val="nil"/>
              <w:left w:val="nil"/>
              <w:bottom w:val="nil"/>
              <w:right w:val="nil"/>
            </w:tcBorders>
            <w:shd w:val="clear" w:color="auto" w:fill="E6E6E6"/>
            <w:noWrap/>
            <w:vAlign w:val="bottom"/>
            <w:hideMark/>
          </w:tcPr>
          <w:p w14:paraId="147EC330" w14:textId="22FC5034" w:rsidR="00AB3B87" w:rsidRPr="002A338C" w:rsidRDefault="00AB3B87" w:rsidP="00AB3B87">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5E12D22A" w14:textId="77777777" w:rsidR="00AB3B87" w:rsidRPr="002A338C" w:rsidRDefault="00AB3B87" w:rsidP="00AB3B87">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13158B46" w14:textId="77777777" w:rsidR="00AB3B87" w:rsidRPr="002A338C" w:rsidRDefault="00AB3B87" w:rsidP="00AB3B8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3C8CB321" w14:textId="77777777" w:rsidR="00AB3B87" w:rsidRPr="002A338C" w:rsidRDefault="00AB3B87" w:rsidP="00AB3B87">
            <w:pPr>
              <w:spacing w:after="0" w:line="240" w:lineRule="auto"/>
              <w:jc w:val="right"/>
              <w:rPr>
                <w:rFonts w:ascii="Arial" w:hAnsi="Arial" w:cs="Arial"/>
                <w:sz w:val="16"/>
                <w:szCs w:val="16"/>
              </w:rPr>
            </w:pPr>
          </w:p>
        </w:tc>
      </w:tr>
      <w:tr w:rsidR="00AB3B87" w:rsidRPr="002A338C" w14:paraId="7C7A2886" w14:textId="77777777" w:rsidTr="005334F2">
        <w:trPr>
          <w:trHeight w:val="204"/>
        </w:trPr>
        <w:tc>
          <w:tcPr>
            <w:tcW w:w="1953" w:type="pct"/>
            <w:tcBorders>
              <w:top w:val="nil"/>
              <w:left w:val="nil"/>
              <w:bottom w:val="nil"/>
              <w:right w:val="nil"/>
            </w:tcBorders>
            <w:shd w:val="clear" w:color="auto" w:fill="auto"/>
            <w:noWrap/>
            <w:vAlign w:val="bottom"/>
            <w:hideMark/>
          </w:tcPr>
          <w:p w14:paraId="0A14BB55" w14:textId="77777777" w:rsidR="00AB3B87" w:rsidRPr="002A338C" w:rsidRDefault="00AB3B87" w:rsidP="00AB3B87">
            <w:pPr>
              <w:spacing w:after="0" w:line="240" w:lineRule="auto"/>
              <w:ind w:left="113"/>
              <w:rPr>
                <w:rFonts w:ascii="Arial" w:hAnsi="Arial" w:cs="Arial"/>
                <w:sz w:val="16"/>
                <w:szCs w:val="16"/>
              </w:rPr>
            </w:pPr>
            <w:r w:rsidRPr="002A338C">
              <w:rPr>
                <w:rFonts w:ascii="Arial" w:hAnsi="Arial" w:cs="Arial"/>
                <w:sz w:val="16"/>
                <w:szCs w:val="16"/>
              </w:rPr>
              <w:t xml:space="preserve">Funded by capital appropriations </w:t>
            </w:r>
            <w:r w:rsidRPr="002A338C">
              <w:rPr>
                <w:rFonts w:ascii="Arial" w:hAnsi="Arial" w:cs="Arial"/>
                <w:sz w:val="16"/>
                <w:szCs w:val="16"/>
                <w:vertAlign w:val="superscript"/>
              </w:rPr>
              <w:t>(a)</w:t>
            </w:r>
            <w:r w:rsidRPr="002A338C">
              <w:rPr>
                <w:rFonts w:ascii="Arial" w:hAnsi="Arial" w:cs="Arial"/>
                <w:sz w:val="16"/>
                <w:szCs w:val="16"/>
              </w:rPr>
              <w:t xml:space="preserve"> </w:t>
            </w:r>
          </w:p>
        </w:tc>
        <w:tc>
          <w:tcPr>
            <w:tcW w:w="610" w:type="pct"/>
            <w:tcBorders>
              <w:top w:val="nil"/>
              <w:left w:val="nil"/>
              <w:bottom w:val="nil"/>
              <w:right w:val="nil"/>
            </w:tcBorders>
            <w:shd w:val="clear" w:color="auto" w:fill="auto"/>
            <w:noWrap/>
            <w:vAlign w:val="bottom"/>
            <w:hideMark/>
          </w:tcPr>
          <w:p w14:paraId="586363D9" w14:textId="449DAD9D"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30,102</w:t>
            </w:r>
          </w:p>
        </w:tc>
        <w:tc>
          <w:tcPr>
            <w:tcW w:w="605" w:type="pct"/>
            <w:tcBorders>
              <w:top w:val="nil"/>
              <w:left w:val="nil"/>
              <w:bottom w:val="nil"/>
              <w:right w:val="nil"/>
            </w:tcBorders>
            <w:shd w:val="clear" w:color="auto" w:fill="E6E6E6"/>
            <w:noWrap/>
            <w:vAlign w:val="bottom"/>
            <w:hideMark/>
          </w:tcPr>
          <w:p w14:paraId="77FA6FF8" w14:textId="701A27E4"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63,095</w:t>
            </w:r>
          </w:p>
        </w:tc>
        <w:tc>
          <w:tcPr>
            <w:tcW w:w="611" w:type="pct"/>
            <w:tcBorders>
              <w:top w:val="nil"/>
              <w:left w:val="nil"/>
              <w:bottom w:val="nil"/>
              <w:right w:val="nil"/>
            </w:tcBorders>
            <w:shd w:val="clear" w:color="auto" w:fill="auto"/>
            <w:noWrap/>
            <w:vAlign w:val="bottom"/>
            <w:hideMark/>
          </w:tcPr>
          <w:p w14:paraId="5DA66BC3" w14:textId="36793716"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24,604</w:t>
            </w:r>
          </w:p>
        </w:tc>
        <w:tc>
          <w:tcPr>
            <w:tcW w:w="611" w:type="pct"/>
            <w:tcBorders>
              <w:top w:val="nil"/>
              <w:left w:val="nil"/>
              <w:bottom w:val="nil"/>
              <w:right w:val="nil"/>
            </w:tcBorders>
            <w:shd w:val="clear" w:color="auto" w:fill="auto"/>
            <w:noWrap/>
            <w:vAlign w:val="bottom"/>
            <w:hideMark/>
          </w:tcPr>
          <w:p w14:paraId="5480FC9E" w14:textId="63431823"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30,710</w:t>
            </w:r>
          </w:p>
        </w:tc>
        <w:tc>
          <w:tcPr>
            <w:tcW w:w="610" w:type="pct"/>
            <w:tcBorders>
              <w:top w:val="nil"/>
              <w:left w:val="nil"/>
              <w:bottom w:val="nil"/>
              <w:right w:val="nil"/>
            </w:tcBorders>
            <w:shd w:val="clear" w:color="auto" w:fill="auto"/>
            <w:noWrap/>
            <w:vAlign w:val="bottom"/>
            <w:hideMark/>
          </w:tcPr>
          <w:p w14:paraId="73681F00" w14:textId="2001EC0E"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27,090</w:t>
            </w:r>
          </w:p>
        </w:tc>
      </w:tr>
      <w:tr w:rsidR="00AB3B87" w:rsidRPr="002A338C" w14:paraId="7D90F241" w14:textId="77777777" w:rsidTr="005334F2">
        <w:trPr>
          <w:trHeight w:val="204"/>
        </w:trPr>
        <w:tc>
          <w:tcPr>
            <w:tcW w:w="1953" w:type="pct"/>
            <w:tcBorders>
              <w:top w:val="nil"/>
              <w:left w:val="nil"/>
              <w:bottom w:val="nil"/>
              <w:right w:val="nil"/>
            </w:tcBorders>
            <w:shd w:val="clear" w:color="auto" w:fill="auto"/>
            <w:vAlign w:val="bottom"/>
            <w:hideMark/>
          </w:tcPr>
          <w:p w14:paraId="7571A1AD" w14:textId="77777777" w:rsidR="00AB3B87" w:rsidRPr="002A338C" w:rsidRDefault="00AB3B87" w:rsidP="00AB3B87">
            <w:pPr>
              <w:spacing w:after="0" w:line="240" w:lineRule="auto"/>
              <w:ind w:left="113"/>
              <w:rPr>
                <w:rFonts w:ascii="Arial" w:hAnsi="Arial" w:cs="Arial"/>
                <w:sz w:val="16"/>
                <w:szCs w:val="16"/>
              </w:rPr>
            </w:pPr>
            <w:r w:rsidRPr="002A338C">
              <w:rPr>
                <w:rFonts w:ascii="Arial" w:hAnsi="Arial" w:cs="Arial"/>
                <w:sz w:val="16"/>
                <w:szCs w:val="16"/>
              </w:rPr>
              <w:t xml:space="preserve">Funded by capital appropriation - ACB </w:t>
            </w:r>
            <w:r w:rsidRPr="002A338C">
              <w:rPr>
                <w:rFonts w:ascii="Arial" w:hAnsi="Arial" w:cs="Arial"/>
                <w:sz w:val="16"/>
                <w:szCs w:val="16"/>
                <w:vertAlign w:val="superscript"/>
              </w:rPr>
              <w:t>(b)</w:t>
            </w:r>
          </w:p>
        </w:tc>
        <w:tc>
          <w:tcPr>
            <w:tcW w:w="610" w:type="pct"/>
            <w:tcBorders>
              <w:top w:val="nil"/>
              <w:left w:val="nil"/>
              <w:bottom w:val="nil"/>
              <w:right w:val="nil"/>
            </w:tcBorders>
            <w:shd w:val="clear" w:color="auto" w:fill="auto"/>
            <w:noWrap/>
            <w:vAlign w:val="bottom"/>
            <w:hideMark/>
          </w:tcPr>
          <w:p w14:paraId="23545393" w14:textId="04C999CD"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21,362</w:t>
            </w:r>
          </w:p>
        </w:tc>
        <w:tc>
          <w:tcPr>
            <w:tcW w:w="605" w:type="pct"/>
            <w:tcBorders>
              <w:top w:val="nil"/>
              <w:left w:val="nil"/>
              <w:bottom w:val="nil"/>
              <w:right w:val="nil"/>
            </w:tcBorders>
            <w:shd w:val="clear" w:color="auto" w:fill="E6E6E6"/>
            <w:noWrap/>
            <w:vAlign w:val="bottom"/>
            <w:hideMark/>
          </w:tcPr>
          <w:p w14:paraId="7516ED44" w14:textId="451DF03D"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28,150</w:t>
            </w:r>
          </w:p>
        </w:tc>
        <w:tc>
          <w:tcPr>
            <w:tcW w:w="611" w:type="pct"/>
            <w:tcBorders>
              <w:top w:val="nil"/>
              <w:left w:val="nil"/>
              <w:bottom w:val="nil"/>
              <w:right w:val="nil"/>
            </w:tcBorders>
            <w:shd w:val="clear" w:color="auto" w:fill="auto"/>
            <w:noWrap/>
            <w:vAlign w:val="bottom"/>
            <w:hideMark/>
          </w:tcPr>
          <w:p w14:paraId="0B9932C2" w14:textId="289638CA"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66,032</w:t>
            </w:r>
          </w:p>
        </w:tc>
        <w:tc>
          <w:tcPr>
            <w:tcW w:w="611" w:type="pct"/>
            <w:tcBorders>
              <w:top w:val="nil"/>
              <w:left w:val="nil"/>
              <w:bottom w:val="nil"/>
              <w:right w:val="nil"/>
            </w:tcBorders>
            <w:shd w:val="clear" w:color="auto" w:fill="auto"/>
            <w:noWrap/>
            <w:vAlign w:val="bottom"/>
            <w:hideMark/>
          </w:tcPr>
          <w:p w14:paraId="0F3CE311" w14:textId="260D750D"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19,677</w:t>
            </w:r>
          </w:p>
        </w:tc>
        <w:tc>
          <w:tcPr>
            <w:tcW w:w="610" w:type="pct"/>
            <w:tcBorders>
              <w:top w:val="nil"/>
              <w:left w:val="nil"/>
              <w:bottom w:val="nil"/>
              <w:right w:val="nil"/>
            </w:tcBorders>
            <w:shd w:val="clear" w:color="auto" w:fill="auto"/>
            <w:noWrap/>
            <w:vAlign w:val="bottom"/>
            <w:hideMark/>
          </w:tcPr>
          <w:p w14:paraId="2DDFCB8F" w14:textId="6D503B20"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18,121</w:t>
            </w:r>
          </w:p>
        </w:tc>
      </w:tr>
      <w:tr w:rsidR="00AB3B87" w:rsidRPr="002A338C" w14:paraId="56BF9D73" w14:textId="77777777" w:rsidTr="005334F2">
        <w:trPr>
          <w:trHeight w:val="204"/>
        </w:trPr>
        <w:tc>
          <w:tcPr>
            <w:tcW w:w="1953" w:type="pct"/>
            <w:tcBorders>
              <w:top w:val="nil"/>
              <w:left w:val="nil"/>
              <w:bottom w:val="nil"/>
              <w:right w:val="nil"/>
            </w:tcBorders>
            <w:shd w:val="clear" w:color="auto" w:fill="auto"/>
            <w:noWrap/>
            <w:vAlign w:val="bottom"/>
            <w:hideMark/>
          </w:tcPr>
          <w:p w14:paraId="3CAAA87E" w14:textId="77777777" w:rsidR="00AB3B87" w:rsidRPr="002A338C" w:rsidRDefault="00AB3B87" w:rsidP="00AB3B87">
            <w:pPr>
              <w:spacing w:after="0" w:line="240" w:lineRule="auto"/>
              <w:rPr>
                <w:rFonts w:ascii="Arial" w:hAnsi="Arial" w:cs="Arial"/>
                <w:b/>
                <w:bCs/>
                <w:sz w:val="16"/>
                <w:szCs w:val="16"/>
              </w:rPr>
            </w:pPr>
            <w:r w:rsidRPr="002A338C">
              <w:rPr>
                <w:rFonts w:ascii="Arial" w:hAnsi="Arial" w:cs="Arial"/>
                <w:b/>
                <w:bCs/>
                <w:sz w:val="16"/>
                <w:szCs w:val="16"/>
              </w:rPr>
              <w:t>TOTAL</w:t>
            </w:r>
          </w:p>
        </w:tc>
        <w:tc>
          <w:tcPr>
            <w:tcW w:w="610" w:type="pct"/>
            <w:tcBorders>
              <w:top w:val="single" w:sz="4" w:space="0" w:color="auto"/>
              <w:left w:val="nil"/>
              <w:bottom w:val="single" w:sz="4" w:space="0" w:color="auto"/>
              <w:right w:val="nil"/>
            </w:tcBorders>
            <w:shd w:val="clear" w:color="auto" w:fill="auto"/>
            <w:noWrap/>
            <w:vAlign w:val="bottom"/>
            <w:hideMark/>
          </w:tcPr>
          <w:p w14:paraId="7A0EAD6E" w14:textId="39F93ECD"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51,464</w:t>
            </w:r>
          </w:p>
        </w:tc>
        <w:tc>
          <w:tcPr>
            <w:tcW w:w="605" w:type="pct"/>
            <w:tcBorders>
              <w:top w:val="single" w:sz="4" w:space="0" w:color="000000"/>
              <w:left w:val="nil"/>
              <w:bottom w:val="single" w:sz="4" w:space="0" w:color="auto"/>
              <w:right w:val="nil"/>
            </w:tcBorders>
            <w:shd w:val="clear" w:color="auto" w:fill="E6E6E6"/>
            <w:noWrap/>
            <w:vAlign w:val="bottom"/>
            <w:hideMark/>
          </w:tcPr>
          <w:p w14:paraId="202055FD" w14:textId="29EB01D6"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91,245</w:t>
            </w:r>
          </w:p>
        </w:tc>
        <w:tc>
          <w:tcPr>
            <w:tcW w:w="611" w:type="pct"/>
            <w:tcBorders>
              <w:top w:val="single" w:sz="4" w:space="0" w:color="auto"/>
              <w:left w:val="nil"/>
              <w:bottom w:val="single" w:sz="4" w:space="0" w:color="auto"/>
              <w:right w:val="nil"/>
            </w:tcBorders>
            <w:shd w:val="clear" w:color="auto" w:fill="auto"/>
            <w:noWrap/>
            <w:vAlign w:val="bottom"/>
            <w:hideMark/>
          </w:tcPr>
          <w:p w14:paraId="138F9CA9" w14:textId="37B22D88"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90,636</w:t>
            </w:r>
          </w:p>
        </w:tc>
        <w:tc>
          <w:tcPr>
            <w:tcW w:w="611" w:type="pct"/>
            <w:tcBorders>
              <w:top w:val="single" w:sz="4" w:space="0" w:color="auto"/>
              <w:left w:val="nil"/>
              <w:bottom w:val="single" w:sz="4" w:space="0" w:color="auto"/>
              <w:right w:val="nil"/>
            </w:tcBorders>
            <w:shd w:val="clear" w:color="auto" w:fill="auto"/>
            <w:noWrap/>
            <w:vAlign w:val="bottom"/>
            <w:hideMark/>
          </w:tcPr>
          <w:p w14:paraId="0779B965" w14:textId="49899C7D"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50,387</w:t>
            </w:r>
          </w:p>
        </w:tc>
        <w:tc>
          <w:tcPr>
            <w:tcW w:w="610" w:type="pct"/>
            <w:tcBorders>
              <w:top w:val="single" w:sz="4" w:space="0" w:color="auto"/>
              <w:left w:val="nil"/>
              <w:bottom w:val="single" w:sz="4" w:space="0" w:color="auto"/>
              <w:right w:val="nil"/>
            </w:tcBorders>
            <w:shd w:val="clear" w:color="auto" w:fill="auto"/>
            <w:noWrap/>
            <w:vAlign w:val="bottom"/>
            <w:hideMark/>
          </w:tcPr>
          <w:p w14:paraId="63C9FB6E" w14:textId="3F453855"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45,211</w:t>
            </w:r>
          </w:p>
        </w:tc>
      </w:tr>
      <w:tr w:rsidR="00AB3B87" w:rsidRPr="002A338C" w14:paraId="444690EC" w14:textId="77777777" w:rsidTr="005334F2">
        <w:trPr>
          <w:trHeight w:val="204"/>
        </w:trPr>
        <w:tc>
          <w:tcPr>
            <w:tcW w:w="1953" w:type="pct"/>
            <w:tcBorders>
              <w:top w:val="nil"/>
              <w:left w:val="nil"/>
              <w:bottom w:val="nil"/>
              <w:right w:val="nil"/>
            </w:tcBorders>
            <w:shd w:val="clear" w:color="auto" w:fill="auto"/>
            <w:vAlign w:val="bottom"/>
            <w:hideMark/>
          </w:tcPr>
          <w:p w14:paraId="10083399" w14:textId="77777777" w:rsidR="00AB3B87" w:rsidRPr="002A338C" w:rsidRDefault="00AB3B87" w:rsidP="00AB3B87">
            <w:pPr>
              <w:spacing w:after="0" w:line="240" w:lineRule="auto"/>
              <w:rPr>
                <w:rFonts w:ascii="Arial" w:hAnsi="Arial" w:cs="Arial"/>
                <w:b/>
                <w:bCs/>
                <w:sz w:val="16"/>
                <w:szCs w:val="16"/>
              </w:rPr>
            </w:pPr>
            <w:r w:rsidRPr="002A338C">
              <w:rPr>
                <w:rFonts w:ascii="Arial" w:hAnsi="Arial" w:cs="Arial"/>
                <w:b/>
                <w:bCs/>
                <w:sz w:val="16"/>
                <w:szCs w:val="16"/>
              </w:rPr>
              <w:t>RECONCILIATION OF CASH USED TO ACQUIRE ASSETS TO ASSET MOVEMENT TABLE</w:t>
            </w:r>
          </w:p>
        </w:tc>
        <w:tc>
          <w:tcPr>
            <w:tcW w:w="610" w:type="pct"/>
            <w:tcBorders>
              <w:top w:val="nil"/>
              <w:left w:val="nil"/>
              <w:bottom w:val="nil"/>
              <w:right w:val="nil"/>
            </w:tcBorders>
            <w:shd w:val="clear" w:color="auto" w:fill="auto"/>
            <w:noWrap/>
            <w:vAlign w:val="bottom"/>
            <w:hideMark/>
          </w:tcPr>
          <w:p w14:paraId="25B040DC" w14:textId="77777777" w:rsidR="00AB3B87" w:rsidRPr="002A338C" w:rsidRDefault="00AB3B87" w:rsidP="00AB3B87">
            <w:pPr>
              <w:spacing w:after="0" w:line="240" w:lineRule="auto"/>
              <w:jc w:val="right"/>
              <w:rPr>
                <w:rFonts w:ascii="Arial" w:hAnsi="Arial" w:cs="Arial"/>
                <w:b/>
                <w:bCs/>
                <w:sz w:val="16"/>
                <w:szCs w:val="16"/>
              </w:rPr>
            </w:pPr>
          </w:p>
        </w:tc>
        <w:tc>
          <w:tcPr>
            <w:tcW w:w="605" w:type="pct"/>
            <w:tcBorders>
              <w:top w:val="nil"/>
              <w:left w:val="nil"/>
              <w:bottom w:val="nil"/>
              <w:right w:val="nil"/>
            </w:tcBorders>
            <w:shd w:val="clear" w:color="auto" w:fill="E6E6E6"/>
            <w:noWrap/>
            <w:vAlign w:val="bottom"/>
            <w:hideMark/>
          </w:tcPr>
          <w:p w14:paraId="75B50E50" w14:textId="5D8EF54F" w:rsidR="00AB3B87" w:rsidRPr="002A338C" w:rsidRDefault="00AB3B87" w:rsidP="00AB3B87">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3DF2FD76" w14:textId="77777777" w:rsidR="00AB3B87" w:rsidRPr="002A338C" w:rsidRDefault="00AB3B87" w:rsidP="00AB3B87">
            <w:pPr>
              <w:spacing w:after="0" w:line="240" w:lineRule="auto"/>
              <w:jc w:val="right"/>
              <w:rPr>
                <w:rFonts w:ascii="Arial" w:hAnsi="Arial" w:cs="Arial"/>
                <w:color w:val="000000"/>
                <w:sz w:val="16"/>
                <w:szCs w:val="16"/>
              </w:rPr>
            </w:pPr>
          </w:p>
        </w:tc>
        <w:tc>
          <w:tcPr>
            <w:tcW w:w="611" w:type="pct"/>
            <w:tcBorders>
              <w:top w:val="nil"/>
              <w:left w:val="nil"/>
              <w:bottom w:val="nil"/>
              <w:right w:val="nil"/>
            </w:tcBorders>
            <w:shd w:val="clear" w:color="auto" w:fill="auto"/>
            <w:noWrap/>
            <w:vAlign w:val="bottom"/>
            <w:hideMark/>
          </w:tcPr>
          <w:p w14:paraId="2DF26F03" w14:textId="77777777" w:rsidR="00AB3B87" w:rsidRPr="002A338C" w:rsidRDefault="00AB3B87" w:rsidP="00AB3B87">
            <w:pPr>
              <w:spacing w:after="0" w:line="240" w:lineRule="auto"/>
              <w:jc w:val="right"/>
              <w:rPr>
                <w:rFonts w:ascii="Arial" w:hAnsi="Arial" w:cs="Arial"/>
                <w:sz w:val="16"/>
                <w:szCs w:val="16"/>
              </w:rPr>
            </w:pPr>
          </w:p>
        </w:tc>
        <w:tc>
          <w:tcPr>
            <w:tcW w:w="610" w:type="pct"/>
            <w:tcBorders>
              <w:top w:val="nil"/>
              <w:left w:val="nil"/>
              <w:bottom w:val="nil"/>
              <w:right w:val="nil"/>
            </w:tcBorders>
            <w:shd w:val="clear" w:color="auto" w:fill="auto"/>
            <w:noWrap/>
            <w:vAlign w:val="bottom"/>
            <w:hideMark/>
          </w:tcPr>
          <w:p w14:paraId="48998315" w14:textId="77777777" w:rsidR="00AB3B87" w:rsidRPr="002A338C" w:rsidRDefault="00AB3B87" w:rsidP="00AB3B87">
            <w:pPr>
              <w:spacing w:after="0" w:line="240" w:lineRule="auto"/>
              <w:jc w:val="right"/>
              <w:rPr>
                <w:rFonts w:ascii="Arial" w:hAnsi="Arial" w:cs="Arial"/>
                <w:sz w:val="16"/>
                <w:szCs w:val="16"/>
              </w:rPr>
            </w:pPr>
          </w:p>
        </w:tc>
      </w:tr>
      <w:tr w:rsidR="00AB3B87" w:rsidRPr="002A338C" w14:paraId="0114093E" w14:textId="77777777" w:rsidTr="005334F2">
        <w:trPr>
          <w:trHeight w:val="204"/>
        </w:trPr>
        <w:tc>
          <w:tcPr>
            <w:tcW w:w="1953" w:type="pct"/>
            <w:tcBorders>
              <w:top w:val="nil"/>
              <w:left w:val="nil"/>
              <w:bottom w:val="nil"/>
              <w:right w:val="nil"/>
            </w:tcBorders>
            <w:shd w:val="clear" w:color="auto" w:fill="auto"/>
            <w:noWrap/>
            <w:vAlign w:val="bottom"/>
            <w:hideMark/>
          </w:tcPr>
          <w:p w14:paraId="623294D5" w14:textId="77777777" w:rsidR="00AB3B87" w:rsidRPr="002A338C" w:rsidRDefault="00AB3B87" w:rsidP="00AB3B87">
            <w:pPr>
              <w:spacing w:after="0" w:line="240" w:lineRule="auto"/>
              <w:ind w:left="113"/>
              <w:rPr>
                <w:rFonts w:ascii="Arial" w:hAnsi="Arial" w:cs="Arial"/>
                <w:sz w:val="16"/>
                <w:szCs w:val="16"/>
              </w:rPr>
            </w:pPr>
            <w:r w:rsidRPr="002A338C">
              <w:rPr>
                <w:rFonts w:ascii="Arial" w:hAnsi="Arial" w:cs="Arial"/>
                <w:sz w:val="16"/>
                <w:szCs w:val="16"/>
              </w:rPr>
              <w:t>Total accrual purchases</w:t>
            </w:r>
          </w:p>
        </w:tc>
        <w:tc>
          <w:tcPr>
            <w:tcW w:w="610" w:type="pct"/>
            <w:tcBorders>
              <w:top w:val="nil"/>
              <w:left w:val="nil"/>
              <w:bottom w:val="nil"/>
              <w:right w:val="nil"/>
            </w:tcBorders>
            <w:shd w:val="clear" w:color="auto" w:fill="auto"/>
            <w:noWrap/>
            <w:vAlign w:val="bottom"/>
            <w:hideMark/>
          </w:tcPr>
          <w:p w14:paraId="4984AD2F" w14:textId="5065CF22"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51,464</w:t>
            </w:r>
          </w:p>
        </w:tc>
        <w:tc>
          <w:tcPr>
            <w:tcW w:w="605" w:type="pct"/>
            <w:tcBorders>
              <w:top w:val="nil"/>
              <w:left w:val="nil"/>
              <w:bottom w:val="nil"/>
              <w:right w:val="nil"/>
            </w:tcBorders>
            <w:shd w:val="clear" w:color="auto" w:fill="E6E6E6"/>
            <w:noWrap/>
            <w:vAlign w:val="bottom"/>
            <w:hideMark/>
          </w:tcPr>
          <w:p w14:paraId="01F4BCF1" w14:textId="6CC839B8" w:rsidR="00AB3B87" w:rsidRPr="002A338C" w:rsidRDefault="00AB3B87" w:rsidP="00AB3B87">
            <w:pPr>
              <w:spacing w:after="0" w:line="240" w:lineRule="auto"/>
              <w:jc w:val="right"/>
              <w:rPr>
                <w:rFonts w:ascii="Arial" w:hAnsi="Arial" w:cs="Arial"/>
                <w:color w:val="000000"/>
                <w:sz w:val="16"/>
                <w:szCs w:val="16"/>
              </w:rPr>
            </w:pPr>
            <w:r>
              <w:rPr>
                <w:rFonts w:ascii="Arial" w:hAnsi="Arial" w:cs="Arial"/>
                <w:color w:val="000000"/>
                <w:sz w:val="16"/>
                <w:szCs w:val="16"/>
              </w:rPr>
              <w:t>91,245</w:t>
            </w:r>
          </w:p>
        </w:tc>
        <w:tc>
          <w:tcPr>
            <w:tcW w:w="611" w:type="pct"/>
            <w:tcBorders>
              <w:top w:val="nil"/>
              <w:left w:val="nil"/>
              <w:bottom w:val="nil"/>
              <w:right w:val="nil"/>
            </w:tcBorders>
            <w:shd w:val="clear" w:color="auto" w:fill="auto"/>
            <w:noWrap/>
            <w:vAlign w:val="bottom"/>
            <w:hideMark/>
          </w:tcPr>
          <w:p w14:paraId="25012D5D" w14:textId="585B3709"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90,636</w:t>
            </w:r>
          </w:p>
        </w:tc>
        <w:tc>
          <w:tcPr>
            <w:tcW w:w="611" w:type="pct"/>
            <w:tcBorders>
              <w:top w:val="nil"/>
              <w:left w:val="nil"/>
              <w:bottom w:val="nil"/>
              <w:right w:val="nil"/>
            </w:tcBorders>
            <w:shd w:val="clear" w:color="auto" w:fill="auto"/>
            <w:noWrap/>
            <w:vAlign w:val="bottom"/>
            <w:hideMark/>
          </w:tcPr>
          <w:p w14:paraId="39360B06" w14:textId="3E5B4363"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50,387</w:t>
            </w:r>
          </w:p>
        </w:tc>
        <w:tc>
          <w:tcPr>
            <w:tcW w:w="610" w:type="pct"/>
            <w:tcBorders>
              <w:top w:val="nil"/>
              <w:left w:val="nil"/>
              <w:bottom w:val="nil"/>
              <w:right w:val="nil"/>
            </w:tcBorders>
            <w:shd w:val="clear" w:color="auto" w:fill="auto"/>
            <w:noWrap/>
            <w:vAlign w:val="bottom"/>
            <w:hideMark/>
          </w:tcPr>
          <w:p w14:paraId="6951C589" w14:textId="4E35151D" w:rsidR="00AB3B87" w:rsidRPr="002A338C" w:rsidRDefault="00AB3B87" w:rsidP="00AB3B87">
            <w:pPr>
              <w:spacing w:after="0" w:line="240" w:lineRule="auto"/>
              <w:jc w:val="right"/>
              <w:rPr>
                <w:rFonts w:ascii="Arial" w:hAnsi="Arial" w:cs="Arial"/>
                <w:sz w:val="16"/>
                <w:szCs w:val="16"/>
              </w:rPr>
            </w:pPr>
            <w:r>
              <w:rPr>
                <w:rFonts w:ascii="Arial" w:hAnsi="Arial" w:cs="Arial"/>
                <w:sz w:val="16"/>
                <w:szCs w:val="16"/>
              </w:rPr>
              <w:t>45,211</w:t>
            </w:r>
          </w:p>
        </w:tc>
      </w:tr>
      <w:tr w:rsidR="00AB3B87" w:rsidRPr="002A338C" w14:paraId="72519D2C" w14:textId="77777777" w:rsidTr="005334F2">
        <w:trPr>
          <w:trHeight w:val="204"/>
        </w:trPr>
        <w:tc>
          <w:tcPr>
            <w:tcW w:w="1953" w:type="pct"/>
            <w:tcBorders>
              <w:top w:val="nil"/>
              <w:left w:val="nil"/>
              <w:bottom w:val="single" w:sz="4" w:space="0" w:color="auto"/>
              <w:right w:val="nil"/>
            </w:tcBorders>
            <w:shd w:val="clear" w:color="auto" w:fill="auto"/>
            <w:vAlign w:val="bottom"/>
            <w:hideMark/>
          </w:tcPr>
          <w:p w14:paraId="78B33549" w14:textId="77777777" w:rsidR="00AB3B87" w:rsidRPr="002A338C" w:rsidRDefault="00AB3B87" w:rsidP="00AB3B87">
            <w:pPr>
              <w:spacing w:after="0" w:line="240" w:lineRule="auto"/>
              <w:rPr>
                <w:rFonts w:ascii="Arial" w:hAnsi="Arial" w:cs="Arial"/>
                <w:b/>
                <w:bCs/>
                <w:sz w:val="16"/>
                <w:szCs w:val="16"/>
              </w:rPr>
            </w:pPr>
            <w:r w:rsidRPr="002A338C">
              <w:rPr>
                <w:rFonts w:ascii="Arial" w:hAnsi="Arial" w:cs="Arial"/>
                <w:b/>
                <w:bCs/>
                <w:sz w:val="16"/>
                <w:szCs w:val="16"/>
              </w:rPr>
              <w:t>Total cash used to acquire assets</w:t>
            </w:r>
          </w:p>
        </w:tc>
        <w:tc>
          <w:tcPr>
            <w:tcW w:w="610" w:type="pct"/>
            <w:tcBorders>
              <w:top w:val="single" w:sz="4" w:space="0" w:color="auto"/>
              <w:left w:val="nil"/>
              <w:bottom w:val="single" w:sz="4" w:space="0" w:color="auto"/>
              <w:right w:val="nil"/>
            </w:tcBorders>
            <w:shd w:val="clear" w:color="auto" w:fill="auto"/>
            <w:noWrap/>
            <w:vAlign w:val="bottom"/>
            <w:hideMark/>
          </w:tcPr>
          <w:p w14:paraId="0E102058" w14:textId="6577E5CE"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51,464</w:t>
            </w:r>
          </w:p>
        </w:tc>
        <w:tc>
          <w:tcPr>
            <w:tcW w:w="605" w:type="pct"/>
            <w:tcBorders>
              <w:top w:val="single" w:sz="4" w:space="0" w:color="auto"/>
              <w:left w:val="nil"/>
              <w:bottom w:val="single" w:sz="4" w:space="0" w:color="auto"/>
              <w:right w:val="nil"/>
            </w:tcBorders>
            <w:shd w:val="clear" w:color="auto" w:fill="E6E6E6"/>
            <w:noWrap/>
            <w:vAlign w:val="bottom"/>
            <w:hideMark/>
          </w:tcPr>
          <w:p w14:paraId="1BB58180" w14:textId="43B7FBBC" w:rsidR="00AB3B87" w:rsidRPr="002A338C" w:rsidRDefault="00AB3B87" w:rsidP="00AB3B87">
            <w:pPr>
              <w:spacing w:after="0" w:line="240" w:lineRule="auto"/>
              <w:jc w:val="right"/>
              <w:rPr>
                <w:rFonts w:ascii="Arial" w:hAnsi="Arial" w:cs="Arial"/>
                <w:b/>
                <w:bCs/>
                <w:color w:val="000000"/>
                <w:sz w:val="16"/>
                <w:szCs w:val="16"/>
              </w:rPr>
            </w:pPr>
            <w:r>
              <w:rPr>
                <w:rFonts w:ascii="Arial" w:hAnsi="Arial" w:cs="Arial"/>
                <w:b/>
                <w:bCs/>
                <w:color w:val="000000"/>
                <w:sz w:val="16"/>
                <w:szCs w:val="16"/>
              </w:rPr>
              <w:t>91,245</w:t>
            </w:r>
          </w:p>
        </w:tc>
        <w:tc>
          <w:tcPr>
            <w:tcW w:w="611" w:type="pct"/>
            <w:tcBorders>
              <w:top w:val="single" w:sz="4" w:space="0" w:color="auto"/>
              <w:left w:val="nil"/>
              <w:bottom w:val="single" w:sz="4" w:space="0" w:color="auto"/>
              <w:right w:val="nil"/>
            </w:tcBorders>
            <w:shd w:val="clear" w:color="auto" w:fill="auto"/>
            <w:noWrap/>
            <w:vAlign w:val="bottom"/>
            <w:hideMark/>
          </w:tcPr>
          <w:p w14:paraId="1D35C173" w14:textId="0441245B"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90,636</w:t>
            </w:r>
          </w:p>
        </w:tc>
        <w:tc>
          <w:tcPr>
            <w:tcW w:w="611" w:type="pct"/>
            <w:tcBorders>
              <w:top w:val="single" w:sz="4" w:space="0" w:color="auto"/>
              <w:left w:val="nil"/>
              <w:bottom w:val="single" w:sz="4" w:space="0" w:color="auto"/>
              <w:right w:val="nil"/>
            </w:tcBorders>
            <w:shd w:val="clear" w:color="auto" w:fill="auto"/>
            <w:noWrap/>
            <w:vAlign w:val="bottom"/>
            <w:hideMark/>
          </w:tcPr>
          <w:p w14:paraId="324B2A3A" w14:textId="521C6E5B"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50,387</w:t>
            </w:r>
          </w:p>
        </w:tc>
        <w:tc>
          <w:tcPr>
            <w:tcW w:w="610" w:type="pct"/>
            <w:tcBorders>
              <w:top w:val="single" w:sz="4" w:space="0" w:color="auto"/>
              <w:left w:val="nil"/>
              <w:bottom w:val="single" w:sz="4" w:space="0" w:color="auto"/>
              <w:right w:val="nil"/>
            </w:tcBorders>
            <w:shd w:val="clear" w:color="auto" w:fill="auto"/>
            <w:noWrap/>
            <w:vAlign w:val="bottom"/>
            <w:hideMark/>
          </w:tcPr>
          <w:p w14:paraId="089FB78F" w14:textId="27C274D9" w:rsidR="00AB3B87" w:rsidRPr="002A338C" w:rsidRDefault="00AB3B87" w:rsidP="00AB3B87">
            <w:pPr>
              <w:spacing w:after="0" w:line="240" w:lineRule="auto"/>
              <w:jc w:val="right"/>
              <w:rPr>
                <w:rFonts w:ascii="Arial" w:hAnsi="Arial" w:cs="Arial"/>
                <w:b/>
                <w:bCs/>
                <w:sz w:val="16"/>
                <w:szCs w:val="16"/>
              </w:rPr>
            </w:pPr>
            <w:r>
              <w:rPr>
                <w:rFonts w:ascii="Arial" w:hAnsi="Arial" w:cs="Arial"/>
                <w:b/>
                <w:bCs/>
                <w:sz w:val="16"/>
                <w:szCs w:val="16"/>
              </w:rPr>
              <w:t>45,211</w:t>
            </w:r>
          </w:p>
        </w:tc>
      </w:tr>
    </w:tbl>
    <w:p w14:paraId="400791FA" w14:textId="77777777" w:rsidR="00115843" w:rsidRPr="00B7521F" w:rsidRDefault="00115843" w:rsidP="00115843">
      <w:pPr>
        <w:pStyle w:val="ChartandTableFootnote"/>
        <w:spacing w:before="60"/>
      </w:pPr>
      <w:r w:rsidRPr="00B7521F">
        <w:t>Prepared on Australian Accounting Standards basis.</w:t>
      </w:r>
    </w:p>
    <w:p w14:paraId="7D77FA5C" w14:textId="77777777" w:rsidR="00115843" w:rsidRPr="00B7521F" w:rsidRDefault="00115843" w:rsidP="00AB3B87">
      <w:pPr>
        <w:pStyle w:val="ChartandTableFootnoteAlpha"/>
        <w:numPr>
          <w:ilvl w:val="0"/>
          <w:numId w:val="177"/>
        </w:numPr>
        <w:ind w:left="426" w:hanging="426"/>
        <w:jc w:val="left"/>
        <w:rPr>
          <w:rFonts w:cs="Arial"/>
          <w:szCs w:val="16"/>
        </w:rPr>
      </w:pPr>
      <w:r w:rsidRPr="00B7521F">
        <w:rPr>
          <w:rFonts w:cs="Arial"/>
          <w:szCs w:val="16"/>
        </w:rPr>
        <w:t>Includes both current Bill 2 and prior Act 2/4/6 appropriations.</w:t>
      </w:r>
    </w:p>
    <w:p w14:paraId="7ECC93C1" w14:textId="3FD505E1" w:rsidR="00EE76C4" w:rsidRDefault="00115843" w:rsidP="00AB3B87">
      <w:pPr>
        <w:pStyle w:val="ChartandTableFootnoteAlpha"/>
        <w:numPr>
          <w:ilvl w:val="0"/>
          <w:numId w:val="177"/>
        </w:numPr>
        <w:ind w:left="426" w:hanging="426"/>
        <w:jc w:val="left"/>
        <w:rPr>
          <w:rFonts w:cs="Arial"/>
          <w:szCs w:val="16"/>
        </w:rPr>
      </w:pPr>
      <w:r w:rsidRPr="00B7521F">
        <w:rPr>
          <w:rFonts w:cs="Arial"/>
          <w:szCs w:val="16"/>
        </w:rPr>
        <w:t xml:space="preserve">Includes purchases from current and previous years’ </w:t>
      </w:r>
      <w:r w:rsidR="00AB3B87">
        <w:rPr>
          <w:rFonts w:cs="Arial"/>
          <w:szCs w:val="16"/>
        </w:rPr>
        <w:t>A</w:t>
      </w:r>
      <w:r>
        <w:rPr>
          <w:rFonts w:cs="Arial"/>
          <w:szCs w:val="16"/>
        </w:rPr>
        <w:t xml:space="preserve">dministered </w:t>
      </w:r>
      <w:r w:rsidR="00AB3B87">
        <w:rPr>
          <w:rFonts w:cs="Arial"/>
          <w:szCs w:val="16"/>
        </w:rPr>
        <w:t>C</w:t>
      </w:r>
      <w:r>
        <w:rPr>
          <w:rFonts w:cs="Arial"/>
          <w:szCs w:val="16"/>
        </w:rPr>
        <w:t xml:space="preserve">apital </w:t>
      </w:r>
      <w:r w:rsidR="00AB3B87">
        <w:rPr>
          <w:rFonts w:cs="Arial"/>
          <w:szCs w:val="16"/>
        </w:rPr>
        <w:t>B</w:t>
      </w:r>
      <w:r>
        <w:rPr>
          <w:rFonts w:cs="Arial"/>
          <w:szCs w:val="16"/>
        </w:rPr>
        <w:t>udgets (</w:t>
      </w:r>
      <w:r w:rsidRPr="00B7521F">
        <w:rPr>
          <w:rFonts w:cs="Arial"/>
          <w:szCs w:val="16"/>
        </w:rPr>
        <w:t>ACBs</w:t>
      </w:r>
      <w:r>
        <w:rPr>
          <w:rFonts w:cs="Arial"/>
          <w:szCs w:val="16"/>
        </w:rPr>
        <w:t>)</w:t>
      </w:r>
      <w:r w:rsidRPr="00B7521F">
        <w:rPr>
          <w:rFonts w:cs="Arial"/>
          <w:szCs w:val="16"/>
        </w:rPr>
        <w:t>.</w:t>
      </w:r>
    </w:p>
    <w:p w14:paraId="6A4F7216" w14:textId="77777777" w:rsidR="00EE76C4" w:rsidRDefault="00EE76C4">
      <w:pPr>
        <w:spacing w:after="0" w:line="240" w:lineRule="auto"/>
        <w:rPr>
          <w:rFonts w:ascii="Arial" w:hAnsi="Arial" w:cs="Arial"/>
          <w:sz w:val="16"/>
          <w:szCs w:val="16"/>
        </w:rPr>
      </w:pPr>
      <w:r>
        <w:rPr>
          <w:rFonts w:cs="Arial"/>
          <w:szCs w:val="16"/>
        </w:rPr>
        <w:br w:type="page"/>
      </w:r>
    </w:p>
    <w:p w14:paraId="70E41416" w14:textId="77777777" w:rsidR="00115843" w:rsidRPr="00C17B32" w:rsidRDefault="00115843" w:rsidP="00115843">
      <w:pPr>
        <w:pStyle w:val="TableHeading"/>
        <w:keepNext w:val="0"/>
        <w:spacing w:after="0" w:line="260" w:lineRule="exact"/>
        <w:jc w:val="both"/>
      </w:pPr>
      <w:r>
        <w:lastRenderedPageBreak/>
        <w:t>Table 3.11: Statement of administered asset movements (Budget year 2022-23)</w:t>
      </w:r>
    </w:p>
    <w:tbl>
      <w:tblPr>
        <w:tblW w:w="5000" w:type="pct"/>
        <w:tblLook w:val="04A0" w:firstRow="1" w:lastRow="0" w:firstColumn="1" w:lastColumn="0" w:noHBand="0" w:noVBand="1"/>
      </w:tblPr>
      <w:tblGrid>
        <w:gridCol w:w="2425"/>
        <w:gridCol w:w="723"/>
        <w:gridCol w:w="866"/>
        <w:gridCol w:w="964"/>
        <w:gridCol w:w="821"/>
        <w:gridCol w:w="981"/>
        <w:gridCol w:w="930"/>
      </w:tblGrid>
      <w:tr w:rsidR="00115843" w:rsidRPr="002A338C" w14:paraId="1EDA7B90" w14:textId="77777777" w:rsidTr="00FB0D02">
        <w:trPr>
          <w:trHeight w:val="203"/>
        </w:trPr>
        <w:tc>
          <w:tcPr>
            <w:tcW w:w="1573" w:type="pct"/>
            <w:tcBorders>
              <w:top w:val="single" w:sz="4" w:space="0" w:color="auto"/>
              <w:left w:val="nil"/>
              <w:bottom w:val="nil"/>
              <w:right w:val="nil"/>
            </w:tcBorders>
            <w:shd w:val="clear" w:color="auto" w:fill="auto"/>
            <w:noWrap/>
            <w:vAlign w:val="bottom"/>
            <w:hideMark/>
          </w:tcPr>
          <w:p w14:paraId="78E37105" w14:textId="77777777" w:rsidR="00115843" w:rsidRPr="002A338C" w:rsidRDefault="00115843" w:rsidP="00FB0D02">
            <w:pPr>
              <w:spacing w:after="0" w:line="240" w:lineRule="auto"/>
              <w:rPr>
                <w:rFonts w:ascii="Arial" w:hAnsi="Arial" w:cs="Arial"/>
                <w:sz w:val="16"/>
                <w:szCs w:val="16"/>
              </w:rPr>
            </w:pPr>
          </w:p>
        </w:tc>
        <w:tc>
          <w:tcPr>
            <w:tcW w:w="3427" w:type="pct"/>
            <w:gridSpan w:val="6"/>
            <w:tcBorders>
              <w:top w:val="single" w:sz="4" w:space="0" w:color="auto"/>
              <w:left w:val="nil"/>
              <w:bottom w:val="single" w:sz="4" w:space="0" w:color="auto"/>
              <w:right w:val="nil"/>
            </w:tcBorders>
            <w:shd w:val="clear" w:color="auto" w:fill="auto"/>
            <w:noWrap/>
            <w:vAlign w:val="bottom"/>
            <w:hideMark/>
          </w:tcPr>
          <w:p w14:paraId="4873D5B6" w14:textId="77777777" w:rsidR="00115843" w:rsidRPr="002A338C" w:rsidRDefault="00115843" w:rsidP="00FB0D02">
            <w:pPr>
              <w:spacing w:after="0" w:line="240" w:lineRule="auto"/>
              <w:jc w:val="center"/>
              <w:rPr>
                <w:rFonts w:ascii="Arial" w:hAnsi="Arial" w:cs="Arial"/>
                <w:b/>
                <w:bCs/>
                <w:sz w:val="16"/>
                <w:szCs w:val="16"/>
              </w:rPr>
            </w:pPr>
            <w:r w:rsidRPr="002A338C">
              <w:rPr>
                <w:rFonts w:ascii="Arial" w:hAnsi="Arial" w:cs="Arial"/>
                <w:b/>
                <w:bCs/>
                <w:sz w:val="16"/>
                <w:szCs w:val="16"/>
              </w:rPr>
              <w:t>Asset Category</w:t>
            </w:r>
          </w:p>
        </w:tc>
      </w:tr>
      <w:tr w:rsidR="00115843" w:rsidRPr="002A338C" w14:paraId="49E3AF28" w14:textId="77777777" w:rsidTr="00FB0D02">
        <w:trPr>
          <w:trHeight w:val="203"/>
        </w:trPr>
        <w:tc>
          <w:tcPr>
            <w:tcW w:w="1573" w:type="pct"/>
            <w:tcBorders>
              <w:left w:val="nil"/>
              <w:bottom w:val="nil"/>
              <w:right w:val="nil"/>
            </w:tcBorders>
            <w:shd w:val="clear" w:color="auto" w:fill="auto"/>
            <w:noWrap/>
            <w:vAlign w:val="bottom"/>
            <w:hideMark/>
          </w:tcPr>
          <w:p w14:paraId="3EC311FD" w14:textId="77777777" w:rsidR="00115843" w:rsidRPr="002A338C" w:rsidRDefault="00115843" w:rsidP="00FB0D02">
            <w:pPr>
              <w:spacing w:after="0" w:line="240" w:lineRule="auto"/>
              <w:rPr>
                <w:rFonts w:ascii="Arial" w:hAnsi="Arial" w:cs="Arial"/>
                <w:sz w:val="16"/>
                <w:szCs w:val="16"/>
              </w:rPr>
            </w:pPr>
            <w:r w:rsidRPr="002A338C">
              <w:rPr>
                <w:rFonts w:ascii="Arial" w:hAnsi="Arial" w:cs="Arial"/>
                <w:sz w:val="16"/>
                <w:szCs w:val="16"/>
              </w:rPr>
              <w:t> </w:t>
            </w:r>
          </w:p>
        </w:tc>
        <w:tc>
          <w:tcPr>
            <w:tcW w:w="469" w:type="pct"/>
            <w:tcBorders>
              <w:top w:val="single" w:sz="4" w:space="0" w:color="auto"/>
              <w:left w:val="nil"/>
              <w:bottom w:val="single" w:sz="4" w:space="0" w:color="auto"/>
              <w:right w:val="nil"/>
            </w:tcBorders>
            <w:shd w:val="clear" w:color="auto" w:fill="auto"/>
            <w:vAlign w:val="bottom"/>
            <w:hideMark/>
          </w:tcPr>
          <w:p w14:paraId="5C95E61C"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Land</w:t>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7DA999C8"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Buildings</w:t>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6E7D9726"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Other</w:t>
            </w:r>
            <w:r w:rsidRPr="002A338C">
              <w:rPr>
                <w:rFonts w:ascii="Arial" w:hAnsi="Arial" w:cs="Arial"/>
                <w:sz w:val="16"/>
                <w:szCs w:val="16"/>
              </w:rPr>
              <w:br/>
              <w:t>property,</w:t>
            </w:r>
            <w:r w:rsidRPr="002A338C">
              <w:rPr>
                <w:rFonts w:ascii="Arial" w:hAnsi="Arial" w:cs="Arial"/>
                <w:sz w:val="16"/>
                <w:szCs w:val="16"/>
              </w:rPr>
              <w:br/>
              <w:t>plant and</w:t>
            </w:r>
            <w:r w:rsidRPr="002A338C">
              <w:rPr>
                <w:rFonts w:ascii="Arial" w:hAnsi="Arial" w:cs="Arial"/>
                <w:sz w:val="16"/>
                <w:szCs w:val="16"/>
              </w:rPr>
              <w:br/>
              <w:t>equipment</w:t>
            </w:r>
            <w:r w:rsidRPr="002A338C">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631C72A1"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Heritage</w:t>
            </w:r>
            <w:r w:rsidRPr="002A338C">
              <w:rPr>
                <w:rFonts w:ascii="Arial" w:hAnsi="Arial" w:cs="Arial"/>
                <w:sz w:val="16"/>
                <w:szCs w:val="16"/>
              </w:rPr>
              <w:br/>
              <w:t>and</w:t>
            </w:r>
            <w:r w:rsidRPr="002A338C">
              <w:rPr>
                <w:rFonts w:ascii="Arial" w:hAnsi="Arial" w:cs="Arial"/>
                <w:sz w:val="16"/>
                <w:szCs w:val="16"/>
              </w:rPr>
              <w:br/>
              <w:t>cultural</w:t>
            </w:r>
            <w:r w:rsidRPr="002A338C">
              <w:rPr>
                <w:rFonts w:ascii="Arial" w:hAnsi="Arial" w:cs="Arial"/>
                <w:sz w:val="16"/>
                <w:szCs w:val="16"/>
              </w:rPr>
              <w:br/>
            </w:r>
            <w:r w:rsidRPr="002A338C">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556684FF"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Computer</w:t>
            </w:r>
            <w:r w:rsidRPr="002A338C">
              <w:rPr>
                <w:rFonts w:ascii="Arial" w:hAnsi="Arial" w:cs="Arial"/>
                <w:sz w:val="16"/>
                <w:szCs w:val="16"/>
              </w:rPr>
              <w:br/>
              <w:t>software and</w:t>
            </w:r>
            <w:r w:rsidRPr="002A338C">
              <w:rPr>
                <w:rFonts w:ascii="Arial" w:hAnsi="Arial" w:cs="Arial"/>
                <w:sz w:val="16"/>
                <w:szCs w:val="16"/>
              </w:rPr>
              <w:br/>
              <w:t>intangibles</w:t>
            </w:r>
            <w:r w:rsidRPr="002A338C">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590903CD" w14:textId="77777777" w:rsidR="00115843" w:rsidRPr="002A338C" w:rsidRDefault="00115843" w:rsidP="00FB0D02">
            <w:pPr>
              <w:spacing w:after="0" w:line="240" w:lineRule="auto"/>
              <w:jc w:val="right"/>
              <w:rPr>
                <w:rFonts w:ascii="Arial" w:hAnsi="Arial" w:cs="Arial"/>
                <w:sz w:val="16"/>
                <w:szCs w:val="16"/>
              </w:rPr>
            </w:pPr>
            <w:r w:rsidRPr="002A338C">
              <w:rPr>
                <w:rFonts w:ascii="Arial" w:hAnsi="Arial" w:cs="Arial"/>
                <w:sz w:val="16"/>
                <w:szCs w:val="16"/>
              </w:rPr>
              <w:t>Total</w:t>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r>
            <w:r w:rsidRPr="002A338C">
              <w:rPr>
                <w:rFonts w:ascii="Arial" w:hAnsi="Arial" w:cs="Arial"/>
                <w:sz w:val="16"/>
                <w:szCs w:val="16"/>
              </w:rPr>
              <w:br/>
              <w:t>$'000</w:t>
            </w:r>
          </w:p>
        </w:tc>
      </w:tr>
      <w:tr w:rsidR="00115843" w:rsidRPr="002A338C" w14:paraId="797E142B" w14:textId="77777777" w:rsidTr="00FB0D02">
        <w:trPr>
          <w:trHeight w:val="203"/>
        </w:trPr>
        <w:tc>
          <w:tcPr>
            <w:tcW w:w="1573" w:type="pct"/>
            <w:tcBorders>
              <w:top w:val="nil"/>
              <w:left w:val="nil"/>
              <w:bottom w:val="nil"/>
              <w:right w:val="nil"/>
            </w:tcBorders>
            <w:shd w:val="clear" w:color="auto" w:fill="auto"/>
            <w:vAlign w:val="bottom"/>
            <w:hideMark/>
          </w:tcPr>
          <w:p w14:paraId="3EC369A6" w14:textId="77777777" w:rsidR="00115843" w:rsidRPr="002A338C" w:rsidRDefault="00115843" w:rsidP="00FB0D02">
            <w:pPr>
              <w:spacing w:after="0" w:line="240" w:lineRule="auto"/>
              <w:rPr>
                <w:rFonts w:ascii="Arial" w:hAnsi="Arial" w:cs="Arial"/>
                <w:b/>
                <w:bCs/>
                <w:sz w:val="16"/>
                <w:szCs w:val="16"/>
              </w:rPr>
            </w:pPr>
            <w:r w:rsidRPr="002A338C">
              <w:rPr>
                <w:rFonts w:ascii="Arial" w:hAnsi="Arial" w:cs="Arial"/>
                <w:b/>
                <w:bCs/>
                <w:sz w:val="16"/>
                <w:szCs w:val="16"/>
              </w:rPr>
              <w:t>As at 1 July 2022</w:t>
            </w:r>
          </w:p>
        </w:tc>
        <w:tc>
          <w:tcPr>
            <w:tcW w:w="469" w:type="pct"/>
            <w:tcBorders>
              <w:top w:val="nil"/>
              <w:left w:val="nil"/>
              <w:bottom w:val="nil"/>
              <w:right w:val="nil"/>
            </w:tcBorders>
            <w:shd w:val="clear" w:color="auto" w:fill="auto"/>
            <w:noWrap/>
            <w:vAlign w:val="bottom"/>
            <w:hideMark/>
          </w:tcPr>
          <w:p w14:paraId="69B8D028" w14:textId="77777777" w:rsidR="00115843" w:rsidRPr="002A338C" w:rsidRDefault="00115843" w:rsidP="00FB0D02">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21679FA" w14:textId="77777777" w:rsidR="00115843" w:rsidRPr="002A338C" w:rsidRDefault="00115843" w:rsidP="00FB0D02">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35257CA" w14:textId="77777777" w:rsidR="00115843" w:rsidRPr="002A338C" w:rsidRDefault="00115843" w:rsidP="00FB0D02">
            <w:pPr>
              <w:spacing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68FED6D8" w14:textId="77777777" w:rsidR="00115843" w:rsidRPr="002A338C" w:rsidRDefault="00115843" w:rsidP="00FB0D02">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1384FCFB" w14:textId="77777777" w:rsidR="00115843" w:rsidRPr="002A338C" w:rsidRDefault="00115843" w:rsidP="00FB0D02">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6FE9DADC" w14:textId="77777777" w:rsidR="00115843" w:rsidRPr="002A338C" w:rsidRDefault="00115843" w:rsidP="00FB0D02">
            <w:pPr>
              <w:spacing w:after="0" w:line="240" w:lineRule="auto"/>
              <w:jc w:val="right"/>
              <w:rPr>
                <w:rFonts w:ascii="Arial" w:hAnsi="Arial" w:cs="Arial"/>
                <w:sz w:val="16"/>
                <w:szCs w:val="16"/>
              </w:rPr>
            </w:pPr>
          </w:p>
        </w:tc>
      </w:tr>
      <w:tr w:rsidR="004B7B98" w:rsidRPr="002A338C" w14:paraId="46559CB1" w14:textId="77777777" w:rsidTr="00FB0D02">
        <w:trPr>
          <w:trHeight w:val="203"/>
        </w:trPr>
        <w:tc>
          <w:tcPr>
            <w:tcW w:w="1573" w:type="pct"/>
            <w:tcBorders>
              <w:top w:val="nil"/>
              <w:left w:val="nil"/>
              <w:bottom w:val="nil"/>
              <w:right w:val="nil"/>
            </w:tcBorders>
            <w:shd w:val="clear" w:color="auto" w:fill="auto"/>
            <w:vAlign w:val="bottom"/>
            <w:hideMark/>
          </w:tcPr>
          <w:p w14:paraId="74D8A556" w14:textId="77777777" w:rsidR="004B7B98" w:rsidRPr="002A338C" w:rsidRDefault="004B7B98" w:rsidP="004B7B98">
            <w:pPr>
              <w:spacing w:after="0" w:line="240" w:lineRule="auto"/>
              <w:ind w:left="113"/>
              <w:rPr>
                <w:rFonts w:ascii="Arial" w:hAnsi="Arial" w:cs="Arial"/>
                <w:sz w:val="16"/>
                <w:szCs w:val="16"/>
              </w:rPr>
            </w:pPr>
            <w:r w:rsidRPr="002A338C">
              <w:rPr>
                <w:rFonts w:ascii="Arial" w:hAnsi="Arial" w:cs="Arial"/>
                <w:sz w:val="16"/>
                <w:szCs w:val="16"/>
              </w:rPr>
              <w:t xml:space="preserve">Gross book value </w:t>
            </w:r>
          </w:p>
        </w:tc>
        <w:tc>
          <w:tcPr>
            <w:tcW w:w="469" w:type="pct"/>
            <w:tcBorders>
              <w:top w:val="nil"/>
              <w:left w:val="nil"/>
              <w:bottom w:val="nil"/>
              <w:right w:val="nil"/>
            </w:tcBorders>
            <w:shd w:val="clear" w:color="auto" w:fill="auto"/>
            <w:noWrap/>
            <w:vAlign w:val="bottom"/>
            <w:hideMark/>
          </w:tcPr>
          <w:p w14:paraId="364BCDDA" w14:textId="790E5A2C"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76,151</w:t>
            </w:r>
          </w:p>
        </w:tc>
        <w:tc>
          <w:tcPr>
            <w:tcW w:w="562" w:type="pct"/>
            <w:tcBorders>
              <w:top w:val="nil"/>
              <w:left w:val="nil"/>
              <w:bottom w:val="nil"/>
              <w:right w:val="nil"/>
            </w:tcBorders>
            <w:shd w:val="clear" w:color="auto" w:fill="auto"/>
            <w:noWrap/>
            <w:vAlign w:val="bottom"/>
            <w:hideMark/>
          </w:tcPr>
          <w:p w14:paraId="1524F68B" w14:textId="36A632CF"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151,533</w:t>
            </w:r>
          </w:p>
        </w:tc>
        <w:tc>
          <w:tcPr>
            <w:tcW w:w="625" w:type="pct"/>
            <w:tcBorders>
              <w:top w:val="nil"/>
              <w:left w:val="nil"/>
              <w:bottom w:val="nil"/>
              <w:right w:val="nil"/>
            </w:tcBorders>
            <w:shd w:val="clear" w:color="auto" w:fill="auto"/>
            <w:noWrap/>
            <w:vAlign w:val="bottom"/>
            <w:hideMark/>
          </w:tcPr>
          <w:p w14:paraId="4612FDE0" w14:textId="20F80D89"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501,409</w:t>
            </w:r>
          </w:p>
        </w:tc>
        <w:tc>
          <w:tcPr>
            <w:tcW w:w="532" w:type="pct"/>
            <w:tcBorders>
              <w:top w:val="nil"/>
              <w:left w:val="nil"/>
              <w:bottom w:val="nil"/>
              <w:right w:val="nil"/>
            </w:tcBorders>
            <w:shd w:val="clear" w:color="auto" w:fill="auto"/>
            <w:noWrap/>
            <w:vAlign w:val="bottom"/>
            <w:hideMark/>
          </w:tcPr>
          <w:p w14:paraId="61A249DF" w14:textId="672C0E8B"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185,576</w:t>
            </w:r>
          </w:p>
        </w:tc>
        <w:tc>
          <w:tcPr>
            <w:tcW w:w="636" w:type="pct"/>
            <w:tcBorders>
              <w:top w:val="nil"/>
              <w:left w:val="nil"/>
              <w:bottom w:val="nil"/>
              <w:right w:val="nil"/>
            </w:tcBorders>
            <w:shd w:val="clear" w:color="auto" w:fill="auto"/>
            <w:noWrap/>
            <w:vAlign w:val="bottom"/>
            <w:hideMark/>
          </w:tcPr>
          <w:p w14:paraId="29F8E580" w14:textId="2036D92B"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4,477</w:t>
            </w:r>
          </w:p>
        </w:tc>
        <w:tc>
          <w:tcPr>
            <w:tcW w:w="603" w:type="pct"/>
            <w:tcBorders>
              <w:top w:val="nil"/>
              <w:left w:val="nil"/>
              <w:bottom w:val="nil"/>
              <w:right w:val="nil"/>
            </w:tcBorders>
            <w:shd w:val="clear" w:color="auto" w:fill="auto"/>
            <w:noWrap/>
            <w:vAlign w:val="bottom"/>
            <w:hideMark/>
          </w:tcPr>
          <w:p w14:paraId="4C893225" w14:textId="733604F5"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919,146</w:t>
            </w:r>
          </w:p>
        </w:tc>
      </w:tr>
      <w:tr w:rsidR="004B7B98" w:rsidRPr="002A338C" w14:paraId="6BBB4E97" w14:textId="77777777" w:rsidTr="00FB0D02">
        <w:trPr>
          <w:trHeight w:val="203"/>
        </w:trPr>
        <w:tc>
          <w:tcPr>
            <w:tcW w:w="1573" w:type="pct"/>
            <w:tcBorders>
              <w:top w:val="nil"/>
              <w:left w:val="nil"/>
              <w:bottom w:val="nil"/>
              <w:right w:val="nil"/>
            </w:tcBorders>
            <w:shd w:val="clear" w:color="auto" w:fill="auto"/>
            <w:vAlign w:val="bottom"/>
            <w:hideMark/>
          </w:tcPr>
          <w:p w14:paraId="5D6917AD" w14:textId="77777777" w:rsidR="004B7B98" w:rsidRPr="002A338C" w:rsidRDefault="004B7B98" w:rsidP="004B7B98">
            <w:pPr>
              <w:spacing w:after="0" w:line="240" w:lineRule="auto"/>
              <w:ind w:left="113"/>
              <w:rPr>
                <w:rFonts w:ascii="Arial" w:hAnsi="Arial" w:cs="Arial"/>
                <w:sz w:val="16"/>
                <w:szCs w:val="16"/>
              </w:rPr>
            </w:pPr>
            <w:r w:rsidRPr="002A338C">
              <w:rPr>
                <w:rFonts w:ascii="Arial" w:hAnsi="Arial" w:cs="Arial"/>
                <w:sz w:val="16"/>
                <w:szCs w:val="16"/>
              </w:rPr>
              <w:t>Accumulated depreciation/ amortisation and impairment</w:t>
            </w:r>
          </w:p>
        </w:tc>
        <w:tc>
          <w:tcPr>
            <w:tcW w:w="469" w:type="pct"/>
            <w:tcBorders>
              <w:top w:val="nil"/>
              <w:left w:val="nil"/>
              <w:bottom w:val="nil"/>
              <w:right w:val="nil"/>
            </w:tcBorders>
            <w:shd w:val="clear" w:color="auto" w:fill="auto"/>
            <w:noWrap/>
            <w:vAlign w:val="bottom"/>
            <w:hideMark/>
          </w:tcPr>
          <w:p w14:paraId="23BE3ED6" w14:textId="7A693000"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47D5C4D" w14:textId="32665726"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(3,218)</w:t>
            </w:r>
          </w:p>
        </w:tc>
        <w:tc>
          <w:tcPr>
            <w:tcW w:w="625" w:type="pct"/>
            <w:tcBorders>
              <w:top w:val="nil"/>
              <w:left w:val="nil"/>
              <w:bottom w:val="nil"/>
              <w:right w:val="nil"/>
            </w:tcBorders>
            <w:shd w:val="clear" w:color="auto" w:fill="auto"/>
            <w:noWrap/>
            <w:vAlign w:val="bottom"/>
            <w:hideMark/>
          </w:tcPr>
          <w:p w14:paraId="684AD787" w14:textId="380E5CA9"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(8,561)</w:t>
            </w:r>
          </w:p>
        </w:tc>
        <w:tc>
          <w:tcPr>
            <w:tcW w:w="532" w:type="pct"/>
            <w:tcBorders>
              <w:top w:val="nil"/>
              <w:left w:val="nil"/>
              <w:bottom w:val="nil"/>
              <w:right w:val="nil"/>
            </w:tcBorders>
            <w:shd w:val="clear" w:color="auto" w:fill="auto"/>
            <w:noWrap/>
            <w:vAlign w:val="bottom"/>
            <w:hideMark/>
          </w:tcPr>
          <w:p w14:paraId="1A3B42EB" w14:textId="306359BA"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E82E1EC" w14:textId="7CA8141C"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(70)</w:t>
            </w:r>
          </w:p>
        </w:tc>
        <w:tc>
          <w:tcPr>
            <w:tcW w:w="603" w:type="pct"/>
            <w:tcBorders>
              <w:top w:val="nil"/>
              <w:left w:val="nil"/>
              <w:bottom w:val="nil"/>
              <w:right w:val="nil"/>
            </w:tcBorders>
            <w:shd w:val="clear" w:color="auto" w:fill="auto"/>
            <w:noWrap/>
            <w:vAlign w:val="bottom"/>
            <w:hideMark/>
          </w:tcPr>
          <w:p w14:paraId="2E220F8D" w14:textId="603A35EE"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(11,849)</w:t>
            </w:r>
          </w:p>
        </w:tc>
      </w:tr>
      <w:tr w:rsidR="004B7B98" w:rsidRPr="002A338C" w14:paraId="086549EA" w14:textId="77777777" w:rsidTr="00FB0D02">
        <w:trPr>
          <w:trHeight w:val="203"/>
        </w:trPr>
        <w:tc>
          <w:tcPr>
            <w:tcW w:w="1573" w:type="pct"/>
            <w:tcBorders>
              <w:top w:val="nil"/>
              <w:left w:val="nil"/>
              <w:bottom w:val="nil"/>
              <w:right w:val="nil"/>
            </w:tcBorders>
            <w:shd w:val="clear" w:color="auto" w:fill="auto"/>
            <w:vAlign w:val="bottom"/>
            <w:hideMark/>
          </w:tcPr>
          <w:p w14:paraId="0BC2E3CE" w14:textId="77777777" w:rsidR="004B7B98" w:rsidRPr="002A338C" w:rsidRDefault="004B7B98" w:rsidP="004B7B98">
            <w:pPr>
              <w:spacing w:after="0" w:line="240" w:lineRule="auto"/>
              <w:rPr>
                <w:rFonts w:ascii="Arial" w:hAnsi="Arial" w:cs="Arial"/>
                <w:b/>
                <w:bCs/>
                <w:sz w:val="16"/>
                <w:szCs w:val="16"/>
              </w:rPr>
            </w:pPr>
            <w:r w:rsidRPr="002A338C">
              <w:rPr>
                <w:rFonts w:ascii="Arial" w:hAnsi="Arial" w:cs="Arial"/>
                <w:b/>
                <w:bCs/>
                <w:sz w:val="16"/>
                <w:szCs w:val="16"/>
              </w:rPr>
              <w:t>Opening net book balance</w:t>
            </w:r>
          </w:p>
        </w:tc>
        <w:tc>
          <w:tcPr>
            <w:tcW w:w="469" w:type="pct"/>
            <w:tcBorders>
              <w:top w:val="single" w:sz="4" w:space="0" w:color="auto"/>
              <w:left w:val="nil"/>
              <w:bottom w:val="single" w:sz="4" w:space="0" w:color="auto"/>
              <w:right w:val="nil"/>
            </w:tcBorders>
            <w:shd w:val="clear" w:color="auto" w:fill="auto"/>
            <w:noWrap/>
            <w:vAlign w:val="bottom"/>
            <w:hideMark/>
          </w:tcPr>
          <w:p w14:paraId="4EAA0D82" w14:textId="6E75F36F"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76,151</w:t>
            </w:r>
          </w:p>
        </w:tc>
        <w:tc>
          <w:tcPr>
            <w:tcW w:w="562" w:type="pct"/>
            <w:tcBorders>
              <w:top w:val="single" w:sz="4" w:space="0" w:color="auto"/>
              <w:left w:val="nil"/>
              <w:bottom w:val="single" w:sz="4" w:space="0" w:color="auto"/>
              <w:right w:val="nil"/>
            </w:tcBorders>
            <w:shd w:val="clear" w:color="auto" w:fill="auto"/>
            <w:noWrap/>
            <w:vAlign w:val="bottom"/>
            <w:hideMark/>
          </w:tcPr>
          <w:p w14:paraId="6CD50C7D" w14:textId="3E08D260"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148,315</w:t>
            </w:r>
          </w:p>
        </w:tc>
        <w:tc>
          <w:tcPr>
            <w:tcW w:w="625" w:type="pct"/>
            <w:tcBorders>
              <w:top w:val="single" w:sz="4" w:space="0" w:color="auto"/>
              <w:left w:val="nil"/>
              <w:bottom w:val="single" w:sz="4" w:space="0" w:color="auto"/>
              <w:right w:val="nil"/>
            </w:tcBorders>
            <w:shd w:val="clear" w:color="auto" w:fill="auto"/>
            <w:noWrap/>
            <w:vAlign w:val="bottom"/>
            <w:hideMark/>
          </w:tcPr>
          <w:p w14:paraId="444D1690" w14:textId="737B79D3"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492,848</w:t>
            </w:r>
          </w:p>
        </w:tc>
        <w:tc>
          <w:tcPr>
            <w:tcW w:w="532" w:type="pct"/>
            <w:tcBorders>
              <w:top w:val="single" w:sz="4" w:space="0" w:color="auto"/>
              <w:left w:val="nil"/>
              <w:bottom w:val="single" w:sz="4" w:space="0" w:color="auto"/>
              <w:right w:val="nil"/>
            </w:tcBorders>
            <w:shd w:val="clear" w:color="auto" w:fill="auto"/>
            <w:noWrap/>
            <w:vAlign w:val="bottom"/>
            <w:hideMark/>
          </w:tcPr>
          <w:p w14:paraId="5C677597" w14:textId="62FD8265"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185,576</w:t>
            </w:r>
          </w:p>
        </w:tc>
        <w:tc>
          <w:tcPr>
            <w:tcW w:w="636" w:type="pct"/>
            <w:tcBorders>
              <w:top w:val="single" w:sz="4" w:space="0" w:color="auto"/>
              <w:left w:val="nil"/>
              <w:bottom w:val="single" w:sz="4" w:space="0" w:color="auto"/>
              <w:right w:val="nil"/>
            </w:tcBorders>
            <w:shd w:val="clear" w:color="auto" w:fill="auto"/>
            <w:noWrap/>
            <w:vAlign w:val="bottom"/>
            <w:hideMark/>
          </w:tcPr>
          <w:p w14:paraId="0817158C" w14:textId="32804884"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4,407</w:t>
            </w:r>
          </w:p>
        </w:tc>
        <w:tc>
          <w:tcPr>
            <w:tcW w:w="603" w:type="pct"/>
            <w:tcBorders>
              <w:top w:val="single" w:sz="4" w:space="0" w:color="auto"/>
              <w:left w:val="nil"/>
              <w:bottom w:val="single" w:sz="4" w:space="0" w:color="auto"/>
              <w:right w:val="nil"/>
            </w:tcBorders>
            <w:shd w:val="clear" w:color="auto" w:fill="auto"/>
            <w:noWrap/>
            <w:vAlign w:val="bottom"/>
            <w:hideMark/>
          </w:tcPr>
          <w:p w14:paraId="78A260B7" w14:textId="7E6AB209"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907,297</w:t>
            </w:r>
          </w:p>
        </w:tc>
      </w:tr>
      <w:tr w:rsidR="004B7B98" w:rsidRPr="002A338C" w14:paraId="18FCC9D0" w14:textId="77777777" w:rsidTr="00FB0D02">
        <w:trPr>
          <w:trHeight w:val="203"/>
        </w:trPr>
        <w:tc>
          <w:tcPr>
            <w:tcW w:w="1573" w:type="pct"/>
            <w:tcBorders>
              <w:top w:val="nil"/>
              <w:left w:val="nil"/>
              <w:bottom w:val="nil"/>
              <w:right w:val="nil"/>
            </w:tcBorders>
            <w:shd w:val="clear" w:color="auto" w:fill="auto"/>
            <w:vAlign w:val="bottom"/>
            <w:hideMark/>
          </w:tcPr>
          <w:p w14:paraId="30D14C2F" w14:textId="77777777" w:rsidR="004B7B98" w:rsidRPr="002A338C" w:rsidRDefault="004B7B98" w:rsidP="004B7B98">
            <w:pPr>
              <w:spacing w:after="0" w:line="240" w:lineRule="auto"/>
              <w:rPr>
                <w:rFonts w:ascii="Arial" w:hAnsi="Arial" w:cs="Arial"/>
                <w:b/>
                <w:bCs/>
                <w:sz w:val="16"/>
                <w:szCs w:val="16"/>
              </w:rPr>
            </w:pPr>
            <w:r w:rsidRPr="002A338C">
              <w:rPr>
                <w:rFonts w:ascii="Arial" w:hAnsi="Arial" w:cs="Arial"/>
                <w:b/>
                <w:bCs/>
                <w:sz w:val="16"/>
                <w:szCs w:val="16"/>
              </w:rPr>
              <w:t>CAPITAL ASSET ADDITIONS</w:t>
            </w:r>
          </w:p>
        </w:tc>
        <w:tc>
          <w:tcPr>
            <w:tcW w:w="469" w:type="pct"/>
            <w:tcBorders>
              <w:top w:val="nil"/>
              <w:left w:val="nil"/>
              <w:bottom w:val="nil"/>
              <w:right w:val="nil"/>
            </w:tcBorders>
            <w:shd w:val="clear" w:color="auto" w:fill="auto"/>
            <w:noWrap/>
            <w:vAlign w:val="bottom"/>
            <w:hideMark/>
          </w:tcPr>
          <w:p w14:paraId="68646710" w14:textId="77777777" w:rsidR="004B7B98" w:rsidRPr="002A338C" w:rsidRDefault="004B7B98" w:rsidP="004B7B98">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ED2AF4B" w14:textId="77777777" w:rsidR="004B7B98" w:rsidRPr="002A338C" w:rsidRDefault="004B7B98" w:rsidP="004B7B98">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239BD253" w14:textId="77777777" w:rsidR="004B7B98" w:rsidRPr="002A338C" w:rsidRDefault="004B7B98" w:rsidP="004B7B98">
            <w:pPr>
              <w:spacing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2BE07A38" w14:textId="77777777" w:rsidR="004B7B98" w:rsidRPr="002A338C" w:rsidRDefault="004B7B98" w:rsidP="004B7B98">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5DBD756F" w14:textId="77777777" w:rsidR="004B7B98" w:rsidRPr="002A338C" w:rsidRDefault="004B7B98" w:rsidP="004B7B98">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484EFAEA" w14:textId="77777777" w:rsidR="004B7B98" w:rsidRPr="002A338C" w:rsidRDefault="004B7B98" w:rsidP="004B7B98">
            <w:pPr>
              <w:spacing w:after="0" w:line="240" w:lineRule="auto"/>
              <w:jc w:val="right"/>
              <w:rPr>
                <w:rFonts w:ascii="Arial" w:hAnsi="Arial" w:cs="Arial"/>
                <w:sz w:val="16"/>
                <w:szCs w:val="16"/>
              </w:rPr>
            </w:pPr>
          </w:p>
        </w:tc>
      </w:tr>
      <w:tr w:rsidR="004B7B98" w:rsidRPr="002A338C" w14:paraId="4992ABAA" w14:textId="77777777" w:rsidTr="00FB0D02">
        <w:trPr>
          <w:trHeight w:val="203"/>
        </w:trPr>
        <w:tc>
          <w:tcPr>
            <w:tcW w:w="1573" w:type="pct"/>
            <w:tcBorders>
              <w:top w:val="nil"/>
              <w:left w:val="nil"/>
              <w:bottom w:val="nil"/>
              <w:right w:val="nil"/>
            </w:tcBorders>
            <w:shd w:val="clear" w:color="auto" w:fill="auto"/>
            <w:vAlign w:val="bottom"/>
            <w:hideMark/>
          </w:tcPr>
          <w:p w14:paraId="34D6EC22" w14:textId="77777777" w:rsidR="004B7B98" w:rsidRPr="002A338C" w:rsidRDefault="004B7B98" w:rsidP="004B7B98">
            <w:pPr>
              <w:spacing w:after="0" w:line="240" w:lineRule="auto"/>
              <w:ind w:left="113"/>
              <w:rPr>
                <w:rFonts w:ascii="Arial" w:hAnsi="Arial" w:cs="Arial"/>
                <w:b/>
                <w:bCs/>
                <w:sz w:val="16"/>
                <w:szCs w:val="16"/>
              </w:rPr>
            </w:pPr>
            <w:r w:rsidRPr="002A338C">
              <w:rPr>
                <w:rFonts w:ascii="Arial" w:hAnsi="Arial" w:cs="Arial"/>
                <w:b/>
                <w:bCs/>
                <w:sz w:val="16"/>
                <w:szCs w:val="16"/>
              </w:rPr>
              <w:t>Estimated expenditure on new or replacement assets</w:t>
            </w:r>
          </w:p>
        </w:tc>
        <w:tc>
          <w:tcPr>
            <w:tcW w:w="469" w:type="pct"/>
            <w:tcBorders>
              <w:top w:val="nil"/>
              <w:left w:val="nil"/>
              <w:bottom w:val="nil"/>
              <w:right w:val="nil"/>
            </w:tcBorders>
            <w:shd w:val="clear" w:color="auto" w:fill="auto"/>
            <w:noWrap/>
            <w:vAlign w:val="bottom"/>
            <w:hideMark/>
          </w:tcPr>
          <w:p w14:paraId="342D9757" w14:textId="77777777" w:rsidR="004B7B98" w:rsidRPr="002A338C" w:rsidRDefault="004B7B98" w:rsidP="004B7B98">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5413A6EB" w14:textId="77777777" w:rsidR="004B7B98" w:rsidRPr="002A338C" w:rsidRDefault="004B7B98" w:rsidP="004B7B98">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0F755B3" w14:textId="77777777" w:rsidR="004B7B98" w:rsidRPr="002A338C" w:rsidRDefault="004B7B98" w:rsidP="004B7B98">
            <w:pPr>
              <w:spacing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7B9F5CB6" w14:textId="77777777" w:rsidR="004B7B98" w:rsidRPr="002A338C" w:rsidRDefault="004B7B98" w:rsidP="004B7B98">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2BB4A429" w14:textId="77777777" w:rsidR="004B7B98" w:rsidRPr="002A338C" w:rsidRDefault="004B7B98" w:rsidP="004B7B98">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4C0A7E0E" w14:textId="77777777" w:rsidR="004B7B98" w:rsidRPr="002A338C" w:rsidRDefault="004B7B98" w:rsidP="004B7B98">
            <w:pPr>
              <w:spacing w:after="0" w:line="240" w:lineRule="auto"/>
              <w:jc w:val="right"/>
              <w:rPr>
                <w:rFonts w:ascii="Arial" w:hAnsi="Arial" w:cs="Arial"/>
                <w:sz w:val="16"/>
                <w:szCs w:val="16"/>
              </w:rPr>
            </w:pPr>
          </w:p>
        </w:tc>
      </w:tr>
      <w:tr w:rsidR="004B7B98" w:rsidRPr="002A338C" w14:paraId="12C99127" w14:textId="77777777" w:rsidTr="00FB0D02">
        <w:trPr>
          <w:trHeight w:val="203"/>
        </w:trPr>
        <w:tc>
          <w:tcPr>
            <w:tcW w:w="1573" w:type="pct"/>
            <w:tcBorders>
              <w:top w:val="nil"/>
              <w:left w:val="nil"/>
              <w:bottom w:val="nil"/>
              <w:right w:val="nil"/>
            </w:tcBorders>
            <w:shd w:val="clear" w:color="auto" w:fill="auto"/>
            <w:vAlign w:val="bottom"/>
            <w:hideMark/>
          </w:tcPr>
          <w:p w14:paraId="1AD064AA" w14:textId="77777777" w:rsidR="004B7B98" w:rsidRPr="002A338C" w:rsidRDefault="004B7B98" w:rsidP="004B7B98">
            <w:pPr>
              <w:spacing w:after="0" w:line="240" w:lineRule="auto"/>
              <w:ind w:left="227"/>
              <w:rPr>
                <w:rFonts w:ascii="Arial" w:hAnsi="Arial" w:cs="Arial"/>
                <w:sz w:val="16"/>
                <w:szCs w:val="16"/>
              </w:rPr>
            </w:pPr>
            <w:r w:rsidRPr="002A338C">
              <w:rPr>
                <w:rFonts w:ascii="Arial" w:hAnsi="Arial" w:cs="Arial"/>
                <w:sz w:val="16"/>
                <w:szCs w:val="16"/>
              </w:rPr>
              <w:t>By purchase - appropriation equity</w:t>
            </w:r>
            <w:r w:rsidRPr="002A338C">
              <w:rPr>
                <w:rFonts w:ascii="Arial" w:hAnsi="Arial" w:cs="Arial"/>
                <w:sz w:val="16"/>
                <w:szCs w:val="16"/>
                <w:vertAlign w:val="superscript"/>
              </w:rPr>
              <w:t xml:space="preserve"> (a) </w:t>
            </w:r>
          </w:p>
        </w:tc>
        <w:tc>
          <w:tcPr>
            <w:tcW w:w="469" w:type="pct"/>
            <w:tcBorders>
              <w:top w:val="nil"/>
              <w:left w:val="nil"/>
              <w:bottom w:val="nil"/>
              <w:right w:val="nil"/>
            </w:tcBorders>
            <w:shd w:val="clear" w:color="auto" w:fill="auto"/>
            <w:noWrap/>
            <w:vAlign w:val="bottom"/>
            <w:hideMark/>
          </w:tcPr>
          <w:p w14:paraId="47B2814F" w14:textId="5E3D0B6A"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6178C57" w14:textId="66EBBCFE"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6,131</w:t>
            </w:r>
          </w:p>
        </w:tc>
        <w:tc>
          <w:tcPr>
            <w:tcW w:w="625" w:type="pct"/>
            <w:tcBorders>
              <w:top w:val="nil"/>
              <w:left w:val="nil"/>
              <w:bottom w:val="nil"/>
              <w:right w:val="nil"/>
            </w:tcBorders>
            <w:shd w:val="clear" w:color="auto" w:fill="auto"/>
            <w:noWrap/>
            <w:vAlign w:val="bottom"/>
            <w:hideMark/>
          </w:tcPr>
          <w:p w14:paraId="706FBADF" w14:textId="7CBE5428"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84,564</w:t>
            </w:r>
          </w:p>
        </w:tc>
        <w:tc>
          <w:tcPr>
            <w:tcW w:w="532" w:type="pct"/>
            <w:tcBorders>
              <w:top w:val="nil"/>
              <w:left w:val="nil"/>
              <w:bottom w:val="nil"/>
              <w:right w:val="nil"/>
            </w:tcBorders>
            <w:shd w:val="clear" w:color="auto" w:fill="auto"/>
            <w:noWrap/>
            <w:vAlign w:val="bottom"/>
            <w:hideMark/>
          </w:tcPr>
          <w:p w14:paraId="0960F1FA" w14:textId="2CAF7459"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550</w:t>
            </w:r>
          </w:p>
        </w:tc>
        <w:tc>
          <w:tcPr>
            <w:tcW w:w="636" w:type="pct"/>
            <w:tcBorders>
              <w:top w:val="nil"/>
              <w:left w:val="nil"/>
              <w:bottom w:val="nil"/>
              <w:right w:val="nil"/>
            </w:tcBorders>
            <w:shd w:val="clear" w:color="auto" w:fill="auto"/>
            <w:noWrap/>
            <w:vAlign w:val="bottom"/>
            <w:hideMark/>
          </w:tcPr>
          <w:p w14:paraId="672FCC20" w14:textId="620F50DF"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hideMark/>
          </w:tcPr>
          <w:p w14:paraId="2FB6CC54" w14:textId="009E735A"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91,245</w:t>
            </w:r>
          </w:p>
        </w:tc>
      </w:tr>
      <w:tr w:rsidR="004B7B98" w:rsidRPr="002A338C" w14:paraId="26A7FEF6" w14:textId="77777777" w:rsidTr="00FB0D02">
        <w:trPr>
          <w:trHeight w:val="203"/>
        </w:trPr>
        <w:tc>
          <w:tcPr>
            <w:tcW w:w="1573" w:type="pct"/>
            <w:tcBorders>
              <w:top w:val="nil"/>
              <w:left w:val="nil"/>
              <w:bottom w:val="nil"/>
              <w:right w:val="nil"/>
            </w:tcBorders>
            <w:shd w:val="clear" w:color="auto" w:fill="auto"/>
            <w:vAlign w:val="bottom"/>
            <w:hideMark/>
          </w:tcPr>
          <w:p w14:paraId="59D24874" w14:textId="77777777" w:rsidR="004B7B98" w:rsidRPr="002A338C" w:rsidRDefault="004B7B98" w:rsidP="004B7B98">
            <w:pPr>
              <w:spacing w:after="0" w:line="240" w:lineRule="auto"/>
              <w:ind w:left="113"/>
              <w:rPr>
                <w:rFonts w:ascii="Arial" w:hAnsi="Arial" w:cs="Arial"/>
                <w:b/>
                <w:bCs/>
                <w:sz w:val="16"/>
                <w:szCs w:val="16"/>
              </w:rPr>
            </w:pPr>
            <w:r w:rsidRPr="002A338C">
              <w:rPr>
                <w:rFonts w:ascii="Arial" w:hAnsi="Arial" w:cs="Arial"/>
                <w:b/>
                <w:bCs/>
                <w:sz w:val="16"/>
                <w:szCs w:val="16"/>
              </w:rPr>
              <w:t>Total additions</w:t>
            </w:r>
          </w:p>
        </w:tc>
        <w:tc>
          <w:tcPr>
            <w:tcW w:w="469" w:type="pct"/>
            <w:tcBorders>
              <w:top w:val="single" w:sz="4" w:space="0" w:color="auto"/>
              <w:left w:val="nil"/>
              <w:bottom w:val="nil"/>
              <w:right w:val="nil"/>
            </w:tcBorders>
            <w:shd w:val="clear" w:color="auto" w:fill="auto"/>
            <w:noWrap/>
            <w:vAlign w:val="bottom"/>
            <w:hideMark/>
          </w:tcPr>
          <w:p w14:paraId="73326853" w14:textId="59BBEC3B"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w:t>
            </w:r>
          </w:p>
        </w:tc>
        <w:tc>
          <w:tcPr>
            <w:tcW w:w="562" w:type="pct"/>
            <w:tcBorders>
              <w:top w:val="single" w:sz="4" w:space="0" w:color="auto"/>
              <w:left w:val="nil"/>
              <w:bottom w:val="nil"/>
              <w:right w:val="nil"/>
            </w:tcBorders>
            <w:shd w:val="clear" w:color="auto" w:fill="auto"/>
            <w:noWrap/>
            <w:vAlign w:val="bottom"/>
            <w:hideMark/>
          </w:tcPr>
          <w:p w14:paraId="6FD91E5A" w14:textId="1962778B"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6,131</w:t>
            </w:r>
          </w:p>
        </w:tc>
        <w:tc>
          <w:tcPr>
            <w:tcW w:w="625" w:type="pct"/>
            <w:tcBorders>
              <w:top w:val="single" w:sz="4" w:space="0" w:color="auto"/>
              <w:left w:val="nil"/>
              <w:bottom w:val="nil"/>
              <w:right w:val="nil"/>
            </w:tcBorders>
            <w:shd w:val="clear" w:color="auto" w:fill="auto"/>
            <w:noWrap/>
            <w:vAlign w:val="bottom"/>
            <w:hideMark/>
          </w:tcPr>
          <w:p w14:paraId="776E599A" w14:textId="7190C1D8"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84,564</w:t>
            </w:r>
          </w:p>
        </w:tc>
        <w:tc>
          <w:tcPr>
            <w:tcW w:w="532" w:type="pct"/>
            <w:tcBorders>
              <w:top w:val="single" w:sz="4" w:space="0" w:color="auto"/>
              <w:left w:val="nil"/>
              <w:bottom w:val="nil"/>
              <w:right w:val="nil"/>
            </w:tcBorders>
            <w:shd w:val="clear" w:color="auto" w:fill="auto"/>
            <w:noWrap/>
            <w:vAlign w:val="bottom"/>
            <w:hideMark/>
          </w:tcPr>
          <w:p w14:paraId="5F707356" w14:textId="59697E11"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550</w:t>
            </w:r>
          </w:p>
        </w:tc>
        <w:tc>
          <w:tcPr>
            <w:tcW w:w="636" w:type="pct"/>
            <w:tcBorders>
              <w:top w:val="single" w:sz="4" w:space="0" w:color="auto"/>
              <w:left w:val="nil"/>
              <w:bottom w:val="nil"/>
              <w:right w:val="nil"/>
            </w:tcBorders>
            <w:shd w:val="clear" w:color="auto" w:fill="auto"/>
            <w:noWrap/>
            <w:vAlign w:val="bottom"/>
            <w:hideMark/>
          </w:tcPr>
          <w:p w14:paraId="780596F6" w14:textId="3F164318"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w:t>
            </w:r>
          </w:p>
        </w:tc>
        <w:tc>
          <w:tcPr>
            <w:tcW w:w="603" w:type="pct"/>
            <w:tcBorders>
              <w:top w:val="single" w:sz="4" w:space="0" w:color="auto"/>
              <w:left w:val="nil"/>
              <w:bottom w:val="nil"/>
              <w:right w:val="nil"/>
            </w:tcBorders>
            <w:shd w:val="clear" w:color="auto" w:fill="auto"/>
            <w:noWrap/>
            <w:vAlign w:val="bottom"/>
            <w:hideMark/>
          </w:tcPr>
          <w:p w14:paraId="097D4AB7" w14:textId="5418BF4B"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91,245</w:t>
            </w:r>
          </w:p>
        </w:tc>
      </w:tr>
      <w:tr w:rsidR="004B7B98" w:rsidRPr="002A338C" w14:paraId="7B9689D5" w14:textId="77777777" w:rsidTr="00FB0D02">
        <w:trPr>
          <w:trHeight w:val="203"/>
        </w:trPr>
        <w:tc>
          <w:tcPr>
            <w:tcW w:w="1573" w:type="pct"/>
            <w:tcBorders>
              <w:top w:val="nil"/>
              <w:left w:val="nil"/>
              <w:bottom w:val="nil"/>
              <w:right w:val="nil"/>
            </w:tcBorders>
            <w:shd w:val="clear" w:color="auto" w:fill="auto"/>
            <w:vAlign w:val="bottom"/>
            <w:hideMark/>
          </w:tcPr>
          <w:p w14:paraId="15ECEADA" w14:textId="77777777" w:rsidR="004B7B98" w:rsidRPr="002A338C" w:rsidRDefault="004B7B98" w:rsidP="004B7B98">
            <w:pPr>
              <w:spacing w:after="0" w:line="240" w:lineRule="auto"/>
              <w:ind w:left="113"/>
              <w:rPr>
                <w:rFonts w:ascii="Arial" w:hAnsi="Arial" w:cs="Arial"/>
                <w:b/>
                <w:bCs/>
                <w:sz w:val="16"/>
                <w:szCs w:val="16"/>
              </w:rPr>
            </w:pPr>
            <w:r w:rsidRPr="002A338C">
              <w:rPr>
                <w:rFonts w:ascii="Arial" w:hAnsi="Arial" w:cs="Arial"/>
                <w:b/>
                <w:bCs/>
                <w:sz w:val="16"/>
                <w:szCs w:val="16"/>
              </w:rPr>
              <w:t>Other movements</w:t>
            </w:r>
          </w:p>
        </w:tc>
        <w:tc>
          <w:tcPr>
            <w:tcW w:w="469" w:type="pct"/>
            <w:tcBorders>
              <w:top w:val="single" w:sz="4" w:space="0" w:color="auto"/>
              <w:left w:val="nil"/>
              <w:bottom w:val="nil"/>
              <w:right w:val="nil"/>
            </w:tcBorders>
            <w:shd w:val="clear" w:color="auto" w:fill="auto"/>
            <w:noWrap/>
            <w:vAlign w:val="bottom"/>
            <w:hideMark/>
          </w:tcPr>
          <w:p w14:paraId="3CFA6B9C" w14:textId="546F7656" w:rsidR="004B7B98" w:rsidRPr="002A338C" w:rsidRDefault="004B7B98" w:rsidP="004B7B98">
            <w:pPr>
              <w:spacing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6DFF2546" w14:textId="531BB621" w:rsidR="004B7B98" w:rsidRPr="002A338C" w:rsidRDefault="004B7B98" w:rsidP="004B7B98">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7045D3F4" w14:textId="6926F79D" w:rsidR="004B7B98" w:rsidRPr="002A338C" w:rsidRDefault="004B7B98" w:rsidP="004B7B98">
            <w:pPr>
              <w:spacing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41E13CA3" w14:textId="16F623E5" w:rsidR="004B7B98" w:rsidRPr="002A338C" w:rsidRDefault="004B7B98" w:rsidP="004B7B98">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78E022EF" w14:textId="7BCBC435" w:rsidR="004B7B98" w:rsidRPr="002A338C" w:rsidRDefault="004B7B98" w:rsidP="004B7B98">
            <w:pPr>
              <w:spacing w:after="0" w:line="240" w:lineRule="auto"/>
              <w:jc w:val="right"/>
              <w:rPr>
                <w:rFonts w:ascii="Arial" w:hAnsi="Arial" w:cs="Arial"/>
                <w:b/>
                <w:bCs/>
                <w:sz w:val="16"/>
                <w:szCs w:val="16"/>
              </w:rPr>
            </w:pPr>
          </w:p>
        </w:tc>
        <w:tc>
          <w:tcPr>
            <w:tcW w:w="603" w:type="pct"/>
            <w:tcBorders>
              <w:top w:val="single" w:sz="4" w:space="0" w:color="auto"/>
              <w:left w:val="nil"/>
              <w:bottom w:val="nil"/>
              <w:right w:val="nil"/>
            </w:tcBorders>
            <w:shd w:val="clear" w:color="auto" w:fill="auto"/>
            <w:noWrap/>
            <w:vAlign w:val="bottom"/>
            <w:hideMark/>
          </w:tcPr>
          <w:p w14:paraId="49A93657" w14:textId="5333120D" w:rsidR="004B7B98" w:rsidRPr="002A338C" w:rsidRDefault="004B7B98" w:rsidP="004B7B98">
            <w:pPr>
              <w:spacing w:after="0" w:line="240" w:lineRule="auto"/>
              <w:jc w:val="right"/>
              <w:rPr>
                <w:rFonts w:ascii="Arial" w:hAnsi="Arial" w:cs="Arial"/>
                <w:b/>
                <w:bCs/>
                <w:sz w:val="16"/>
                <w:szCs w:val="16"/>
              </w:rPr>
            </w:pPr>
          </w:p>
        </w:tc>
      </w:tr>
      <w:tr w:rsidR="004B7B98" w:rsidRPr="002A338C" w14:paraId="125D46A9" w14:textId="77777777" w:rsidTr="00FB0D02">
        <w:trPr>
          <w:trHeight w:val="203"/>
        </w:trPr>
        <w:tc>
          <w:tcPr>
            <w:tcW w:w="1573" w:type="pct"/>
            <w:tcBorders>
              <w:top w:val="nil"/>
              <w:left w:val="nil"/>
              <w:bottom w:val="nil"/>
              <w:right w:val="nil"/>
            </w:tcBorders>
            <w:shd w:val="clear" w:color="auto" w:fill="auto"/>
            <w:vAlign w:val="bottom"/>
            <w:hideMark/>
          </w:tcPr>
          <w:p w14:paraId="5932B59A" w14:textId="77777777" w:rsidR="004B7B98" w:rsidRPr="002A338C" w:rsidRDefault="004B7B98" w:rsidP="004B7B98">
            <w:pPr>
              <w:spacing w:after="0" w:line="240" w:lineRule="auto"/>
              <w:ind w:left="227"/>
              <w:rPr>
                <w:rFonts w:ascii="Arial" w:hAnsi="Arial" w:cs="Arial"/>
                <w:sz w:val="16"/>
                <w:szCs w:val="16"/>
              </w:rPr>
            </w:pPr>
            <w:r w:rsidRPr="002A338C">
              <w:rPr>
                <w:rFonts w:ascii="Arial" w:hAnsi="Arial" w:cs="Arial"/>
                <w:sz w:val="16"/>
                <w:szCs w:val="16"/>
              </w:rPr>
              <w:t>Depreciation/amortisation expense</w:t>
            </w:r>
          </w:p>
        </w:tc>
        <w:tc>
          <w:tcPr>
            <w:tcW w:w="469" w:type="pct"/>
            <w:tcBorders>
              <w:top w:val="nil"/>
              <w:left w:val="nil"/>
              <w:bottom w:val="nil"/>
              <w:right w:val="nil"/>
            </w:tcBorders>
            <w:shd w:val="clear" w:color="auto" w:fill="auto"/>
            <w:noWrap/>
            <w:vAlign w:val="bottom"/>
            <w:hideMark/>
          </w:tcPr>
          <w:p w14:paraId="096DAD4A" w14:textId="69484CAB"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F9DA947" w14:textId="0AE81778"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(11,193)</w:t>
            </w:r>
          </w:p>
        </w:tc>
        <w:tc>
          <w:tcPr>
            <w:tcW w:w="625" w:type="pct"/>
            <w:tcBorders>
              <w:top w:val="nil"/>
              <w:left w:val="nil"/>
              <w:bottom w:val="nil"/>
              <w:right w:val="nil"/>
            </w:tcBorders>
            <w:shd w:val="clear" w:color="auto" w:fill="auto"/>
            <w:noWrap/>
            <w:vAlign w:val="bottom"/>
            <w:hideMark/>
          </w:tcPr>
          <w:p w14:paraId="6E73E7E0" w14:textId="16B756F4"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(39,908)</w:t>
            </w:r>
          </w:p>
        </w:tc>
        <w:tc>
          <w:tcPr>
            <w:tcW w:w="532" w:type="pct"/>
            <w:tcBorders>
              <w:top w:val="nil"/>
              <w:left w:val="nil"/>
              <w:bottom w:val="nil"/>
              <w:right w:val="nil"/>
            </w:tcBorders>
            <w:shd w:val="clear" w:color="auto" w:fill="auto"/>
            <w:noWrap/>
            <w:vAlign w:val="bottom"/>
            <w:hideMark/>
          </w:tcPr>
          <w:p w14:paraId="6F936978" w14:textId="284B75E1"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(2,431)</w:t>
            </w:r>
          </w:p>
        </w:tc>
        <w:tc>
          <w:tcPr>
            <w:tcW w:w="636" w:type="pct"/>
            <w:tcBorders>
              <w:top w:val="nil"/>
              <w:left w:val="nil"/>
              <w:bottom w:val="nil"/>
              <w:right w:val="nil"/>
            </w:tcBorders>
            <w:shd w:val="clear" w:color="auto" w:fill="auto"/>
            <w:noWrap/>
            <w:vAlign w:val="bottom"/>
            <w:hideMark/>
          </w:tcPr>
          <w:p w14:paraId="05420C6B" w14:textId="15B2350F"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hideMark/>
          </w:tcPr>
          <w:p w14:paraId="51E32708" w14:textId="3E1343CF"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(53,532)</w:t>
            </w:r>
          </w:p>
        </w:tc>
      </w:tr>
      <w:tr w:rsidR="004B7B98" w:rsidRPr="002A338C" w14:paraId="1AEFFD76" w14:textId="77777777" w:rsidTr="00FB0D02">
        <w:trPr>
          <w:trHeight w:val="203"/>
        </w:trPr>
        <w:tc>
          <w:tcPr>
            <w:tcW w:w="1573" w:type="pct"/>
            <w:tcBorders>
              <w:top w:val="nil"/>
              <w:left w:val="nil"/>
              <w:bottom w:val="nil"/>
              <w:right w:val="nil"/>
            </w:tcBorders>
            <w:shd w:val="clear" w:color="auto" w:fill="auto"/>
            <w:vAlign w:val="bottom"/>
          </w:tcPr>
          <w:p w14:paraId="1F6C7253" w14:textId="77777777" w:rsidR="004B7B98" w:rsidRPr="002A338C" w:rsidRDefault="004B7B98" w:rsidP="004B7B98">
            <w:pPr>
              <w:spacing w:after="0" w:line="240" w:lineRule="auto"/>
              <w:ind w:left="227"/>
              <w:rPr>
                <w:rFonts w:ascii="Arial" w:hAnsi="Arial" w:cs="Arial"/>
                <w:sz w:val="16"/>
                <w:szCs w:val="16"/>
              </w:rPr>
            </w:pPr>
            <w:r w:rsidRPr="002A338C">
              <w:rPr>
                <w:rFonts w:ascii="Arial" w:hAnsi="Arial" w:cs="Arial"/>
                <w:sz w:val="16"/>
                <w:szCs w:val="16"/>
              </w:rPr>
              <w:t>Other</w:t>
            </w:r>
          </w:p>
        </w:tc>
        <w:tc>
          <w:tcPr>
            <w:tcW w:w="469" w:type="pct"/>
            <w:tcBorders>
              <w:top w:val="nil"/>
              <w:left w:val="nil"/>
              <w:bottom w:val="nil"/>
              <w:right w:val="nil"/>
            </w:tcBorders>
            <w:shd w:val="clear" w:color="auto" w:fill="auto"/>
            <w:noWrap/>
            <w:vAlign w:val="bottom"/>
          </w:tcPr>
          <w:p w14:paraId="1E6AA515" w14:textId="6FA92F90"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(8,950)</w:t>
            </w:r>
          </w:p>
        </w:tc>
        <w:tc>
          <w:tcPr>
            <w:tcW w:w="562" w:type="pct"/>
            <w:tcBorders>
              <w:top w:val="nil"/>
              <w:left w:val="nil"/>
              <w:bottom w:val="nil"/>
              <w:right w:val="nil"/>
            </w:tcBorders>
            <w:shd w:val="clear" w:color="auto" w:fill="auto"/>
            <w:noWrap/>
            <w:vAlign w:val="bottom"/>
          </w:tcPr>
          <w:p w14:paraId="7C4BE2AE" w14:textId="70AA3A5E"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06441511" w14:textId="4D8E11A6"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532" w:type="pct"/>
            <w:tcBorders>
              <w:top w:val="nil"/>
              <w:left w:val="nil"/>
              <w:bottom w:val="nil"/>
              <w:right w:val="nil"/>
            </w:tcBorders>
            <w:shd w:val="clear" w:color="auto" w:fill="auto"/>
            <w:noWrap/>
            <w:vAlign w:val="bottom"/>
          </w:tcPr>
          <w:p w14:paraId="7CE8D75B" w14:textId="5E47DD8D"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0B9AC861" w14:textId="060B58AC"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4C05F0B4" w14:textId="5CEB83F5"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(8,950)</w:t>
            </w:r>
          </w:p>
        </w:tc>
      </w:tr>
      <w:tr w:rsidR="004B7B98" w:rsidRPr="002A338C" w14:paraId="5248762C" w14:textId="77777777" w:rsidTr="00FB0D02">
        <w:trPr>
          <w:trHeight w:val="203"/>
        </w:trPr>
        <w:tc>
          <w:tcPr>
            <w:tcW w:w="1573" w:type="pct"/>
            <w:tcBorders>
              <w:top w:val="nil"/>
              <w:left w:val="nil"/>
              <w:bottom w:val="nil"/>
              <w:right w:val="nil"/>
            </w:tcBorders>
            <w:shd w:val="clear" w:color="auto" w:fill="auto"/>
            <w:vAlign w:val="bottom"/>
            <w:hideMark/>
          </w:tcPr>
          <w:p w14:paraId="03DB6A11" w14:textId="77777777" w:rsidR="004B7B98" w:rsidRPr="002A338C" w:rsidRDefault="004B7B98" w:rsidP="004B7B98">
            <w:pPr>
              <w:spacing w:after="0" w:line="240" w:lineRule="auto"/>
              <w:ind w:left="113"/>
              <w:rPr>
                <w:rFonts w:ascii="Arial" w:hAnsi="Arial" w:cs="Arial"/>
                <w:b/>
                <w:bCs/>
                <w:sz w:val="16"/>
                <w:szCs w:val="16"/>
              </w:rPr>
            </w:pPr>
            <w:r w:rsidRPr="002A338C">
              <w:rPr>
                <w:rFonts w:ascii="Arial" w:hAnsi="Arial" w:cs="Arial"/>
                <w:b/>
                <w:bCs/>
                <w:sz w:val="16"/>
                <w:szCs w:val="16"/>
              </w:rPr>
              <w:t>Total other movements</w:t>
            </w:r>
          </w:p>
        </w:tc>
        <w:tc>
          <w:tcPr>
            <w:tcW w:w="469" w:type="pct"/>
            <w:tcBorders>
              <w:top w:val="single" w:sz="4" w:space="0" w:color="auto"/>
              <w:left w:val="nil"/>
              <w:bottom w:val="single" w:sz="4" w:space="0" w:color="auto"/>
              <w:right w:val="nil"/>
            </w:tcBorders>
            <w:shd w:val="clear" w:color="auto" w:fill="auto"/>
            <w:noWrap/>
            <w:vAlign w:val="bottom"/>
            <w:hideMark/>
          </w:tcPr>
          <w:p w14:paraId="1380CB9F" w14:textId="6C8234DC"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(8,950)</w:t>
            </w:r>
          </w:p>
        </w:tc>
        <w:tc>
          <w:tcPr>
            <w:tcW w:w="562" w:type="pct"/>
            <w:tcBorders>
              <w:top w:val="single" w:sz="4" w:space="0" w:color="auto"/>
              <w:left w:val="nil"/>
              <w:bottom w:val="single" w:sz="4" w:space="0" w:color="auto"/>
              <w:right w:val="nil"/>
            </w:tcBorders>
            <w:shd w:val="clear" w:color="auto" w:fill="auto"/>
            <w:noWrap/>
            <w:vAlign w:val="bottom"/>
            <w:hideMark/>
          </w:tcPr>
          <w:p w14:paraId="4F104424" w14:textId="678D7EE9"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(11,193)</w:t>
            </w:r>
          </w:p>
        </w:tc>
        <w:tc>
          <w:tcPr>
            <w:tcW w:w="625" w:type="pct"/>
            <w:tcBorders>
              <w:top w:val="single" w:sz="4" w:space="0" w:color="auto"/>
              <w:left w:val="nil"/>
              <w:bottom w:val="single" w:sz="4" w:space="0" w:color="auto"/>
              <w:right w:val="nil"/>
            </w:tcBorders>
            <w:shd w:val="clear" w:color="auto" w:fill="auto"/>
            <w:noWrap/>
            <w:vAlign w:val="bottom"/>
            <w:hideMark/>
          </w:tcPr>
          <w:p w14:paraId="3E12E774" w14:textId="5C613E2B"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(39,908)</w:t>
            </w:r>
          </w:p>
        </w:tc>
        <w:tc>
          <w:tcPr>
            <w:tcW w:w="532" w:type="pct"/>
            <w:tcBorders>
              <w:top w:val="single" w:sz="4" w:space="0" w:color="auto"/>
              <w:left w:val="nil"/>
              <w:bottom w:val="single" w:sz="4" w:space="0" w:color="auto"/>
              <w:right w:val="nil"/>
            </w:tcBorders>
            <w:shd w:val="clear" w:color="auto" w:fill="auto"/>
            <w:noWrap/>
            <w:vAlign w:val="bottom"/>
            <w:hideMark/>
          </w:tcPr>
          <w:p w14:paraId="764626D4" w14:textId="6719E2BB"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(2,431)</w:t>
            </w:r>
          </w:p>
        </w:tc>
        <w:tc>
          <w:tcPr>
            <w:tcW w:w="636" w:type="pct"/>
            <w:tcBorders>
              <w:top w:val="single" w:sz="4" w:space="0" w:color="auto"/>
              <w:left w:val="nil"/>
              <w:bottom w:val="single" w:sz="4" w:space="0" w:color="auto"/>
              <w:right w:val="nil"/>
            </w:tcBorders>
            <w:shd w:val="clear" w:color="auto" w:fill="auto"/>
            <w:noWrap/>
            <w:vAlign w:val="bottom"/>
            <w:hideMark/>
          </w:tcPr>
          <w:p w14:paraId="7C4C7D1C" w14:textId="7C5567EB"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w:t>
            </w:r>
          </w:p>
        </w:tc>
        <w:tc>
          <w:tcPr>
            <w:tcW w:w="603" w:type="pct"/>
            <w:tcBorders>
              <w:top w:val="single" w:sz="4" w:space="0" w:color="auto"/>
              <w:left w:val="nil"/>
              <w:bottom w:val="single" w:sz="4" w:space="0" w:color="auto"/>
              <w:right w:val="nil"/>
            </w:tcBorders>
            <w:shd w:val="clear" w:color="auto" w:fill="auto"/>
            <w:noWrap/>
            <w:vAlign w:val="bottom"/>
            <w:hideMark/>
          </w:tcPr>
          <w:p w14:paraId="1D68A32B" w14:textId="33EF0948"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(62,482)</w:t>
            </w:r>
          </w:p>
        </w:tc>
      </w:tr>
      <w:tr w:rsidR="004B7B98" w:rsidRPr="002A338C" w14:paraId="653B29CA" w14:textId="77777777" w:rsidTr="00FB0D02">
        <w:trPr>
          <w:trHeight w:val="203"/>
        </w:trPr>
        <w:tc>
          <w:tcPr>
            <w:tcW w:w="1573" w:type="pct"/>
            <w:tcBorders>
              <w:top w:val="nil"/>
              <w:left w:val="nil"/>
              <w:bottom w:val="nil"/>
              <w:right w:val="nil"/>
            </w:tcBorders>
            <w:shd w:val="clear" w:color="auto" w:fill="auto"/>
            <w:vAlign w:val="bottom"/>
            <w:hideMark/>
          </w:tcPr>
          <w:p w14:paraId="40EA4FC0" w14:textId="77777777" w:rsidR="004B7B98" w:rsidRPr="002A338C" w:rsidRDefault="004B7B98" w:rsidP="004B7B98">
            <w:pPr>
              <w:spacing w:after="0" w:line="240" w:lineRule="auto"/>
              <w:rPr>
                <w:rFonts w:ascii="Arial" w:hAnsi="Arial" w:cs="Arial"/>
                <w:b/>
                <w:bCs/>
                <w:sz w:val="16"/>
                <w:szCs w:val="16"/>
              </w:rPr>
            </w:pPr>
            <w:r w:rsidRPr="002A338C">
              <w:rPr>
                <w:rFonts w:ascii="Arial" w:hAnsi="Arial" w:cs="Arial"/>
                <w:b/>
                <w:bCs/>
                <w:sz w:val="16"/>
                <w:szCs w:val="16"/>
              </w:rPr>
              <w:t>As at 30 June 2023</w:t>
            </w:r>
          </w:p>
        </w:tc>
        <w:tc>
          <w:tcPr>
            <w:tcW w:w="469" w:type="pct"/>
            <w:tcBorders>
              <w:top w:val="nil"/>
              <w:left w:val="nil"/>
              <w:bottom w:val="nil"/>
              <w:right w:val="nil"/>
            </w:tcBorders>
            <w:shd w:val="clear" w:color="auto" w:fill="auto"/>
            <w:noWrap/>
            <w:vAlign w:val="bottom"/>
            <w:hideMark/>
          </w:tcPr>
          <w:p w14:paraId="78024373" w14:textId="77777777" w:rsidR="004B7B98" w:rsidRPr="002A338C" w:rsidRDefault="004B7B98" w:rsidP="004B7B98">
            <w:pPr>
              <w:spacing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09E296A8" w14:textId="77777777" w:rsidR="004B7B98" w:rsidRPr="002A338C" w:rsidRDefault="004B7B98" w:rsidP="004B7B98">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54BA5284" w14:textId="77777777" w:rsidR="004B7B98" w:rsidRPr="002A338C" w:rsidRDefault="004B7B98" w:rsidP="004B7B98">
            <w:pPr>
              <w:spacing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0AFC8798" w14:textId="77777777" w:rsidR="004B7B98" w:rsidRPr="002A338C" w:rsidRDefault="004B7B98" w:rsidP="004B7B98">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14EA8C71" w14:textId="77777777" w:rsidR="004B7B98" w:rsidRPr="002A338C" w:rsidRDefault="004B7B98" w:rsidP="004B7B98">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051A83B3" w14:textId="77777777" w:rsidR="004B7B98" w:rsidRPr="002A338C" w:rsidRDefault="004B7B98" w:rsidP="004B7B98">
            <w:pPr>
              <w:spacing w:after="0" w:line="240" w:lineRule="auto"/>
              <w:jc w:val="right"/>
              <w:rPr>
                <w:rFonts w:ascii="Arial" w:hAnsi="Arial" w:cs="Arial"/>
                <w:sz w:val="16"/>
                <w:szCs w:val="16"/>
              </w:rPr>
            </w:pPr>
          </w:p>
        </w:tc>
      </w:tr>
      <w:tr w:rsidR="004B7B98" w:rsidRPr="002A338C" w14:paraId="78C5B199" w14:textId="77777777" w:rsidTr="00FB0D02">
        <w:trPr>
          <w:trHeight w:val="203"/>
        </w:trPr>
        <w:tc>
          <w:tcPr>
            <w:tcW w:w="1573" w:type="pct"/>
            <w:tcBorders>
              <w:top w:val="nil"/>
              <w:left w:val="nil"/>
              <w:bottom w:val="nil"/>
              <w:right w:val="nil"/>
            </w:tcBorders>
            <w:shd w:val="clear" w:color="auto" w:fill="auto"/>
            <w:vAlign w:val="bottom"/>
            <w:hideMark/>
          </w:tcPr>
          <w:p w14:paraId="29BF1A54" w14:textId="77777777" w:rsidR="004B7B98" w:rsidRPr="002A338C" w:rsidRDefault="004B7B98" w:rsidP="004B7B98">
            <w:pPr>
              <w:spacing w:after="0" w:line="240" w:lineRule="auto"/>
              <w:ind w:left="113"/>
              <w:rPr>
                <w:rFonts w:ascii="Arial" w:hAnsi="Arial" w:cs="Arial"/>
                <w:sz w:val="16"/>
                <w:szCs w:val="16"/>
              </w:rPr>
            </w:pPr>
            <w:r w:rsidRPr="002A338C">
              <w:rPr>
                <w:rFonts w:ascii="Arial" w:hAnsi="Arial" w:cs="Arial"/>
                <w:sz w:val="16"/>
                <w:szCs w:val="16"/>
              </w:rPr>
              <w:t>Gross book value</w:t>
            </w:r>
          </w:p>
        </w:tc>
        <w:tc>
          <w:tcPr>
            <w:tcW w:w="469" w:type="pct"/>
            <w:tcBorders>
              <w:top w:val="nil"/>
              <w:left w:val="nil"/>
              <w:bottom w:val="nil"/>
              <w:right w:val="nil"/>
            </w:tcBorders>
            <w:shd w:val="clear" w:color="auto" w:fill="auto"/>
            <w:noWrap/>
            <w:vAlign w:val="bottom"/>
            <w:hideMark/>
          </w:tcPr>
          <w:p w14:paraId="2361CA3B" w14:textId="73808D5E"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67,201</w:t>
            </w:r>
          </w:p>
        </w:tc>
        <w:tc>
          <w:tcPr>
            <w:tcW w:w="562" w:type="pct"/>
            <w:tcBorders>
              <w:top w:val="nil"/>
              <w:left w:val="nil"/>
              <w:bottom w:val="nil"/>
              <w:right w:val="nil"/>
            </w:tcBorders>
            <w:shd w:val="clear" w:color="auto" w:fill="auto"/>
            <w:noWrap/>
            <w:vAlign w:val="bottom"/>
            <w:hideMark/>
          </w:tcPr>
          <w:p w14:paraId="7997F85F" w14:textId="25BC37AD"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157,664</w:t>
            </w:r>
          </w:p>
        </w:tc>
        <w:tc>
          <w:tcPr>
            <w:tcW w:w="625" w:type="pct"/>
            <w:tcBorders>
              <w:top w:val="nil"/>
              <w:left w:val="nil"/>
              <w:bottom w:val="nil"/>
              <w:right w:val="nil"/>
            </w:tcBorders>
            <w:shd w:val="clear" w:color="auto" w:fill="auto"/>
            <w:noWrap/>
            <w:vAlign w:val="bottom"/>
            <w:hideMark/>
          </w:tcPr>
          <w:p w14:paraId="56204487" w14:textId="40B0AA4F"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585,973</w:t>
            </w:r>
          </w:p>
        </w:tc>
        <w:tc>
          <w:tcPr>
            <w:tcW w:w="532" w:type="pct"/>
            <w:tcBorders>
              <w:top w:val="nil"/>
              <w:left w:val="nil"/>
              <w:bottom w:val="nil"/>
              <w:right w:val="nil"/>
            </w:tcBorders>
            <w:shd w:val="clear" w:color="auto" w:fill="auto"/>
            <w:noWrap/>
            <w:vAlign w:val="bottom"/>
            <w:hideMark/>
          </w:tcPr>
          <w:p w14:paraId="2EF1DE2A" w14:textId="548276F5"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186,126</w:t>
            </w:r>
          </w:p>
        </w:tc>
        <w:tc>
          <w:tcPr>
            <w:tcW w:w="636" w:type="pct"/>
            <w:tcBorders>
              <w:top w:val="nil"/>
              <w:left w:val="nil"/>
              <w:bottom w:val="nil"/>
              <w:right w:val="nil"/>
            </w:tcBorders>
            <w:shd w:val="clear" w:color="auto" w:fill="auto"/>
            <w:noWrap/>
            <w:vAlign w:val="bottom"/>
            <w:hideMark/>
          </w:tcPr>
          <w:p w14:paraId="0FE4B30C" w14:textId="2C1A822D"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4,477</w:t>
            </w:r>
          </w:p>
        </w:tc>
        <w:tc>
          <w:tcPr>
            <w:tcW w:w="603" w:type="pct"/>
            <w:tcBorders>
              <w:top w:val="nil"/>
              <w:left w:val="nil"/>
              <w:bottom w:val="nil"/>
              <w:right w:val="nil"/>
            </w:tcBorders>
            <w:shd w:val="clear" w:color="auto" w:fill="auto"/>
            <w:noWrap/>
            <w:vAlign w:val="bottom"/>
            <w:hideMark/>
          </w:tcPr>
          <w:p w14:paraId="53B59944" w14:textId="1000C4C7"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1,001,441</w:t>
            </w:r>
          </w:p>
        </w:tc>
      </w:tr>
      <w:tr w:rsidR="004B7B98" w:rsidRPr="002A338C" w14:paraId="57CD7846" w14:textId="77777777" w:rsidTr="00FB0D02">
        <w:trPr>
          <w:trHeight w:val="203"/>
        </w:trPr>
        <w:tc>
          <w:tcPr>
            <w:tcW w:w="1573" w:type="pct"/>
            <w:tcBorders>
              <w:top w:val="nil"/>
              <w:left w:val="nil"/>
              <w:bottom w:val="nil"/>
              <w:right w:val="nil"/>
            </w:tcBorders>
            <w:shd w:val="clear" w:color="auto" w:fill="auto"/>
            <w:vAlign w:val="bottom"/>
            <w:hideMark/>
          </w:tcPr>
          <w:p w14:paraId="533B2A00" w14:textId="77777777" w:rsidR="004B7B98" w:rsidRPr="002A338C" w:rsidRDefault="004B7B98" w:rsidP="004B7B98">
            <w:pPr>
              <w:spacing w:after="0" w:line="240" w:lineRule="auto"/>
              <w:ind w:left="113"/>
              <w:rPr>
                <w:rFonts w:ascii="Arial" w:hAnsi="Arial" w:cs="Arial"/>
                <w:sz w:val="16"/>
                <w:szCs w:val="16"/>
              </w:rPr>
            </w:pPr>
            <w:r w:rsidRPr="002A338C">
              <w:rPr>
                <w:rFonts w:ascii="Arial" w:hAnsi="Arial" w:cs="Arial"/>
                <w:sz w:val="16"/>
                <w:szCs w:val="16"/>
              </w:rPr>
              <w:t>Accumulated depreciation/ amortisation and impairment</w:t>
            </w:r>
          </w:p>
        </w:tc>
        <w:tc>
          <w:tcPr>
            <w:tcW w:w="469" w:type="pct"/>
            <w:tcBorders>
              <w:top w:val="nil"/>
              <w:left w:val="nil"/>
              <w:bottom w:val="nil"/>
              <w:right w:val="nil"/>
            </w:tcBorders>
            <w:shd w:val="clear" w:color="auto" w:fill="auto"/>
            <w:noWrap/>
            <w:vAlign w:val="bottom"/>
            <w:hideMark/>
          </w:tcPr>
          <w:p w14:paraId="1FC71FBD" w14:textId="0889C443"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3519520E" w14:textId="65FC4307"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(14,411)</w:t>
            </w:r>
          </w:p>
        </w:tc>
        <w:tc>
          <w:tcPr>
            <w:tcW w:w="625" w:type="pct"/>
            <w:tcBorders>
              <w:top w:val="nil"/>
              <w:left w:val="nil"/>
              <w:bottom w:val="nil"/>
              <w:right w:val="nil"/>
            </w:tcBorders>
            <w:shd w:val="clear" w:color="auto" w:fill="auto"/>
            <w:noWrap/>
            <w:vAlign w:val="bottom"/>
            <w:hideMark/>
          </w:tcPr>
          <w:p w14:paraId="276DA600" w14:textId="522BECB7"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(48,469)</w:t>
            </w:r>
          </w:p>
        </w:tc>
        <w:tc>
          <w:tcPr>
            <w:tcW w:w="532" w:type="pct"/>
            <w:tcBorders>
              <w:top w:val="nil"/>
              <w:left w:val="nil"/>
              <w:bottom w:val="nil"/>
              <w:right w:val="nil"/>
            </w:tcBorders>
            <w:shd w:val="clear" w:color="auto" w:fill="auto"/>
            <w:noWrap/>
            <w:vAlign w:val="bottom"/>
            <w:hideMark/>
          </w:tcPr>
          <w:p w14:paraId="34860958" w14:textId="78021F07"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(2,431)</w:t>
            </w:r>
          </w:p>
        </w:tc>
        <w:tc>
          <w:tcPr>
            <w:tcW w:w="636" w:type="pct"/>
            <w:tcBorders>
              <w:top w:val="nil"/>
              <w:left w:val="nil"/>
              <w:bottom w:val="nil"/>
              <w:right w:val="nil"/>
            </w:tcBorders>
            <w:shd w:val="clear" w:color="auto" w:fill="auto"/>
            <w:noWrap/>
            <w:vAlign w:val="bottom"/>
            <w:hideMark/>
          </w:tcPr>
          <w:p w14:paraId="1521496A" w14:textId="703D2845"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(70)</w:t>
            </w:r>
          </w:p>
        </w:tc>
        <w:tc>
          <w:tcPr>
            <w:tcW w:w="603" w:type="pct"/>
            <w:tcBorders>
              <w:top w:val="nil"/>
              <w:left w:val="nil"/>
              <w:bottom w:val="nil"/>
              <w:right w:val="nil"/>
            </w:tcBorders>
            <w:shd w:val="clear" w:color="auto" w:fill="auto"/>
            <w:noWrap/>
            <w:vAlign w:val="bottom"/>
            <w:hideMark/>
          </w:tcPr>
          <w:p w14:paraId="390A362F" w14:textId="05C665E3" w:rsidR="004B7B98" w:rsidRPr="002A338C" w:rsidRDefault="004B7B98" w:rsidP="004B7B98">
            <w:pPr>
              <w:spacing w:after="0" w:line="240" w:lineRule="auto"/>
              <w:jc w:val="right"/>
              <w:rPr>
                <w:rFonts w:ascii="Arial" w:hAnsi="Arial" w:cs="Arial"/>
                <w:sz w:val="16"/>
                <w:szCs w:val="16"/>
              </w:rPr>
            </w:pPr>
            <w:r>
              <w:rPr>
                <w:rFonts w:ascii="Arial" w:hAnsi="Arial" w:cs="Arial"/>
                <w:sz w:val="16"/>
                <w:szCs w:val="16"/>
              </w:rPr>
              <w:t>(65,381)</w:t>
            </w:r>
          </w:p>
        </w:tc>
      </w:tr>
      <w:tr w:rsidR="004B7B98" w:rsidRPr="002A338C" w14:paraId="5C04A55F" w14:textId="77777777" w:rsidTr="00FB0D02">
        <w:trPr>
          <w:trHeight w:val="203"/>
        </w:trPr>
        <w:tc>
          <w:tcPr>
            <w:tcW w:w="1573" w:type="pct"/>
            <w:tcBorders>
              <w:top w:val="nil"/>
              <w:left w:val="nil"/>
              <w:bottom w:val="single" w:sz="4" w:space="0" w:color="auto"/>
              <w:right w:val="nil"/>
            </w:tcBorders>
            <w:shd w:val="clear" w:color="auto" w:fill="auto"/>
            <w:noWrap/>
            <w:vAlign w:val="bottom"/>
            <w:hideMark/>
          </w:tcPr>
          <w:p w14:paraId="008BEF0C" w14:textId="77777777" w:rsidR="004B7B98" w:rsidRPr="002A338C" w:rsidRDefault="004B7B98" w:rsidP="004B7B98">
            <w:pPr>
              <w:spacing w:after="0" w:line="240" w:lineRule="auto"/>
              <w:rPr>
                <w:rFonts w:ascii="Arial" w:hAnsi="Arial" w:cs="Arial"/>
                <w:b/>
                <w:bCs/>
                <w:sz w:val="16"/>
                <w:szCs w:val="16"/>
              </w:rPr>
            </w:pPr>
            <w:r w:rsidRPr="002A338C">
              <w:rPr>
                <w:rFonts w:ascii="Arial" w:hAnsi="Arial" w:cs="Arial"/>
                <w:b/>
                <w:bCs/>
                <w:sz w:val="16"/>
                <w:szCs w:val="16"/>
              </w:rPr>
              <w:t>Closing net book balance</w:t>
            </w:r>
          </w:p>
        </w:tc>
        <w:tc>
          <w:tcPr>
            <w:tcW w:w="469" w:type="pct"/>
            <w:tcBorders>
              <w:top w:val="single" w:sz="4" w:space="0" w:color="auto"/>
              <w:left w:val="nil"/>
              <w:bottom w:val="single" w:sz="4" w:space="0" w:color="auto"/>
              <w:right w:val="nil"/>
            </w:tcBorders>
            <w:shd w:val="clear" w:color="auto" w:fill="auto"/>
            <w:noWrap/>
            <w:vAlign w:val="bottom"/>
            <w:hideMark/>
          </w:tcPr>
          <w:p w14:paraId="135E5C21" w14:textId="283AFA22"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67,201</w:t>
            </w:r>
          </w:p>
        </w:tc>
        <w:tc>
          <w:tcPr>
            <w:tcW w:w="562" w:type="pct"/>
            <w:tcBorders>
              <w:top w:val="single" w:sz="4" w:space="0" w:color="auto"/>
              <w:left w:val="nil"/>
              <w:bottom w:val="single" w:sz="4" w:space="0" w:color="auto"/>
              <w:right w:val="nil"/>
            </w:tcBorders>
            <w:shd w:val="clear" w:color="auto" w:fill="auto"/>
            <w:noWrap/>
            <w:vAlign w:val="bottom"/>
            <w:hideMark/>
          </w:tcPr>
          <w:p w14:paraId="26011D61" w14:textId="799AC23D"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143,253</w:t>
            </w:r>
          </w:p>
        </w:tc>
        <w:tc>
          <w:tcPr>
            <w:tcW w:w="625" w:type="pct"/>
            <w:tcBorders>
              <w:top w:val="single" w:sz="4" w:space="0" w:color="auto"/>
              <w:left w:val="nil"/>
              <w:bottom w:val="single" w:sz="4" w:space="0" w:color="auto"/>
              <w:right w:val="nil"/>
            </w:tcBorders>
            <w:shd w:val="clear" w:color="auto" w:fill="auto"/>
            <w:noWrap/>
            <w:vAlign w:val="bottom"/>
            <w:hideMark/>
          </w:tcPr>
          <w:p w14:paraId="13D0EAD8" w14:textId="411AA0D6"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537,504</w:t>
            </w:r>
          </w:p>
        </w:tc>
        <w:tc>
          <w:tcPr>
            <w:tcW w:w="532" w:type="pct"/>
            <w:tcBorders>
              <w:top w:val="single" w:sz="4" w:space="0" w:color="auto"/>
              <w:left w:val="nil"/>
              <w:bottom w:val="single" w:sz="4" w:space="0" w:color="auto"/>
              <w:right w:val="nil"/>
            </w:tcBorders>
            <w:shd w:val="clear" w:color="auto" w:fill="auto"/>
            <w:noWrap/>
            <w:vAlign w:val="bottom"/>
            <w:hideMark/>
          </w:tcPr>
          <w:p w14:paraId="50CE1F12" w14:textId="35990331"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183,695</w:t>
            </w:r>
          </w:p>
        </w:tc>
        <w:tc>
          <w:tcPr>
            <w:tcW w:w="636" w:type="pct"/>
            <w:tcBorders>
              <w:top w:val="single" w:sz="4" w:space="0" w:color="auto"/>
              <w:left w:val="nil"/>
              <w:bottom w:val="single" w:sz="4" w:space="0" w:color="auto"/>
              <w:right w:val="nil"/>
            </w:tcBorders>
            <w:shd w:val="clear" w:color="auto" w:fill="auto"/>
            <w:noWrap/>
            <w:vAlign w:val="bottom"/>
            <w:hideMark/>
          </w:tcPr>
          <w:p w14:paraId="0E8AD962" w14:textId="4A1C3349"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4,407</w:t>
            </w:r>
          </w:p>
        </w:tc>
        <w:tc>
          <w:tcPr>
            <w:tcW w:w="603" w:type="pct"/>
            <w:tcBorders>
              <w:top w:val="single" w:sz="4" w:space="0" w:color="auto"/>
              <w:left w:val="nil"/>
              <w:bottom w:val="single" w:sz="4" w:space="0" w:color="auto"/>
              <w:right w:val="nil"/>
            </w:tcBorders>
            <w:shd w:val="clear" w:color="auto" w:fill="auto"/>
            <w:noWrap/>
            <w:vAlign w:val="bottom"/>
            <w:hideMark/>
          </w:tcPr>
          <w:p w14:paraId="7FC24CAE" w14:textId="36E8521C" w:rsidR="004B7B98" w:rsidRPr="002A338C" w:rsidRDefault="004B7B98" w:rsidP="004B7B98">
            <w:pPr>
              <w:spacing w:after="0" w:line="240" w:lineRule="auto"/>
              <w:jc w:val="right"/>
              <w:rPr>
                <w:rFonts w:ascii="Arial" w:hAnsi="Arial" w:cs="Arial"/>
                <w:b/>
                <w:bCs/>
                <w:sz w:val="16"/>
                <w:szCs w:val="16"/>
              </w:rPr>
            </w:pPr>
            <w:r>
              <w:rPr>
                <w:rFonts w:ascii="Arial" w:hAnsi="Arial" w:cs="Arial"/>
                <w:b/>
                <w:bCs/>
                <w:sz w:val="16"/>
                <w:szCs w:val="16"/>
              </w:rPr>
              <w:t>936,060</w:t>
            </w:r>
          </w:p>
        </w:tc>
      </w:tr>
    </w:tbl>
    <w:p w14:paraId="39491896" w14:textId="77777777" w:rsidR="00115843" w:rsidRDefault="00115843" w:rsidP="00115843">
      <w:pPr>
        <w:pStyle w:val="ChartandTableFootnote"/>
        <w:spacing w:before="60"/>
      </w:pPr>
      <w:r w:rsidRPr="00B7521F">
        <w:t>Prepared on Australian Accounting Standards basis.</w:t>
      </w:r>
    </w:p>
    <w:p w14:paraId="272351B3" w14:textId="467E526C" w:rsidR="00562556" w:rsidRPr="00EE76C4" w:rsidRDefault="00115843" w:rsidP="00460288">
      <w:pPr>
        <w:pStyle w:val="ListParagraph"/>
        <w:numPr>
          <w:ilvl w:val="4"/>
          <w:numId w:val="177"/>
        </w:numPr>
        <w:spacing w:after="0" w:line="240" w:lineRule="auto"/>
        <w:ind w:left="426" w:hanging="426"/>
        <w:rPr>
          <w:rFonts w:ascii="Arial" w:hAnsi="Arial" w:cs="Arial"/>
          <w:sz w:val="16"/>
          <w:szCs w:val="16"/>
        </w:rPr>
        <w:sectPr w:rsidR="00562556" w:rsidRPr="00EE76C4" w:rsidSect="00EE76C4">
          <w:footerReference w:type="even" r:id="rId26"/>
          <w:footerReference w:type="default" r:id="rId27"/>
          <w:headerReference w:type="first" r:id="rId28"/>
          <w:footerReference w:type="first" r:id="rId29"/>
          <w:type w:val="oddPage"/>
          <w:pgSz w:w="11906" w:h="16838" w:code="9"/>
          <w:pgMar w:top="2438" w:right="2098" w:bottom="2438" w:left="2098" w:header="1814" w:footer="1814" w:gutter="0"/>
          <w:cols w:space="708"/>
          <w:titlePg/>
          <w:docGrid w:linePitch="360"/>
        </w:sectPr>
      </w:pPr>
      <w:r w:rsidRPr="00EE76C4">
        <w:rPr>
          <w:rFonts w:ascii="Arial" w:hAnsi="Arial" w:cs="Arial"/>
          <w:sz w:val="16"/>
          <w:szCs w:val="16"/>
        </w:rPr>
        <w:t>'Appropriation equity' refers to Administered Assets and Liabilities appropriations provided through Appropriation Bill (No. 2) 2022-23, including Collection Development Acquisition Budget.</w:t>
      </w:r>
    </w:p>
    <w:p w14:paraId="2AD73E73" w14:textId="716D1B64" w:rsidR="001C0F49" w:rsidRDefault="001C0F49" w:rsidP="00D7626B">
      <w:pPr>
        <w:pStyle w:val="BodyText"/>
        <w:spacing w:before="23"/>
        <w:rPr>
          <w:rFonts w:ascii="Arial" w:hAnsi="Arial" w:cs="Arial"/>
          <w:sz w:val="16"/>
          <w:szCs w:val="16"/>
        </w:rPr>
      </w:pPr>
    </w:p>
    <w:sectPr w:rsidR="001C0F49" w:rsidSect="00BA273A">
      <w:headerReference w:type="even" r:id="rId30"/>
      <w:headerReference w:type="default" r:id="rId31"/>
      <w:footerReference w:type="even" r:id="rId32"/>
      <w:footerReference w:type="default" r:id="rId33"/>
      <w:headerReference w:type="first" r:id="rId34"/>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F3A" w14:textId="080EB830" w:rsidR="005C752E" w:rsidRDefault="005C752E" w:rsidP="00FB0D02">
    <w:pPr>
      <w:pStyle w:val="Footer"/>
      <w:jc w:val="left"/>
      <w:rPr>
        <w:rStyle w:val="PageNumber"/>
        <w:sz w:val="18"/>
      </w:rPr>
    </w:pPr>
    <w:r w:rsidRPr="00BD494B">
      <w:rPr>
        <w:rStyle w:val="PageNumber"/>
        <w:sz w:val="18"/>
      </w:rPr>
      <w:fldChar w:fldCharType="begin"/>
    </w:r>
    <w:r w:rsidRPr="00BD494B">
      <w:rPr>
        <w:rStyle w:val="PageNumber"/>
        <w:sz w:val="18"/>
      </w:rPr>
      <w:instrText xml:space="preserve"> STYLEREF  "Heading 1"  \* MERGEFORMAT </w:instrText>
    </w:r>
    <w:r w:rsidRPr="00BD494B">
      <w:rPr>
        <w:rStyle w:val="PageNumber"/>
        <w:sz w:val="18"/>
      </w:rPr>
      <w:fldChar w:fldCharType="separate"/>
    </w:r>
    <w:r>
      <w:rPr>
        <w:rStyle w:val="PageNumber"/>
        <w:noProof/>
        <w:sz w:val="18"/>
      </w:rPr>
      <w:t>Department of Infrastructure, Transport, Regional Development, Communications and the Arts</w:t>
    </w:r>
    <w:r w:rsidRPr="00BD494B">
      <w:rPr>
        <w:rStyle w:val="PageNumber"/>
        <w:sz w:val="18"/>
      </w:rPr>
      <w:fldChar w:fldCharType="end"/>
    </w:r>
  </w:p>
  <w:p w14:paraId="100BB328" w14:textId="77777777" w:rsidR="005C752E" w:rsidRPr="00BD494B" w:rsidRDefault="005C752E" w:rsidP="00FB0D02">
    <w:pPr>
      <w:pStyle w:val="Footer"/>
      <w:jc w:val="left"/>
      <w:rPr>
        <w:sz w:val="18"/>
      </w:rPr>
    </w:pPr>
    <w:r w:rsidRPr="00BD494B">
      <w:rPr>
        <w:rStyle w:val="PageNumber"/>
        <w:b/>
        <w:bCs/>
        <w:sz w:val="18"/>
      </w:rPr>
      <w:t xml:space="preserve">Page </w:t>
    </w:r>
    <w:r w:rsidRPr="00BD494B">
      <w:rPr>
        <w:b/>
        <w:bCs/>
        <w:sz w:val="18"/>
      </w:rPr>
      <w:fldChar w:fldCharType="begin"/>
    </w:r>
    <w:r w:rsidRPr="00BD494B">
      <w:rPr>
        <w:b/>
        <w:bCs/>
        <w:sz w:val="18"/>
      </w:rPr>
      <w:instrText xml:space="preserve"> PAGE   \* MERGEFORMAT </w:instrText>
    </w:r>
    <w:r w:rsidRPr="00BD494B">
      <w:rPr>
        <w:b/>
        <w:bCs/>
        <w:sz w:val="18"/>
      </w:rPr>
      <w:fldChar w:fldCharType="separate"/>
    </w:r>
    <w:r>
      <w:rPr>
        <w:b/>
        <w:bCs/>
        <w:noProof/>
        <w:sz w:val="18"/>
      </w:rPr>
      <w:t>80</w:t>
    </w:r>
    <w:r w:rsidRPr="00BD494B">
      <w:rPr>
        <w:b/>
        <w:bCs/>
        <w:noProof/>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122A" w14:textId="2C2B2DA1" w:rsidR="005C752E" w:rsidRPr="004A16F1" w:rsidRDefault="005C752E" w:rsidP="00FB0D02">
    <w:pPr>
      <w:pStyle w:val="FooterOdd"/>
      <w:rPr>
        <w:rStyle w:val="PageNumber"/>
        <w:sz w:val="18"/>
      </w:rPr>
    </w:pPr>
    <w:r w:rsidRPr="004A16F1">
      <w:rPr>
        <w:rStyle w:val="PageNumber"/>
        <w:sz w:val="18"/>
      </w:rPr>
      <w:fldChar w:fldCharType="begin"/>
    </w:r>
    <w:r w:rsidRPr="004A16F1">
      <w:rPr>
        <w:rStyle w:val="PageNumber"/>
        <w:sz w:val="18"/>
      </w:rPr>
      <w:instrText xml:space="preserve"> STYLEREF  "Heading 1"  \* MERGEFORMAT </w:instrText>
    </w:r>
    <w:r w:rsidRPr="004A16F1">
      <w:rPr>
        <w:rStyle w:val="PageNumber"/>
        <w:sz w:val="18"/>
      </w:rPr>
      <w:fldChar w:fldCharType="separate"/>
    </w:r>
    <w:r w:rsidR="005615F4">
      <w:rPr>
        <w:rStyle w:val="PageNumber"/>
        <w:noProof/>
        <w:sz w:val="18"/>
      </w:rPr>
      <w:t>Department of Infrastructure, Transport, Regional Development, Communications and the Arts</w:t>
    </w:r>
    <w:r w:rsidRPr="004A16F1">
      <w:rPr>
        <w:rStyle w:val="PageNumber"/>
        <w:sz w:val="18"/>
      </w:rPr>
      <w:fldChar w:fldCharType="end"/>
    </w:r>
    <w:r w:rsidRPr="004A16F1">
      <w:rPr>
        <w:rStyle w:val="PageNumber"/>
        <w:sz w:val="18"/>
      </w:rPr>
      <w:t xml:space="preserve"> </w:t>
    </w:r>
    <w:r w:rsidRPr="004A16F1">
      <w:rPr>
        <w:rStyle w:val="PageNumber"/>
        <w:b/>
        <w:bCs/>
        <w:sz w:val="18"/>
      </w:rPr>
      <w:t xml:space="preserve">Page </w:t>
    </w:r>
    <w:r w:rsidRPr="004A16F1">
      <w:rPr>
        <w:rStyle w:val="PageNumber"/>
        <w:b/>
        <w:bCs/>
        <w:sz w:val="18"/>
      </w:rPr>
      <w:fldChar w:fldCharType="begin"/>
    </w:r>
    <w:r w:rsidRPr="004A16F1">
      <w:rPr>
        <w:rStyle w:val="PageNumber"/>
        <w:b/>
        <w:bCs/>
        <w:sz w:val="18"/>
      </w:rPr>
      <w:instrText xml:space="preserve"> PAGE  \* Arabic </w:instrText>
    </w:r>
    <w:r w:rsidRPr="004A16F1">
      <w:rPr>
        <w:rStyle w:val="PageNumber"/>
        <w:b/>
        <w:bCs/>
        <w:sz w:val="18"/>
      </w:rPr>
      <w:fldChar w:fldCharType="separate"/>
    </w:r>
    <w:r w:rsidRPr="004A16F1">
      <w:rPr>
        <w:rStyle w:val="PageNumber"/>
        <w:b/>
        <w:bCs/>
        <w:noProof/>
        <w:sz w:val="18"/>
      </w:rPr>
      <w:t>79</w:t>
    </w:r>
    <w:r w:rsidRPr="004A16F1">
      <w:rPr>
        <w:rStyle w:val="PageNumbe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BEAE" w14:textId="77777777" w:rsidR="005C752E" w:rsidRPr="00300A68" w:rsidRDefault="005C752E" w:rsidP="00FB0D02">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237B" w14:textId="77777777" w:rsidR="005C752E" w:rsidRPr="00300A68" w:rsidRDefault="005C752E" w:rsidP="00F7384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C683" w14:textId="60937595" w:rsidR="005C752E" w:rsidRPr="004A16F1" w:rsidRDefault="005C752E" w:rsidP="00FB0D02">
    <w:pPr>
      <w:pStyle w:val="FooterOdd"/>
      <w:jc w:val="left"/>
      <w:rPr>
        <w:sz w:val="16"/>
      </w:rPr>
    </w:pPr>
    <w:r w:rsidRPr="004A16F1">
      <w:rPr>
        <w:rStyle w:val="PageNumber"/>
        <w:sz w:val="18"/>
      </w:rPr>
      <w:fldChar w:fldCharType="begin"/>
    </w:r>
    <w:r w:rsidRPr="004A16F1">
      <w:rPr>
        <w:rStyle w:val="PageNumber"/>
        <w:sz w:val="18"/>
      </w:rPr>
      <w:instrText xml:space="preserve"> STYLEREF  "Heading 1"  \* MERGEFORMAT </w:instrText>
    </w:r>
    <w:r w:rsidRPr="004A16F1">
      <w:rPr>
        <w:rStyle w:val="PageNumber"/>
        <w:sz w:val="18"/>
      </w:rPr>
      <w:fldChar w:fldCharType="separate"/>
    </w:r>
    <w:r w:rsidR="005615F4">
      <w:rPr>
        <w:rStyle w:val="PageNumber"/>
        <w:noProof/>
        <w:sz w:val="18"/>
      </w:rPr>
      <w:t>Department of Infrastructure, Transport, Regional Development, Communications and the Arts</w:t>
    </w:r>
    <w:r w:rsidRPr="004A16F1">
      <w:rPr>
        <w:rStyle w:val="PageNumber"/>
        <w:sz w:val="18"/>
      </w:rPr>
      <w:fldChar w:fldCharType="end"/>
    </w:r>
    <w:r w:rsidRPr="004A16F1">
      <w:rPr>
        <w:rStyle w:val="PageNumber"/>
        <w:sz w:val="18"/>
      </w:rPr>
      <w:t xml:space="preserve"> </w:t>
    </w:r>
    <w:r w:rsidRPr="004A16F1">
      <w:rPr>
        <w:rStyle w:val="PageNumber"/>
        <w:b/>
        <w:bCs/>
        <w:sz w:val="18"/>
      </w:rPr>
      <w:t xml:space="preserve">Page </w:t>
    </w:r>
    <w:r w:rsidRPr="004A16F1">
      <w:rPr>
        <w:rStyle w:val="PageNumber"/>
        <w:b/>
        <w:bCs/>
        <w:sz w:val="18"/>
      </w:rPr>
      <w:fldChar w:fldCharType="begin"/>
    </w:r>
    <w:r w:rsidRPr="004A16F1">
      <w:rPr>
        <w:rStyle w:val="PageNumber"/>
        <w:b/>
        <w:bCs/>
        <w:sz w:val="18"/>
      </w:rPr>
      <w:instrText xml:space="preserve"> PAGE  \* Arabic </w:instrText>
    </w:r>
    <w:r w:rsidRPr="004A16F1">
      <w:rPr>
        <w:rStyle w:val="PageNumber"/>
        <w:b/>
        <w:bCs/>
        <w:sz w:val="18"/>
      </w:rPr>
      <w:fldChar w:fldCharType="separate"/>
    </w:r>
    <w:r w:rsidRPr="004A16F1">
      <w:rPr>
        <w:rStyle w:val="PageNumber"/>
        <w:b/>
        <w:bCs/>
        <w:sz w:val="18"/>
      </w:rPr>
      <w:t>5</w:t>
    </w:r>
    <w:r w:rsidRPr="004A16F1">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DDF2" w14:textId="3EBF1BD5" w:rsidR="005C752E" w:rsidRPr="00F73841" w:rsidRDefault="005C752E" w:rsidP="00F73841">
    <w:pPr>
      <w:pStyle w:val="FooterOdd"/>
      <w:rPr>
        <w:rFonts w:cs="Arial"/>
      </w:rPr>
    </w:pPr>
    <w:r w:rsidRPr="00B706C8">
      <w:rPr>
        <w:rStyle w:val="PageNumber"/>
        <w:sz w:val="18"/>
      </w:rPr>
      <w:fldChar w:fldCharType="begin"/>
    </w:r>
    <w:r w:rsidRPr="00B706C8">
      <w:rPr>
        <w:rStyle w:val="PageNumber"/>
        <w:sz w:val="18"/>
      </w:rPr>
      <w:instrText xml:space="preserve"> STYLEREF  "Heading 1"  \* MERGEFORMAT </w:instrText>
    </w:r>
    <w:r w:rsidRPr="00B706C8">
      <w:rPr>
        <w:rStyle w:val="PageNumber"/>
        <w:sz w:val="18"/>
      </w:rPr>
      <w:fldChar w:fldCharType="separate"/>
    </w:r>
    <w:r w:rsidR="005615F4">
      <w:rPr>
        <w:rStyle w:val="PageNumber"/>
        <w:noProof/>
        <w:sz w:val="18"/>
      </w:rPr>
      <w:t>Department of Infrastructure, Transport, Regional Development, Communications and the Arts</w:t>
    </w:r>
    <w:r w:rsidRPr="00B706C8">
      <w:rPr>
        <w:rStyle w:val="PageNumber"/>
        <w:sz w:val="18"/>
      </w:rPr>
      <w:fldChar w:fldCharType="end"/>
    </w:r>
    <w:r w:rsidRPr="00B706C8">
      <w:rPr>
        <w:rStyle w:val="PageNumber"/>
        <w:sz w:val="18"/>
      </w:rPr>
      <w:t xml:space="preserve"> </w:t>
    </w:r>
    <w:r w:rsidRPr="00B706C8">
      <w:rPr>
        <w:rStyle w:val="PageNumber"/>
        <w:b/>
        <w:bCs/>
        <w:sz w:val="18"/>
      </w:rPr>
      <w:t xml:space="preserve">Page </w:t>
    </w:r>
    <w:r w:rsidRPr="00B706C8">
      <w:rPr>
        <w:rStyle w:val="PageNumber"/>
        <w:b/>
        <w:bCs/>
        <w:sz w:val="18"/>
      </w:rPr>
      <w:fldChar w:fldCharType="begin"/>
    </w:r>
    <w:r w:rsidRPr="00B706C8">
      <w:rPr>
        <w:rStyle w:val="PageNumber"/>
        <w:b/>
        <w:bCs/>
        <w:sz w:val="18"/>
      </w:rPr>
      <w:instrText xml:space="preserve"> PAGE  \* Arabic </w:instrText>
    </w:r>
    <w:r w:rsidRPr="00B706C8">
      <w:rPr>
        <w:rStyle w:val="PageNumber"/>
        <w:b/>
        <w:bCs/>
        <w:sz w:val="18"/>
      </w:rPr>
      <w:fldChar w:fldCharType="separate"/>
    </w:r>
    <w:r w:rsidRPr="00B706C8">
      <w:rPr>
        <w:rStyle w:val="PageNumber"/>
        <w:b/>
        <w:bCs/>
        <w:noProof/>
        <w:sz w:val="18"/>
      </w:rPr>
      <w:t>5</w:t>
    </w:r>
    <w:r w:rsidRPr="00B706C8">
      <w:rPr>
        <w:rStyle w:val="PageNumber"/>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3C27" w14:textId="15CD09A9" w:rsidR="005C752E" w:rsidRPr="005615F4" w:rsidRDefault="005C752E" w:rsidP="005615F4">
    <w:pPr>
      <w:pStyle w:val="FooterOdd"/>
      <w:jc w:val="left"/>
      <w:rPr>
        <w:sz w:val="16"/>
      </w:rPr>
    </w:pPr>
    <w:r w:rsidRPr="004A16F1">
      <w:rPr>
        <w:rStyle w:val="PageNumber"/>
        <w:sz w:val="18"/>
      </w:rPr>
      <w:fldChar w:fldCharType="begin"/>
    </w:r>
    <w:r w:rsidRPr="004A16F1">
      <w:rPr>
        <w:rStyle w:val="PageNumber"/>
        <w:sz w:val="18"/>
      </w:rPr>
      <w:instrText xml:space="preserve"> STYLEREF  "Heading 1"  \* MERGEFORMAT </w:instrText>
    </w:r>
    <w:r w:rsidRPr="004A16F1">
      <w:rPr>
        <w:rStyle w:val="PageNumber"/>
        <w:sz w:val="18"/>
      </w:rPr>
      <w:fldChar w:fldCharType="separate"/>
    </w:r>
    <w:r w:rsidR="005615F4">
      <w:rPr>
        <w:rStyle w:val="PageNumber"/>
        <w:noProof/>
        <w:sz w:val="18"/>
      </w:rPr>
      <w:t>Department of Infrastructure, Transport, Regional Development, Communications and the Arts</w:t>
    </w:r>
    <w:r w:rsidRPr="004A16F1">
      <w:rPr>
        <w:rStyle w:val="PageNumber"/>
        <w:sz w:val="18"/>
      </w:rPr>
      <w:fldChar w:fldCharType="end"/>
    </w:r>
    <w:r w:rsidRPr="004A16F1">
      <w:rPr>
        <w:rStyle w:val="PageNumber"/>
        <w:sz w:val="18"/>
      </w:rPr>
      <w:t xml:space="preserve"> </w:t>
    </w:r>
    <w:r w:rsidRPr="004A16F1">
      <w:rPr>
        <w:rStyle w:val="PageNumber"/>
        <w:b/>
        <w:bCs/>
        <w:sz w:val="18"/>
      </w:rPr>
      <w:t xml:space="preserve">Page </w:t>
    </w:r>
    <w:r w:rsidRPr="004A16F1">
      <w:rPr>
        <w:rStyle w:val="PageNumber"/>
        <w:b/>
        <w:bCs/>
        <w:sz w:val="18"/>
      </w:rPr>
      <w:fldChar w:fldCharType="begin"/>
    </w:r>
    <w:r w:rsidRPr="004A16F1">
      <w:rPr>
        <w:rStyle w:val="PageNumber"/>
        <w:b/>
        <w:bCs/>
        <w:sz w:val="18"/>
      </w:rPr>
      <w:instrText xml:space="preserve"> PAGE  \* Arabic </w:instrText>
    </w:r>
    <w:r w:rsidRPr="004A16F1">
      <w:rPr>
        <w:rStyle w:val="PageNumber"/>
        <w:b/>
        <w:bCs/>
        <w:sz w:val="18"/>
      </w:rPr>
      <w:fldChar w:fldCharType="separate"/>
    </w:r>
    <w:r>
      <w:rPr>
        <w:rStyle w:val="PageNumber"/>
        <w:b/>
        <w:bCs/>
        <w:sz w:val="18"/>
      </w:rPr>
      <w:t>100</w:t>
    </w:r>
    <w:r w:rsidRPr="004A16F1">
      <w:rPr>
        <w:rStyle w:val="PageNumber"/>
        <w:b/>
        <w:bCs/>
        <w:sz w:val="18"/>
      </w:rPr>
      <w:fldChar w:fldCharType="end"/>
    </w:r>
    <w:bookmarkStart w:id="51" w:name="_GoBack"/>
    <w:bookmarkEnd w:id="51"/>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E1F6" w14:textId="5B5BE636" w:rsidR="005C752E" w:rsidRDefault="005C752E" w:rsidP="00274808">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5615F4">
      <w:rPr>
        <w:rStyle w:val="PageNumber"/>
        <w:rFonts w:cs="Times New Roman"/>
        <w:noProof/>
        <w:sz w:val="18"/>
      </w:rPr>
      <w:t>Department of Infrastructure, Transport, Regional Development, Communications and the Arts</w:t>
    </w:r>
    <w:r>
      <w:rPr>
        <w:rStyle w:val="PageNumber"/>
        <w:rFonts w:cs="Times New Roman"/>
        <w:sz w:val="18"/>
      </w:rPr>
      <w:fldChar w:fldCharType="end"/>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11</w:t>
    </w:r>
    <w:r w:rsidRPr="00B628E8">
      <w:rPr>
        <w:rStyle w:val="PageNumber"/>
        <w:rFonts w:cs="Times New Roman"/>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03B2" w14:textId="5532F0C1" w:rsidR="005C752E" w:rsidRPr="005615F4" w:rsidRDefault="005C752E" w:rsidP="005615F4">
    <w:pPr>
      <w:pStyle w:val="FooterOdd"/>
      <w:rPr>
        <w:rFonts w:cs="Arial"/>
      </w:rPr>
    </w:pPr>
    <w:r w:rsidRPr="004A16F1">
      <w:rPr>
        <w:rStyle w:val="PageNumber"/>
        <w:sz w:val="18"/>
      </w:rPr>
      <w:fldChar w:fldCharType="begin"/>
    </w:r>
    <w:r w:rsidRPr="004A16F1">
      <w:rPr>
        <w:rStyle w:val="PageNumber"/>
        <w:sz w:val="18"/>
      </w:rPr>
      <w:instrText xml:space="preserve"> STYLEREF  "Heading 1"  \* MERGEFORMAT </w:instrText>
    </w:r>
    <w:r w:rsidRPr="004A16F1">
      <w:rPr>
        <w:rStyle w:val="PageNumber"/>
        <w:sz w:val="18"/>
      </w:rPr>
      <w:fldChar w:fldCharType="separate"/>
    </w:r>
    <w:r w:rsidR="005615F4">
      <w:rPr>
        <w:rStyle w:val="PageNumber"/>
        <w:noProof/>
        <w:sz w:val="18"/>
      </w:rPr>
      <w:t>Department of Infrastructure, Transport, Regional Development, Communications and the Arts</w:t>
    </w:r>
    <w:r w:rsidRPr="004A16F1">
      <w:rPr>
        <w:rStyle w:val="PageNumber"/>
        <w:sz w:val="18"/>
      </w:rPr>
      <w:fldChar w:fldCharType="end"/>
    </w:r>
    <w:r w:rsidRPr="004A16F1">
      <w:rPr>
        <w:rStyle w:val="PageNumber"/>
        <w:sz w:val="18"/>
      </w:rPr>
      <w:t xml:space="preserve"> </w:t>
    </w:r>
    <w:r w:rsidRPr="004A16F1">
      <w:rPr>
        <w:rStyle w:val="PageNumber"/>
        <w:b/>
        <w:bCs/>
        <w:sz w:val="18"/>
      </w:rPr>
      <w:t xml:space="preserve">Page </w:t>
    </w:r>
    <w:r w:rsidRPr="004A16F1">
      <w:rPr>
        <w:rStyle w:val="PageNumber"/>
        <w:b/>
        <w:bCs/>
        <w:sz w:val="18"/>
      </w:rPr>
      <w:fldChar w:fldCharType="begin"/>
    </w:r>
    <w:r w:rsidRPr="004A16F1">
      <w:rPr>
        <w:rStyle w:val="PageNumber"/>
        <w:b/>
        <w:bCs/>
        <w:sz w:val="18"/>
      </w:rPr>
      <w:instrText xml:space="preserve"> PAGE  \* Arabic </w:instrText>
    </w:r>
    <w:r w:rsidRPr="004A16F1">
      <w:rPr>
        <w:rStyle w:val="PageNumber"/>
        <w:b/>
        <w:bCs/>
        <w:sz w:val="18"/>
      </w:rPr>
      <w:fldChar w:fldCharType="separate"/>
    </w:r>
    <w:r>
      <w:rPr>
        <w:rStyle w:val="PageNumber"/>
        <w:b/>
        <w:bCs/>
        <w:sz w:val="18"/>
      </w:rPr>
      <w:t>99</w:t>
    </w:r>
    <w:r w:rsidRPr="004A16F1">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A8F2" w14:textId="77777777" w:rsidR="005C752E" w:rsidRPr="00850462" w:rsidRDefault="005C752E" w:rsidP="00901F73">
    <w:pPr>
      <w:framePr w:w="289" w:h="7663" w:hRule="exact" w:wrap="around" w:vAnchor="page" w:hAnchor="page" w:x="14646" w:y="2093" w:anchorLock="1"/>
      <w:spacing w:line="276" w:lineRule="auto"/>
      <w:textDirection w:val="tbRl"/>
      <w:rPr>
        <w:rStyle w:val="FramedHeader"/>
      </w:rPr>
    </w:pPr>
    <w:r w:rsidRPr="00850462">
      <w:rPr>
        <w:rStyle w:val="FramedHeader"/>
      </w:rPr>
      <w:t xml:space="preserve"> [</w:t>
    </w:r>
    <w:r w:rsidRPr="00850462">
      <w:rPr>
        <w:rStyle w:val="FramedHeader"/>
      </w:rPr>
      <w:fldChar w:fldCharType="begin"/>
    </w:r>
    <w:r w:rsidRPr="00850462">
      <w:rPr>
        <w:rStyle w:val="FramedHeader"/>
      </w:rPr>
      <w:instrText xml:space="preserve"> MACROBUTTON  AcceptAllChangesInDoc Department abbreviation </w:instrText>
    </w:r>
    <w:r w:rsidRPr="00850462">
      <w:rPr>
        <w:rStyle w:val="FramedHeader"/>
      </w:rPr>
      <w:fldChar w:fldCharType="end"/>
    </w:r>
    <w:r w:rsidRPr="00850462">
      <w:rPr>
        <w:rStyle w:val="FramedHeader"/>
      </w:rPr>
      <w:t xml:space="preserve">] Budget Statements </w:t>
    </w:r>
  </w:p>
  <w:p w14:paraId="11CC27C7" w14:textId="77777777" w:rsidR="005C752E" w:rsidRDefault="005C752E" w:rsidP="00FB0D02">
    <w:pPr>
      <w:pStyle w:val="HeaderEven"/>
      <w:spacing w:after="240" w:line="260" w:lineRule="exact"/>
      <w:ind w:left="-113"/>
    </w:pPr>
    <w:bookmarkStart w:id="2" w:name="_Hlk117071376"/>
    <w:bookmarkStart w:id="3" w:name="_Hlk117071377"/>
    <w:r w:rsidRPr="00434130">
      <w:rPr>
        <w:noProof/>
        <w:position w:val="-6"/>
      </w:rPr>
      <w:drawing>
        <wp:inline distT="0" distB="0" distL="0" distR="0" wp14:anchorId="0C7041BF" wp14:editId="4996E66C">
          <wp:extent cx="1352550" cy="171450"/>
          <wp:effectExtent l="0" t="0" r="0" b="0"/>
          <wp:docPr id="9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D976" w14:textId="77777777" w:rsidR="005C752E" w:rsidRDefault="005C752E" w:rsidP="00FB0D02">
    <w:pPr>
      <w:pStyle w:val="HeaderOdd"/>
      <w:spacing w:after="240" w:line="260" w:lineRule="exact"/>
    </w:pPr>
    <w:r w:rsidRPr="00434130">
      <w:t xml:space="preserve">Portfolio Budget Statements  |  </w:t>
    </w:r>
    <w:r w:rsidRPr="00434130">
      <w:rPr>
        <w:noProof/>
        <w:position w:val="-6"/>
      </w:rPr>
      <w:drawing>
        <wp:inline distT="0" distB="0" distL="0" distR="0" wp14:anchorId="3D129341" wp14:editId="0CA7EC2C">
          <wp:extent cx="1352550" cy="171450"/>
          <wp:effectExtent l="0" t="0" r="0" b="0"/>
          <wp:docPr id="9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ECC0" w14:textId="77777777" w:rsidR="005C752E" w:rsidRPr="002F2256" w:rsidRDefault="005C752E" w:rsidP="00FB0D0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E203" w14:textId="77777777" w:rsidR="005C752E" w:rsidRPr="002F2256" w:rsidRDefault="005C752E" w:rsidP="00FB0D0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CDAE" w14:textId="77777777" w:rsidR="005C752E" w:rsidRPr="00F73841" w:rsidRDefault="005C752E" w:rsidP="00FB0D02">
    <w:pPr>
      <w:pStyle w:val="Header"/>
      <w:jc w:val="right"/>
      <w:rPr>
        <w:rFonts w:ascii="Arial" w:hAnsi="Arial" w:cs="Arial"/>
        <w:sz w:val="18"/>
        <w:szCs w:val="18"/>
      </w:rPr>
    </w:pPr>
    <w:bookmarkStart w:id="48" w:name="_Hlk117071304"/>
    <w:bookmarkStart w:id="49" w:name="_Hlk117071305"/>
    <w:r w:rsidRPr="00F73841">
      <w:rPr>
        <w:rFonts w:ascii="Arial" w:hAnsi="Arial" w:cs="Arial"/>
        <w:i w:val="0"/>
        <w:sz w:val="18"/>
        <w:szCs w:val="18"/>
      </w:rPr>
      <w:t>Portfolio Budget Statements</w:t>
    </w:r>
    <w:r w:rsidRPr="00F73841">
      <w:rPr>
        <w:rFonts w:ascii="Arial" w:hAnsi="Arial" w:cs="Arial"/>
        <w:sz w:val="18"/>
        <w:szCs w:val="18"/>
      </w:rPr>
      <w:t xml:space="preserve">  |  </w:t>
    </w:r>
    <w:r w:rsidRPr="00F73841">
      <w:rPr>
        <w:rFonts w:ascii="Arial" w:hAnsi="Arial" w:cs="Arial"/>
        <w:noProof/>
        <w:position w:val="-6"/>
        <w:sz w:val="18"/>
        <w:szCs w:val="18"/>
      </w:rPr>
      <w:drawing>
        <wp:inline distT="0" distB="0" distL="0" distR="0" wp14:anchorId="211C195F" wp14:editId="4E060CA1">
          <wp:extent cx="1352550" cy="171450"/>
          <wp:effectExtent l="0" t="0" r="0" b="0"/>
          <wp:docPr id="9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bookmarkEnd w:id="48"/>
    <w:bookmarkEnd w:id="4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EAE3" w14:textId="0C3B1D05" w:rsidR="005C752E" w:rsidRPr="003C13F4" w:rsidRDefault="005C752E" w:rsidP="003C13F4">
    <w:pPr>
      <w:pStyle w:val="HeaderOdd"/>
      <w:spacing w:after="240" w:line="260" w:lineRule="exact"/>
    </w:pPr>
    <w:r w:rsidRPr="00434130">
      <w:t xml:space="preserve">Portfolio Budget Statements  |  </w:t>
    </w:r>
    <w:r w:rsidRPr="00434130">
      <w:rPr>
        <w:noProof/>
        <w:position w:val="-6"/>
      </w:rPr>
      <w:drawing>
        <wp:inline distT="0" distB="0" distL="0" distR="0" wp14:anchorId="348BDEAC" wp14:editId="74EA3F34">
          <wp:extent cx="1352550" cy="171450"/>
          <wp:effectExtent l="0" t="0" r="0" b="0"/>
          <wp:docPr id="10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15F4"/>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investment.infrastructure.gov.au/files/roads_to_recovery_funding_conditions/R2R_Funding" TargetMode="Externa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7f038680-7400-4805-8f95-861f74a21749"/>
    <ds:schemaRef ds:uri="http://schemas.microsoft.com/sharepoint/v3"/>
    <ds:schemaRef ds:uri="82ff9d9b-d3fc-4aad-bc42-9949ee83b815"/>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406043E3-CD85-432D-9578-E9727542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23395</Words>
  <Characters>144617</Characters>
  <Application>Microsoft Office Word</Application>
  <DocSecurity>0</DocSecurity>
  <Lines>1205</Lines>
  <Paragraphs>335</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2022-10-24T00:40:00Z</dcterms:created>
  <dcterms:modified xsi:type="dcterms:W3CDTF">2022-10-24T02:30:00Z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