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96AD4" w14:textId="77777777" w:rsidR="00B977C2" w:rsidRPr="00A672DC" w:rsidDel="00966677" w:rsidRDefault="00B977C2" w:rsidP="00B977C2">
      <w:pPr>
        <w:spacing w:before="0" w:after="0"/>
        <w:rPr>
          <w:i/>
          <w:iCs/>
        </w:rPr>
      </w:pPr>
      <w:bookmarkStart w:id="0" w:name="_Hlk150152067"/>
      <w:bookmarkStart w:id="1" w:name="_Hlk199857235"/>
      <w:bookmarkStart w:id="2" w:name="_Hlk199857120"/>
    </w:p>
    <w:bookmarkEnd w:id="1"/>
    <w:bookmarkEnd w:id="2"/>
    <w:p w14:paraId="5833FE3D" w14:textId="77777777" w:rsidR="00B977C2" w:rsidRPr="00BE3AD8" w:rsidRDefault="00B977C2" w:rsidP="00B977C2">
      <w:pPr>
        <w:pStyle w:val="Title"/>
        <w:spacing w:before="0"/>
        <w:ind w:hanging="142"/>
      </w:pPr>
      <w:r w:rsidRPr="008F1EA1">
        <w:rPr>
          <w:color w:val="auto"/>
        </w:rPr>
        <w:t xml:space="preserve"> </w:t>
      </w:r>
      <w:sdt>
        <w:sdtPr>
          <w:rPr>
            <w:rFonts w:cstheme="majorBidi"/>
            <w:color w:val="auto"/>
            <w:sz w:val="52"/>
          </w:rPr>
          <w:alias w:val="Title"/>
          <w:tag w:val=""/>
          <w:id w:val="1259954916"/>
          <w:placeholder>
            <w:docPart w:val="EB13F5C446DC442FA35EB4A7025673E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B977C2">
            <w:rPr>
              <w:rFonts w:cstheme="majorBidi"/>
              <w:color w:val="auto"/>
              <w:sz w:val="52"/>
            </w:rPr>
            <w:t>NVES numerical precision and calculations</w:t>
          </w:r>
        </w:sdtContent>
      </w:sdt>
    </w:p>
    <w:p w14:paraId="5DAD3EFA" w14:textId="77777777" w:rsidR="00B977C2" w:rsidRPr="002773D1" w:rsidRDefault="00B977C2" w:rsidP="00B977C2">
      <w:pPr>
        <w:pStyle w:val="Subtitle"/>
      </w:pPr>
      <w:r>
        <w:t>Guidance note</w:t>
      </w:r>
    </w:p>
    <w:p w14:paraId="5A55EE56" w14:textId="77777777" w:rsidR="00B977C2" w:rsidRDefault="00B977C2" w:rsidP="00B977C2">
      <w:pPr>
        <w:pBdr>
          <w:bottom w:val="single" w:sz="4" w:space="1" w:color="C0D48F" w:themeColor="accent5"/>
        </w:pBdr>
      </w:pPr>
    </w:p>
    <w:p w14:paraId="2DA53A33" w14:textId="77777777" w:rsidR="00B977C2" w:rsidRDefault="00B977C2" w:rsidP="00B977C2">
      <w:pPr>
        <w:pStyle w:val="Heading1"/>
        <w:spacing w:line="276" w:lineRule="auto"/>
      </w:pPr>
      <w:r>
        <w:t>About this document</w:t>
      </w:r>
    </w:p>
    <w:p w14:paraId="36B69204" w14:textId="77777777" w:rsidR="00B977C2" w:rsidRDefault="00B977C2" w:rsidP="00B977C2">
      <w:pPr>
        <w:spacing w:line="276" w:lineRule="auto"/>
      </w:pPr>
      <w:r w:rsidRPr="0059062F">
        <w:t>This guidance note</w:t>
      </w:r>
      <w:r>
        <w:t xml:space="preserve"> covers</w:t>
      </w:r>
      <w:r w:rsidRPr="0059062F">
        <w:t xml:space="preserve"> the numerical precision </w:t>
      </w:r>
      <w:r>
        <w:t xml:space="preserve">for </w:t>
      </w:r>
      <w:r w:rsidRPr="0059062F">
        <w:t>input</w:t>
      </w:r>
      <w:r>
        <w:t>s</w:t>
      </w:r>
      <w:r w:rsidRPr="0059062F">
        <w:t xml:space="preserve"> </w:t>
      </w:r>
      <w:r>
        <w:t xml:space="preserve">for the </w:t>
      </w:r>
      <w:r w:rsidRPr="0059062F">
        <w:t>Interim Emissions Value (IEV) and Final Emissions Value (FEV)</w:t>
      </w:r>
      <w:r>
        <w:t xml:space="preserve"> calculations used in administering the New Vehicle Efficiency Standard (NVES). It also provides worked examples demonstrating how to apply the calculations.</w:t>
      </w:r>
    </w:p>
    <w:p w14:paraId="150C74FA" w14:textId="77777777" w:rsidR="00B977C2" w:rsidRDefault="00B977C2" w:rsidP="00B977C2">
      <w:pPr>
        <w:pStyle w:val="Heading2"/>
        <w:spacing w:line="276" w:lineRule="auto"/>
        <w:rPr>
          <w:rFonts w:eastAsia="Calibri"/>
          <w:w w:val="95"/>
          <w:lang w:val="en-US"/>
        </w:rPr>
      </w:pPr>
      <w:r>
        <w:rPr>
          <w:rFonts w:eastAsia="Calibri"/>
          <w:w w:val="95"/>
          <w:lang w:val="en-US"/>
        </w:rPr>
        <w:t>Why specify numerical precision?</w:t>
      </w:r>
    </w:p>
    <w:p w14:paraId="19F06647" w14:textId="77777777" w:rsidR="00B977C2" w:rsidRDefault="00B977C2" w:rsidP="00B977C2">
      <w:pPr>
        <w:spacing w:line="276" w:lineRule="auto"/>
      </w:pPr>
      <w:r>
        <w:t xml:space="preserve">The NVES Regulator determines a regulated entity’s IEV and FEV as required under the </w:t>
      </w:r>
      <w:hyperlink r:id="rId11" w:history="1">
        <w:r w:rsidRPr="55885D07">
          <w:rPr>
            <w:rStyle w:val="Hyperlink"/>
            <w:i/>
            <w:iCs/>
          </w:rPr>
          <w:t>New Vehicle Efficiency Standard Act 2024</w:t>
        </w:r>
      </w:hyperlink>
      <w:r>
        <w:t xml:space="preserve"> (NVES Act). Although sections 18, 19 and 21 of the NVES Act provide formulas and a detailed explanation of calculation inputs for the FEV, IEV and emissions target, this document provides clarification on precision.</w:t>
      </w:r>
    </w:p>
    <w:p w14:paraId="369061E6" w14:textId="77777777" w:rsidR="00B977C2" w:rsidRDefault="00B977C2" w:rsidP="00B977C2">
      <w:pPr>
        <w:spacing w:line="276" w:lineRule="auto"/>
      </w:pPr>
      <w:r>
        <w:t>Specifying the numerical precision associated with these calculations helps to:</w:t>
      </w:r>
    </w:p>
    <w:p w14:paraId="5C087F8E" w14:textId="77777777" w:rsidR="00B977C2" w:rsidRPr="00A672DC" w:rsidRDefault="00B977C2" w:rsidP="00B977C2">
      <w:pPr>
        <w:pStyle w:val="Bullet1"/>
        <w:spacing w:line="276" w:lineRule="auto"/>
      </w:pPr>
      <w:r w:rsidRPr="00A672DC">
        <w:t>provide transparency over IEV and FEV results determined by the NVES Regulator</w:t>
      </w:r>
    </w:p>
    <w:p w14:paraId="4D1263F8" w14:textId="77777777" w:rsidR="00B977C2" w:rsidRDefault="00B977C2" w:rsidP="00B977C2">
      <w:pPr>
        <w:pStyle w:val="Bullet1"/>
        <w:spacing w:line="276" w:lineRule="auto"/>
      </w:pPr>
      <w:r w:rsidRPr="00A672DC">
        <w:t xml:space="preserve">encourage consistent calculations between the NVES Regulator, regulated entities, and other parties (for example, </w:t>
      </w:r>
      <w:r>
        <w:rPr>
          <w:lang w:val="en-AU"/>
        </w:rPr>
        <w:t xml:space="preserve">to </w:t>
      </w:r>
      <w:r w:rsidRPr="00A672DC">
        <w:t xml:space="preserve">prevent use of different significant figures and rounding methods). </w:t>
      </w:r>
    </w:p>
    <w:p w14:paraId="559204D3" w14:textId="77777777" w:rsidR="00B977C2" w:rsidRDefault="00B977C2" w:rsidP="00B977C2">
      <w:pPr>
        <w:suppressAutoHyphens w:val="0"/>
        <w:spacing w:line="276" w:lineRule="auto"/>
        <w:rPr>
          <w:rFonts w:asciiTheme="majorHAnsi" w:eastAsia="Calibri" w:hAnsiTheme="majorHAnsi" w:cstheme="majorBidi"/>
          <w:color w:val="05232F"/>
          <w:w w:val="95"/>
          <w:sz w:val="36"/>
          <w:szCs w:val="26"/>
          <w:lang w:val="en-US"/>
        </w:rPr>
      </w:pPr>
      <w:r>
        <w:rPr>
          <w:rFonts w:eastAsia="Calibri"/>
          <w:w w:val="95"/>
          <w:lang w:val="en-US"/>
        </w:rPr>
        <w:br w:type="page"/>
      </w:r>
    </w:p>
    <w:p w14:paraId="5DCFE36C" w14:textId="77777777" w:rsidR="00B977C2" w:rsidRDefault="00B977C2" w:rsidP="00B977C2">
      <w:pPr>
        <w:pStyle w:val="Heading2"/>
        <w:spacing w:line="276" w:lineRule="auto"/>
        <w:rPr>
          <w:rFonts w:eastAsia="Calibri"/>
          <w:w w:val="95"/>
          <w:lang w:val="en-US"/>
        </w:rPr>
      </w:pPr>
      <w:r>
        <w:rPr>
          <w:rFonts w:eastAsia="Calibri"/>
          <w:w w:val="95"/>
          <w:lang w:val="en-US"/>
        </w:rPr>
        <w:t>What are the IEV and FEV calculation inputs?</w:t>
      </w:r>
    </w:p>
    <w:p w14:paraId="0B549F19" w14:textId="77777777" w:rsidR="00B977C2" w:rsidRDefault="00B977C2" w:rsidP="00B977C2">
      <w:pPr>
        <w:spacing w:line="276" w:lineRule="auto"/>
      </w:pPr>
      <w:r>
        <w:t>The IEV is a measure of how a regulated entity has performed against its emissions targets for a given year. The emissions number (measured in gCO</w:t>
      </w:r>
      <w:r w:rsidRPr="00A672DC">
        <w:rPr>
          <w:vertAlign w:val="subscript"/>
        </w:rPr>
        <w:t>2</w:t>
      </w:r>
      <w:r>
        <w:t xml:space="preserve">/km) of each covered vehicle is compared to the vehicle’s emissions target, which is calculated using </w:t>
      </w:r>
      <w:r w:rsidRPr="00A672DC">
        <w:rPr>
          <w:b/>
          <w:bCs/>
        </w:rPr>
        <w:t>Equation 1</w:t>
      </w:r>
      <w:r>
        <w:t xml:space="preserve">. The IEV is the sum of these differences, as shown in </w:t>
      </w:r>
      <w:r w:rsidRPr="008F1EA1">
        <w:rPr>
          <w:b/>
          <w:bCs/>
        </w:rPr>
        <w:t>Equation 2</w:t>
      </w:r>
      <w:r>
        <w:t>.</w:t>
      </w:r>
    </w:p>
    <w:p w14:paraId="48683508" w14:textId="77777777" w:rsidR="00B977C2" w:rsidRDefault="00B977C2" w:rsidP="00B977C2">
      <w:pPr>
        <w:spacing w:line="276" w:lineRule="auto"/>
        <w:rPr>
          <w:noProof/>
        </w:rPr>
      </w:pPr>
      <w:r>
        <w:t xml:space="preserve">The FEV is issued 2 years after the IEV for a given year and is calculated by subtracting the number of units extinguished to reduce their FEV from the entity’s IEV, as shown at </w:t>
      </w:r>
      <w:r w:rsidRPr="008F1EA1">
        <w:rPr>
          <w:b/>
          <w:bCs/>
        </w:rPr>
        <w:t>Equation 3.</w:t>
      </w:r>
    </w:p>
    <w:p w14:paraId="60C76186" w14:textId="77777777" w:rsidR="00B977C2" w:rsidRPr="00216361" w:rsidRDefault="00B977C2" w:rsidP="00B977C2">
      <w:pPr>
        <w:spacing w:line="276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90B709" wp14:editId="6BCA996D">
                <wp:simplePos x="0" y="0"/>
                <wp:positionH relativeFrom="margin">
                  <wp:align>left</wp:align>
                </wp:positionH>
                <wp:positionV relativeFrom="paragraph">
                  <wp:posOffset>2040917</wp:posOffset>
                </wp:positionV>
                <wp:extent cx="953200" cy="414249"/>
                <wp:effectExtent l="0" t="0" r="0" b="5080"/>
                <wp:wrapNone/>
                <wp:docPr id="1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200" cy="4142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2DFF7" w14:textId="77777777" w:rsidR="00B977C2" w:rsidRDefault="00B977C2" w:rsidP="00B977C2">
                            <w:r w:rsidRPr="00936D56">
                              <w:rPr>
                                <w:rFonts w:ascii="Cambria Math" w:hAnsi="Cambria Math"/>
                                <w:color w:val="347C7E" w:themeColor="accent2"/>
                              </w:rPr>
                              <w:t xml:space="preserve">Equation </w:t>
                            </w:r>
                            <w:r>
                              <w:rPr>
                                <w:rFonts w:ascii="Cambria Math" w:hAnsi="Cambria Math"/>
                                <w:color w:val="347C7E" w:themeColor="accent2"/>
                              </w:rPr>
                              <w:t>3</w:t>
                            </w:r>
                            <w:r w:rsidRPr="00936D56">
                              <w:rPr>
                                <w:rFonts w:ascii="Cambria Math" w:hAnsi="Cambria Math"/>
                                <w:color w:val="347C7E" w:themeColor="accent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90B7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0.7pt;width:75.05pt;height:32.6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" filled="f" stroked="f">
                <v:textbox>
                  <w:txbxContent>
                    <w:p w14:paraId="1312DFF7" w14:textId="77777777" w:rsidR="00B977C2" w:rsidRDefault="00B977C2" w:rsidP="00B977C2">
                      <w:r w:rsidRPr="00936D56">
                        <w:rPr>
                          <w:rFonts w:ascii="Cambria Math" w:hAnsi="Cambria Math"/>
                          <w:color w:val="347C7E" w:themeColor="accent2"/>
                        </w:rPr>
                        <w:t xml:space="preserve">Equation </w:t>
                      </w:r>
                      <w:r>
                        <w:rPr>
                          <w:rFonts w:ascii="Cambria Math" w:hAnsi="Cambria Math"/>
                          <w:color w:val="347C7E" w:themeColor="accent2"/>
                        </w:rPr>
                        <w:t>3</w:t>
                      </w:r>
                      <w:r w:rsidRPr="00936D56">
                        <w:rPr>
                          <w:rFonts w:ascii="Cambria Math" w:hAnsi="Cambria Math"/>
                          <w:color w:val="347C7E" w:themeColor="accent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CDD89" wp14:editId="297BC330">
                <wp:simplePos x="0" y="0"/>
                <wp:positionH relativeFrom="column">
                  <wp:posOffset>3257550</wp:posOffset>
                </wp:positionH>
                <wp:positionV relativeFrom="paragraph">
                  <wp:posOffset>71755</wp:posOffset>
                </wp:positionV>
                <wp:extent cx="952500" cy="414020"/>
                <wp:effectExtent l="0" t="0" r="0" b="5080"/>
                <wp:wrapNone/>
                <wp:docPr id="2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2D14E" w14:textId="77777777" w:rsidR="00B977C2" w:rsidRDefault="00B977C2" w:rsidP="00B977C2">
                            <w:r w:rsidRPr="00936D56">
                              <w:rPr>
                                <w:rFonts w:ascii="Cambria Math" w:hAnsi="Cambria Math"/>
                                <w:color w:val="347C7E" w:themeColor="accent2"/>
                              </w:rPr>
                              <w:t xml:space="preserve">Equation </w:t>
                            </w:r>
                            <w:r>
                              <w:rPr>
                                <w:rFonts w:ascii="Cambria Math" w:hAnsi="Cambria Math"/>
                                <w:color w:val="347C7E" w:themeColor="accent2"/>
                              </w:rPr>
                              <w:t>2</w:t>
                            </w:r>
                            <w:r w:rsidRPr="00936D56">
                              <w:rPr>
                                <w:rFonts w:ascii="Cambria Math" w:hAnsi="Cambria Math"/>
                                <w:color w:val="347C7E" w:themeColor="accent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CDD89" id="_x0000_s1027" type="#_x0000_t202" style="position:absolute;margin-left:256.5pt;margin-top:5.65pt;width:75pt;height:3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" filled="f" stroked="f">
                <v:textbox>
                  <w:txbxContent>
                    <w:p w14:paraId="2712D14E" w14:textId="77777777" w:rsidR="00B977C2" w:rsidRDefault="00B977C2" w:rsidP="00B977C2">
                      <w:r w:rsidRPr="00936D56">
                        <w:rPr>
                          <w:rFonts w:ascii="Cambria Math" w:hAnsi="Cambria Math"/>
                          <w:color w:val="347C7E" w:themeColor="accent2"/>
                        </w:rPr>
                        <w:t xml:space="preserve">Equation </w:t>
                      </w:r>
                      <w:r>
                        <w:rPr>
                          <w:rFonts w:ascii="Cambria Math" w:hAnsi="Cambria Math"/>
                          <w:color w:val="347C7E" w:themeColor="accent2"/>
                        </w:rPr>
                        <w:t>2</w:t>
                      </w:r>
                      <w:r w:rsidRPr="00936D56">
                        <w:rPr>
                          <w:rFonts w:ascii="Cambria Math" w:hAnsi="Cambria Math"/>
                          <w:color w:val="347C7E" w:themeColor="accent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FBC9EE" wp14:editId="557E597F">
                <wp:simplePos x="0" y="0"/>
                <wp:positionH relativeFrom="column">
                  <wp:posOffset>3237230</wp:posOffset>
                </wp:positionH>
                <wp:positionV relativeFrom="paragraph">
                  <wp:posOffset>56037</wp:posOffset>
                </wp:positionV>
                <wp:extent cx="3133140" cy="1337094"/>
                <wp:effectExtent l="0" t="0" r="10160" b="15875"/>
                <wp:wrapNone/>
                <wp:docPr id="15" name="Text Box 2" descr="Equation 2 Where E = Emissions Number for covered vehicle, i&#10;ET is calculated based on Equation 1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140" cy="133709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00C51" w14:textId="77777777" w:rsidR="00B977C2" w:rsidRDefault="00B977C2" w:rsidP="00B977C2">
                            <w:pPr>
                              <w:rPr>
                                <w:rFonts w:eastAsiaTheme="minorEastAsia"/>
                                <w:b/>
                              </w:rPr>
                            </w:pPr>
                          </w:p>
                          <w:p w14:paraId="1D95354D" w14:textId="77777777" w:rsidR="00B977C2" w:rsidRPr="00DF685B" w:rsidRDefault="00B977C2" w:rsidP="00B977C2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IEV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= </m:t>
                                </m:r>
                                <m:nary>
                                  <m:naryPr>
                                    <m:chr m:val="∑"/>
                                    <m:limLoc m:val="undOvr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  <m:sup/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(E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-E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oMath>
                            </m:oMathPara>
                          </w:p>
                          <w:p w14:paraId="002A9575" w14:textId="77777777" w:rsidR="00B977C2" w:rsidRDefault="00B977C2" w:rsidP="00B977C2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Where</w:t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  <w:t>E = Emissions Number for covered vehicle,</w:t>
                            </w:r>
                            <w:r w:rsidRPr="009C4713">
                              <w:rPr>
                                <w:rFonts w:eastAsiaTheme="minorEastAsia"/>
                                <w:i/>
                              </w:rPr>
                              <w:t xml:space="preserve"> i</w:t>
                            </w:r>
                          </w:p>
                          <w:p w14:paraId="7CB44BBE" w14:textId="77777777" w:rsidR="00B977C2" w:rsidRPr="00722A5B" w:rsidRDefault="00B977C2" w:rsidP="00B977C2">
                            <w:pPr>
                              <w:spacing w:before="0"/>
                              <w:ind w:left="72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ET is calculated based on Equation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BC9EE" id="_x0000_s1028" type="#_x0000_t202" alt="Equation 2 Where E = Emissions Number for covered vehicle, i&#10;ET is calculated based on Equation 1&#10;" style="position:absolute;margin-left:254.9pt;margin-top:4.4pt;width:246.7pt;height:105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" fillcolor="white [3201]" strokecolor="#347c7e [3205]" strokeweight="1pt">
                <v:textbox>
                  <w:txbxContent>
                    <w:p w14:paraId="18700C51" w14:textId="77777777" w:rsidR="00B977C2" w:rsidRDefault="00B977C2" w:rsidP="00B977C2">
                      <w:pPr>
                        <w:rPr>
                          <w:rFonts w:eastAsiaTheme="minorEastAsia"/>
                          <w:b/>
                        </w:rPr>
                      </w:pPr>
                    </w:p>
                    <w:p w14:paraId="1D95354D" w14:textId="77777777" w:rsidR="00B977C2" w:rsidRPr="00DF685B" w:rsidRDefault="00B977C2" w:rsidP="00B977C2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IEV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= </m:t>
                          </m:r>
                          <m:nary>
                            <m:naryPr>
                              <m:chr m:val="∑"/>
                              <m:limLoc m:val="undOvr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  <m:sup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(E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-E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</m:e>
                          </m:nary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m:oMathPara>
                    </w:p>
                    <w:p w14:paraId="002A9575" w14:textId="77777777" w:rsidR="00B977C2" w:rsidRDefault="00B977C2" w:rsidP="00B977C2">
                      <w:pPr>
                        <w:spacing w:after="0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Where</w:t>
                      </w:r>
                      <w:r>
                        <w:rPr>
                          <w:rFonts w:eastAsiaTheme="minorEastAsia"/>
                        </w:rPr>
                        <w:tab/>
                        <w:t>E = Emissions Number for covered vehicle,</w:t>
                      </w:r>
                      <w:r w:rsidRPr="009C4713">
                        <w:rPr>
                          <w:rFonts w:eastAsiaTheme="minorEastAsia"/>
                          <w:i/>
                        </w:rPr>
                        <w:t xml:space="preserve"> i</w:t>
                      </w:r>
                    </w:p>
                    <w:p w14:paraId="7CB44BBE" w14:textId="77777777" w:rsidR="00B977C2" w:rsidRPr="00722A5B" w:rsidRDefault="00B977C2" w:rsidP="00B977C2">
                      <w:pPr>
                        <w:spacing w:before="0"/>
                        <w:ind w:left="720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ET is calculated based on Equation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6B3C3327" wp14:editId="7F834D16">
                <wp:extent cx="3145359" cy="3105151"/>
                <wp:effectExtent l="0" t="0" r="17145" b="19050"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5359" cy="3105151"/>
                          <a:chOff x="35614" y="296813"/>
                          <a:chExt cx="3111551" cy="3121321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35614" y="296813"/>
                            <a:ext cx="3099463" cy="1867047"/>
                            <a:chOff x="35615" y="296923"/>
                            <a:chExt cx="3099529" cy="1867739"/>
                          </a:xfrm>
                        </wpg:grpSpPr>
                        <wps:wsp>
                          <wps:cNvPr id="3" name="Text Box 2" descr="Equation 1 Where HL = Headline limit for covered vehicle, i&#10;MAF = Mass adjustment factor for covered vehicle, i&#10;DM = Designated MIRO for covered vehicle, i&#10;RM = Reference MIRO for covered vehicle, i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615" y="302189"/>
                              <a:ext cx="3099529" cy="1862473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18C87C" w14:textId="77777777" w:rsidR="00B977C2" w:rsidRPr="00DF685B" w:rsidRDefault="00B977C2" w:rsidP="00B977C2">
                                <w:pPr>
                                  <w:rPr>
                                    <w:rFonts w:eastAsiaTheme="minorEastAsia"/>
                                  </w:rPr>
                                </w:pPr>
                              </w:p>
                              <w:p w14:paraId="20CFFD0A" w14:textId="77777777" w:rsidR="00B977C2" w:rsidRDefault="00B977C2" w:rsidP="00B977C2">
                                <w:pPr>
                                  <w:spacing w:after="0"/>
                                  <w:rPr>
                                    <w:rFonts w:eastAsiaTheme="minorEastAsia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=HL+MAF(DM-RM)</m:t>
                                    </m:r>
                                  </m:oMath>
                                </m:oMathPara>
                              </w:p>
                              <w:p w14:paraId="662B20C1" w14:textId="77777777" w:rsidR="00B977C2" w:rsidRDefault="00B977C2" w:rsidP="00B977C2">
                                <w:pPr>
                                  <w:spacing w:after="0"/>
                                  <w:rPr>
                                    <w:rFonts w:eastAsiaTheme="minorEastAsia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t>Where</w: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tab/>
                                  <w:t>HL = Headline limit for covered vehicle,</w:t>
                                </w:r>
                                <w:r w:rsidRPr="009C4713">
                                  <w:rPr>
                                    <w:rFonts w:eastAsiaTheme="minorEastAsia"/>
                                    <w:i/>
                                  </w:rPr>
                                  <w:t xml:space="preserve"> i</w:t>
                                </w:r>
                              </w:p>
                              <w:p w14:paraId="1F9467D4" w14:textId="77777777" w:rsidR="00B977C2" w:rsidRDefault="00B977C2" w:rsidP="00B977C2">
                                <w:pPr>
                                  <w:spacing w:before="0"/>
                                  <w:ind w:left="720"/>
                                  <w:rPr>
                                    <w:rFonts w:eastAsiaTheme="minorEastAsia"/>
                                    <w:i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t xml:space="preserve">MAF = Mass adjustment factor for covered vehicle, </w:t>
                                </w:r>
                                <w:r w:rsidRPr="009C4713">
                                  <w:rPr>
                                    <w:rFonts w:eastAsiaTheme="minorEastAsia"/>
                                    <w:i/>
                                  </w:rPr>
                                  <w:t>i</w:t>
                                </w:r>
                              </w:p>
                              <w:p w14:paraId="1B5FF015" w14:textId="77777777" w:rsidR="00B977C2" w:rsidRDefault="00B977C2" w:rsidP="00B977C2">
                                <w:pPr>
                                  <w:spacing w:before="0"/>
                                  <w:ind w:left="720"/>
                                  <w:rPr>
                                    <w:rFonts w:eastAsiaTheme="minorEastAsia"/>
                                    <w:i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t xml:space="preserve">DM = Designated MIRO for covered vehicle, </w:t>
                                </w:r>
                                <w:r w:rsidRPr="009C4713">
                                  <w:rPr>
                                    <w:rFonts w:eastAsiaTheme="minorEastAsia"/>
                                    <w:i/>
                                  </w:rPr>
                                  <w:t>i</w:t>
                                </w:r>
                              </w:p>
                              <w:p w14:paraId="4A8A14B8" w14:textId="77777777" w:rsidR="00B977C2" w:rsidRPr="00B9162A" w:rsidRDefault="00B977C2" w:rsidP="00B977C2">
                                <w:pPr>
                                  <w:spacing w:before="0"/>
                                  <w:ind w:left="720"/>
                                  <w:rPr>
                                    <w:rFonts w:eastAsiaTheme="minorEastAsia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t xml:space="preserve">RM = Reference MIRO for covered vehicle, </w:t>
                                </w:r>
                                <w:r w:rsidRPr="009C4713">
                                  <w:rPr>
                                    <w:rFonts w:eastAsiaTheme="minorEastAsia"/>
                                    <w:i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616" y="296923"/>
                              <a:ext cx="942975" cy="4165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B5BF20" w14:textId="77777777" w:rsidR="00B977C2" w:rsidRDefault="00B977C2" w:rsidP="00B977C2">
                                <w:r w:rsidRPr="00936D56">
                                  <w:rPr>
                                    <w:rFonts w:ascii="Cambria Math" w:hAnsi="Cambria Math"/>
                                    <w:color w:val="347C7E" w:themeColor="accent2"/>
                                  </w:rPr>
                                  <w:t>Equation 1.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" name="Text Box 2" descr="Equation 3 Where IEV is calculated based on Equation 2&#10;U = Units extinguished for the purpose of reducing an FEV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35617" y="2277598"/>
                            <a:ext cx="3111548" cy="1140536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F200EF" w14:textId="77777777" w:rsidR="00B977C2" w:rsidRPr="009C4713" w:rsidRDefault="00B977C2" w:rsidP="00B977C2">
                              <w:pPr>
                                <w:rPr>
                                  <w:rFonts w:eastAsiaTheme="minorEastAsia"/>
                                  <w:b/>
                                  <w:sz w:val="2"/>
                                </w:rPr>
                              </w:pPr>
                            </w:p>
                            <w:p w14:paraId="1F1AB980" w14:textId="77777777" w:rsidR="00B977C2" w:rsidRPr="009C4713" w:rsidRDefault="00B977C2" w:rsidP="00B977C2">
                              <w:pPr>
                                <w:rPr>
                                  <w:rFonts w:eastAsiaTheme="minorEastAsia"/>
                                  <w:sz w:val="16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FEV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 xml:space="preserve">= 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IEV-U</m:t>
                                  </m:r>
                                </m:oMath>
                              </m:oMathPara>
                            </w:p>
                            <w:p w14:paraId="5F4B33D2" w14:textId="77777777" w:rsidR="00B977C2" w:rsidRDefault="00B977C2" w:rsidP="00B977C2">
                              <w:pPr>
                                <w:spacing w:after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Where</w:t>
                              </w:r>
                              <w:r>
                                <w:rPr>
                                  <w:rFonts w:eastAsiaTheme="minorEastAsia"/>
                                </w:rPr>
                                <w:tab/>
                                <w:t>IEV is calculated based on Equation 2</w:t>
                              </w:r>
                            </w:p>
                            <w:p w14:paraId="630FF4B3" w14:textId="77777777" w:rsidR="00B977C2" w:rsidRPr="0030585D" w:rsidRDefault="00B977C2" w:rsidP="00B977C2">
                              <w:pPr>
                                <w:spacing w:before="0"/>
                                <w:ind w:left="72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U = Units extinguished for the purpose of reducing an FEV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C3327" id="Group 1" o:spid="_x0000_s1029" style="width:247.65pt;height:244.5pt;mso-position-horizontal-relative:char;mso-position-vertical-relative:line" coordorigin="356,2968" coordsize="31115,3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">
                <v:group id="Group 2" o:spid="_x0000_s1030" style="position:absolute;left:356;top:2968;width:30994;height:18670" coordorigin="356,2969" coordsize="30995,18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_x0000_s1031" type="#_x0000_t202" alt="Equation 1 Where HL = Headline limit for covered vehicle, i&#10;MAF = Mass adjustment factor for covered vehicle, i&#10;DM = Designated MIRO for covered vehicle, i&#10;RM = Reference MIRO for covered vehicle, i" style="position:absolute;left:356;top:3021;width:30995;height:18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" fillcolor="white [3201]" strokecolor="#347c7e [3205]" strokeweight="1pt">
                    <v:textbox>
                      <w:txbxContent>
                        <w:p w14:paraId="1B18C87C" w14:textId="77777777" w:rsidR="00B977C2" w:rsidRPr="00DF685B" w:rsidRDefault="00B977C2" w:rsidP="00B977C2">
                          <w:pPr>
                            <w:rPr>
                              <w:rFonts w:eastAsiaTheme="minorEastAsia"/>
                            </w:rPr>
                          </w:pPr>
                        </w:p>
                        <w:p w14:paraId="20CFFD0A" w14:textId="77777777" w:rsidR="00B977C2" w:rsidRDefault="00B977C2" w:rsidP="00B977C2">
                          <w:pPr>
                            <w:spacing w:after="0"/>
                            <w:rPr>
                              <w:rFonts w:eastAsiaTheme="minorEastAsia"/>
                            </w:rPr>
                          </w:pPr>
                          <m:oMathPara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=HL+MAF(DM-RM)</m:t>
                              </m:r>
                            </m:oMath>
                          </m:oMathPara>
                        </w:p>
                        <w:p w14:paraId="662B20C1" w14:textId="77777777" w:rsidR="00B977C2" w:rsidRDefault="00B977C2" w:rsidP="00B977C2">
                          <w:pPr>
                            <w:spacing w:after="0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eastAsiaTheme="minorEastAsia"/>
                            </w:rPr>
                            <w:t>Where</w:t>
                          </w:r>
                          <w:r>
                            <w:rPr>
                              <w:rFonts w:eastAsiaTheme="minorEastAsia"/>
                            </w:rPr>
                            <w:tab/>
                            <w:t>HL = Headline limit for covered vehicle,</w:t>
                          </w:r>
                          <w:r w:rsidRPr="009C4713">
                            <w:rPr>
                              <w:rFonts w:eastAsiaTheme="minorEastAsia"/>
                              <w:i/>
                            </w:rPr>
                            <w:t xml:space="preserve"> i</w:t>
                          </w:r>
                        </w:p>
                        <w:p w14:paraId="1F9467D4" w14:textId="77777777" w:rsidR="00B977C2" w:rsidRDefault="00B977C2" w:rsidP="00B977C2">
                          <w:pPr>
                            <w:spacing w:before="0"/>
                            <w:ind w:left="720"/>
                            <w:rPr>
                              <w:rFonts w:eastAsiaTheme="minorEastAsia"/>
                              <w:i/>
                            </w:rPr>
                          </w:pPr>
                          <w:r>
                            <w:rPr>
                              <w:rFonts w:eastAsiaTheme="minorEastAsia"/>
                            </w:rPr>
                            <w:t xml:space="preserve">MAF = Mass adjustment factor for covered vehicle, </w:t>
                          </w:r>
                          <w:r w:rsidRPr="009C4713">
                            <w:rPr>
                              <w:rFonts w:eastAsiaTheme="minorEastAsia"/>
                              <w:i/>
                            </w:rPr>
                            <w:t>i</w:t>
                          </w:r>
                        </w:p>
                        <w:p w14:paraId="1B5FF015" w14:textId="77777777" w:rsidR="00B977C2" w:rsidRDefault="00B977C2" w:rsidP="00B977C2">
                          <w:pPr>
                            <w:spacing w:before="0"/>
                            <w:ind w:left="720"/>
                            <w:rPr>
                              <w:rFonts w:eastAsiaTheme="minorEastAsia"/>
                              <w:i/>
                            </w:rPr>
                          </w:pPr>
                          <w:r>
                            <w:rPr>
                              <w:rFonts w:eastAsiaTheme="minorEastAsia"/>
                            </w:rPr>
                            <w:t xml:space="preserve">DM = Designated MIRO for covered vehicle, </w:t>
                          </w:r>
                          <w:r w:rsidRPr="009C4713">
                            <w:rPr>
                              <w:rFonts w:eastAsiaTheme="minorEastAsia"/>
                              <w:i/>
                            </w:rPr>
                            <w:t>i</w:t>
                          </w:r>
                        </w:p>
                        <w:p w14:paraId="4A8A14B8" w14:textId="77777777" w:rsidR="00B977C2" w:rsidRPr="00B9162A" w:rsidRDefault="00B977C2" w:rsidP="00B977C2">
                          <w:pPr>
                            <w:spacing w:before="0"/>
                            <w:ind w:left="720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eastAsiaTheme="minorEastAsia"/>
                            </w:rPr>
                            <w:t xml:space="preserve">RM = Reference MIRO for covered vehicle, </w:t>
                          </w:r>
                          <w:r w:rsidRPr="009C4713">
                            <w:rPr>
                              <w:rFonts w:eastAsiaTheme="minorEastAsia"/>
                              <w:i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032" type="#_x0000_t202" style="position:absolute;left:356;top:2969;width:9429;height:4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5BB5BF20" w14:textId="77777777" w:rsidR="00B977C2" w:rsidRDefault="00B977C2" w:rsidP="00B977C2">
                          <w:r w:rsidRPr="00936D56">
                            <w:rPr>
                              <w:rFonts w:ascii="Cambria Math" w:hAnsi="Cambria Math"/>
                              <w:color w:val="347C7E" w:themeColor="accent2"/>
                            </w:rPr>
                            <w:t>Equation 1.</w:t>
                          </w:r>
                        </w:p>
                      </w:txbxContent>
                    </v:textbox>
                  </v:shape>
                </v:group>
                <v:shape id="_x0000_s1033" type="#_x0000_t202" alt="Equation 3 Where IEV is calculated based on Equation 2&#10;U = Units extinguished for the purpose of reducing an FEV&#10;" style="position:absolute;left:356;top:22775;width:31115;height:1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" fillcolor="white [3201]" strokecolor="#347c7e [3205]" strokeweight="1pt">
                  <v:textbox>
                    <w:txbxContent>
                      <w:p w14:paraId="40F200EF" w14:textId="77777777" w:rsidR="00B977C2" w:rsidRPr="009C4713" w:rsidRDefault="00B977C2" w:rsidP="00B977C2">
                        <w:pPr>
                          <w:rPr>
                            <w:rFonts w:eastAsiaTheme="minorEastAsia"/>
                            <w:b/>
                            <w:sz w:val="2"/>
                          </w:rPr>
                        </w:pPr>
                      </w:p>
                      <w:p w14:paraId="1F1AB980" w14:textId="77777777" w:rsidR="00B977C2" w:rsidRPr="009C4713" w:rsidRDefault="00B977C2" w:rsidP="00B977C2">
                        <w:pPr>
                          <w:rPr>
                            <w:rFonts w:eastAsiaTheme="minorEastAsia"/>
                            <w:sz w:val="16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FEV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 xml:space="preserve">= </m:t>
                            </m:r>
                            <m:r>
                              <w:rPr>
                                <w:rFonts w:ascii="Cambria Math" w:hAnsi="Cambria Math"/>
                              </w:rPr>
                              <m:t>IEV-U</m:t>
                            </m:r>
                          </m:oMath>
                        </m:oMathPara>
                      </w:p>
                      <w:p w14:paraId="5F4B33D2" w14:textId="77777777" w:rsidR="00B977C2" w:rsidRDefault="00B977C2" w:rsidP="00B977C2">
                        <w:pPr>
                          <w:spacing w:after="0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/>
                          </w:rPr>
                          <w:t>Where</w:t>
                        </w:r>
                        <w:r>
                          <w:rPr>
                            <w:rFonts w:eastAsiaTheme="minorEastAsia"/>
                          </w:rPr>
                          <w:tab/>
                          <w:t>IEV is calculated based on Equation 2</w:t>
                        </w:r>
                      </w:p>
                      <w:p w14:paraId="630FF4B3" w14:textId="77777777" w:rsidR="00B977C2" w:rsidRPr="0030585D" w:rsidRDefault="00B977C2" w:rsidP="00B977C2">
                        <w:pPr>
                          <w:spacing w:before="0"/>
                          <w:ind w:left="720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/>
                          </w:rPr>
                          <w:t>U = Units extinguished for the purpose of reducing an FEV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F547EA" w14:textId="77777777" w:rsidR="00B977C2" w:rsidRPr="007C0D9E" w:rsidRDefault="00B977C2" w:rsidP="00B977C2">
      <w:pPr>
        <w:suppressAutoHyphens w:val="0"/>
        <w:rPr>
          <w:sz w:val="28"/>
          <w:szCs w:val="28"/>
        </w:rPr>
      </w:pPr>
      <w:r>
        <w:t xml:space="preserve">The numerical inputs to these equations are summarised in </w:t>
      </w:r>
      <w:r w:rsidRPr="007C0D9E">
        <w:rPr>
          <w:b/>
        </w:rPr>
        <w:t>Tables 1</w:t>
      </w:r>
      <w:r>
        <w:t xml:space="preserve"> and </w:t>
      </w:r>
      <w:r w:rsidRPr="007C0D9E">
        <w:rPr>
          <w:b/>
        </w:rPr>
        <w:t xml:space="preserve">2 </w:t>
      </w:r>
      <w:r>
        <w:t xml:space="preserve">respectively. </w:t>
      </w:r>
      <w:r w:rsidRPr="008F1EA1">
        <w:rPr>
          <w:iCs/>
        </w:rPr>
        <w:t xml:space="preserve">The numerical precision of each input is summarised in </w:t>
      </w:r>
      <w:r w:rsidRPr="007C0D9E">
        <w:rPr>
          <w:b/>
          <w:iCs/>
        </w:rPr>
        <w:t>Table 3</w:t>
      </w:r>
      <w:r w:rsidRPr="008F1EA1">
        <w:rPr>
          <w:iCs/>
        </w:rPr>
        <w:t>.</w:t>
      </w:r>
    </w:p>
    <w:p w14:paraId="6BD4CDF9" w14:textId="77777777" w:rsidR="00B977C2" w:rsidRPr="00A672DC" w:rsidRDefault="00B977C2" w:rsidP="00B977C2">
      <w:pPr>
        <w:spacing w:line="276" w:lineRule="auto"/>
        <w:rPr>
          <w:b/>
        </w:rPr>
      </w:pPr>
      <w:r w:rsidRPr="00A672DC">
        <w:rPr>
          <w:b/>
        </w:rPr>
        <w:t>Table 1: Numerical inputs to the IEV calculations</w:t>
      </w:r>
    </w:p>
    <w:tbl>
      <w:tblPr>
        <w:tblStyle w:val="DefaultTable1"/>
        <w:tblW w:w="10065" w:type="dxa"/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3261"/>
      </w:tblGrid>
      <w:tr w:rsidR="00B977C2" w14:paraId="1415F8AD" w14:textId="77777777" w:rsidTr="00062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hideMark/>
          </w:tcPr>
          <w:p w14:paraId="5DEEADDC" w14:textId="77777777" w:rsidR="00B977C2" w:rsidRPr="00A672DC" w:rsidRDefault="00B977C2" w:rsidP="00062FBE">
            <w:pPr>
              <w:spacing w:before="111" w:after="590" w:line="276" w:lineRule="auto"/>
              <w:ind w:left="106"/>
              <w:textAlignment w:val="baseline"/>
              <w:rPr>
                <w:rFonts w:ascii="Calibri" w:eastAsia="Calibri" w:hAnsi="Calibri"/>
                <w:b w:val="0"/>
                <w:bCs/>
                <w:color w:val="FFFFFF"/>
              </w:rPr>
            </w:pPr>
            <w:r w:rsidRPr="008F1EA1">
              <w:rPr>
                <w:rFonts w:ascii="Calibri" w:eastAsia="Calibri" w:hAnsi="Calibri"/>
                <w:bCs/>
                <w:color w:val="FFFFFF"/>
                <w:lang w:val="en-US"/>
              </w:rPr>
              <w:t>Input</w:t>
            </w:r>
          </w:p>
        </w:tc>
        <w:tc>
          <w:tcPr>
            <w:tcW w:w="3118" w:type="dxa"/>
            <w:hideMark/>
          </w:tcPr>
          <w:p w14:paraId="2890BA0C" w14:textId="77777777" w:rsidR="00B977C2" w:rsidRPr="00A672DC" w:rsidRDefault="00B977C2" w:rsidP="00062FBE">
            <w:pPr>
              <w:spacing w:before="64" w:after="101" w:line="276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bCs/>
                <w:color w:val="FFFFFF"/>
              </w:rPr>
            </w:pPr>
            <w:r w:rsidRPr="008F1EA1">
              <w:rPr>
                <w:rFonts w:ascii="Calibri" w:eastAsia="Calibri" w:hAnsi="Calibri"/>
                <w:bCs/>
                <w:color w:val="FFFFFF"/>
                <w:lang w:val="en-US"/>
              </w:rPr>
              <w:t>Depends on</w:t>
            </w:r>
          </w:p>
        </w:tc>
        <w:tc>
          <w:tcPr>
            <w:tcW w:w="3261" w:type="dxa"/>
          </w:tcPr>
          <w:p w14:paraId="533E3221" w14:textId="77777777" w:rsidR="00B977C2" w:rsidRDefault="00B977C2" w:rsidP="00062FBE">
            <w:pPr>
              <w:spacing w:before="64" w:after="101" w:line="276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color w:val="FFFFFF"/>
                <w:lang w:val="en-US"/>
              </w:rPr>
            </w:pPr>
          </w:p>
        </w:tc>
      </w:tr>
      <w:tr w:rsidR="00B977C2" w14:paraId="5C8A44CC" w14:textId="77777777" w:rsidTr="00062FBE">
        <w:trPr>
          <w:trHeight w:hRule="exact"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hideMark/>
          </w:tcPr>
          <w:p w14:paraId="29F1D2C6" w14:textId="77777777" w:rsidR="00B977C2" w:rsidRPr="00A672DC" w:rsidRDefault="00B977C2" w:rsidP="00062FBE">
            <w:pPr>
              <w:spacing w:before="158" w:line="276" w:lineRule="auto"/>
              <w:ind w:left="74"/>
              <w:textAlignment w:val="baseline"/>
              <w:rPr>
                <w:rFonts w:ascii="Calibri" w:eastAsia="Calibri" w:hAnsi="Calibri"/>
                <w:b w:val="0"/>
                <w:bCs/>
                <w:color w:val="000000"/>
                <w:lang w:val="en-US"/>
              </w:rPr>
            </w:pPr>
            <w:r w:rsidRPr="008F1EA1">
              <w:rPr>
                <w:rFonts w:ascii="Calibri" w:eastAsia="Calibri" w:hAnsi="Calibri"/>
                <w:bCs/>
                <w:color w:val="000000"/>
                <w:lang w:val="en-US"/>
              </w:rPr>
              <w:t>Emissions Number</w:t>
            </w:r>
          </w:p>
        </w:tc>
        <w:tc>
          <w:tcPr>
            <w:tcW w:w="3118" w:type="dxa"/>
            <w:hideMark/>
          </w:tcPr>
          <w:p w14:paraId="3D2FCC2C" w14:textId="2F5A4915" w:rsidR="00B977C2" w:rsidRDefault="00B977C2" w:rsidP="00062FBE">
            <w:pPr>
              <w:spacing w:before="158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vertAlign w:val="superscript"/>
                <w:lang w:val="en-US"/>
              </w:rPr>
            </w:pPr>
            <w:r>
              <w:rPr>
                <w:rFonts w:ascii="Calibri" w:eastAsia="Calibri" w:hAnsi="Calibri"/>
                <w:color w:val="000000"/>
                <w:lang w:val="en-US"/>
              </w:rPr>
              <w:t>Carbon dioxide (</w:t>
            </w:r>
            <w:r>
              <w:t>CO</w:t>
            </w:r>
            <w:r>
              <w:rPr>
                <w:vertAlign w:val="subscript"/>
              </w:rPr>
              <w:t>2</w:t>
            </w:r>
            <w:r>
              <w:rPr>
                <w:rFonts w:ascii="Calibri" w:eastAsia="Calibri" w:hAnsi="Calibri"/>
                <w:color w:val="000000"/>
                <w:lang w:val="en-US"/>
              </w:rPr>
              <w:t>) emissions</w:t>
            </w:r>
            <w:bookmarkStart w:id="3" w:name="_GoBack"/>
            <w:r>
              <w:rPr>
                <w:rStyle w:val="FootnoteReference"/>
                <w:rFonts w:ascii="Calibri" w:eastAsia="Calibri" w:hAnsi="Calibri"/>
                <w:color w:val="000000"/>
                <w:lang w:val="en-US"/>
              </w:rPr>
              <w:footnoteReference w:id="2"/>
            </w:r>
            <w:bookmarkEnd w:id="3"/>
          </w:p>
        </w:tc>
        <w:tc>
          <w:tcPr>
            <w:tcW w:w="3261" w:type="dxa"/>
          </w:tcPr>
          <w:p w14:paraId="6DB89072" w14:textId="77777777" w:rsidR="00B977C2" w:rsidRDefault="00B977C2" w:rsidP="00062FBE">
            <w:pPr>
              <w:spacing w:before="158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lang w:val="en-US"/>
              </w:rPr>
            </w:pPr>
          </w:p>
        </w:tc>
      </w:tr>
      <w:tr w:rsidR="00B977C2" w14:paraId="5B0FAB45" w14:textId="77777777" w:rsidTr="00062F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hideMark/>
          </w:tcPr>
          <w:p w14:paraId="3F7E28CA" w14:textId="77777777" w:rsidR="00B977C2" w:rsidRPr="00A672DC" w:rsidRDefault="00B977C2" w:rsidP="00062FBE">
            <w:pPr>
              <w:spacing w:before="158" w:line="276" w:lineRule="auto"/>
              <w:ind w:left="74"/>
              <w:textAlignment w:val="baseline"/>
              <w:rPr>
                <w:rFonts w:ascii="Calibri" w:eastAsia="Calibri" w:hAnsi="Calibri"/>
                <w:b w:val="0"/>
                <w:bCs/>
                <w:color w:val="000000"/>
                <w:lang w:val="en-US"/>
              </w:rPr>
            </w:pPr>
            <w:r w:rsidRPr="008F1EA1">
              <w:rPr>
                <w:rFonts w:ascii="Calibri" w:eastAsia="Calibri" w:hAnsi="Calibri"/>
                <w:bCs/>
                <w:color w:val="000000"/>
                <w:lang w:val="en-US"/>
              </w:rPr>
              <w:t>Emissions Target</w:t>
            </w:r>
          </w:p>
        </w:tc>
        <w:tc>
          <w:tcPr>
            <w:tcW w:w="3118" w:type="dxa"/>
            <w:hideMark/>
          </w:tcPr>
          <w:p w14:paraId="65EFAFB0" w14:textId="7A978652" w:rsidR="00B977C2" w:rsidRDefault="00B977C2" w:rsidP="00062FBE">
            <w:pPr>
              <w:spacing w:before="158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color w:val="000000"/>
                <w:lang w:val="en-US"/>
              </w:rPr>
            </w:pPr>
            <w:r>
              <w:rPr>
                <w:rFonts w:ascii="Calibri" w:eastAsia="Calibri" w:hAnsi="Calibri"/>
                <w:color w:val="000000"/>
                <w:lang w:val="en-US"/>
              </w:rPr>
              <w:t>Headline limit (HL)</w:t>
            </w:r>
            <w:r>
              <w:rPr>
                <w:rStyle w:val="FootnoteReference"/>
                <w:rFonts w:ascii="Calibri" w:eastAsia="Calibri" w:hAnsi="Calibri"/>
                <w:color w:val="000000"/>
                <w:lang w:val="en-US"/>
              </w:rPr>
              <w:footnoteReference w:id="3"/>
            </w:r>
          </w:p>
        </w:tc>
        <w:tc>
          <w:tcPr>
            <w:tcW w:w="3261" w:type="dxa"/>
          </w:tcPr>
          <w:p w14:paraId="3733D8C4" w14:textId="77777777" w:rsidR="00B977C2" w:rsidRDefault="00B977C2" w:rsidP="00062FBE">
            <w:pPr>
              <w:spacing w:before="158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color w:val="000000"/>
                <w:lang w:val="en-US"/>
              </w:rPr>
            </w:pPr>
            <w:r>
              <w:rPr>
                <w:rFonts w:ascii="Calibri" w:eastAsia="Calibri" w:hAnsi="Calibri"/>
                <w:color w:val="000000"/>
                <w:lang w:val="en-US"/>
              </w:rPr>
              <w:t>Mass in Running Order (MIRO)</w:t>
            </w:r>
            <w:r>
              <w:rPr>
                <w:rFonts w:ascii="Calibri" w:eastAsia="Calibri" w:hAnsi="Calibri"/>
                <w:color w:val="000000"/>
                <w:vertAlign w:val="superscript"/>
                <w:lang w:val="en-US"/>
              </w:rPr>
              <w:t>1</w:t>
            </w:r>
          </w:p>
        </w:tc>
      </w:tr>
      <w:tr w:rsidR="00B977C2" w14:paraId="78DE9544" w14:textId="77777777" w:rsidTr="00062FBE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32A6EA1" w14:textId="77777777" w:rsidR="00B977C2" w:rsidRDefault="00B977C2" w:rsidP="00062FBE">
            <w:pPr>
              <w:spacing w:before="158" w:line="276" w:lineRule="auto"/>
              <w:ind w:left="74"/>
              <w:textAlignment w:val="baseline"/>
              <w:rPr>
                <w:rFonts w:ascii="Calibri" w:eastAsia="Calibri" w:hAnsi="Calibri"/>
                <w:b w:val="0"/>
                <w:color w:val="000000"/>
                <w:lang w:val="en-US"/>
              </w:rPr>
            </w:pPr>
          </w:p>
        </w:tc>
        <w:tc>
          <w:tcPr>
            <w:tcW w:w="3118" w:type="dxa"/>
            <w:hideMark/>
          </w:tcPr>
          <w:p w14:paraId="0DE2D3EF" w14:textId="77777777" w:rsidR="00B977C2" w:rsidRDefault="00B977C2" w:rsidP="00062FBE">
            <w:pPr>
              <w:spacing w:before="158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lang w:val="en-US"/>
              </w:rPr>
            </w:pPr>
            <w:r>
              <w:rPr>
                <w:rFonts w:ascii="Calibri" w:eastAsia="Calibri" w:hAnsi="Calibri"/>
                <w:color w:val="000000"/>
                <w:lang w:val="en-US"/>
              </w:rPr>
              <w:t>Mass adjustment factor (MAF)</w:t>
            </w:r>
            <w:r>
              <w:rPr>
                <w:rFonts w:ascii="Calibri" w:eastAsia="Calibri" w:hAnsi="Calibri"/>
                <w:color w:val="000000"/>
                <w:vertAlign w:val="superscript"/>
                <w:lang w:val="en-US"/>
              </w:rPr>
              <w:t xml:space="preserve"> 2</w:t>
            </w:r>
            <w:r>
              <w:rPr>
                <w:rFonts w:ascii="Calibri" w:eastAsia="Calibri" w:hAnsi="Calibri"/>
                <w:color w:val="000000"/>
                <w:lang w:val="en-US"/>
              </w:rPr>
              <w:t xml:space="preserve">  </w:t>
            </w:r>
          </w:p>
        </w:tc>
        <w:tc>
          <w:tcPr>
            <w:tcW w:w="3261" w:type="dxa"/>
            <w:hideMark/>
          </w:tcPr>
          <w:p w14:paraId="51E92934" w14:textId="77777777" w:rsidR="00B977C2" w:rsidRDefault="00B977C2" w:rsidP="00062FBE">
            <w:pPr>
              <w:spacing w:before="158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vertAlign w:val="superscript"/>
                <w:lang w:val="en-US"/>
              </w:rPr>
            </w:pPr>
            <w:r>
              <w:rPr>
                <w:rFonts w:ascii="Calibri" w:eastAsia="Calibri" w:hAnsi="Calibri"/>
                <w:color w:val="000000"/>
                <w:lang w:val="en-US"/>
              </w:rPr>
              <w:t>Rated Towing Capacity (RTC)</w:t>
            </w:r>
            <w:r>
              <w:rPr>
                <w:rFonts w:ascii="Calibri" w:eastAsia="Calibri" w:hAnsi="Calibri"/>
                <w:color w:val="000000"/>
                <w:vertAlign w:val="superscript"/>
                <w:lang w:val="en-US"/>
              </w:rPr>
              <w:t>1</w:t>
            </w:r>
          </w:p>
        </w:tc>
      </w:tr>
      <w:tr w:rsidR="00B977C2" w14:paraId="710E8C30" w14:textId="77777777" w:rsidTr="00062F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E1148B1" w14:textId="77777777" w:rsidR="00B977C2" w:rsidRDefault="00B977C2" w:rsidP="00062FBE">
            <w:pPr>
              <w:spacing w:before="158" w:line="276" w:lineRule="auto"/>
              <w:ind w:left="74"/>
              <w:textAlignment w:val="baseline"/>
              <w:rPr>
                <w:rFonts w:ascii="Calibri" w:eastAsia="Calibri" w:hAnsi="Calibri"/>
                <w:b w:val="0"/>
                <w:color w:val="000000"/>
                <w:lang w:val="en-US"/>
              </w:rPr>
            </w:pPr>
          </w:p>
        </w:tc>
        <w:tc>
          <w:tcPr>
            <w:tcW w:w="3118" w:type="dxa"/>
            <w:hideMark/>
          </w:tcPr>
          <w:p w14:paraId="481E72DC" w14:textId="77777777" w:rsidR="00B977C2" w:rsidRDefault="00B977C2" w:rsidP="00062FBE">
            <w:pPr>
              <w:spacing w:before="158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color w:val="000000"/>
                <w:lang w:val="en-US"/>
              </w:rPr>
            </w:pPr>
            <w:r>
              <w:rPr>
                <w:rFonts w:ascii="Calibri" w:eastAsia="Calibri" w:hAnsi="Calibri"/>
                <w:color w:val="000000"/>
                <w:lang w:val="en-US"/>
              </w:rPr>
              <w:t>Designated MIRO (DM)</w:t>
            </w:r>
            <w:r>
              <w:rPr>
                <w:rFonts w:ascii="Calibri" w:eastAsia="Calibri" w:hAnsi="Calibri"/>
                <w:color w:val="000000"/>
                <w:vertAlign w:val="superscript"/>
                <w:lang w:val="en-US"/>
              </w:rPr>
              <w:t xml:space="preserve"> 2</w:t>
            </w:r>
          </w:p>
        </w:tc>
        <w:tc>
          <w:tcPr>
            <w:tcW w:w="3261" w:type="dxa"/>
            <w:hideMark/>
          </w:tcPr>
          <w:p w14:paraId="5329437A" w14:textId="77777777" w:rsidR="00B977C2" w:rsidRDefault="00B977C2" w:rsidP="00062FBE">
            <w:pPr>
              <w:spacing w:before="158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color w:val="000000"/>
                <w:vertAlign w:val="superscript"/>
                <w:lang w:val="en-US"/>
              </w:rPr>
            </w:pPr>
            <w:r>
              <w:rPr>
                <w:rFonts w:ascii="Calibri" w:eastAsia="Calibri" w:hAnsi="Calibri"/>
                <w:color w:val="000000"/>
                <w:lang w:val="en-US"/>
              </w:rPr>
              <w:t>Reference MIRO (RM)</w:t>
            </w:r>
            <w:r>
              <w:rPr>
                <w:rFonts w:ascii="Calibri" w:eastAsia="Calibri" w:hAnsi="Calibri"/>
                <w:color w:val="000000"/>
                <w:vertAlign w:val="superscript"/>
                <w:lang w:val="en-US"/>
              </w:rPr>
              <w:t xml:space="preserve"> 2</w:t>
            </w:r>
          </w:p>
        </w:tc>
      </w:tr>
    </w:tbl>
    <w:p w14:paraId="56250AB7" w14:textId="77777777" w:rsidR="00B977C2" w:rsidRPr="00A672DC" w:rsidRDefault="00B977C2" w:rsidP="00B977C2">
      <w:pPr>
        <w:spacing w:line="276" w:lineRule="auto"/>
        <w:rPr>
          <w:b/>
        </w:rPr>
      </w:pPr>
      <w:r w:rsidRPr="00A672DC">
        <w:rPr>
          <w:b/>
        </w:rPr>
        <w:t>Table 2: Numerical inputs to the FEV calculations</w:t>
      </w:r>
    </w:p>
    <w:tbl>
      <w:tblPr>
        <w:tblStyle w:val="DefaultTable1"/>
        <w:tblW w:w="10348" w:type="dxa"/>
        <w:tblLayout w:type="fixed"/>
        <w:tblLook w:val="04A0" w:firstRow="1" w:lastRow="0" w:firstColumn="1" w:lastColumn="0" w:noHBand="0" w:noVBand="1"/>
      </w:tblPr>
      <w:tblGrid>
        <w:gridCol w:w="3686"/>
        <w:gridCol w:w="2837"/>
        <w:gridCol w:w="3825"/>
      </w:tblGrid>
      <w:tr w:rsidR="00B977C2" w14:paraId="41109E33" w14:textId="77777777" w:rsidTr="00062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hideMark/>
          </w:tcPr>
          <w:p w14:paraId="6619034B" w14:textId="77777777" w:rsidR="00B977C2" w:rsidRPr="00A672DC" w:rsidRDefault="00B977C2" w:rsidP="00062FBE">
            <w:pPr>
              <w:spacing w:before="111" w:after="590" w:line="276" w:lineRule="auto"/>
              <w:ind w:left="106"/>
              <w:textAlignment w:val="baseline"/>
              <w:rPr>
                <w:rFonts w:ascii="Calibri" w:eastAsia="Calibri" w:hAnsi="Calibri"/>
                <w:b w:val="0"/>
                <w:bCs/>
                <w:color w:val="FFFFFF"/>
              </w:rPr>
            </w:pPr>
            <w:r w:rsidRPr="008F1EA1">
              <w:rPr>
                <w:rFonts w:ascii="Calibri" w:eastAsia="Calibri" w:hAnsi="Calibri"/>
                <w:bCs/>
                <w:color w:val="FFFFFF"/>
                <w:lang w:val="en-US"/>
              </w:rPr>
              <w:t>Input</w:t>
            </w:r>
          </w:p>
        </w:tc>
        <w:tc>
          <w:tcPr>
            <w:tcW w:w="2837" w:type="dxa"/>
            <w:hideMark/>
          </w:tcPr>
          <w:p w14:paraId="68A034E7" w14:textId="77777777" w:rsidR="00B977C2" w:rsidRPr="00A672DC" w:rsidRDefault="00B977C2" w:rsidP="00062FBE">
            <w:pPr>
              <w:spacing w:before="64" w:after="101" w:line="276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bCs/>
                <w:color w:val="FFFFFF"/>
              </w:rPr>
            </w:pPr>
            <w:r w:rsidRPr="008F1EA1">
              <w:rPr>
                <w:rFonts w:ascii="Calibri" w:eastAsia="Calibri" w:hAnsi="Calibri"/>
                <w:bCs/>
                <w:color w:val="FFFFFF"/>
                <w:lang w:val="en-US"/>
              </w:rPr>
              <w:t>Depends on</w:t>
            </w:r>
          </w:p>
        </w:tc>
        <w:tc>
          <w:tcPr>
            <w:tcW w:w="3825" w:type="dxa"/>
          </w:tcPr>
          <w:p w14:paraId="651A67E5" w14:textId="77777777" w:rsidR="00B977C2" w:rsidRDefault="00B977C2" w:rsidP="00062FBE">
            <w:pPr>
              <w:spacing w:before="64" w:after="101" w:line="276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color w:val="FFFFFF"/>
                <w:lang w:val="en-US"/>
              </w:rPr>
            </w:pPr>
          </w:p>
        </w:tc>
      </w:tr>
      <w:tr w:rsidR="00B977C2" w14:paraId="42B7B673" w14:textId="77777777" w:rsidTr="00062FBE">
        <w:trPr>
          <w:trHeight w:hRule="exact"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hideMark/>
          </w:tcPr>
          <w:p w14:paraId="3591D47C" w14:textId="77777777" w:rsidR="00B977C2" w:rsidRPr="00A672DC" w:rsidRDefault="00B977C2" w:rsidP="00062FBE">
            <w:pPr>
              <w:spacing w:before="158" w:line="276" w:lineRule="auto"/>
              <w:ind w:left="74"/>
              <w:textAlignment w:val="baseline"/>
              <w:rPr>
                <w:rFonts w:ascii="Calibri" w:eastAsia="Calibri" w:hAnsi="Calibri"/>
                <w:b w:val="0"/>
                <w:bCs/>
                <w:color w:val="000000"/>
                <w:lang w:val="en-US"/>
              </w:rPr>
            </w:pPr>
            <w:r w:rsidRPr="008F1EA1">
              <w:rPr>
                <w:rFonts w:ascii="Calibri" w:eastAsia="Calibri" w:hAnsi="Calibri"/>
                <w:bCs/>
                <w:color w:val="000000"/>
                <w:lang w:val="en-US"/>
              </w:rPr>
              <w:t>Interim Emissions Value</w:t>
            </w:r>
          </w:p>
        </w:tc>
        <w:tc>
          <w:tcPr>
            <w:tcW w:w="2837" w:type="dxa"/>
            <w:hideMark/>
          </w:tcPr>
          <w:p w14:paraId="3691573D" w14:textId="77777777" w:rsidR="00B977C2" w:rsidRDefault="00B977C2" w:rsidP="00062FBE">
            <w:pPr>
              <w:spacing w:before="158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vertAlign w:val="superscript"/>
                <w:lang w:val="en-US"/>
              </w:rPr>
            </w:pPr>
            <w:r w:rsidRPr="00E177D8">
              <w:rPr>
                <w:rFonts w:ascii="Calibri" w:eastAsia="Calibri" w:hAnsi="Calibri"/>
                <w:color w:val="000000"/>
                <w:lang w:val="en-US"/>
              </w:rPr>
              <w:t xml:space="preserve">Emissions </w:t>
            </w:r>
            <w:r>
              <w:rPr>
                <w:rFonts w:ascii="Calibri" w:eastAsia="Calibri" w:hAnsi="Calibri"/>
                <w:color w:val="000000"/>
                <w:lang w:val="en-US"/>
              </w:rPr>
              <w:t>Number</w:t>
            </w:r>
            <w:r>
              <w:rPr>
                <w:rFonts w:ascii="Calibri" w:eastAsia="Calibri" w:hAnsi="Calibri"/>
                <w:color w:val="000000"/>
                <w:vertAlign w:val="superscript"/>
                <w:lang w:val="en-US"/>
              </w:rPr>
              <w:t>2</w:t>
            </w:r>
          </w:p>
        </w:tc>
        <w:tc>
          <w:tcPr>
            <w:tcW w:w="3825" w:type="dxa"/>
          </w:tcPr>
          <w:p w14:paraId="00CC8FDD" w14:textId="77777777" w:rsidR="00B977C2" w:rsidRDefault="00B977C2" w:rsidP="00062FBE">
            <w:pPr>
              <w:spacing w:before="158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lang w:val="en-US"/>
              </w:rPr>
            </w:pPr>
            <w:r>
              <w:rPr>
                <w:rFonts w:ascii="Calibri" w:eastAsia="Calibri" w:hAnsi="Calibri"/>
                <w:color w:val="000000"/>
                <w:lang w:val="en-US"/>
              </w:rPr>
              <w:t>Emissions Target</w:t>
            </w:r>
            <w:r>
              <w:rPr>
                <w:rFonts w:ascii="Calibri" w:eastAsia="Calibri" w:hAnsi="Calibri"/>
                <w:color w:val="000000"/>
                <w:vertAlign w:val="superscript"/>
                <w:lang w:val="en-US"/>
              </w:rPr>
              <w:t>2</w:t>
            </w:r>
          </w:p>
        </w:tc>
      </w:tr>
      <w:tr w:rsidR="00B977C2" w14:paraId="407B00B1" w14:textId="77777777" w:rsidTr="00062F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CDF3737" w14:textId="77777777" w:rsidR="00B977C2" w:rsidRPr="00A672DC" w:rsidRDefault="00B977C2" w:rsidP="00062FBE">
            <w:pPr>
              <w:spacing w:before="158" w:line="276" w:lineRule="auto"/>
              <w:ind w:left="74"/>
              <w:textAlignment w:val="baseline"/>
              <w:rPr>
                <w:rFonts w:ascii="Calibri" w:eastAsia="Calibri" w:hAnsi="Calibri"/>
                <w:b w:val="0"/>
                <w:bCs/>
                <w:color w:val="000000"/>
                <w:lang w:val="en-US"/>
              </w:rPr>
            </w:pPr>
            <w:r w:rsidRPr="008F1EA1">
              <w:rPr>
                <w:rFonts w:ascii="Calibri" w:eastAsia="Calibri" w:hAnsi="Calibri"/>
                <w:bCs/>
                <w:color w:val="000000"/>
                <w:lang w:val="en-US"/>
              </w:rPr>
              <w:t>Units extinguished for the purposes of reducing a person’s FEV</w:t>
            </w:r>
            <w:r>
              <w:rPr>
                <w:rFonts w:ascii="Calibri" w:eastAsia="Calibri" w:hAnsi="Calibri"/>
                <w:color w:val="000000"/>
                <w:vertAlign w:val="superscript"/>
                <w:lang w:val="en-US"/>
              </w:rPr>
              <w:t>2</w:t>
            </w:r>
          </w:p>
        </w:tc>
        <w:tc>
          <w:tcPr>
            <w:tcW w:w="2837" w:type="dxa"/>
          </w:tcPr>
          <w:p w14:paraId="3A560B54" w14:textId="77777777" w:rsidR="00B977C2" w:rsidRPr="00170873" w:rsidRDefault="00B977C2" w:rsidP="00062FBE">
            <w:pPr>
              <w:spacing w:before="158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color w:val="000000"/>
                <w:lang w:val="en-US"/>
              </w:rPr>
            </w:pPr>
          </w:p>
        </w:tc>
        <w:tc>
          <w:tcPr>
            <w:tcW w:w="3825" w:type="dxa"/>
          </w:tcPr>
          <w:p w14:paraId="11FD60E6" w14:textId="77777777" w:rsidR="00B977C2" w:rsidRDefault="00B977C2" w:rsidP="00062FBE">
            <w:pPr>
              <w:spacing w:before="158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color w:val="000000"/>
                <w:lang w:val="en-US"/>
              </w:rPr>
            </w:pPr>
          </w:p>
        </w:tc>
      </w:tr>
    </w:tbl>
    <w:p w14:paraId="49D6556D" w14:textId="77777777" w:rsidR="00B977C2" w:rsidRPr="00FA045B" w:rsidRDefault="00B977C2" w:rsidP="00B977C2">
      <w:pPr>
        <w:spacing w:line="276" w:lineRule="auto"/>
        <w:rPr>
          <w:b/>
        </w:rPr>
      </w:pPr>
      <w:r w:rsidRPr="00FA045B">
        <w:rPr>
          <w:b/>
        </w:rPr>
        <w:t>Table 3: Numerical precision for IEV and FEV calculation inputs</w:t>
      </w:r>
    </w:p>
    <w:tbl>
      <w:tblPr>
        <w:tblStyle w:val="DefaultTable1"/>
        <w:tblW w:w="10065" w:type="dxa"/>
        <w:tblLayout w:type="fixed"/>
        <w:tblLook w:val="0020" w:firstRow="1" w:lastRow="0" w:firstColumn="0" w:lastColumn="0" w:noHBand="0" w:noVBand="0"/>
      </w:tblPr>
      <w:tblGrid>
        <w:gridCol w:w="4111"/>
        <w:gridCol w:w="5954"/>
      </w:tblGrid>
      <w:tr w:rsidR="00B977C2" w:rsidRPr="00DB3810" w14:paraId="58846F4E" w14:textId="77777777" w:rsidTr="00062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87"/>
        </w:trPr>
        <w:tc>
          <w:tcPr>
            <w:tcW w:w="4111" w:type="dxa"/>
          </w:tcPr>
          <w:p w14:paraId="3E98093E" w14:textId="77777777" w:rsidR="00B977C2" w:rsidRPr="00DB3810" w:rsidRDefault="00B977C2" w:rsidP="00062FBE">
            <w:pPr>
              <w:spacing w:before="111" w:after="590" w:line="276" w:lineRule="auto"/>
              <w:ind w:left="106"/>
              <w:textAlignment w:val="baseline"/>
              <w:rPr>
                <w:rFonts w:eastAsia="Calibri" w:cstheme="minorHAnsi"/>
                <w:b w:val="0"/>
                <w:bCs/>
                <w:color w:val="FFFFFF"/>
                <w:sz w:val="20"/>
              </w:rPr>
            </w:pPr>
            <w:r w:rsidRPr="00DB3810">
              <w:rPr>
                <w:rFonts w:eastAsia="Calibri" w:cstheme="minorHAnsi"/>
                <w:bCs/>
                <w:sz w:val="20"/>
                <w:lang w:val="en-US"/>
              </w:rPr>
              <w:t>Numeric field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54" w:type="dxa"/>
          </w:tcPr>
          <w:p w14:paraId="69A776C6" w14:textId="77777777" w:rsidR="00B977C2" w:rsidRPr="00DB3810" w:rsidRDefault="00B977C2" w:rsidP="00062FBE">
            <w:pPr>
              <w:spacing w:before="64" w:after="101" w:line="276" w:lineRule="auto"/>
              <w:textAlignment w:val="baseline"/>
              <w:rPr>
                <w:rFonts w:eastAsia="Calibri" w:cstheme="minorHAnsi"/>
                <w:b w:val="0"/>
                <w:bCs/>
                <w:color w:val="FFFFFF"/>
                <w:sz w:val="20"/>
              </w:rPr>
            </w:pPr>
            <w:r w:rsidRPr="00DB3810">
              <w:rPr>
                <w:rFonts w:eastAsia="Calibri" w:cstheme="minorHAnsi"/>
                <w:bCs/>
                <w:sz w:val="20"/>
                <w:lang w:val="en-US"/>
              </w:rPr>
              <w:t>Numerical precision</w:t>
            </w:r>
          </w:p>
        </w:tc>
      </w:tr>
      <w:tr w:rsidR="00B977C2" w:rsidRPr="00DB3810" w14:paraId="71FC55BF" w14:textId="77777777" w:rsidTr="00062FBE">
        <w:trPr>
          <w:trHeight w:hRule="exact" w:val="456"/>
        </w:trPr>
        <w:tc>
          <w:tcPr>
            <w:tcW w:w="4111" w:type="dxa"/>
          </w:tcPr>
          <w:p w14:paraId="6BAEFA52" w14:textId="77777777" w:rsidR="00B977C2" w:rsidRPr="00DB3810" w:rsidRDefault="00B977C2" w:rsidP="00062FBE">
            <w:pPr>
              <w:spacing w:before="158" w:line="276" w:lineRule="auto"/>
              <w:ind w:left="72"/>
              <w:textAlignment w:val="baseline"/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</w:pPr>
            <w:r w:rsidRPr="00DB3810"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  <w:t>Carbon dioxide (</w:t>
            </w:r>
            <w:r w:rsidRPr="00DB3810">
              <w:rPr>
                <w:rFonts w:cstheme="minorHAnsi"/>
                <w:b/>
                <w:bCs/>
                <w:sz w:val="20"/>
              </w:rPr>
              <w:t>CO</w:t>
            </w:r>
            <w:r w:rsidRPr="00DB3810">
              <w:rPr>
                <w:rFonts w:cstheme="minorHAnsi"/>
                <w:b/>
                <w:bCs/>
                <w:sz w:val="20"/>
                <w:vertAlign w:val="subscript"/>
              </w:rPr>
              <w:t>2</w:t>
            </w:r>
            <w:r w:rsidRPr="00DB3810"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  <w:t>) emissions – g/km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54" w:type="dxa"/>
          </w:tcPr>
          <w:p w14:paraId="32C606B6" w14:textId="1BD9D0A7" w:rsidR="00B977C2" w:rsidRPr="00DB3810" w:rsidRDefault="00B977C2" w:rsidP="00062FBE">
            <w:pPr>
              <w:spacing w:before="158" w:line="276" w:lineRule="auto"/>
              <w:textAlignment w:val="baseline"/>
              <w:rPr>
                <w:rFonts w:eastAsia="Calibri" w:cstheme="minorHAnsi"/>
                <w:color w:val="000000"/>
                <w:sz w:val="20"/>
                <w:lang w:val="en-US"/>
              </w:rPr>
            </w:pPr>
            <w:r w:rsidRPr="00DB3810">
              <w:rPr>
                <w:rFonts w:eastAsia="Calibri" w:cstheme="minorHAnsi"/>
                <w:color w:val="000000"/>
                <w:sz w:val="20"/>
                <w:lang w:val="en-US"/>
              </w:rPr>
              <w:t>Rounded to the nearest whole number</w:t>
            </w:r>
            <w:r w:rsidRPr="00DB3810">
              <w:rPr>
                <w:rStyle w:val="FootnoteReference"/>
                <w:rFonts w:eastAsia="Calibri" w:cstheme="minorHAnsi"/>
                <w:color w:val="000000"/>
                <w:sz w:val="20"/>
                <w:lang w:val="en-US"/>
              </w:rPr>
              <w:footnoteReference w:id="4"/>
            </w:r>
          </w:p>
        </w:tc>
      </w:tr>
      <w:tr w:rsidR="00B977C2" w:rsidRPr="00DB3810" w14:paraId="40F77E4A" w14:textId="77777777" w:rsidTr="00062F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6"/>
        </w:trPr>
        <w:tc>
          <w:tcPr>
            <w:tcW w:w="4111" w:type="dxa"/>
          </w:tcPr>
          <w:p w14:paraId="78727439" w14:textId="77777777" w:rsidR="00B977C2" w:rsidRPr="00DB3810" w:rsidRDefault="00B977C2" w:rsidP="00062FBE">
            <w:pPr>
              <w:spacing w:before="158" w:line="276" w:lineRule="auto"/>
              <w:ind w:left="72"/>
              <w:textAlignment w:val="baseline"/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</w:pPr>
            <w:r w:rsidRPr="00DB3810"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  <w:t>Mass in Running Order (MIRO) – kg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54" w:type="dxa"/>
          </w:tcPr>
          <w:p w14:paraId="59E1A804" w14:textId="77777777" w:rsidR="00B977C2" w:rsidRPr="00DB3810" w:rsidRDefault="00B977C2" w:rsidP="00062FBE">
            <w:pPr>
              <w:spacing w:before="158" w:line="276" w:lineRule="auto"/>
              <w:textAlignment w:val="baseline"/>
              <w:rPr>
                <w:rFonts w:eastAsia="Calibri" w:cstheme="minorHAnsi"/>
                <w:color w:val="000000"/>
                <w:sz w:val="20"/>
                <w:lang w:val="en-US"/>
              </w:rPr>
            </w:pPr>
            <w:r w:rsidRPr="00DB3810">
              <w:rPr>
                <w:rFonts w:eastAsia="Calibri" w:cstheme="minorHAnsi"/>
                <w:color w:val="000000"/>
                <w:sz w:val="20"/>
                <w:lang w:val="en-US"/>
              </w:rPr>
              <w:t>Rounded to the nearest whole number</w:t>
            </w:r>
            <w:r w:rsidRPr="00DB3810">
              <w:rPr>
                <w:rStyle w:val="FootnoteReference"/>
                <w:rFonts w:eastAsia="Calibri" w:cstheme="minorHAnsi"/>
                <w:color w:val="000000"/>
                <w:sz w:val="20"/>
                <w:lang w:val="en-US"/>
              </w:rPr>
              <w:t>3</w:t>
            </w:r>
          </w:p>
        </w:tc>
      </w:tr>
      <w:tr w:rsidR="00B977C2" w:rsidRPr="00DB3810" w14:paraId="1A12C441" w14:textId="77777777" w:rsidTr="00062FBE">
        <w:trPr>
          <w:trHeight w:hRule="exact" w:val="456"/>
        </w:trPr>
        <w:tc>
          <w:tcPr>
            <w:tcW w:w="4111" w:type="dxa"/>
          </w:tcPr>
          <w:p w14:paraId="71B4B8BE" w14:textId="77777777" w:rsidR="00B977C2" w:rsidRPr="00DB3810" w:rsidRDefault="00B977C2" w:rsidP="00062FBE">
            <w:pPr>
              <w:spacing w:before="158" w:line="276" w:lineRule="auto"/>
              <w:ind w:left="72"/>
              <w:textAlignment w:val="baseline"/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</w:pPr>
            <w:r w:rsidRPr="00DB3810"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  <w:t>Rated Towing Capacity – kg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54" w:type="dxa"/>
          </w:tcPr>
          <w:p w14:paraId="3D204563" w14:textId="77777777" w:rsidR="00B977C2" w:rsidRPr="00DB3810" w:rsidRDefault="00B977C2" w:rsidP="00062FBE">
            <w:pPr>
              <w:spacing w:before="158" w:line="276" w:lineRule="auto"/>
              <w:textAlignment w:val="baseline"/>
              <w:rPr>
                <w:rFonts w:eastAsia="Calibri" w:cstheme="minorHAnsi"/>
                <w:color w:val="000000"/>
                <w:sz w:val="20"/>
                <w:lang w:val="en-US"/>
              </w:rPr>
            </w:pPr>
            <w:r w:rsidRPr="00DB3810">
              <w:rPr>
                <w:rFonts w:eastAsia="Calibri" w:cstheme="minorHAnsi"/>
                <w:color w:val="000000"/>
                <w:sz w:val="20"/>
                <w:lang w:val="en-US"/>
              </w:rPr>
              <w:t>Rounded to the nearest whole number</w:t>
            </w:r>
            <w:r w:rsidRPr="00DB3810">
              <w:rPr>
                <w:rFonts w:eastAsia="Calibri" w:cstheme="minorHAnsi"/>
                <w:color w:val="000000"/>
                <w:sz w:val="20"/>
                <w:vertAlign w:val="superscript"/>
                <w:lang w:val="en-US"/>
              </w:rPr>
              <w:t>3</w:t>
            </w:r>
          </w:p>
        </w:tc>
      </w:tr>
      <w:tr w:rsidR="00B977C2" w:rsidRPr="00DB3810" w14:paraId="76DD4BD9" w14:textId="77777777" w:rsidTr="00062F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6"/>
        </w:trPr>
        <w:tc>
          <w:tcPr>
            <w:tcW w:w="4111" w:type="dxa"/>
          </w:tcPr>
          <w:p w14:paraId="5CFFAA8F" w14:textId="77777777" w:rsidR="00B977C2" w:rsidRPr="00DB3810" w:rsidRDefault="00B977C2" w:rsidP="00062FBE">
            <w:pPr>
              <w:spacing w:before="158" w:line="276" w:lineRule="auto"/>
              <w:ind w:left="72"/>
              <w:textAlignment w:val="baseline"/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</w:pPr>
            <w:r w:rsidRPr="00DB3810"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  <w:t>Emissions number (E)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54" w:type="dxa"/>
          </w:tcPr>
          <w:p w14:paraId="573F0B96" w14:textId="77777777" w:rsidR="00B977C2" w:rsidRPr="00DB3810" w:rsidRDefault="00B977C2" w:rsidP="00062FBE">
            <w:pPr>
              <w:spacing w:before="158" w:line="276" w:lineRule="auto"/>
              <w:textAlignment w:val="baseline"/>
              <w:rPr>
                <w:rFonts w:eastAsia="Calibri" w:cstheme="minorHAnsi"/>
                <w:color w:val="000000"/>
                <w:sz w:val="20"/>
                <w:lang w:val="en-US"/>
              </w:rPr>
            </w:pPr>
            <w:r w:rsidRPr="00DB3810">
              <w:rPr>
                <w:rFonts w:eastAsia="Calibri" w:cstheme="minorHAnsi"/>
                <w:color w:val="000000"/>
                <w:sz w:val="20"/>
                <w:lang w:val="en-US"/>
              </w:rPr>
              <w:t>Rounded to the nearest whole number</w:t>
            </w:r>
            <w:r w:rsidRPr="00DB3810">
              <w:rPr>
                <w:rFonts w:eastAsia="Calibri" w:cstheme="minorHAnsi"/>
                <w:color w:val="000000"/>
                <w:sz w:val="20"/>
                <w:vertAlign w:val="superscript"/>
                <w:lang w:val="en-US"/>
              </w:rPr>
              <w:t>3</w:t>
            </w:r>
          </w:p>
          <w:p w14:paraId="28AC58F4" w14:textId="77777777" w:rsidR="00B977C2" w:rsidRPr="00DB3810" w:rsidRDefault="00B977C2" w:rsidP="00062FBE">
            <w:pPr>
              <w:spacing w:before="158" w:line="276" w:lineRule="auto"/>
              <w:textAlignment w:val="baseline"/>
              <w:rPr>
                <w:rFonts w:eastAsia="Calibri" w:cstheme="minorHAnsi"/>
                <w:color w:val="000000"/>
                <w:sz w:val="20"/>
                <w:lang w:val="en-US"/>
              </w:rPr>
            </w:pPr>
          </w:p>
        </w:tc>
      </w:tr>
      <w:tr w:rsidR="00B977C2" w:rsidRPr="00DB3810" w14:paraId="28CAA2C5" w14:textId="77777777" w:rsidTr="00062FBE">
        <w:trPr>
          <w:trHeight w:hRule="exact" w:val="456"/>
        </w:trPr>
        <w:tc>
          <w:tcPr>
            <w:tcW w:w="4111" w:type="dxa"/>
          </w:tcPr>
          <w:p w14:paraId="22B3C16A" w14:textId="77777777" w:rsidR="00B977C2" w:rsidRPr="00DB3810" w:rsidRDefault="00B977C2" w:rsidP="00062FBE">
            <w:pPr>
              <w:spacing w:before="158" w:line="276" w:lineRule="auto"/>
              <w:ind w:left="72"/>
              <w:textAlignment w:val="baseline"/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</w:pPr>
            <w:r w:rsidRPr="00DB3810"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  <w:t>Emissions target (ET)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54" w:type="dxa"/>
          </w:tcPr>
          <w:p w14:paraId="650FC377" w14:textId="2C3B7419" w:rsidR="00B977C2" w:rsidRPr="00DB3810" w:rsidRDefault="00B977C2" w:rsidP="00062FBE">
            <w:pPr>
              <w:spacing w:before="158" w:line="276" w:lineRule="auto"/>
              <w:textAlignment w:val="baseline"/>
              <w:rPr>
                <w:rFonts w:eastAsia="Calibri" w:cstheme="minorHAnsi"/>
                <w:color w:val="000000"/>
                <w:sz w:val="20"/>
                <w:lang w:val="en-US"/>
              </w:rPr>
            </w:pPr>
            <w:r w:rsidRPr="00DB3810">
              <w:rPr>
                <w:rFonts w:eastAsia="Calibri" w:cstheme="minorHAnsi"/>
                <w:color w:val="000000"/>
                <w:sz w:val="20"/>
                <w:lang w:val="en-US"/>
              </w:rPr>
              <w:t>4 decimal places</w:t>
            </w:r>
            <w:r w:rsidRPr="00DB3810">
              <w:rPr>
                <w:rStyle w:val="FootnoteReference"/>
                <w:rFonts w:eastAsia="Calibri" w:cstheme="minorHAnsi"/>
                <w:color w:val="000000"/>
                <w:sz w:val="20"/>
                <w:lang w:val="en-US"/>
              </w:rPr>
              <w:footnoteReference w:id="5"/>
            </w:r>
          </w:p>
        </w:tc>
      </w:tr>
      <w:tr w:rsidR="00B977C2" w:rsidRPr="00DB3810" w14:paraId="28B4470B" w14:textId="77777777" w:rsidTr="00062F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095"/>
        </w:trPr>
        <w:tc>
          <w:tcPr>
            <w:tcW w:w="4111" w:type="dxa"/>
          </w:tcPr>
          <w:p w14:paraId="00D320AF" w14:textId="77777777" w:rsidR="00B977C2" w:rsidRPr="00DB3810" w:rsidRDefault="00B977C2" w:rsidP="00062FBE">
            <w:pPr>
              <w:spacing w:before="158" w:line="276" w:lineRule="auto"/>
              <w:ind w:left="72"/>
              <w:textAlignment w:val="baseline"/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</w:pPr>
            <w:r w:rsidRPr="00DB3810">
              <w:rPr>
                <w:rFonts w:eastAsia="Calibri" w:cstheme="minorHAnsi"/>
                <w:b/>
                <w:color w:val="000000"/>
                <w:sz w:val="20"/>
                <w:lang w:val="en-US"/>
              </w:rPr>
              <w:tab/>
            </w:r>
            <w:r w:rsidRPr="00DB3810"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  <w:t>Headline limit (HL)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54" w:type="dxa"/>
          </w:tcPr>
          <w:tbl>
            <w:tblPr>
              <w:tblStyle w:val="DefaultTable1"/>
              <w:tblW w:w="4283" w:type="dxa"/>
              <w:tblLayout w:type="fixed"/>
              <w:tblLook w:val="04A0" w:firstRow="1" w:lastRow="0" w:firstColumn="1" w:lastColumn="0" w:noHBand="0" w:noVBand="1"/>
            </w:tblPr>
            <w:tblGrid>
              <w:gridCol w:w="740"/>
              <w:gridCol w:w="1701"/>
              <w:gridCol w:w="1842"/>
            </w:tblGrid>
            <w:tr w:rsidR="00B977C2" w:rsidRPr="00DB3810" w14:paraId="6041310C" w14:textId="77777777" w:rsidTr="00062FB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0" w:type="dxa"/>
                  <w:hideMark/>
                </w:tcPr>
                <w:p w14:paraId="3E998722" w14:textId="77777777" w:rsidR="00B977C2" w:rsidRPr="00DB3810" w:rsidRDefault="00B977C2" w:rsidP="00062FBE">
                  <w:pPr>
                    <w:spacing w:before="158" w:line="276" w:lineRule="auto"/>
                    <w:jc w:val="center"/>
                    <w:textAlignment w:val="baseline"/>
                    <w:rPr>
                      <w:rFonts w:eastAsia="Calibri" w:cstheme="minorHAnsi"/>
                      <w:color w:val="000000"/>
                      <w:sz w:val="20"/>
                      <w:lang w:val="en-US"/>
                    </w:rPr>
                  </w:pPr>
                  <w:r w:rsidRPr="00DB3810">
                    <w:rPr>
                      <w:rFonts w:eastAsia="Calibri" w:cstheme="minorHAnsi"/>
                      <w:bCs/>
                      <w:sz w:val="20"/>
                      <w:lang w:val="en-US"/>
                    </w:rPr>
                    <w:t>Year</w:t>
                  </w:r>
                </w:p>
              </w:tc>
              <w:tc>
                <w:tcPr>
                  <w:tcW w:w="1701" w:type="dxa"/>
                  <w:hideMark/>
                </w:tcPr>
                <w:p w14:paraId="22E1E79D" w14:textId="77777777" w:rsidR="00B977C2" w:rsidRPr="00DB3810" w:rsidRDefault="00B977C2" w:rsidP="00062FBE">
                  <w:pPr>
                    <w:spacing w:before="158" w:line="276" w:lineRule="auto"/>
                    <w:jc w:val="center"/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libri" w:cstheme="minorHAnsi"/>
                      <w:color w:val="000000"/>
                      <w:sz w:val="20"/>
                      <w:lang w:val="en-US"/>
                    </w:rPr>
                  </w:pPr>
                  <w:r w:rsidRPr="00DB3810">
                    <w:rPr>
                      <w:rFonts w:eastAsia="Calibri" w:cstheme="minorHAnsi"/>
                      <w:bCs/>
                      <w:sz w:val="20"/>
                      <w:lang w:val="en-US"/>
                    </w:rPr>
                    <w:t>Type 1 vehicles</w:t>
                  </w:r>
                </w:p>
              </w:tc>
              <w:tc>
                <w:tcPr>
                  <w:tcW w:w="1842" w:type="dxa"/>
                  <w:hideMark/>
                </w:tcPr>
                <w:p w14:paraId="4F7F432F" w14:textId="77777777" w:rsidR="00B977C2" w:rsidRPr="00DB3810" w:rsidRDefault="00B977C2" w:rsidP="00062FBE">
                  <w:pPr>
                    <w:spacing w:before="158" w:line="276" w:lineRule="auto"/>
                    <w:jc w:val="center"/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libri" w:cstheme="minorHAnsi"/>
                      <w:color w:val="000000"/>
                      <w:sz w:val="20"/>
                      <w:lang w:val="en-US"/>
                    </w:rPr>
                  </w:pPr>
                  <w:r w:rsidRPr="00DB3810">
                    <w:rPr>
                      <w:rFonts w:eastAsia="Calibri" w:cstheme="minorHAnsi"/>
                      <w:bCs/>
                      <w:sz w:val="20"/>
                      <w:lang w:val="en-US"/>
                    </w:rPr>
                    <w:t>Type 2 vehicles</w:t>
                  </w:r>
                </w:p>
              </w:tc>
            </w:tr>
            <w:tr w:rsidR="00B977C2" w:rsidRPr="00DB3810" w14:paraId="15D7623C" w14:textId="77777777" w:rsidTr="00062FBE">
              <w:trPr>
                <w:trHeight w:val="33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0" w:type="dxa"/>
                  <w:hideMark/>
                </w:tcPr>
                <w:p w14:paraId="4003846F" w14:textId="77777777" w:rsidR="00B977C2" w:rsidRPr="00DB3810" w:rsidRDefault="00B977C2" w:rsidP="00062FBE">
                  <w:pPr>
                    <w:spacing w:before="0" w:after="0" w:line="276" w:lineRule="auto"/>
                    <w:jc w:val="center"/>
                    <w:textAlignment w:val="baseline"/>
                    <w:rPr>
                      <w:rFonts w:eastAsia="Calibri" w:cstheme="minorHAnsi"/>
                      <w:b w:val="0"/>
                      <w:color w:val="000000"/>
                      <w:sz w:val="20"/>
                      <w:lang w:val="en-US"/>
                    </w:rPr>
                  </w:pPr>
                  <w:r w:rsidRPr="00DB3810">
                    <w:rPr>
                      <w:rFonts w:eastAsia="Calibri" w:cstheme="minorHAnsi"/>
                      <w:color w:val="000000"/>
                      <w:sz w:val="20"/>
                      <w:lang w:val="en-US"/>
                    </w:rPr>
                    <w:t>2025</w:t>
                  </w:r>
                </w:p>
              </w:tc>
              <w:tc>
                <w:tcPr>
                  <w:tcW w:w="1701" w:type="dxa"/>
                  <w:hideMark/>
                </w:tcPr>
                <w:p w14:paraId="61FC5F74" w14:textId="77777777" w:rsidR="00B977C2" w:rsidRPr="00DB3810" w:rsidRDefault="00B977C2" w:rsidP="00062FBE">
                  <w:pPr>
                    <w:spacing w:before="0" w:after="0" w:line="276" w:lineRule="auto"/>
                    <w:jc w:val="center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libri" w:cstheme="minorHAnsi"/>
                      <w:color w:val="000000"/>
                      <w:sz w:val="20"/>
                      <w:lang w:val="en-US"/>
                    </w:rPr>
                  </w:pPr>
                  <w:r w:rsidRPr="00DB3810">
                    <w:rPr>
                      <w:rFonts w:eastAsia="Calibri" w:cstheme="minorHAnsi"/>
                      <w:color w:val="000000"/>
                      <w:sz w:val="20"/>
                      <w:lang w:val="en-US"/>
                    </w:rPr>
                    <w:t>141</w:t>
                  </w:r>
                </w:p>
              </w:tc>
              <w:tc>
                <w:tcPr>
                  <w:tcW w:w="1842" w:type="dxa"/>
                  <w:hideMark/>
                </w:tcPr>
                <w:p w14:paraId="29E6C9C5" w14:textId="77777777" w:rsidR="00B977C2" w:rsidRPr="00DB3810" w:rsidRDefault="00B977C2" w:rsidP="00062FBE">
                  <w:pPr>
                    <w:spacing w:before="0" w:after="0" w:line="276" w:lineRule="auto"/>
                    <w:jc w:val="center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libri" w:cstheme="minorHAnsi"/>
                      <w:color w:val="000000"/>
                      <w:sz w:val="20"/>
                      <w:lang w:val="en-US"/>
                    </w:rPr>
                  </w:pPr>
                  <w:r w:rsidRPr="00DB3810">
                    <w:rPr>
                      <w:rFonts w:eastAsia="Calibri" w:cstheme="minorHAnsi"/>
                      <w:color w:val="000000"/>
                      <w:sz w:val="20"/>
                      <w:lang w:val="en-US"/>
                    </w:rPr>
                    <w:t>210</w:t>
                  </w:r>
                </w:p>
              </w:tc>
            </w:tr>
            <w:tr w:rsidR="00B977C2" w:rsidRPr="00DB3810" w14:paraId="5F5AD0E8" w14:textId="77777777" w:rsidTr="00062FB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0" w:type="dxa"/>
                  <w:hideMark/>
                </w:tcPr>
                <w:p w14:paraId="02E05F35" w14:textId="77777777" w:rsidR="00B977C2" w:rsidRPr="00DB3810" w:rsidRDefault="00B977C2" w:rsidP="00062FBE">
                  <w:pPr>
                    <w:spacing w:before="0" w:after="0" w:line="276" w:lineRule="auto"/>
                    <w:jc w:val="center"/>
                    <w:textAlignment w:val="baseline"/>
                    <w:rPr>
                      <w:rFonts w:eastAsia="Calibri" w:cstheme="minorHAnsi"/>
                      <w:b w:val="0"/>
                      <w:color w:val="000000"/>
                      <w:sz w:val="20"/>
                      <w:lang w:val="en-US"/>
                    </w:rPr>
                  </w:pPr>
                  <w:r w:rsidRPr="00DB3810">
                    <w:rPr>
                      <w:rFonts w:eastAsia="Calibri" w:cstheme="minorHAnsi"/>
                      <w:color w:val="000000"/>
                      <w:sz w:val="20"/>
                      <w:lang w:val="en-US"/>
                    </w:rPr>
                    <w:t>2026</w:t>
                  </w:r>
                </w:p>
              </w:tc>
              <w:tc>
                <w:tcPr>
                  <w:tcW w:w="1701" w:type="dxa"/>
                  <w:hideMark/>
                </w:tcPr>
                <w:p w14:paraId="74B12BB3" w14:textId="77777777" w:rsidR="00B977C2" w:rsidRPr="00DB3810" w:rsidRDefault="00B977C2" w:rsidP="00062FBE">
                  <w:pPr>
                    <w:spacing w:before="0" w:after="0" w:line="276" w:lineRule="auto"/>
                    <w:jc w:val="center"/>
                    <w:textAlignment w:val="baseline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Calibri" w:cstheme="minorHAnsi"/>
                      <w:color w:val="000000"/>
                      <w:sz w:val="20"/>
                      <w:lang w:val="en-US"/>
                    </w:rPr>
                  </w:pPr>
                  <w:r w:rsidRPr="00DB3810">
                    <w:rPr>
                      <w:rFonts w:eastAsia="Calibri" w:cstheme="minorHAnsi"/>
                      <w:color w:val="000000"/>
                      <w:sz w:val="20"/>
                      <w:lang w:val="en-US"/>
                    </w:rPr>
                    <w:t>117</w:t>
                  </w:r>
                </w:p>
              </w:tc>
              <w:tc>
                <w:tcPr>
                  <w:tcW w:w="1842" w:type="dxa"/>
                  <w:hideMark/>
                </w:tcPr>
                <w:p w14:paraId="4BE65BC1" w14:textId="77777777" w:rsidR="00B977C2" w:rsidRPr="00DB3810" w:rsidRDefault="00B977C2" w:rsidP="00062FBE">
                  <w:pPr>
                    <w:spacing w:before="0" w:after="0" w:line="276" w:lineRule="auto"/>
                    <w:jc w:val="center"/>
                    <w:textAlignment w:val="baseline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Calibri" w:cstheme="minorHAnsi"/>
                      <w:color w:val="000000"/>
                      <w:sz w:val="20"/>
                      <w:lang w:val="en-US"/>
                    </w:rPr>
                  </w:pPr>
                  <w:r w:rsidRPr="00DB3810">
                    <w:rPr>
                      <w:rFonts w:eastAsia="Calibri" w:cstheme="minorHAnsi"/>
                      <w:color w:val="000000"/>
                      <w:sz w:val="20"/>
                      <w:lang w:val="en-US"/>
                    </w:rPr>
                    <w:t>180</w:t>
                  </w:r>
                </w:p>
              </w:tc>
            </w:tr>
            <w:tr w:rsidR="00B977C2" w:rsidRPr="00DB3810" w14:paraId="17BCE7FA" w14:textId="77777777" w:rsidTr="00062FBE">
              <w:trPr>
                <w:trHeight w:val="27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0" w:type="dxa"/>
                  <w:hideMark/>
                </w:tcPr>
                <w:p w14:paraId="3A0D2D4C" w14:textId="77777777" w:rsidR="00B977C2" w:rsidRPr="00DB3810" w:rsidRDefault="00B977C2" w:rsidP="00062FBE">
                  <w:pPr>
                    <w:spacing w:before="0" w:after="0" w:line="276" w:lineRule="auto"/>
                    <w:jc w:val="center"/>
                    <w:textAlignment w:val="baseline"/>
                    <w:rPr>
                      <w:rFonts w:eastAsia="Calibri" w:cstheme="minorHAnsi"/>
                      <w:b w:val="0"/>
                      <w:color w:val="000000"/>
                      <w:sz w:val="20"/>
                      <w:lang w:val="en-US"/>
                    </w:rPr>
                  </w:pPr>
                  <w:r w:rsidRPr="00DB3810">
                    <w:rPr>
                      <w:rFonts w:eastAsia="Calibri" w:cstheme="minorHAnsi"/>
                      <w:color w:val="000000"/>
                      <w:sz w:val="20"/>
                      <w:lang w:val="en-US"/>
                    </w:rPr>
                    <w:t>2027</w:t>
                  </w:r>
                </w:p>
              </w:tc>
              <w:tc>
                <w:tcPr>
                  <w:tcW w:w="1701" w:type="dxa"/>
                  <w:hideMark/>
                </w:tcPr>
                <w:p w14:paraId="268F8E5C" w14:textId="77777777" w:rsidR="00B977C2" w:rsidRPr="00DB3810" w:rsidRDefault="00B977C2" w:rsidP="00062FBE">
                  <w:pPr>
                    <w:spacing w:before="0" w:after="0" w:line="276" w:lineRule="auto"/>
                    <w:jc w:val="center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libri" w:cstheme="minorHAnsi"/>
                      <w:color w:val="000000"/>
                      <w:sz w:val="20"/>
                      <w:lang w:val="en-US"/>
                    </w:rPr>
                  </w:pPr>
                  <w:r w:rsidRPr="00DB3810">
                    <w:rPr>
                      <w:rFonts w:eastAsia="Calibri" w:cstheme="minorHAnsi"/>
                      <w:color w:val="000000"/>
                      <w:sz w:val="20"/>
                      <w:lang w:val="en-US"/>
                    </w:rPr>
                    <w:t>92</w:t>
                  </w:r>
                </w:p>
              </w:tc>
              <w:tc>
                <w:tcPr>
                  <w:tcW w:w="1842" w:type="dxa"/>
                  <w:hideMark/>
                </w:tcPr>
                <w:p w14:paraId="6C55196A" w14:textId="77777777" w:rsidR="00B977C2" w:rsidRPr="00DB3810" w:rsidRDefault="00B977C2" w:rsidP="00062FBE">
                  <w:pPr>
                    <w:spacing w:before="0" w:after="0" w:line="276" w:lineRule="auto"/>
                    <w:jc w:val="center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libri" w:cstheme="minorHAnsi"/>
                      <w:color w:val="000000"/>
                      <w:sz w:val="20"/>
                      <w:lang w:val="en-US"/>
                    </w:rPr>
                  </w:pPr>
                  <w:r w:rsidRPr="00DB3810">
                    <w:rPr>
                      <w:rFonts w:eastAsia="Calibri" w:cstheme="minorHAnsi"/>
                      <w:color w:val="000000"/>
                      <w:sz w:val="20"/>
                      <w:lang w:val="en-US"/>
                    </w:rPr>
                    <w:t>150</w:t>
                  </w:r>
                </w:p>
              </w:tc>
            </w:tr>
            <w:tr w:rsidR="00B977C2" w:rsidRPr="00DB3810" w14:paraId="7E6068FE" w14:textId="77777777" w:rsidTr="00062FB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9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0" w:type="dxa"/>
                  <w:hideMark/>
                </w:tcPr>
                <w:p w14:paraId="451C2E06" w14:textId="77777777" w:rsidR="00B977C2" w:rsidRPr="00DB3810" w:rsidRDefault="00B977C2" w:rsidP="00062FBE">
                  <w:pPr>
                    <w:spacing w:before="0" w:after="0" w:line="276" w:lineRule="auto"/>
                    <w:jc w:val="center"/>
                    <w:textAlignment w:val="baseline"/>
                    <w:rPr>
                      <w:rFonts w:eastAsia="Calibri" w:cstheme="minorHAnsi"/>
                      <w:b w:val="0"/>
                      <w:color w:val="000000"/>
                      <w:sz w:val="20"/>
                      <w:lang w:val="en-US"/>
                    </w:rPr>
                  </w:pPr>
                  <w:r w:rsidRPr="00DB3810">
                    <w:rPr>
                      <w:rFonts w:eastAsia="Calibri" w:cstheme="minorHAnsi"/>
                      <w:color w:val="000000"/>
                      <w:sz w:val="20"/>
                      <w:lang w:val="en-US"/>
                    </w:rPr>
                    <w:t>2028</w:t>
                  </w:r>
                </w:p>
              </w:tc>
              <w:tc>
                <w:tcPr>
                  <w:tcW w:w="1701" w:type="dxa"/>
                  <w:hideMark/>
                </w:tcPr>
                <w:p w14:paraId="651E6B9A" w14:textId="77777777" w:rsidR="00B977C2" w:rsidRPr="00DB3810" w:rsidRDefault="00B977C2" w:rsidP="00062FBE">
                  <w:pPr>
                    <w:spacing w:before="0" w:after="0" w:line="276" w:lineRule="auto"/>
                    <w:jc w:val="center"/>
                    <w:textAlignment w:val="baseline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Calibri" w:cstheme="minorHAnsi"/>
                      <w:color w:val="000000"/>
                      <w:sz w:val="20"/>
                      <w:lang w:val="en-US"/>
                    </w:rPr>
                  </w:pPr>
                  <w:r w:rsidRPr="00DB3810">
                    <w:rPr>
                      <w:rFonts w:eastAsia="Calibri" w:cstheme="minorHAnsi"/>
                      <w:color w:val="000000"/>
                      <w:sz w:val="20"/>
                      <w:lang w:val="en-US"/>
                    </w:rPr>
                    <w:t>68</w:t>
                  </w:r>
                </w:p>
              </w:tc>
              <w:tc>
                <w:tcPr>
                  <w:tcW w:w="1842" w:type="dxa"/>
                  <w:hideMark/>
                </w:tcPr>
                <w:p w14:paraId="5B12E177" w14:textId="77777777" w:rsidR="00B977C2" w:rsidRPr="00DB3810" w:rsidRDefault="00B977C2" w:rsidP="00062FBE">
                  <w:pPr>
                    <w:spacing w:before="0" w:after="0" w:line="276" w:lineRule="auto"/>
                    <w:jc w:val="center"/>
                    <w:textAlignment w:val="baseline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Calibri" w:cstheme="minorHAnsi"/>
                      <w:color w:val="000000"/>
                      <w:sz w:val="20"/>
                      <w:lang w:val="en-US"/>
                    </w:rPr>
                  </w:pPr>
                  <w:r w:rsidRPr="00DB3810">
                    <w:rPr>
                      <w:rFonts w:eastAsia="Calibri" w:cstheme="minorHAnsi"/>
                      <w:color w:val="000000"/>
                      <w:sz w:val="20"/>
                      <w:lang w:val="en-US"/>
                    </w:rPr>
                    <w:t>122</w:t>
                  </w:r>
                </w:p>
              </w:tc>
            </w:tr>
            <w:tr w:rsidR="00B977C2" w:rsidRPr="00DB3810" w14:paraId="324BB328" w14:textId="77777777" w:rsidTr="00062FBE">
              <w:trPr>
                <w:trHeight w:val="2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0" w:type="dxa"/>
                  <w:hideMark/>
                </w:tcPr>
                <w:p w14:paraId="53A8E583" w14:textId="77777777" w:rsidR="00B977C2" w:rsidRPr="00DB3810" w:rsidRDefault="00B977C2" w:rsidP="00062FBE">
                  <w:pPr>
                    <w:spacing w:before="0" w:after="0" w:line="276" w:lineRule="auto"/>
                    <w:jc w:val="center"/>
                    <w:textAlignment w:val="baseline"/>
                    <w:rPr>
                      <w:rFonts w:eastAsia="Calibri" w:cstheme="minorHAnsi"/>
                      <w:b w:val="0"/>
                      <w:color w:val="000000"/>
                      <w:sz w:val="20"/>
                      <w:lang w:val="en-US"/>
                    </w:rPr>
                  </w:pPr>
                  <w:r w:rsidRPr="00DB3810">
                    <w:rPr>
                      <w:rFonts w:eastAsia="Calibri" w:cstheme="minorHAnsi"/>
                      <w:color w:val="000000"/>
                      <w:sz w:val="20"/>
                      <w:lang w:val="en-US"/>
                    </w:rPr>
                    <w:t>2029</w:t>
                  </w:r>
                </w:p>
              </w:tc>
              <w:tc>
                <w:tcPr>
                  <w:tcW w:w="1701" w:type="dxa"/>
                  <w:hideMark/>
                </w:tcPr>
                <w:p w14:paraId="1179BB91" w14:textId="77777777" w:rsidR="00B977C2" w:rsidRPr="00DB3810" w:rsidRDefault="00B977C2" w:rsidP="00062FBE">
                  <w:pPr>
                    <w:spacing w:before="0" w:after="0" w:line="276" w:lineRule="auto"/>
                    <w:jc w:val="center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libri" w:cstheme="minorHAnsi"/>
                      <w:color w:val="000000"/>
                      <w:sz w:val="20"/>
                      <w:lang w:val="en-US"/>
                    </w:rPr>
                  </w:pPr>
                  <w:r w:rsidRPr="00DB3810">
                    <w:rPr>
                      <w:rFonts w:eastAsia="Calibri" w:cstheme="minorHAnsi"/>
                      <w:color w:val="000000"/>
                      <w:sz w:val="20"/>
                      <w:lang w:val="en-US"/>
                    </w:rPr>
                    <w:t>58</w:t>
                  </w:r>
                </w:p>
              </w:tc>
              <w:tc>
                <w:tcPr>
                  <w:tcW w:w="1842" w:type="dxa"/>
                  <w:hideMark/>
                </w:tcPr>
                <w:p w14:paraId="061D6F83" w14:textId="77777777" w:rsidR="00B977C2" w:rsidRPr="00DB3810" w:rsidRDefault="00B977C2" w:rsidP="00062FBE">
                  <w:pPr>
                    <w:spacing w:before="0" w:after="0" w:line="276" w:lineRule="auto"/>
                    <w:jc w:val="center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libri" w:cstheme="minorHAnsi"/>
                      <w:color w:val="000000"/>
                      <w:sz w:val="20"/>
                      <w:lang w:val="en-US"/>
                    </w:rPr>
                  </w:pPr>
                  <w:r w:rsidRPr="00DB3810">
                    <w:rPr>
                      <w:rFonts w:eastAsia="Calibri" w:cstheme="minorHAnsi"/>
                      <w:color w:val="000000"/>
                      <w:sz w:val="20"/>
                      <w:lang w:val="en-US"/>
                    </w:rPr>
                    <w:t>110</w:t>
                  </w:r>
                </w:p>
              </w:tc>
            </w:tr>
          </w:tbl>
          <w:p w14:paraId="1D24D2B6" w14:textId="77777777" w:rsidR="00B977C2" w:rsidRPr="00DB3810" w:rsidRDefault="00B977C2" w:rsidP="00062FBE">
            <w:pPr>
              <w:spacing w:before="158" w:line="276" w:lineRule="auto"/>
              <w:textAlignment w:val="baseline"/>
              <w:rPr>
                <w:rFonts w:eastAsia="Calibri" w:cstheme="minorHAnsi"/>
                <w:color w:val="000000"/>
                <w:sz w:val="20"/>
                <w:lang w:val="en-US"/>
              </w:rPr>
            </w:pPr>
          </w:p>
        </w:tc>
      </w:tr>
      <w:tr w:rsidR="00B977C2" w:rsidRPr="00DB3810" w14:paraId="129858C5" w14:textId="77777777" w:rsidTr="00062FBE">
        <w:trPr>
          <w:trHeight w:hRule="exact" w:val="712"/>
        </w:trPr>
        <w:tc>
          <w:tcPr>
            <w:tcW w:w="4111" w:type="dxa"/>
          </w:tcPr>
          <w:p w14:paraId="271629F2" w14:textId="0D4153FF" w:rsidR="00B977C2" w:rsidRPr="00DB3810" w:rsidRDefault="00B977C2" w:rsidP="00062FBE">
            <w:pPr>
              <w:spacing w:before="158" w:line="276" w:lineRule="auto"/>
              <w:textAlignment w:val="baseline"/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</w:pPr>
            <w:r w:rsidRPr="00DB3810">
              <w:rPr>
                <w:rFonts w:eastAsia="Calibri" w:cstheme="minorHAnsi"/>
                <w:b/>
                <w:color w:val="000000"/>
                <w:sz w:val="20"/>
                <w:lang w:val="en-US"/>
              </w:rPr>
              <w:tab/>
            </w:r>
            <w:r w:rsidRPr="00DB3810"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  <w:t>Mass adjustment factor (MAF)</w:t>
            </w:r>
            <w:r w:rsidRPr="00DB3810">
              <w:rPr>
                <w:rStyle w:val="FootnoteReference"/>
                <w:rFonts w:eastAsia="Calibri" w:cstheme="minorHAnsi"/>
                <w:b/>
                <w:bCs/>
                <w:color w:val="000000"/>
                <w:sz w:val="20"/>
                <w:lang w:val="en-US"/>
              </w:rPr>
              <w:footnoteReference w:id="6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54" w:type="dxa"/>
          </w:tcPr>
          <w:p w14:paraId="1853DE31" w14:textId="77777777" w:rsidR="00B977C2" w:rsidRPr="00DB3810" w:rsidRDefault="00B977C2" w:rsidP="00062FBE">
            <w:pPr>
              <w:spacing w:line="276" w:lineRule="auto"/>
              <w:textAlignment w:val="baseline"/>
              <w:rPr>
                <w:rFonts w:eastAsia="Calibri" w:cstheme="minorHAnsi"/>
                <w:sz w:val="20"/>
                <w:lang w:val="en-US"/>
              </w:rPr>
            </w:pPr>
            <w:r w:rsidRPr="00DB3810"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  <w:t>Type 1 vehicles (2025)</w:t>
            </w:r>
            <w:r w:rsidRPr="00DB3810">
              <w:rPr>
                <w:rFonts w:eastAsia="Calibri" w:cstheme="minorHAnsi"/>
                <w:color w:val="000000"/>
                <w:sz w:val="20"/>
                <w:lang w:val="en-US"/>
              </w:rPr>
              <w:t>: 0.0663</w:t>
            </w:r>
          </w:p>
          <w:p w14:paraId="647FB6E5" w14:textId="77777777" w:rsidR="00B977C2" w:rsidRPr="00DB3810" w:rsidRDefault="00B977C2" w:rsidP="00062FBE">
            <w:pPr>
              <w:spacing w:line="276" w:lineRule="auto"/>
              <w:textAlignment w:val="baseline"/>
              <w:rPr>
                <w:rFonts w:eastAsia="Calibri" w:cstheme="minorHAnsi"/>
                <w:sz w:val="20"/>
                <w:lang w:val="en-US"/>
              </w:rPr>
            </w:pPr>
            <w:r w:rsidRPr="00DB3810"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  <w:t>Type 2 vehicles (2025)</w:t>
            </w:r>
            <w:r w:rsidRPr="00DB3810">
              <w:rPr>
                <w:rFonts w:eastAsia="Calibri" w:cstheme="minorHAnsi"/>
                <w:color w:val="000000"/>
                <w:sz w:val="20"/>
                <w:lang w:val="en-US"/>
              </w:rPr>
              <w:t>: 0.0324</w:t>
            </w:r>
          </w:p>
        </w:tc>
      </w:tr>
      <w:tr w:rsidR="00B977C2" w:rsidRPr="00DB3810" w14:paraId="441BF448" w14:textId="77777777" w:rsidTr="00062F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55"/>
        </w:trPr>
        <w:tc>
          <w:tcPr>
            <w:tcW w:w="4111" w:type="dxa"/>
          </w:tcPr>
          <w:p w14:paraId="79922E6B" w14:textId="77777777" w:rsidR="00B977C2" w:rsidRPr="00DB3810" w:rsidRDefault="00B977C2" w:rsidP="00062FBE">
            <w:pPr>
              <w:spacing w:before="158" w:line="276" w:lineRule="auto"/>
              <w:ind w:left="72"/>
              <w:textAlignment w:val="baseline"/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</w:pPr>
            <w:r w:rsidRPr="00DB3810">
              <w:rPr>
                <w:rFonts w:eastAsia="Calibri" w:cstheme="minorHAnsi"/>
                <w:b/>
                <w:color w:val="000000"/>
                <w:sz w:val="20"/>
                <w:lang w:val="en-US"/>
              </w:rPr>
              <w:tab/>
            </w:r>
            <w:r w:rsidRPr="00DB3810"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  <w:t>Designated MIRO (DM)</w:t>
            </w:r>
            <w:r w:rsidRPr="00DB3810">
              <w:rPr>
                <w:rFonts w:cstheme="minorHAnsi"/>
                <w:sz w:val="20"/>
                <w:vertAlign w:val="superscript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54" w:type="dxa"/>
          </w:tcPr>
          <w:p w14:paraId="780BA931" w14:textId="77777777" w:rsidR="00B977C2" w:rsidRPr="00DB3810" w:rsidRDefault="00B977C2" w:rsidP="00062FBE">
            <w:pPr>
              <w:spacing w:before="200" w:line="276" w:lineRule="auto"/>
              <w:textAlignment w:val="baseline"/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</w:pPr>
            <w:r w:rsidRPr="00DB3810"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  <w:t>Type 1 vehicles (2025)</w:t>
            </w:r>
          </w:p>
          <w:p w14:paraId="7266B369" w14:textId="77777777" w:rsidR="00B977C2" w:rsidRPr="00DB3810" w:rsidRDefault="00B977C2" w:rsidP="00062FBE">
            <w:pPr>
              <w:spacing w:before="0" w:line="276" w:lineRule="auto"/>
              <w:textAlignment w:val="baseline"/>
              <w:rPr>
                <w:rFonts w:eastAsia="Calibri" w:cstheme="minorHAnsi"/>
                <w:color w:val="000000"/>
                <w:sz w:val="20"/>
                <w:lang w:val="en-US"/>
              </w:rPr>
            </w:pPr>
            <w:r w:rsidRPr="00DB3810">
              <w:rPr>
                <w:rFonts w:eastAsia="Calibri" w:cstheme="minorHAnsi"/>
                <w:color w:val="000000"/>
                <w:sz w:val="20"/>
                <w:lang w:val="en-US"/>
              </w:rPr>
              <w:t>1500 if MIRO &lt;= 1500kg</w:t>
            </w:r>
          </w:p>
          <w:p w14:paraId="68FDB1A9" w14:textId="77777777" w:rsidR="00B977C2" w:rsidRPr="00DB3810" w:rsidRDefault="00B977C2" w:rsidP="00062FBE">
            <w:pPr>
              <w:spacing w:before="0" w:line="276" w:lineRule="auto"/>
              <w:textAlignment w:val="baseline"/>
              <w:rPr>
                <w:rFonts w:eastAsia="Calibri" w:cstheme="minorHAnsi"/>
                <w:color w:val="000000"/>
                <w:sz w:val="20"/>
                <w:lang w:val="en-US"/>
              </w:rPr>
            </w:pPr>
            <w:r w:rsidRPr="00DB3810">
              <w:rPr>
                <w:rFonts w:eastAsia="Calibri" w:cstheme="minorHAnsi"/>
                <w:color w:val="000000"/>
                <w:sz w:val="20"/>
                <w:lang w:val="en-US"/>
              </w:rPr>
              <w:t>As for MIRO, if 1500&lt;MIRO&lt;2200kg</w:t>
            </w:r>
          </w:p>
          <w:p w14:paraId="67959D99" w14:textId="77777777" w:rsidR="00B977C2" w:rsidRPr="00DB3810" w:rsidRDefault="00B977C2" w:rsidP="00062FBE">
            <w:pPr>
              <w:spacing w:before="0" w:after="240" w:line="276" w:lineRule="auto"/>
              <w:textAlignment w:val="baseline"/>
              <w:rPr>
                <w:rFonts w:eastAsia="Calibri" w:cstheme="minorHAnsi"/>
                <w:color w:val="000000"/>
                <w:sz w:val="20"/>
                <w:lang w:val="en-US"/>
              </w:rPr>
            </w:pPr>
            <w:r w:rsidRPr="00DB3810">
              <w:rPr>
                <w:rFonts w:eastAsia="Calibri" w:cstheme="minorHAnsi"/>
                <w:color w:val="000000"/>
                <w:sz w:val="20"/>
                <w:lang w:val="en-US"/>
              </w:rPr>
              <w:t>2200 if MIRO &gt;=2200kg</w:t>
            </w:r>
          </w:p>
          <w:p w14:paraId="71CBE46D" w14:textId="77777777" w:rsidR="00B977C2" w:rsidRPr="00DB3810" w:rsidRDefault="00B977C2" w:rsidP="00062FBE">
            <w:pPr>
              <w:spacing w:before="0" w:line="276" w:lineRule="auto"/>
              <w:textAlignment w:val="baseline"/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</w:pPr>
            <w:r w:rsidRPr="00DB3810"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  <w:t>Type 2 vehicles (2025)</w:t>
            </w:r>
          </w:p>
          <w:p w14:paraId="36070E61" w14:textId="77777777" w:rsidR="00B977C2" w:rsidRPr="00DB3810" w:rsidRDefault="00B977C2" w:rsidP="00062FBE">
            <w:pPr>
              <w:spacing w:before="0" w:line="276" w:lineRule="auto"/>
              <w:textAlignment w:val="baseline"/>
              <w:rPr>
                <w:rFonts w:eastAsia="Calibri" w:cstheme="minorHAnsi"/>
                <w:color w:val="000000"/>
                <w:sz w:val="20"/>
                <w:lang w:val="en-US"/>
              </w:rPr>
            </w:pPr>
            <w:r w:rsidRPr="00DB3810">
              <w:rPr>
                <w:rFonts w:eastAsia="Calibri" w:cstheme="minorHAnsi"/>
                <w:color w:val="000000"/>
                <w:sz w:val="20"/>
                <w:lang w:val="en-US"/>
              </w:rPr>
              <w:t>1500 if MIRO &lt;= 1500kg</w:t>
            </w:r>
          </w:p>
          <w:p w14:paraId="47BF5E8D" w14:textId="77777777" w:rsidR="00B977C2" w:rsidRPr="00DB3810" w:rsidRDefault="00B977C2" w:rsidP="00062FBE">
            <w:pPr>
              <w:spacing w:before="0" w:line="276" w:lineRule="auto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  <w:r w:rsidRPr="00DB3810">
              <w:rPr>
                <w:rFonts w:eastAsia="Calibri" w:cstheme="minorHAnsi"/>
                <w:color w:val="000000"/>
                <w:sz w:val="20"/>
                <w:lang w:val="en-US"/>
              </w:rPr>
              <w:t>As for MIRO, if 1500&lt;MIRO&lt;2400kg</w:t>
            </w:r>
          </w:p>
          <w:p w14:paraId="139B33B9" w14:textId="77777777" w:rsidR="00B977C2" w:rsidRPr="00DB3810" w:rsidRDefault="00B977C2" w:rsidP="00062FBE">
            <w:pPr>
              <w:spacing w:before="0" w:line="276" w:lineRule="auto"/>
              <w:textAlignment w:val="baseline"/>
              <w:rPr>
                <w:rFonts w:eastAsia="Calibri" w:cstheme="minorHAnsi"/>
                <w:color w:val="000000"/>
                <w:sz w:val="20"/>
                <w:lang w:val="en-US"/>
              </w:rPr>
            </w:pPr>
            <w:r w:rsidRPr="00DB3810">
              <w:rPr>
                <w:rFonts w:eastAsia="Calibri" w:cstheme="minorHAnsi"/>
                <w:color w:val="000000"/>
                <w:sz w:val="20"/>
                <w:lang w:val="en-US"/>
              </w:rPr>
              <w:t>2400 if MIRO &gt;=2400kg</w:t>
            </w:r>
          </w:p>
        </w:tc>
      </w:tr>
      <w:tr w:rsidR="00B977C2" w:rsidRPr="00DB3810" w14:paraId="649B4464" w14:textId="77777777" w:rsidTr="00062FBE">
        <w:trPr>
          <w:trHeight w:hRule="exact" w:val="806"/>
        </w:trPr>
        <w:tc>
          <w:tcPr>
            <w:tcW w:w="4111" w:type="dxa"/>
          </w:tcPr>
          <w:p w14:paraId="7F775135" w14:textId="77777777" w:rsidR="00B977C2" w:rsidRPr="00DB3810" w:rsidRDefault="00B977C2" w:rsidP="00062FBE">
            <w:pPr>
              <w:spacing w:before="158" w:line="276" w:lineRule="auto"/>
              <w:ind w:left="72"/>
              <w:textAlignment w:val="baseline"/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</w:pPr>
            <w:r w:rsidRPr="00DB3810">
              <w:rPr>
                <w:rFonts w:eastAsia="Calibri" w:cstheme="minorHAnsi"/>
                <w:b/>
                <w:color w:val="000000"/>
                <w:sz w:val="20"/>
                <w:lang w:val="en-US"/>
              </w:rPr>
              <w:tab/>
            </w:r>
            <w:r w:rsidRPr="00DB3810"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  <w:t>Reference MIRO (RM)</w:t>
            </w:r>
            <w:r w:rsidRPr="00DB3810">
              <w:rPr>
                <w:rFonts w:cstheme="minorHAnsi"/>
                <w:sz w:val="20"/>
                <w:vertAlign w:val="superscript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54" w:type="dxa"/>
          </w:tcPr>
          <w:p w14:paraId="1F736367" w14:textId="77777777" w:rsidR="00B977C2" w:rsidRPr="00DB3810" w:rsidRDefault="00B977C2" w:rsidP="00062FBE">
            <w:pPr>
              <w:spacing w:line="276" w:lineRule="auto"/>
              <w:textAlignment w:val="baseline"/>
              <w:rPr>
                <w:rFonts w:eastAsia="Calibri" w:cstheme="minorHAnsi"/>
                <w:sz w:val="20"/>
                <w:lang w:val="en-US"/>
              </w:rPr>
            </w:pPr>
            <w:r w:rsidRPr="00DB3810"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  <w:t>Type 1 vehicles (2025)</w:t>
            </w:r>
            <w:r w:rsidRPr="00DB3810">
              <w:rPr>
                <w:rFonts w:eastAsia="Calibri" w:cstheme="minorHAnsi"/>
                <w:color w:val="000000"/>
                <w:sz w:val="20"/>
                <w:lang w:val="en-US"/>
              </w:rPr>
              <w:t>: 1723kg</w:t>
            </w:r>
          </w:p>
          <w:p w14:paraId="28B937B8" w14:textId="77777777" w:rsidR="00B977C2" w:rsidRPr="00DB3810" w:rsidRDefault="00B977C2" w:rsidP="00062FBE">
            <w:pPr>
              <w:spacing w:line="276" w:lineRule="auto"/>
              <w:textAlignment w:val="baseline"/>
              <w:rPr>
                <w:rFonts w:eastAsia="Calibri" w:cstheme="minorHAnsi"/>
                <w:sz w:val="20"/>
                <w:lang w:val="en-US"/>
              </w:rPr>
            </w:pPr>
            <w:r w:rsidRPr="00DB3810"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  <w:t>Type 2 vehicles (2025)</w:t>
            </w:r>
            <w:r w:rsidRPr="00DB3810">
              <w:rPr>
                <w:rFonts w:eastAsia="Calibri" w:cstheme="minorHAnsi"/>
                <w:color w:val="000000"/>
                <w:sz w:val="20"/>
                <w:lang w:val="en-US"/>
              </w:rPr>
              <w:t>: 2155kg</w:t>
            </w:r>
          </w:p>
        </w:tc>
      </w:tr>
      <w:tr w:rsidR="00B977C2" w:rsidRPr="00DB3810" w14:paraId="4E0C6A84" w14:textId="77777777" w:rsidTr="00062F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01"/>
        </w:trPr>
        <w:tc>
          <w:tcPr>
            <w:tcW w:w="4111" w:type="dxa"/>
          </w:tcPr>
          <w:p w14:paraId="339B9329" w14:textId="77777777" w:rsidR="00B977C2" w:rsidRPr="00DB3810" w:rsidRDefault="00B977C2" w:rsidP="00062FBE">
            <w:pPr>
              <w:spacing w:before="158" w:line="276" w:lineRule="auto"/>
              <w:ind w:left="72"/>
              <w:textAlignment w:val="baseline"/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</w:pPr>
            <w:r w:rsidRPr="00DB3810"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  <w:t>Interim Emissions Value (IEV)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54" w:type="dxa"/>
          </w:tcPr>
          <w:p w14:paraId="726955C5" w14:textId="77777777" w:rsidR="00B977C2" w:rsidRPr="00DB3810" w:rsidRDefault="00B977C2" w:rsidP="00062FBE">
            <w:pPr>
              <w:spacing w:before="158" w:line="276" w:lineRule="auto"/>
              <w:textAlignment w:val="baseline"/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</w:pPr>
            <w:r w:rsidRPr="00DB3810">
              <w:rPr>
                <w:rFonts w:eastAsia="Calibri" w:cstheme="minorHAnsi"/>
                <w:color w:val="000000"/>
                <w:sz w:val="20"/>
                <w:lang w:val="en-US"/>
              </w:rPr>
              <w:t>Rounded to the nearest whole number</w:t>
            </w:r>
            <w:r w:rsidRPr="00DB3810">
              <w:rPr>
                <w:rFonts w:eastAsia="Calibri" w:cstheme="minorHAnsi"/>
                <w:color w:val="000000"/>
                <w:sz w:val="20"/>
                <w:vertAlign w:val="superscript"/>
                <w:lang w:val="en-US"/>
              </w:rPr>
              <w:t>1 2</w:t>
            </w:r>
          </w:p>
        </w:tc>
      </w:tr>
      <w:tr w:rsidR="00B977C2" w:rsidRPr="00DB3810" w14:paraId="1042397B" w14:textId="77777777" w:rsidTr="00062FBE">
        <w:trPr>
          <w:trHeight w:hRule="exact" w:val="862"/>
        </w:trPr>
        <w:tc>
          <w:tcPr>
            <w:tcW w:w="4111" w:type="dxa"/>
          </w:tcPr>
          <w:p w14:paraId="4D5F1ED9" w14:textId="77777777" w:rsidR="00B977C2" w:rsidRPr="00DB3810" w:rsidRDefault="00B977C2" w:rsidP="00062FBE">
            <w:pPr>
              <w:spacing w:before="158" w:line="276" w:lineRule="auto"/>
              <w:ind w:left="72"/>
              <w:textAlignment w:val="baseline"/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</w:pPr>
            <w:r w:rsidRPr="00DB3810"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  <w:t>Units extinguished for the purposes of reducing a person’s FEV (U)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54" w:type="dxa"/>
          </w:tcPr>
          <w:p w14:paraId="552F3CF4" w14:textId="77777777" w:rsidR="00B977C2" w:rsidRPr="00DB3810" w:rsidRDefault="00B977C2" w:rsidP="00062FBE">
            <w:pPr>
              <w:spacing w:before="158" w:line="276" w:lineRule="auto"/>
              <w:textAlignment w:val="baseline"/>
              <w:rPr>
                <w:rFonts w:eastAsia="Calibri" w:cstheme="minorHAnsi"/>
                <w:color w:val="000000"/>
                <w:sz w:val="20"/>
                <w:lang w:val="en-US"/>
              </w:rPr>
            </w:pPr>
            <w:r w:rsidRPr="00DB3810">
              <w:rPr>
                <w:rFonts w:eastAsia="Calibri" w:cstheme="minorHAnsi"/>
                <w:color w:val="000000"/>
                <w:sz w:val="20"/>
                <w:lang w:val="en-US"/>
              </w:rPr>
              <w:t>Absolute value of a whole number</w:t>
            </w:r>
          </w:p>
        </w:tc>
      </w:tr>
      <w:tr w:rsidR="00B977C2" w:rsidRPr="00DB3810" w14:paraId="1155EC1E" w14:textId="77777777" w:rsidTr="00062F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30"/>
        </w:trPr>
        <w:tc>
          <w:tcPr>
            <w:tcW w:w="4111" w:type="dxa"/>
          </w:tcPr>
          <w:p w14:paraId="57A3D92E" w14:textId="77777777" w:rsidR="00B977C2" w:rsidRPr="00DB3810" w:rsidRDefault="00B977C2" w:rsidP="00062FBE">
            <w:pPr>
              <w:spacing w:before="158" w:line="276" w:lineRule="auto"/>
              <w:ind w:left="72"/>
              <w:textAlignment w:val="baseline"/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</w:pPr>
            <w:r w:rsidRPr="00DB3810">
              <w:rPr>
                <w:rFonts w:eastAsia="Calibri" w:cstheme="minorHAnsi"/>
                <w:b/>
                <w:bCs/>
                <w:color w:val="000000"/>
                <w:sz w:val="20"/>
                <w:lang w:val="en-US"/>
              </w:rPr>
              <w:t>Final Emissions Value (FEV)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54" w:type="dxa"/>
          </w:tcPr>
          <w:p w14:paraId="43CFAE13" w14:textId="77777777" w:rsidR="00B977C2" w:rsidRPr="00DB3810" w:rsidRDefault="00B977C2" w:rsidP="00062FBE">
            <w:pPr>
              <w:spacing w:before="158" w:line="276" w:lineRule="auto"/>
              <w:textAlignment w:val="baseline"/>
              <w:rPr>
                <w:rFonts w:eastAsia="Calibri" w:cstheme="minorHAnsi"/>
                <w:color w:val="000000"/>
                <w:sz w:val="20"/>
                <w:lang w:val="en-US"/>
              </w:rPr>
            </w:pPr>
            <w:r w:rsidRPr="00DB3810">
              <w:rPr>
                <w:rFonts w:eastAsia="Calibri" w:cstheme="minorHAnsi"/>
                <w:color w:val="000000"/>
                <w:sz w:val="20"/>
                <w:lang w:val="en-US"/>
              </w:rPr>
              <w:t>Whole number</w:t>
            </w:r>
          </w:p>
        </w:tc>
      </w:tr>
    </w:tbl>
    <w:p w14:paraId="284FECE1" w14:textId="77777777" w:rsidR="00B977C2" w:rsidRPr="003E4C62" w:rsidRDefault="00B977C2" w:rsidP="00B977C2">
      <w:pPr>
        <w:pStyle w:val="Heading2"/>
        <w:spacing w:line="276" w:lineRule="auto"/>
      </w:pPr>
      <w:r>
        <w:t>Worked examples</w:t>
      </w:r>
    </w:p>
    <w:p w14:paraId="1D3F2D23" w14:textId="77777777" w:rsidR="00B977C2" w:rsidRDefault="00B977C2" w:rsidP="00B977C2">
      <w:pPr>
        <w:pStyle w:val="Heading3"/>
        <w:spacing w:line="276" w:lineRule="auto"/>
      </w:pPr>
      <w:r w:rsidRPr="00CD5125">
        <w:t xml:space="preserve">Interim </w:t>
      </w:r>
      <w:r>
        <w:t>e</w:t>
      </w:r>
      <w:r w:rsidRPr="00CD5125">
        <w:t xml:space="preserve">missions </w:t>
      </w:r>
      <w:r>
        <w:t>v</w:t>
      </w:r>
      <w:r w:rsidRPr="00CD5125">
        <w:t>alue (IEV) c</w:t>
      </w:r>
      <w:r>
        <w:t>alculation</w:t>
      </w:r>
    </w:p>
    <w:p w14:paraId="1BB35070" w14:textId="77777777" w:rsidR="00B977C2" w:rsidRDefault="00B977C2" w:rsidP="00B977C2">
      <w:pPr>
        <w:spacing w:line="276" w:lineRule="auto"/>
      </w:pPr>
      <w:r>
        <w:t>Regulated entity X (entity X) only supplies one vehicle model to the Australian market: the model A.</w:t>
      </w:r>
    </w:p>
    <w:p w14:paraId="49219F6B" w14:textId="77777777" w:rsidR="00B977C2" w:rsidRDefault="00B977C2" w:rsidP="00B977C2">
      <w:pPr>
        <w:spacing w:line="276" w:lineRule="auto"/>
      </w:pPr>
      <w:r>
        <w:t>In 2025 (1 July to 31 December), entity X entered 1,000 of these vehicles on the RAV.</w:t>
      </w:r>
    </w:p>
    <w:p w14:paraId="29EDB7B2" w14:textId="77777777" w:rsidR="00B977C2" w:rsidRDefault="00B977C2" w:rsidP="00B977C2">
      <w:pPr>
        <w:spacing w:line="276" w:lineRule="auto"/>
      </w:pPr>
      <w:r>
        <w:t>The emissions number (E) of model A is 150 gCO</w:t>
      </w:r>
      <w:r w:rsidRPr="00412A6C">
        <w:rPr>
          <w:vertAlign w:val="subscript"/>
        </w:rPr>
        <w:t>2</w:t>
      </w:r>
      <w:r>
        <w:t>/km.</w:t>
      </w:r>
    </w:p>
    <w:p w14:paraId="1FACE9C1" w14:textId="77777777" w:rsidR="00B977C2" w:rsidRDefault="00B977C2" w:rsidP="00B977C2">
      <w:pPr>
        <w:spacing w:line="276" w:lineRule="auto"/>
      </w:pPr>
      <w:r>
        <w:t xml:space="preserve">Model A is a small SUV in the MA vehicle category, so it is classified as an NVES Type 1 vehicle. Its MIRO is 1,750 kg. </w:t>
      </w:r>
    </w:p>
    <w:p w14:paraId="47904C88" w14:textId="77777777" w:rsidR="00B977C2" w:rsidRDefault="00B977C2" w:rsidP="00B977C2">
      <w:pPr>
        <w:spacing w:line="276" w:lineRule="auto"/>
      </w:pPr>
      <w:r>
        <w:t xml:space="preserve">In accordance with Section 21 of </w:t>
      </w:r>
      <w:r w:rsidRPr="00A672DC">
        <w:t xml:space="preserve">the </w:t>
      </w:r>
      <w:hyperlink r:id="rId12" w:history="1">
        <w:r w:rsidRPr="00D006C9">
          <w:rPr>
            <w:rStyle w:val="Hyperlink"/>
          </w:rPr>
          <w:t>NVES Act</w:t>
        </w:r>
      </w:hyperlink>
      <w:r>
        <w:t xml:space="preserve">, the emissions target (ET) of model A is: </w:t>
      </w:r>
    </w:p>
    <w:p w14:paraId="05D4D8D3" w14:textId="77777777" w:rsidR="00B977C2" w:rsidRPr="00412A6C" w:rsidRDefault="00B977C2" w:rsidP="00B977C2">
      <w:pPr>
        <w:spacing w:line="276" w:lineRule="auto"/>
        <w:rPr>
          <w:b/>
        </w:rPr>
      </w:pPr>
      <w:r>
        <w:tab/>
      </w:r>
      <w:r w:rsidRPr="00412A6C">
        <w:rPr>
          <w:b/>
        </w:rPr>
        <w:t>ET =</w:t>
      </w:r>
      <w:r>
        <w:t xml:space="preserve"> </w:t>
      </w:r>
      <w:r w:rsidRPr="00412A6C">
        <w:rPr>
          <w:b/>
        </w:rPr>
        <w:t>HL + MAF</w:t>
      </w:r>
      <w:r>
        <w:rPr>
          <w:b/>
        </w:rPr>
        <w:t xml:space="preserve"> </w:t>
      </w:r>
      <w:r w:rsidRPr="00412A6C">
        <w:rPr>
          <w:b/>
        </w:rPr>
        <w:t>(DM – RM)</w:t>
      </w:r>
    </w:p>
    <w:p w14:paraId="518EBAD8" w14:textId="77777777" w:rsidR="00B977C2" w:rsidRPr="00412A6C" w:rsidRDefault="00B977C2" w:rsidP="00B977C2">
      <w:pPr>
        <w:spacing w:line="276" w:lineRule="auto"/>
        <w:rPr>
          <w:i/>
        </w:rPr>
      </w:pPr>
      <w:r>
        <w:tab/>
      </w:r>
      <w:r w:rsidRPr="00412A6C">
        <w:rPr>
          <w:i/>
        </w:rPr>
        <w:t>= 141 + 0.0663</w:t>
      </w:r>
      <w:r>
        <w:rPr>
          <w:i/>
        </w:rPr>
        <w:t xml:space="preserve"> </w:t>
      </w:r>
      <w:r w:rsidRPr="00412A6C">
        <w:rPr>
          <w:i/>
        </w:rPr>
        <w:t>(1750 – 1723)</w:t>
      </w:r>
    </w:p>
    <w:p w14:paraId="6BA2C00A" w14:textId="77777777" w:rsidR="00B977C2" w:rsidRPr="00412A6C" w:rsidRDefault="00B977C2" w:rsidP="00B977C2">
      <w:pPr>
        <w:spacing w:line="276" w:lineRule="auto"/>
        <w:ind w:firstLine="720"/>
        <w:rPr>
          <w:i/>
        </w:rPr>
      </w:pPr>
      <w:r w:rsidRPr="00412A6C">
        <w:rPr>
          <w:i/>
        </w:rPr>
        <w:t>= 141 + 1.7901</w:t>
      </w:r>
    </w:p>
    <w:p w14:paraId="5DAE3C16" w14:textId="77777777" w:rsidR="00B977C2" w:rsidRPr="00412A6C" w:rsidRDefault="00B977C2" w:rsidP="00B977C2">
      <w:pPr>
        <w:spacing w:line="276" w:lineRule="auto"/>
        <w:ind w:firstLine="720"/>
        <w:rPr>
          <w:i/>
        </w:rPr>
      </w:pPr>
      <w:r w:rsidRPr="00412A6C">
        <w:rPr>
          <w:i/>
        </w:rPr>
        <w:t>= 142.7901</w:t>
      </w:r>
      <w:r>
        <w:rPr>
          <w:i/>
        </w:rPr>
        <w:t xml:space="preserve"> (retain four decimal places)</w:t>
      </w:r>
    </w:p>
    <w:p w14:paraId="00440CF6" w14:textId="77777777" w:rsidR="00B977C2" w:rsidRPr="00A672DC" w:rsidRDefault="00B977C2" w:rsidP="00B977C2">
      <w:pPr>
        <w:spacing w:line="276" w:lineRule="auto"/>
        <w:rPr>
          <w:b/>
        </w:rPr>
      </w:pPr>
      <w:r>
        <w:t>Since entity X entered this vehicle 1,000 times in the year, its IEV is:</w:t>
      </w:r>
    </w:p>
    <w:p w14:paraId="4DB1DB3C" w14:textId="77777777" w:rsidR="00B977C2" w:rsidRPr="00A672DC" w:rsidRDefault="00B977C2" w:rsidP="00B977C2">
      <w:pPr>
        <w:spacing w:line="276" w:lineRule="auto"/>
        <w:rPr>
          <w:b/>
        </w:rPr>
      </w:pPr>
      <w:r>
        <w:rPr>
          <w:vertAlign w:val="subscript"/>
        </w:rPr>
        <w:tab/>
      </w:r>
      <w:r w:rsidRPr="00A672DC">
        <w:rPr>
          <w:b/>
        </w:rPr>
        <w:t xml:space="preserve">IEV = </w:t>
      </w:r>
      <w:r w:rsidRPr="00A672DC">
        <w:rPr>
          <w:rFonts w:cstheme="minorHAnsi"/>
          <w:b/>
        </w:rPr>
        <w:t>∑</w:t>
      </w:r>
      <w:r w:rsidRPr="00A672DC">
        <w:rPr>
          <w:b/>
          <w:vertAlign w:val="subscript"/>
        </w:rPr>
        <w:t xml:space="preserve">I </w:t>
      </w:r>
      <w:r w:rsidRPr="00A672DC">
        <w:rPr>
          <w:b/>
        </w:rPr>
        <w:t>(E</w:t>
      </w:r>
      <w:r w:rsidRPr="00A672DC">
        <w:rPr>
          <w:b/>
          <w:vertAlign w:val="subscript"/>
        </w:rPr>
        <w:t>i</w:t>
      </w:r>
      <w:r w:rsidRPr="00A672DC">
        <w:rPr>
          <w:b/>
        </w:rPr>
        <w:t xml:space="preserve"> – ET</w:t>
      </w:r>
      <w:r w:rsidRPr="00A672DC">
        <w:rPr>
          <w:b/>
          <w:vertAlign w:val="subscript"/>
        </w:rPr>
        <w:t>i</w:t>
      </w:r>
      <w:r w:rsidRPr="00A672DC">
        <w:rPr>
          <w:b/>
        </w:rPr>
        <w:t>)</w:t>
      </w:r>
    </w:p>
    <w:p w14:paraId="3B346A89" w14:textId="77777777" w:rsidR="00B977C2" w:rsidRPr="00412A6C" w:rsidRDefault="00B977C2" w:rsidP="00B977C2">
      <w:pPr>
        <w:spacing w:line="276" w:lineRule="auto"/>
        <w:ind w:firstLine="720"/>
        <w:rPr>
          <w:i/>
        </w:rPr>
      </w:pPr>
      <w:r w:rsidRPr="00412A6C">
        <w:rPr>
          <w:i/>
        </w:rPr>
        <w:t>= (150 – 142.7901) * 1000</w:t>
      </w:r>
    </w:p>
    <w:p w14:paraId="64E7D48C" w14:textId="77777777" w:rsidR="00B977C2" w:rsidRPr="00412A6C" w:rsidRDefault="00B977C2" w:rsidP="00B977C2">
      <w:pPr>
        <w:spacing w:line="276" w:lineRule="auto"/>
        <w:rPr>
          <w:i/>
        </w:rPr>
      </w:pPr>
      <w:r w:rsidRPr="00412A6C">
        <w:rPr>
          <w:i/>
        </w:rPr>
        <w:tab/>
        <w:t>= 7209.9</w:t>
      </w:r>
    </w:p>
    <w:p w14:paraId="2CD1E357" w14:textId="77777777" w:rsidR="00B977C2" w:rsidRDefault="00B977C2" w:rsidP="00B977C2">
      <w:pPr>
        <w:spacing w:line="276" w:lineRule="auto"/>
        <w:ind w:firstLine="720"/>
      </w:pPr>
      <w:r w:rsidRPr="00412A6C">
        <w:rPr>
          <w:i/>
        </w:rPr>
        <w:t>= 7210</w:t>
      </w:r>
      <w:r>
        <w:rPr>
          <w:i/>
        </w:rPr>
        <w:t xml:space="preserve"> (round to whole number)</w:t>
      </w:r>
    </w:p>
    <w:p w14:paraId="0B0B4A57" w14:textId="77777777" w:rsidR="00B977C2" w:rsidRDefault="00B977C2" w:rsidP="00B977C2">
      <w:pPr>
        <w:pStyle w:val="Heading3"/>
        <w:spacing w:line="276" w:lineRule="auto"/>
      </w:pPr>
      <w:r>
        <w:t>Final emissions value (FEV) calculation</w:t>
      </w:r>
    </w:p>
    <w:p w14:paraId="4B2F94E4" w14:textId="77777777" w:rsidR="00B977C2" w:rsidRDefault="00B977C2" w:rsidP="00B977C2">
      <w:pPr>
        <w:spacing w:line="276" w:lineRule="auto"/>
      </w:pPr>
      <w:r>
        <w:t xml:space="preserve">Entity X has an IEV of 7,210 for the 2025 performance period. The entity uses 7,210 units to bring their FEV down before the compliance deadline. </w:t>
      </w:r>
    </w:p>
    <w:p w14:paraId="7B6FCBE3" w14:textId="77777777" w:rsidR="00B977C2" w:rsidRDefault="00B977C2" w:rsidP="00B977C2">
      <w:pPr>
        <w:spacing w:line="276" w:lineRule="auto"/>
      </w:pPr>
      <w:r>
        <w:t xml:space="preserve">Entity X’s FEV is: </w:t>
      </w:r>
    </w:p>
    <w:p w14:paraId="0AEDB43C" w14:textId="77777777" w:rsidR="00B977C2" w:rsidRDefault="00B977C2" w:rsidP="00B977C2">
      <w:pPr>
        <w:spacing w:line="276" w:lineRule="auto"/>
        <w:ind w:firstLine="720"/>
        <w:rPr>
          <w:i/>
        </w:rPr>
      </w:pPr>
      <w:r w:rsidRPr="00A672DC">
        <w:rPr>
          <w:b/>
        </w:rPr>
        <w:t>FEV = IEV – U</w:t>
      </w:r>
      <w:r>
        <w:tab/>
      </w:r>
    </w:p>
    <w:p w14:paraId="5C282382" w14:textId="77777777" w:rsidR="00B977C2" w:rsidRDefault="00B977C2" w:rsidP="00B977C2">
      <w:pPr>
        <w:spacing w:line="276" w:lineRule="auto"/>
        <w:ind w:firstLine="720"/>
        <w:rPr>
          <w:i/>
        </w:rPr>
      </w:pPr>
      <w:r w:rsidRPr="101B19DB">
        <w:rPr>
          <w:i/>
        </w:rPr>
        <w:t>= 7,210 – 7,210`</w:t>
      </w:r>
    </w:p>
    <w:p w14:paraId="0AE71788" w14:textId="77777777" w:rsidR="00B977C2" w:rsidRDefault="00B977C2" w:rsidP="00B977C2">
      <w:pPr>
        <w:spacing w:line="276" w:lineRule="auto"/>
        <w:ind w:firstLine="720"/>
        <w:rPr>
          <w:i/>
        </w:rPr>
      </w:pPr>
      <w:r>
        <w:rPr>
          <w:i/>
        </w:rPr>
        <w:t>= 0</w:t>
      </w:r>
    </w:p>
    <w:p w14:paraId="5E7E860F" w14:textId="77777777" w:rsidR="00B977C2" w:rsidRDefault="00B977C2" w:rsidP="00B977C2">
      <w:pPr>
        <w:pStyle w:val="Heading2"/>
        <w:spacing w:line="276" w:lineRule="auto"/>
      </w:pPr>
      <w:r>
        <w:t>More information</w:t>
      </w:r>
    </w:p>
    <w:p w14:paraId="36E9DC7E" w14:textId="77777777" w:rsidR="00B977C2" w:rsidRDefault="00B977C2" w:rsidP="00B977C2">
      <w:pPr>
        <w:spacing w:line="276" w:lineRule="auto"/>
      </w:pPr>
      <w:r>
        <w:t xml:space="preserve">For more information, please visit the </w:t>
      </w:r>
      <w:hyperlink r:id="rId13" w:history="1">
        <w:r w:rsidRPr="0041467C">
          <w:rPr>
            <w:rStyle w:val="Hyperlink"/>
          </w:rPr>
          <w:t>NVES Regulator website</w:t>
        </w:r>
      </w:hyperlink>
      <w:r>
        <w:t xml:space="preserve"> or contact us via email at </w:t>
      </w:r>
      <w:hyperlink r:id="rId14" w:history="1">
        <w:r w:rsidRPr="009A5514">
          <w:rPr>
            <w:rStyle w:val="Hyperlink"/>
          </w:rPr>
          <w:t>NVESRegulator@infrastructure.gov.au</w:t>
        </w:r>
      </w:hyperlink>
      <w:r>
        <w:t>.</w:t>
      </w:r>
    </w:p>
    <w:p w14:paraId="44BCAEF5" w14:textId="77777777" w:rsidR="00B977C2" w:rsidRDefault="00B977C2" w:rsidP="00B977C2">
      <w:pPr>
        <w:spacing w:line="276" w:lineRule="auto"/>
      </w:pPr>
      <w:r>
        <w:rPr>
          <w:color w:val="auto"/>
        </w:rPr>
        <w:t xml:space="preserve">Data entered on the RAV is subject to validation rules. </w:t>
      </w:r>
      <w:r>
        <w:t xml:space="preserve">Refer to the </w:t>
      </w:r>
      <w:hyperlink r:id="rId15" w:history="1">
        <w:r w:rsidRPr="00F10D36">
          <w:rPr>
            <w:rStyle w:val="Hyperlink"/>
          </w:rPr>
          <w:t>Guide to the Register of Approved Vehicles</w:t>
        </w:r>
      </w:hyperlink>
      <w:r>
        <w:t xml:space="preserve"> for further guidance relating to RAV entries and validation rules. </w:t>
      </w:r>
    </w:p>
    <w:bookmarkEnd w:id="0"/>
    <w:sectPr w:rsidR="00B977C2" w:rsidSect="00B977C2">
      <w:headerReference w:type="even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021" w:right="1021" w:bottom="1021" w:left="102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8907B" w14:textId="77777777" w:rsidR="00B977C2" w:rsidRDefault="00B977C2" w:rsidP="008456D5">
      <w:pPr>
        <w:spacing w:before="0" w:after="0"/>
      </w:pPr>
      <w:r>
        <w:separator/>
      </w:r>
    </w:p>
  </w:endnote>
  <w:endnote w:type="continuationSeparator" w:id="0">
    <w:p w14:paraId="10D1DF52" w14:textId="77777777" w:rsidR="00B977C2" w:rsidRDefault="00B977C2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45B9C" w14:textId="77777777"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inline distT="0" distB="0" distL="0" distR="0" wp14:anchorId="08F0BCAA" wp14:editId="16828380">
              <wp:extent cx="1007280" cy="539280"/>
              <wp:effectExtent l="0" t="0" r="2540" b="0"/>
              <wp:docPr id="16" name="Text Box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048BF0" w14:textId="77777777"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8F0BCA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width:79.3pt;height:4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" filled="f" stroked="f" strokeweight=".5pt">
              <v:textbox inset="18mm,0,0,10mm">
                <w:txbxContent>
                  <w:p w14:paraId="67048BF0" w14:textId="77777777"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3EDB6D07" w14:textId="77777777" w:rsidR="00C15F0D" w:rsidRDefault="00C15F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0BE8" w14:textId="77777777" w:rsidR="00AB3238" w:rsidRDefault="00AB3238" w:rsidP="00AB3238">
    <w:pPr>
      <w:framePr w:w="11907" w:h="284" w:hSpace="181" w:wrap="around" w:vAnchor="page" w:hAnchor="page" w:yAlign="bottom"/>
      <w:spacing w:before="0" w:after="0"/>
    </w:pPr>
    <w:r>
      <w:rPr>
        <w:noProof/>
      </w:rPr>
      <w:drawing>
        <wp:inline distT="0" distB="0" distL="0" distR="0" wp14:anchorId="27FB92C1" wp14:editId="7939B400">
          <wp:extent cx="7562850" cy="177949"/>
          <wp:effectExtent l="0" t="0" r="0" b="0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7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298346" w14:textId="77777777" w:rsidR="006851B3" w:rsidRPr="00654E6E" w:rsidRDefault="005E4C48" w:rsidP="006851B3">
    <w:pPr>
      <w:pStyle w:val="Footer"/>
      <w:tabs>
        <w:tab w:val="clear" w:pos="4513"/>
        <w:tab w:val="clear" w:pos="9026"/>
        <w:tab w:val="center" w:pos="4820"/>
        <w:tab w:val="right" w:pos="14742"/>
      </w:tabs>
      <w:spacing w:after="160"/>
      <w:rPr>
        <w:color w:val="auto"/>
      </w:rPr>
    </w:pPr>
    <w:sdt>
      <w:sdtPr>
        <w:rPr>
          <w:color w:val="auto"/>
          <w:sz w:val="18"/>
          <w:szCs w:val="18"/>
          <w:lang w:val="en-US"/>
        </w:rPr>
        <w:alias w:val="Title"/>
        <w:tag w:val=""/>
        <w:id w:val="-200642522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977C2">
          <w:rPr>
            <w:color w:val="auto"/>
            <w:sz w:val="18"/>
            <w:szCs w:val="18"/>
            <w:lang w:val="en-US"/>
          </w:rPr>
          <w:t>NVES numerical precision and calculations</w:t>
        </w:r>
      </w:sdtContent>
    </w:sdt>
    <w:r w:rsidR="006851B3" w:rsidRPr="00654E6E">
      <w:rPr>
        <w:color w:val="auto"/>
        <w:sz w:val="18"/>
        <w:szCs w:val="18"/>
        <w:lang w:val="en-US"/>
      </w:rPr>
      <w:tab/>
    </w:r>
    <w:r w:rsidR="001B52B3" w:rsidRPr="00654E6E">
      <w:rPr>
        <w:b/>
        <w:color w:val="auto"/>
        <w:sz w:val="18"/>
        <w:szCs w:val="18"/>
        <w:lang w:val="en-US"/>
      </w:rPr>
      <w:t>Release date:</w:t>
    </w:r>
    <w:r w:rsidR="001B52B3" w:rsidRPr="00654E6E">
      <w:rPr>
        <w:color w:val="auto"/>
        <w:sz w:val="18"/>
        <w:szCs w:val="18"/>
        <w:lang w:val="en-US"/>
      </w:rPr>
      <w:t xml:space="preserve"> </w:t>
    </w:r>
    <w:sdt>
      <w:sdtPr>
        <w:rPr>
          <w:color w:val="auto"/>
          <w:sz w:val="18"/>
          <w:szCs w:val="18"/>
          <w:lang w:val="en-US"/>
        </w:rPr>
        <w:alias w:val="Category"/>
        <w:id w:val="-883561839"/>
        <w:placeholder>
          <w:docPart w:val="EB13F5C446DC442FA35EB4A7025673E5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B977C2">
          <w:rPr>
            <w:color w:val="auto"/>
            <w:sz w:val="18"/>
            <w:szCs w:val="18"/>
            <w:lang w:val="en-US"/>
          </w:rPr>
          <w:t>June</w:t>
        </w:r>
      </w:sdtContent>
    </w:sdt>
    <w:r w:rsidR="001B52B3" w:rsidRPr="00654E6E">
      <w:rPr>
        <w:color w:val="auto"/>
        <w:sz w:val="18"/>
        <w:szCs w:val="18"/>
        <w:lang w:val="en-US"/>
      </w:rPr>
      <w:t xml:space="preserve"> | </w:t>
    </w:r>
    <w:r w:rsidR="001B52B3" w:rsidRPr="00654E6E">
      <w:rPr>
        <w:b/>
        <w:color w:val="auto"/>
        <w:sz w:val="18"/>
        <w:szCs w:val="18"/>
        <w:lang w:val="en-US"/>
      </w:rPr>
      <w:t>Version</w:t>
    </w:r>
    <w:r w:rsidR="001B52B3" w:rsidRPr="00654E6E">
      <w:rPr>
        <w:color w:val="auto"/>
        <w:sz w:val="18"/>
        <w:szCs w:val="18"/>
        <w:lang w:val="en-US"/>
      </w:rPr>
      <w:t xml:space="preserve">: </w:t>
    </w:r>
    <w:sdt>
      <w:sdtPr>
        <w:rPr>
          <w:color w:val="auto"/>
          <w:sz w:val="18"/>
          <w:szCs w:val="18"/>
          <w:lang w:val="en-US"/>
        </w:rPr>
        <w:alias w:val="Keywords"/>
        <w:id w:val="816299269"/>
        <w:placeholde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B977C2">
          <w:rPr>
            <w:color w:val="auto"/>
            <w:sz w:val="18"/>
            <w:szCs w:val="18"/>
            <w:lang w:val="en-US"/>
          </w:rPr>
          <w:t>1.1</w:t>
        </w:r>
      </w:sdtContent>
    </w:sdt>
    <w:r w:rsidR="006851B3" w:rsidRPr="00654E6E">
      <w:rPr>
        <w:color w:val="auto"/>
        <w:sz w:val="18"/>
        <w:szCs w:val="18"/>
        <w:lang w:val="en-US"/>
      </w:rPr>
      <w:t xml:space="preserve"> </w:t>
    </w:r>
    <w:r w:rsidR="006851B3" w:rsidRPr="00654E6E">
      <w:rPr>
        <w:color w:val="auto"/>
        <w:sz w:val="18"/>
        <w:szCs w:val="18"/>
        <w:lang w:val="en-US"/>
      </w:rPr>
      <w:tab/>
      <w:t xml:space="preserve">Page </w:t>
    </w:r>
    <w:r w:rsidR="006851B3" w:rsidRPr="00654E6E">
      <w:rPr>
        <w:color w:val="auto"/>
        <w:sz w:val="18"/>
        <w:szCs w:val="18"/>
        <w:lang w:val="en-US"/>
      </w:rPr>
      <w:fldChar w:fldCharType="begin"/>
    </w:r>
    <w:r w:rsidR="006851B3" w:rsidRPr="00654E6E">
      <w:rPr>
        <w:color w:val="auto"/>
        <w:sz w:val="18"/>
        <w:szCs w:val="18"/>
        <w:lang w:val="en-US"/>
      </w:rPr>
      <w:instrText xml:space="preserve"> PAGE   \* MERGEFORMAT </w:instrText>
    </w:r>
    <w:r w:rsidR="006851B3" w:rsidRPr="00654E6E">
      <w:rPr>
        <w:color w:val="auto"/>
        <w:sz w:val="18"/>
        <w:szCs w:val="18"/>
        <w:lang w:val="en-US"/>
      </w:rPr>
      <w:fldChar w:fldCharType="separate"/>
    </w:r>
    <w:r w:rsidR="006851B3">
      <w:rPr>
        <w:color w:val="auto"/>
        <w:sz w:val="18"/>
        <w:szCs w:val="18"/>
        <w:lang w:val="en-US"/>
      </w:rPr>
      <w:t>3</w:t>
    </w:r>
    <w:r w:rsidR="006851B3" w:rsidRPr="00654E6E">
      <w:rPr>
        <w:noProof/>
        <w:color w:val="auto"/>
        <w:sz w:val="18"/>
        <w:szCs w:val="18"/>
        <w:lang w:val="en-US"/>
      </w:rPr>
      <w:fldChar w:fldCharType="end"/>
    </w:r>
    <w:r w:rsidR="006851B3" w:rsidRPr="00654E6E">
      <w:rPr>
        <w:noProof/>
        <w:color w:val="auto"/>
        <w:sz w:val="18"/>
        <w:szCs w:val="18"/>
        <w:lang w:val="en-US"/>
      </w:rPr>
      <w:t xml:space="preserve"> of </w:t>
    </w:r>
    <w:r w:rsidR="006851B3" w:rsidRPr="00654E6E">
      <w:rPr>
        <w:noProof/>
        <w:color w:val="auto"/>
        <w:sz w:val="18"/>
        <w:szCs w:val="18"/>
        <w:lang w:val="en-US"/>
      </w:rPr>
      <w:fldChar w:fldCharType="begin"/>
    </w:r>
    <w:r w:rsidR="006851B3" w:rsidRPr="00654E6E">
      <w:rPr>
        <w:noProof/>
        <w:color w:val="auto"/>
        <w:sz w:val="18"/>
        <w:szCs w:val="18"/>
        <w:lang w:val="en-US"/>
      </w:rPr>
      <w:instrText xml:space="preserve"> NUMPAGES   \* MERGEFORMAT </w:instrText>
    </w:r>
    <w:r w:rsidR="006851B3" w:rsidRPr="00654E6E">
      <w:rPr>
        <w:noProof/>
        <w:color w:val="auto"/>
        <w:sz w:val="18"/>
        <w:szCs w:val="18"/>
        <w:lang w:val="en-US"/>
      </w:rPr>
      <w:fldChar w:fldCharType="separate"/>
    </w:r>
    <w:r w:rsidR="006851B3">
      <w:rPr>
        <w:noProof/>
        <w:color w:val="auto"/>
        <w:sz w:val="18"/>
        <w:szCs w:val="18"/>
        <w:lang w:val="en-US"/>
      </w:rPr>
      <w:t>9</w:t>
    </w:r>
    <w:r w:rsidR="006851B3" w:rsidRPr="00654E6E">
      <w:rPr>
        <w:noProof/>
        <w:color w:val="auto"/>
        <w:sz w:val="18"/>
        <w:szCs w:val="18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2D743" w14:textId="77777777" w:rsidR="001D659E" w:rsidRDefault="009E7E52" w:rsidP="006B1647">
    <w:pPr>
      <w:framePr w:w="11907" w:h="284" w:hSpace="181" w:wrap="around" w:vAnchor="page" w:hAnchor="page" w:yAlign="bottom"/>
      <w:spacing w:before="0" w:after="0"/>
    </w:pPr>
    <w:r>
      <w:rPr>
        <w:noProof/>
      </w:rPr>
      <w:drawing>
        <wp:inline distT="0" distB="0" distL="0" distR="0" wp14:anchorId="5EBD7DFE" wp14:editId="269774FB">
          <wp:extent cx="7562850" cy="177949"/>
          <wp:effectExtent l="0" t="0" r="0" b="0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7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1906F9" w14:textId="77777777" w:rsidR="006851B3" w:rsidRPr="00654E6E" w:rsidRDefault="005E4C48" w:rsidP="006851B3">
    <w:pPr>
      <w:pStyle w:val="Footer"/>
      <w:tabs>
        <w:tab w:val="clear" w:pos="4513"/>
        <w:tab w:val="clear" w:pos="9026"/>
        <w:tab w:val="center" w:pos="4820"/>
        <w:tab w:val="right" w:pos="14742"/>
      </w:tabs>
      <w:spacing w:after="160"/>
      <w:rPr>
        <w:color w:val="auto"/>
      </w:rPr>
    </w:pPr>
    <w:sdt>
      <w:sdtPr>
        <w:rPr>
          <w:color w:val="auto"/>
          <w:sz w:val="18"/>
          <w:szCs w:val="18"/>
          <w:lang w:val="en-US"/>
        </w:rPr>
        <w:alias w:val="Title"/>
        <w:tag w:val=""/>
        <w:id w:val="87496247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977C2">
          <w:rPr>
            <w:color w:val="auto"/>
            <w:sz w:val="18"/>
            <w:szCs w:val="18"/>
            <w:lang w:val="en-US"/>
          </w:rPr>
          <w:t>NVES numerical precision and calculations</w:t>
        </w:r>
      </w:sdtContent>
    </w:sdt>
    <w:r w:rsidR="006851B3" w:rsidRPr="00654E6E">
      <w:rPr>
        <w:color w:val="auto"/>
        <w:sz w:val="18"/>
        <w:szCs w:val="18"/>
        <w:lang w:val="en-US"/>
      </w:rPr>
      <w:tab/>
    </w:r>
    <w:r w:rsidR="006851B3" w:rsidRPr="00654E6E">
      <w:rPr>
        <w:b/>
        <w:color w:val="auto"/>
        <w:sz w:val="18"/>
        <w:szCs w:val="18"/>
        <w:lang w:val="en-US"/>
      </w:rPr>
      <w:t>Release date:</w:t>
    </w:r>
    <w:r w:rsidR="006851B3" w:rsidRPr="00654E6E">
      <w:rPr>
        <w:color w:val="auto"/>
        <w:sz w:val="18"/>
        <w:szCs w:val="18"/>
        <w:lang w:val="en-US"/>
      </w:rPr>
      <w:t xml:space="preserve"> </w:t>
    </w:r>
    <w:sdt>
      <w:sdtPr>
        <w:rPr>
          <w:color w:val="auto"/>
          <w:sz w:val="18"/>
          <w:szCs w:val="18"/>
          <w:lang w:val="en-US"/>
        </w:rPr>
        <w:alias w:val="Category"/>
        <w:id w:val="1232892812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B977C2">
          <w:rPr>
            <w:color w:val="auto"/>
            <w:sz w:val="18"/>
            <w:szCs w:val="18"/>
            <w:lang w:val="en-US"/>
          </w:rPr>
          <w:t>June</w:t>
        </w:r>
      </w:sdtContent>
    </w:sdt>
    <w:r w:rsidR="006851B3" w:rsidRPr="00654E6E">
      <w:rPr>
        <w:color w:val="auto"/>
        <w:sz w:val="18"/>
        <w:szCs w:val="18"/>
        <w:lang w:val="en-US"/>
      </w:rPr>
      <w:t xml:space="preserve"> | </w:t>
    </w:r>
    <w:r w:rsidR="006851B3" w:rsidRPr="00654E6E">
      <w:rPr>
        <w:b/>
        <w:color w:val="auto"/>
        <w:sz w:val="18"/>
        <w:szCs w:val="18"/>
        <w:lang w:val="en-US"/>
      </w:rPr>
      <w:t>Version</w:t>
    </w:r>
    <w:r w:rsidR="006851B3" w:rsidRPr="00654E6E">
      <w:rPr>
        <w:color w:val="auto"/>
        <w:sz w:val="18"/>
        <w:szCs w:val="18"/>
        <w:lang w:val="en-US"/>
      </w:rPr>
      <w:t xml:space="preserve">: </w:t>
    </w:r>
    <w:sdt>
      <w:sdtPr>
        <w:rPr>
          <w:color w:val="auto"/>
          <w:sz w:val="18"/>
          <w:szCs w:val="18"/>
          <w:lang w:val="en-US"/>
        </w:rPr>
        <w:alias w:val="Keywords"/>
        <w:id w:val="-1400442376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B977C2">
          <w:rPr>
            <w:color w:val="auto"/>
            <w:sz w:val="18"/>
            <w:szCs w:val="18"/>
            <w:lang w:val="en-US"/>
          </w:rPr>
          <w:t>1.1</w:t>
        </w:r>
      </w:sdtContent>
    </w:sdt>
    <w:r w:rsidR="006851B3" w:rsidRPr="00654E6E">
      <w:rPr>
        <w:color w:val="auto"/>
        <w:sz w:val="18"/>
        <w:szCs w:val="18"/>
        <w:lang w:val="en-US"/>
      </w:rPr>
      <w:t xml:space="preserve"> </w:t>
    </w:r>
    <w:r w:rsidR="006851B3" w:rsidRPr="00654E6E">
      <w:rPr>
        <w:color w:val="auto"/>
        <w:sz w:val="18"/>
        <w:szCs w:val="18"/>
        <w:lang w:val="en-US"/>
      </w:rPr>
      <w:tab/>
      <w:t xml:space="preserve">Page </w:t>
    </w:r>
    <w:r w:rsidR="006851B3" w:rsidRPr="00654E6E">
      <w:rPr>
        <w:color w:val="auto"/>
        <w:sz w:val="18"/>
        <w:szCs w:val="18"/>
        <w:lang w:val="en-US"/>
      </w:rPr>
      <w:fldChar w:fldCharType="begin"/>
    </w:r>
    <w:r w:rsidR="006851B3" w:rsidRPr="00654E6E">
      <w:rPr>
        <w:color w:val="auto"/>
        <w:sz w:val="18"/>
        <w:szCs w:val="18"/>
        <w:lang w:val="en-US"/>
      </w:rPr>
      <w:instrText xml:space="preserve"> PAGE   \* MERGEFORMAT </w:instrText>
    </w:r>
    <w:r w:rsidR="006851B3" w:rsidRPr="00654E6E">
      <w:rPr>
        <w:color w:val="auto"/>
        <w:sz w:val="18"/>
        <w:szCs w:val="18"/>
        <w:lang w:val="en-US"/>
      </w:rPr>
      <w:fldChar w:fldCharType="separate"/>
    </w:r>
    <w:r w:rsidR="006851B3">
      <w:rPr>
        <w:color w:val="auto"/>
        <w:sz w:val="18"/>
        <w:szCs w:val="18"/>
        <w:lang w:val="en-US"/>
      </w:rPr>
      <w:t>3</w:t>
    </w:r>
    <w:r w:rsidR="006851B3" w:rsidRPr="00654E6E">
      <w:rPr>
        <w:noProof/>
        <w:color w:val="auto"/>
        <w:sz w:val="18"/>
        <w:szCs w:val="18"/>
        <w:lang w:val="en-US"/>
      </w:rPr>
      <w:fldChar w:fldCharType="end"/>
    </w:r>
    <w:r w:rsidR="006851B3" w:rsidRPr="00654E6E">
      <w:rPr>
        <w:noProof/>
        <w:color w:val="auto"/>
        <w:sz w:val="18"/>
        <w:szCs w:val="18"/>
        <w:lang w:val="en-US"/>
      </w:rPr>
      <w:t xml:space="preserve"> of </w:t>
    </w:r>
    <w:r w:rsidR="006851B3" w:rsidRPr="00654E6E">
      <w:rPr>
        <w:noProof/>
        <w:color w:val="auto"/>
        <w:sz w:val="18"/>
        <w:szCs w:val="18"/>
        <w:lang w:val="en-US"/>
      </w:rPr>
      <w:fldChar w:fldCharType="begin"/>
    </w:r>
    <w:r w:rsidR="006851B3" w:rsidRPr="00654E6E">
      <w:rPr>
        <w:noProof/>
        <w:color w:val="auto"/>
        <w:sz w:val="18"/>
        <w:szCs w:val="18"/>
        <w:lang w:val="en-US"/>
      </w:rPr>
      <w:instrText xml:space="preserve"> NUMPAGES   \* MERGEFORMAT </w:instrText>
    </w:r>
    <w:r w:rsidR="006851B3" w:rsidRPr="00654E6E">
      <w:rPr>
        <w:noProof/>
        <w:color w:val="auto"/>
        <w:sz w:val="18"/>
        <w:szCs w:val="18"/>
        <w:lang w:val="en-US"/>
      </w:rPr>
      <w:fldChar w:fldCharType="separate"/>
    </w:r>
    <w:r w:rsidR="006851B3">
      <w:rPr>
        <w:noProof/>
        <w:color w:val="auto"/>
        <w:sz w:val="18"/>
        <w:szCs w:val="18"/>
        <w:lang w:val="en-US"/>
      </w:rPr>
      <w:t>9</w:t>
    </w:r>
    <w:r w:rsidR="006851B3" w:rsidRPr="00654E6E">
      <w:rPr>
        <w:noProof/>
        <w:color w:val="auto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A8416" w14:textId="77777777" w:rsidR="00B977C2" w:rsidRPr="00EF7FF3" w:rsidRDefault="00B977C2" w:rsidP="005912BE">
      <w:pPr>
        <w:spacing w:before="300"/>
        <w:rPr>
          <w:color w:val="081E3E" w:themeColor="text2"/>
        </w:rPr>
      </w:pPr>
      <w:r w:rsidRPr="00EF7FF3">
        <w:rPr>
          <w:color w:val="081E3E" w:themeColor="text2"/>
        </w:rPr>
        <w:t>----------</w:t>
      </w:r>
    </w:p>
  </w:footnote>
  <w:footnote w:type="continuationSeparator" w:id="0">
    <w:p w14:paraId="399CB830" w14:textId="77777777" w:rsidR="00B977C2" w:rsidRDefault="00B977C2" w:rsidP="008456D5">
      <w:pPr>
        <w:spacing w:before="0" w:after="0"/>
      </w:pPr>
      <w:r>
        <w:continuationSeparator/>
      </w:r>
    </w:p>
  </w:footnote>
  <w:footnote w:type="continuationNotice" w:id="1">
    <w:p w14:paraId="200BCD51" w14:textId="77777777" w:rsidR="00B977C2" w:rsidRDefault="00B977C2">
      <w:pPr>
        <w:spacing w:before="0" w:after="0"/>
      </w:pPr>
    </w:p>
  </w:footnote>
  <w:footnote w:id="2">
    <w:p w14:paraId="3280E427" w14:textId="77777777" w:rsidR="00B977C2" w:rsidRPr="005570A3" w:rsidRDefault="00B977C2" w:rsidP="00B977C2">
      <w:pPr>
        <w:pStyle w:val="FootnoteText"/>
        <w:rPr>
          <w:szCs w:val="18"/>
        </w:rPr>
      </w:pPr>
      <w:r w:rsidRPr="005570A3">
        <w:rPr>
          <w:rStyle w:val="FootnoteReference"/>
          <w:szCs w:val="18"/>
        </w:rPr>
        <w:footnoteRef/>
      </w:r>
      <w:r w:rsidRPr="005570A3">
        <w:rPr>
          <w:szCs w:val="18"/>
        </w:rPr>
        <w:t xml:space="preserve"> </w:t>
      </w:r>
      <w:r w:rsidRPr="005570A3">
        <w:rPr>
          <w:i/>
          <w:iCs/>
          <w:szCs w:val="18"/>
        </w:rPr>
        <w:t>As entered on the Register of Approved Vehicles (RAV).</w:t>
      </w:r>
    </w:p>
  </w:footnote>
  <w:footnote w:id="3">
    <w:p w14:paraId="15BD8AA8" w14:textId="77777777" w:rsidR="00B977C2" w:rsidRDefault="00B977C2" w:rsidP="00B977C2">
      <w:pPr>
        <w:pStyle w:val="FootnoteText"/>
      </w:pPr>
      <w:r w:rsidRPr="005570A3">
        <w:rPr>
          <w:rStyle w:val="FootnoteReference"/>
          <w:szCs w:val="18"/>
        </w:rPr>
        <w:footnoteRef/>
      </w:r>
      <w:r w:rsidRPr="005570A3">
        <w:rPr>
          <w:szCs w:val="18"/>
        </w:rPr>
        <w:t xml:space="preserve"> </w:t>
      </w:r>
      <w:r w:rsidRPr="005570A3">
        <w:rPr>
          <w:i/>
          <w:iCs/>
          <w:szCs w:val="18"/>
        </w:rPr>
        <w:t>As defined in the NVES Act.</w:t>
      </w:r>
    </w:p>
  </w:footnote>
  <w:footnote w:id="4">
    <w:p w14:paraId="2BB3D636" w14:textId="77777777" w:rsidR="00B977C2" w:rsidRPr="005570A3" w:rsidRDefault="00B977C2" w:rsidP="00B977C2">
      <w:pPr>
        <w:pStyle w:val="FootnoteText"/>
        <w:ind w:left="0" w:firstLine="0"/>
        <w:rPr>
          <w:szCs w:val="18"/>
        </w:rPr>
      </w:pPr>
      <w:r>
        <w:rPr>
          <w:rStyle w:val="FootnoteReference"/>
          <w:szCs w:val="18"/>
        </w:rPr>
        <w:t>1</w:t>
      </w:r>
      <w:r w:rsidRPr="005570A3">
        <w:rPr>
          <w:szCs w:val="18"/>
        </w:rPr>
        <w:t xml:space="preserve"> </w:t>
      </w:r>
      <w:r w:rsidRPr="005570A3">
        <w:rPr>
          <w:i/>
          <w:iCs/>
          <w:szCs w:val="18"/>
        </w:rPr>
        <w:t>As entered on the Register of Approved Vehicles (RAV).</w:t>
      </w:r>
    </w:p>
    <w:p w14:paraId="2D2DAD36" w14:textId="77777777" w:rsidR="00B977C2" w:rsidRDefault="00B977C2" w:rsidP="00B977C2">
      <w:pPr>
        <w:pStyle w:val="FootnoteText"/>
        <w:ind w:left="0" w:firstLine="0"/>
        <w:rPr>
          <w:szCs w:val="16"/>
        </w:rPr>
      </w:pPr>
      <w:r w:rsidRPr="007C0D9E">
        <w:rPr>
          <w:szCs w:val="18"/>
          <w:vertAlign w:val="superscript"/>
        </w:rPr>
        <w:t>2</w:t>
      </w:r>
      <w:r>
        <w:rPr>
          <w:szCs w:val="18"/>
        </w:rPr>
        <w:t xml:space="preserve"> </w:t>
      </w:r>
      <w:r w:rsidRPr="005570A3">
        <w:rPr>
          <w:i/>
          <w:iCs/>
          <w:szCs w:val="18"/>
        </w:rPr>
        <w:t>As defined in the NVES Act.</w:t>
      </w:r>
    </w:p>
    <w:p w14:paraId="4C5AB10E" w14:textId="77777777" w:rsidR="00B977C2" w:rsidRPr="007C0D9E" w:rsidRDefault="00B977C2" w:rsidP="00B977C2">
      <w:pPr>
        <w:pStyle w:val="FootnoteText"/>
        <w:rPr>
          <w:szCs w:val="16"/>
        </w:rPr>
      </w:pPr>
      <w:r w:rsidRPr="00617BB6">
        <w:rPr>
          <w:rStyle w:val="FootnoteReference"/>
          <w:szCs w:val="16"/>
        </w:rPr>
        <w:footnoteRef/>
      </w:r>
      <w:r w:rsidRPr="00617BB6">
        <w:rPr>
          <w:szCs w:val="16"/>
        </w:rPr>
        <w:t xml:space="preserve"> </w:t>
      </w:r>
      <w:r w:rsidRPr="00617BB6">
        <w:rPr>
          <w:i/>
          <w:iCs/>
          <w:szCs w:val="16"/>
        </w:rPr>
        <w:t>With rounding up if the first decimal place is 5 or more, and rounding down if the first decimal place is 4 or less.</w:t>
      </w:r>
    </w:p>
  </w:footnote>
  <w:footnote w:id="5">
    <w:p w14:paraId="4E474804" w14:textId="77777777" w:rsidR="00B977C2" w:rsidRPr="007C0D9E" w:rsidRDefault="00B977C2" w:rsidP="00B977C2">
      <w:pPr>
        <w:pStyle w:val="FootnoteText"/>
        <w:ind w:left="142" w:hanging="142"/>
        <w:rPr>
          <w:szCs w:val="16"/>
        </w:rPr>
      </w:pPr>
      <w:r w:rsidRPr="007C0D9E">
        <w:rPr>
          <w:rStyle w:val="FootnoteReference"/>
          <w:szCs w:val="16"/>
        </w:rPr>
        <w:footnoteRef/>
      </w:r>
      <w:r w:rsidRPr="007C0D9E">
        <w:rPr>
          <w:szCs w:val="16"/>
        </w:rPr>
        <w:t xml:space="preserve"> </w:t>
      </w:r>
      <w:r w:rsidRPr="007C0D9E">
        <w:rPr>
          <w:i/>
          <w:iCs/>
          <w:szCs w:val="16"/>
        </w:rPr>
        <w:t>Rounding occurs just once for each IEV calculation, on summation of each vehicle emissions value for a regulated entity in a year, where this value is the difference between a covered vehicle’s emissions number and its emissions target.</w:t>
      </w:r>
    </w:p>
  </w:footnote>
  <w:footnote w:id="6">
    <w:p w14:paraId="380B7921" w14:textId="77777777" w:rsidR="00B977C2" w:rsidRDefault="00B977C2" w:rsidP="00B977C2">
      <w:pPr>
        <w:pStyle w:val="FootnoteText"/>
        <w:ind w:left="142" w:hanging="142"/>
      </w:pPr>
      <w:r w:rsidRPr="007C0D9E">
        <w:rPr>
          <w:rStyle w:val="FootnoteReference"/>
          <w:szCs w:val="16"/>
        </w:rPr>
        <w:footnoteRef/>
      </w:r>
      <w:r w:rsidRPr="007C0D9E">
        <w:rPr>
          <w:szCs w:val="16"/>
        </w:rPr>
        <w:t xml:space="preserve"> </w:t>
      </w:r>
      <w:r w:rsidRPr="007C0D9E">
        <w:rPr>
          <w:i/>
          <w:iCs/>
          <w:szCs w:val="16"/>
        </w:rPr>
        <w:t>MAF, DM and RM parameters specified in the NVES Act for 2025. Parameters for 2026 and beyond may differ from the values listed in this document, if a Ministerial Determination is made under the Act in the future to update these parameters.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1330F" w14:textId="77777777" w:rsidR="00180B5B" w:rsidRDefault="005E4C48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B977C2">
      <w:rPr>
        <w:noProof/>
      </w:rPr>
      <w:t>Heading 1</w:t>
    </w:r>
    <w:r>
      <w:rPr>
        <w:noProof/>
      </w:rPr>
      <w:fldChar w:fldCharType="end"/>
    </w:r>
  </w:p>
  <w:p w14:paraId="5F009A5E" w14:textId="77777777" w:rsidR="00C15F0D" w:rsidRDefault="00C15F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F913B" w14:textId="77777777" w:rsidR="00D2335F" w:rsidRDefault="00D2335F" w:rsidP="00D2335F">
    <w:pPr>
      <w:framePr w:w="11907" w:h="3062" w:wrap="around" w:vAnchor="page" w:hAnchor="page" w:x="12" w:yAlign="top" w:anchorLock="1"/>
      <w:spacing w:before="0" w:after="400"/>
    </w:pPr>
    <w:bookmarkStart w:id="4" w:name="_Hlk148680551"/>
    <w:r>
      <w:rPr>
        <w:noProof/>
      </w:rPr>
      <w:drawing>
        <wp:inline distT="0" distB="0" distL="0" distR="0" wp14:anchorId="35BB658D" wp14:editId="7133AE4F">
          <wp:extent cx="7553115" cy="1942229"/>
          <wp:effectExtent l="0" t="0" r="3810" b="127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115" cy="1942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4"/>
  <w:p w14:paraId="32E36BB0" w14:textId="77777777" w:rsidR="00D2335F" w:rsidRDefault="00F7524B" w:rsidP="00065852">
    <w:pPr>
      <w:framePr w:w="6237" w:h="1134" w:hSpace="181" w:wrap="around" w:vAnchor="page" w:hAnchor="page" w:x="1022" w:y="1135" w:anchorLock="1"/>
      <w:spacing w:after="0"/>
    </w:pPr>
    <w:r>
      <w:rPr>
        <w:noProof/>
        <w:lang w:eastAsia="en-AU"/>
      </w:rPr>
      <w:drawing>
        <wp:inline distT="0" distB="0" distL="0" distR="0" wp14:anchorId="66B2EF9A" wp14:editId="799EDE27">
          <wp:extent cx="2762100" cy="669600"/>
          <wp:effectExtent l="0" t="0" r="0" b="3810"/>
          <wp:docPr id="12" name="Picture 12" descr="Australian Government logo and New Vehicle Efficiency Standard Regulat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Australian Government logo and New Vehicle Efficiency Standard Regulator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62100" cy="66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A6FDF3" w14:textId="77777777" w:rsidR="00D2335F" w:rsidRPr="0069753D" w:rsidRDefault="00D2335F" w:rsidP="00D2335F">
    <w:pPr>
      <w:pStyle w:val="Header"/>
      <w:ind w:left="-992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45B01A1"/>
    <w:multiLevelType w:val="hybridMultilevel"/>
    <w:tmpl w:val="4AEEF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C2"/>
    <w:rsid w:val="0001430B"/>
    <w:rsid w:val="00024E97"/>
    <w:rsid w:val="000341E0"/>
    <w:rsid w:val="00060354"/>
    <w:rsid w:val="00062740"/>
    <w:rsid w:val="00067445"/>
    <w:rsid w:val="00072740"/>
    <w:rsid w:val="0009564F"/>
    <w:rsid w:val="000B08D1"/>
    <w:rsid w:val="000E24BA"/>
    <w:rsid w:val="000E5674"/>
    <w:rsid w:val="000E7E9F"/>
    <w:rsid w:val="00100ABB"/>
    <w:rsid w:val="001109C3"/>
    <w:rsid w:val="001349C6"/>
    <w:rsid w:val="00140888"/>
    <w:rsid w:val="001606C9"/>
    <w:rsid w:val="001653B4"/>
    <w:rsid w:val="00180B5B"/>
    <w:rsid w:val="0019553F"/>
    <w:rsid w:val="001B52B3"/>
    <w:rsid w:val="001D659E"/>
    <w:rsid w:val="001E1D59"/>
    <w:rsid w:val="00203702"/>
    <w:rsid w:val="002179CC"/>
    <w:rsid w:val="00222611"/>
    <w:rsid w:val="002229F7"/>
    <w:rsid w:val="00224BE3"/>
    <w:rsid w:val="002254D5"/>
    <w:rsid w:val="0022611D"/>
    <w:rsid w:val="00234E65"/>
    <w:rsid w:val="00234F5D"/>
    <w:rsid w:val="0026422D"/>
    <w:rsid w:val="00266955"/>
    <w:rsid w:val="002773D1"/>
    <w:rsid w:val="00284164"/>
    <w:rsid w:val="002959FB"/>
    <w:rsid w:val="002B3569"/>
    <w:rsid w:val="002B7197"/>
    <w:rsid w:val="002D233D"/>
    <w:rsid w:val="002E1ADA"/>
    <w:rsid w:val="002F7111"/>
    <w:rsid w:val="00334C93"/>
    <w:rsid w:val="003720E9"/>
    <w:rsid w:val="00372DCC"/>
    <w:rsid w:val="0038444F"/>
    <w:rsid w:val="003C625A"/>
    <w:rsid w:val="003E16B6"/>
    <w:rsid w:val="003F1371"/>
    <w:rsid w:val="003F775D"/>
    <w:rsid w:val="00420F04"/>
    <w:rsid w:val="00427326"/>
    <w:rsid w:val="00430511"/>
    <w:rsid w:val="00436294"/>
    <w:rsid w:val="00450D0E"/>
    <w:rsid w:val="00454FED"/>
    <w:rsid w:val="00477E77"/>
    <w:rsid w:val="0048292A"/>
    <w:rsid w:val="00483596"/>
    <w:rsid w:val="0049153B"/>
    <w:rsid w:val="004A4EB9"/>
    <w:rsid w:val="004C3600"/>
    <w:rsid w:val="004E1EB0"/>
    <w:rsid w:val="004F77AA"/>
    <w:rsid w:val="00526674"/>
    <w:rsid w:val="00526CD7"/>
    <w:rsid w:val="00541213"/>
    <w:rsid w:val="00546218"/>
    <w:rsid w:val="005653A9"/>
    <w:rsid w:val="00567527"/>
    <w:rsid w:val="0057419C"/>
    <w:rsid w:val="00580E6C"/>
    <w:rsid w:val="00582A04"/>
    <w:rsid w:val="005912BE"/>
    <w:rsid w:val="005D50BC"/>
    <w:rsid w:val="005E4C48"/>
    <w:rsid w:val="005F794B"/>
    <w:rsid w:val="00611CC1"/>
    <w:rsid w:val="006335BA"/>
    <w:rsid w:val="006851B3"/>
    <w:rsid w:val="00686A7B"/>
    <w:rsid w:val="0069316B"/>
    <w:rsid w:val="006A0F8A"/>
    <w:rsid w:val="006A266A"/>
    <w:rsid w:val="006B1647"/>
    <w:rsid w:val="006E1ECA"/>
    <w:rsid w:val="006E2A0E"/>
    <w:rsid w:val="006F42E5"/>
    <w:rsid w:val="007A05BE"/>
    <w:rsid w:val="007A0CD1"/>
    <w:rsid w:val="007A5D2E"/>
    <w:rsid w:val="007D7CD4"/>
    <w:rsid w:val="007E40AE"/>
    <w:rsid w:val="0080482C"/>
    <w:rsid w:val="008067A1"/>
    <w:rsid w:val="00823E03"/>
    <w:rsid w:val="00833543"/>
    <w:rsid w:val="00835773"/>
    <w:rsid w:val="00840953"/>
    <w:rsid w:val="008456D5"/>
    <w:rsid w:val="0084634B"/>
    <w:rsid w:val="008500E4"/>
    <w:rsid w:val="0087007E"/>
    <w:rsid w:val="00884E68"/>
    <w:rsid w:val="008A1887"/>
    <w:rsid w:val="008A3E38"/>
    <w:rsid w:val="008B3901"/>
    <w:rsid w:val="008B6A81"/>
    <w:rsid w:val="008C46D9"/>
    <w:rsid w:val="008E2A0D"/>
    <w:rsid w:val="00924CF8"/>
    <w:rsid w:val="00946BCD"/>
    <w:rsid w:val="00981F9A"/>
    <w:rsid w:val="009909EC"/>
    <w:rsid w:val="0099647D"/>
    <w:rsid w:val="00996B8C"/>
    <w:rsid w:val="009B00F2"/>
    <w:rsid w:val="009D6C76"/>
    <w:rsid w:val="009E7E52"/>
    <w:rsid w:val="00A070A2"/>
    <w:rsid w:val="00A103B6"/>
    <w:rsid w:val="00A146EE"/>
    <w:rsid w:val="00A55479"/>
    <w:rsid w:val="00A70111"/>
    <w:rsid w:val="00A84ADF"/>
    <w:rsid w:val="00A95970"/>
    <w:rsid w:val="00AB3238"/>
    <w:rsid w:val="00AC4537"/>
    <w:rsid w:val="00AD4EF7"/>
    <w:rsid w:val="00AD7703"/>
    <w:rsid w:val="00AE1A3E"/>
    <w:rsid w:val="00AE4F99"/>
    <w:rsid w:val="00B0484D"/>
    <w:rsid w:val="00B20EAE"/>
    <w:rsid w:val="00B42AC2"/>
    <w:rsid w:val="00B666D4"/>
    <w:rsid w:val="00B800E2"/>
    <w:rsid w:val="00B9430D"/>
    <w:rsid w:val="00B977C2"/>
    <w:rsid w:val="00BB3AAC"/>
    <w:rsid w:val="00BB68A9"/>
    <w:rsid w:val="00BE198C"/>
    <w:rsid w:val="00BE3AD8"/>
    <w:rsid w:val="00BE5DEC"/>
    <w:rsid w:val="00BF19D6"/>
    <w:rsid w:val="00C0455C"/>
    <w:rsid w:val="00C10346"/>
    <w:rsid w:val="00C10436"/>
    <w:rsid w:val="00C15F0D"/>
    <w:rsid w:val="00C27C02"/>
    <w:rsid w:val="00C5653D"/>
    <w:rsid w:val="00C57766"/>
    <w:rsid w:val="00C60146"/>
    <w:rsid w:val="00C76D5B"/>
    <w:rsid w:val="00CD233E"/>
    <w:rsid w:val="00CD6739"/>
    <w:rsid w:val="00CF6CFD"/>
    <w:rsid w:val="00CF763F"/>
    <w:rsid w:val="00CF78A5"/>
    <w:rsid w:val="00D02062"/>
    <w:rsid w:val="00D23311"/>
    <w:rsid w:val="00D2335F"/>
    <w:rsid w:val="00D26896"/>
    <w:rsid w:val="00D3125C"/>
    <w:rsid w:val="00D56075"/>
    <w:rsid w:val="00D5655E"/>
    <w:rsid w:val="00D62C1B"/>
    <w:rsid w:val="00D67DEB"/>
    <w:rsid w:val="00D71E3A"/>
    <w:rsid w:val="00D93AEC"/>
    <w:rsid w:val="00D96BC0"/>
    <w:rsid w:val="00DA6576"/>
    <w:rsid w:val="00DD09C2"/>
    <w:rsid w:val="00DD73BD"/>
    <w:rsid w:val="00DE4362"/>
    <w:rsid w:val="00DE4FE2"/>
    <w:rsid w:val="00E00CD9"/>
    <w:rsid w:val="00E04908"/>
    <w:rsid w:val="00E16D1E"/>
    <w:rsid w:val="00E2218A"/>
    <w:rsid w:val="00E26A00"/>
    <w:rsid w:val="00E30EB4"/>
    <w:rsid w:val="00E51F03"/>
    <w:rsid w:val="00E5444D"/>
    <w:rsid w:val="00E55BB2"/>
    <w:rsid w:val="00E70F26"/>
    <w:rsid w:val="00E800D9"/>
    <w:rsid w:val="00E94FDD"/>
    <w:rsid w:val="00E95BA5"/>
    <w:rsid w:val="00EB41FF"/>
    <w:rsid w:val="00EF7FF3"/>
    <w:rsid w:val="00F11869"/>
    <w:rsid w:val="00F1428D"/>
    <w:rsid w:val="00F472C5"/>
    <w:rsid w:val="00F67CDB"/>
    <w:rsid w:val="00F7524B"/>
    <w:rsid w:val="00FB5D36"/>
    <w:rsid w:val="00FB6091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686BE"/>
  <w15:chartTrackingRefBased/>
  <w15:docId w15:val="{34F1E2E8-78AA-4D15-AA28-C542AC30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6C9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F7524B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5232F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52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5232F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524B"/>
    <w:pPr>
      <w:keepNext/>
      <w:keepLines/>
      <w:tabs>
        <w:tab w:val="center" w:pos="4932"/>
      </w:tabs>
      <w:spacing w:before="240" w:after="160"/>
      <w:outlineLvl w:val="2"/>
    </w:pPr>
    <w:rPr>
      <w:rFonts w:asciiTheme="majorHAnsi" w:eastAsiaTheme="majorEastAsia" w:hAnsiTheme="majorHAnsi" w:cstheme="majorBidi"/>
      <w:b/>
      <w:color w:val="0D6886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7524B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0D6886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752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5232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F7524B"/>
    <w:pPr>
      <w:spacing w:before="1680" w:after="240"/>
    </w:pPr>
    <w:rPr>
      <w:rFonts w:asciiTheme="majorHAnsi" w:eastAsiaTheme="majorEastAsia" w:hAnsiTheme="majorHAnsi" w:cs="Times New Roman (Headings CS)"/>
      <w:b/>
      <w:color w:val="05232F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F7524B"/>
    <w:rPr>
      <w:rFonts w:asciiTheme="majorHAnsi" w:eastAsiaTheme="majorEastAsia" w:hAnsiTheme="majorHAnsi" w:cs="Times New Roman (Headings CS)"/>
      <w:b/>
      <w:color w:val="05232F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F7524B"/>
    <w:pPr>
      <w:numPr>
        <w:ilvl w:val="1"/>
      </w:numPr>
      <w:tabs>
        <w:tab w:val="left" w:pos="6045"/>
      </w:tabs>
      <w:spacing w:before="240" w:after="160"/>
    </w:pPr>
    <w:rPr>
      <w:rFonts w:asciiTheme="majorHAnsi" w:eastAsiaTheme="minorEastAsia" w:hAnsiTheme="majorHAnsi"/>
      <w:color w:val="0D6886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F7524B"/>
    <w:rPr>
      <w:rFonts w:asciiTheme="majorHAnsi" w:eastAsiaTheme="minorEastAsia" w:hAnsiTheme="majorHAnsi"/>
      <w:color w:val="0D6886"/>
      <w:sz w:val="44"/>
    </w:rPr>
  </w:style>
  <w:style w:type="paragraph" w:customStyle="1" w:styleId="CoverDate">
    <w:name w:val="Cover Date"/>
    <w:basedOn w:val="Normal"/>
    <w:uiPriority w:val="19"/>
    <w:qFormat/>
    <w:rsid w:val="00F7524B"/>
    <w:rPr>
      <w:b/>
      <w:color w:val="00425C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7524B"/>
    <w:rPr>
      <w:rFonts w:asciiTheme="majorHAnsi" w:eastAsiaTheme="majorEastAsia" w:hAnsiTheme="majorHAnsi" w:cstheme="majorBidi"/>
      <w:color w:val="05232F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524B"/>
    <w:rPr>
      <w:rFonts w:asciiTheme="majorHAnsi" w:eastAsiaTheme="majorEastAsia" w:hAnsiTheme="majorHAnsi" w:cstheme="majorBidi"/>
      <w:color w:val="05232F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F7524B"/>
    <w:pPr>
      <w:spacing w:before="240" w:after="240"/>
    </w:pPr>
    <w:rPr>
      <w:color w:val="0D6886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F7524B"/>
    <w:rPr>
      <w:rFonts w:asciiTheme="majorHAnsi" w:eastAsiaTheme="majorEastAsia" w:hAnsiTheme="majorHAnsi" w:cstheme="majorBidi"/>
      <w:b/>
      <w:color w:val="0D6886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7524B"/>
    <w:rPr>
      <w:rFonts w:asciiTheme="majorHAnsi" w:eastAsiaTheme="majorEastAsia" w:hAnsiTheme="majorHAnsi" w:cstheme="majorBidi"/>
      <w:b/>
      <w:iCs/>
      <w:color w:val="0D6886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7524B"/>
    <w:rPr>
      <w:rFonts w:asciiTheme="majorHAnsi" w:eastAsiaTheme="majorEastAsia" w:hAnsiTheme="majorHAnsi" w:cstheme="majorBidi"/>
      <w:b/>
      <w:color w:val="05232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347C7E" w:themeColor="accent2"/>
        <w:bottom w:val="single" w:sz="4" w:space="0" w:color="347C7E" w:themeColor="accent2"/>
        <w:insideH w:val="single" w:sz="4" w:space="0" w:color="347C7E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F7524B"/>
    <w:pPr>
      <w:pBdr>
        <w:top w:val="single" w:sz="4" w:space="14" w:color="0D6886"/>
        <w:left w:val="single" w:sz="4" w:space="14" w:color="0D6886"/>
        <w:bottom w:val="single" w:sz="4" w:space="14" w:color="0D6886"/>
        <w:right w:val="single" w:sz="4" w:space="14" w:color="0D6886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F7524B"/>
    <w:rPr>
      <w:b/>
    </w:rPr>
  </w:style>
  <w:style w:type="paragraph" w:customStyle="1" w:styleId="Box1Bullet1">
    <w:name w:val="Box 1 Bullet 1"/>
    <w:basedOn w:val="Box1Text"/>
    <w:uiPriority w:val="24"/>
    <w:qFormat/>
    <w:rsid w:val="00F7524B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F7524B"/>
    <w:pPr>
      <w:pBdr>
        <w:top w:val="single" w:sz="4" w:space="14" w:color="DEE7EA"/>
        <w:left w:val="single" w:sz="4" w:space="14" w:color="DEE7EA"/>
        <w:bottom w:val="single" w:sz="4" w:space="14" w:color="DEE7EA"/>
        <w:right w:val="single" w:sz="4" w:space="14" w:color="DEE7EA"/>
      </w:pBdr>
      <w:shd w:val="clear" w:color="auto" w:fill="DEE7EA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430511"/>
    <w:pPr>
      <w:numPr>
        <w:ilvl w:val="1"/>
        <w:numId w:val="2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F7524B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62C1B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C1B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347C7E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D26896"/>
    <w:pPr>
      <w:spacing w:before="0" w:after="240"/>
      <w:ind w:left="-1021" w:firstLine="1021"/>
    </w:pPr>
    <w:rPr>
      <w:rFonts w:cs="Times New Roman (Body CS)"/>
      <w:caps/>
      <w:color w:val="49515C" w:themeColor="accent4" w:themeShade="80"/>
    </w:rPr>
  </w:style>
  <w:style w:type="paragraph" w:customStyle="1" w:styleId="Box2Checklist">
    <w:name w:val="Box 2 Checklist"/>
    <w:basedOn w:val="Box2Text"/>
    <w:uiPriority w:val="26"/>
    <w:qFormat/>
    <w:rsid w:val="00430511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430511"/>
    <w:pPr>
      <w:numPr>
        <w:numId w:val="24"/>
      </w:numPr>
    </w:pPr>
  </w:style>
  <w:style w:type="paragraph" w:customStyle="1" w:styleId="SecurityMarker">
    <w:name w:val="Security Marker"/>
    <w:basedOn w:val="Normal"/>
    <w:qFormat/>
    <w:rsid w:val="001D659E"/>
    <w:pPr>
      <w:spacing w:before="60" w:after="60"/>
      <w:jc w:val="center"/>
    </w:pPr>
    <w:rPr>
      <w:b/>
      <w:bCs/>
      <w:caps/>
      <w:color w:val="E10000"/>
      <w:sz w:val="28"/>
      <w:szCs w:val="28"/>
      <w:shd w:val="clear" w:color="auto" w:fill="FFFFFF" w:themeFill="background1"/>
    </w:rPr>
  </w:style>
  <w:style w:type="paragraph" w:customStyle="1" w:styleId="Tagline">
    <w:name w:val="Tagline"/>
    <w:basedOn w:val="Normal"/>
    <w:qFormat/>
    <w:rsid w:val="0099647D"/>
    <w:pPr>
      <w:framePr w:wrap="notBeside" w:vAnchor="text" w:hAnchor="text" w:y="1"/>
      <w:spacing w:before="500" w:after="120"/>
    </w:pPr>
    <w:rPr>
      <w:color w:val="49515C"/>
    </w:rPr>
  </w:style>
  <w:style w:type="character" w:styleId="UnresolvedMention">
    <w:name w:val="Unresolved Mention"/>
    <w:basedOn w:val="DefaultParagraphFont"/>
    <w:uiPriority w:val="99"/>
    <w:semiHidden/>
    <w:unhideWhenUsed/>
    <w:rsid w:val="001D659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40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8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8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8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88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unhideWhenUsed/>
    <w:qFormat/>
    <w:rsid w:val="00482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frastructure.gov.au/infrastructure-transport-vehicles/vehicles/new-vehicle-efficiency-standard/new-vehicle-efficiency-standard-regulator/information-regulated-entiti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C2024A00034/lates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C2024A00034/lates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frastructure.gov.au/department/media/publications/guide-register-approved-vehicle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VESRegulator@infrastructure.gov.au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NVES%20Regulator\NVES%20Regulator%20Standard%20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B13F5C446DC442FA35EB4A702567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B153B-787C-4528-A487-4DFAAE7E82F3}"/>
      </w:docPartPr>
      <w:docPartBody>
        <w:p w:rsidR="00000000" w:rsidRDefault="00702DA7" w:rsidP="00702DA7">
          <w:pPr>
            <w:pStyle w:val="EB13F5C446DC442FA35EB4A7025673E5"/>
          </w:pPr>
          <w:r w:rsidRPr="00EC51D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A7"/>
    <w:rsid w:val="0070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2DA7"/>
    <w:rPr>
      <w:color w:val="808080"/>
    </w:rPr>
  </w:style>
  <w:style w:type="paragraph" w:customStyle="1" w:styleId="150367D6B27D4016A729E3C76BA392A0">
    <w:name w:val="150367D6B27D4016A729E3C76BA392A0"/>
  </w:style>
  <w:style w:type="paragraph" w:customStyle="1" w:styleId="9E7F82943BE94BA3B342A5E544F65DB5">
    <w:name w:val="9E7F82943BE94BA3B342A5E544F65DB5"/>
  </w:style>
  <w:style w:type="paragraph" w:customStyle="1" w:styleId="A25A880D101E497E988754CE796613ED">
    <w:name w:val="A25A880D101E497E988754CE796613ED"/>
  </w:style>
  <w:style w:type="paragraph" w:customStyle="1" w:styleId="EB13F5C446DC442FA35EB4A7025673E5">
    <w:name w:val="EB13F5C446DC442FA35EB4A7025673E5"/>
    <w:rsid w:val="00702D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347C7E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2024-12-03T00:00:00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4C2ED6474624087625D5BC8BDA46B" ma:contentTypeVersion="9" ma:contentTypeDescription="Create a new document." ma:contentTypeScope="" ma:versionID="9b55e86ec32ddf62e867b6ff51eb1982">
  <xsd:schema xmlns:xsd="http://www.w3.org/2001/XMLSchema" xmlns:xs="http://www.w3.org/2001/XMLSchema" xmlns:p="http://schemas.microsoft.com/office/2006/metadata/properties" xmlns:ns2="b3b9b181-06e0-4268-af22-c6840c33967c" xmlns:ns3="40b89a2c-dbe8-4aa4-bd74-be5189addec4" targetNamespace="http://schemas.microsoft.com/office/2006/metadata/properties" ma:root="true" ma:fieldsID="59add822de70a2ee165fa5d5abf4bd24" ns2:_="" ns3:_="">
    <xsd:import namespace="b3b9b181-06e0-4268-af22-c6840c33967c"/>
    <xsd:import namespace="40b89a2c-dbe8-4aa4-bd74-be5189addec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g7a2f445ab5e4aa2ad49ebf38fd81cc6" minOccurs="0"/>
                <xsd:element ref="ns2:TaxCatchAll" minOccurs="0"/>
                <xsd:element ref="ns2:TaxCatchAllLabel" minOccurs="0"/>
                <xsd:element ref="ns2:ne6d73d4a8b14472a6a14c195f235605" minOccurs="0"/>
                <xsd:element ref="ns2:Destroy Item46" minOccurs="0"/>
                <xsd:element ref="ns2:Justification for Destruction47" minOccurs="0"/>
                <xsd:element ref="ns2:Document_x0020_SP_x0020_Type" minOccurs="0"/>
                <xsd:element ref="ns2:SharedWithUsers" minOccurs="0"/>
                <xsd:element ref="ns2:SharedWithDetails" minOccurs="0"/>
                <xsd:element ref="ns3:Project_x0020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9b181-06e0-4268-af22-c6840c33967c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/>
      </xsd:simpleType>
    </xsd:element>
    <xsd:element name="g7a2f445ab5e4aa2ad49ebf38fd81cc6" ma:index="9" ma:taxonomy="true" ma:internalName="g7a2f445ab5e4aa2ad49ebf38fd81cc6" ma:taxonomyFieldName="Security_x0020_Classification" ma:displayName="Security Classification" ma:readOnly="false" ma:default="1;#OFFICIAL|66ee57a8-59d0-46bc-a5fc-78440ee0cf81" ma:fieldId="{07a2f445-ab5e-4aa2-ad49-ebf38fd81cc6}" ma:sspId="0483e4a5-f0f6-4ded-b0bb-00a90fd4cf8b" ma:termSetId="d697d180-c653-44a1-a6e2-69709aabde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b652d38-8c68-4034-afbd-1c7523511a25}" ma:internalName="TaxCatchAll" ma:showField="CatchAllData" ma:web="b3b9b181-06e0-4268-af22-c6840c339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b652d38-8c68-4034-afbd-1c7523511a25}" ma:internalName="TaxCatchAllLabel" ma:readOnly="true" ma:showField="CatchAllDataLabel" ma:web="b3b9b181-06e0-4268-af22-c6840c339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e6d73d4a8b14472a6a14c195f235605" ma:index="13" nillable="true" ma:taxonomy="true" ma:internalName="ne6d73d4a8b14472a6a14c195f235605" ma:taxonomyFieldName="Information_x0020_Management_x0020_Marker" ma:displayName="Information Management Marker" ma:default="" ma:fieldId="{7e6d73d4-a8b1-4472-a6a1-4c195f235605}" ma:sspId="0483e4a5-f0f6-4ded-b0bb-00a90fd4cf8b" ma:termSetId="44e0cffd-acf4-44de-87a1-d4e578541b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troy Item46" ma:index="15" nillable="true" ma:displayName="Destroy Item" ma:internalName="Destroy_x0020_Item46">
      <xsd:simpleType>
        <xsd:restriction base="dms:Boolean"/>
      </xsd:simpleType>
    </xsd:element>
    <xsd:element name="Justification for Destruction47" ma:index="16" nillable="true" ma:displayName="Justification for Destruction" ma:internalName="Justification_x0020_for_x0020_Destruction47">
      <xsd:simpleType>
        <xsd:restriction base="dms:Text"/>
      </xsd:simpleType>
    </xsd:element>
    <xsd:element name="Document_x0020_SP_x0020_Type" ma:index="17" nillable="true" ma:displayName="Document SP Type" ma:default="Document" ma:internalName="Document_x0020_SP_x0020_Type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89a2c-dbe8-4aa4-bd74-be5189addec4" elementFormDefault="qualified">
    <xsd:import namespace="http://schemas.microsoft.com/office/2006/documentManagement/types"/>
    <xsd:import namespace="http://schemas.microsoft.com/office/infopath/2007/PartnerControls"/>
    <xsd:element name="Project_x0020_activity" ma:index="21" nillable="true" ma:displayName="Project activity" ma:default="None" ma:description="Document types/phases of the project" ma:internalName="Project_x0020_activit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D7BF70-5496-4570-8665-E2B3EA49E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9b181-06e0-4268-af22-c6840c33967c"/>
    <ds:schemaRef ds:uri="40b89a2c-dbe8-4aa4-bd74-be5189add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72961-E5FF-4F43-9532-FD7B95D487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F7B480-0796-4D56-B6FA-5F2C4550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NVES Regulator Standard Portrait.dotx</Template>
  <TotalTime>3</TotalTime>
  <Pages>4</Pages>
  <Words>874</Words>
  <Characters>4436</Characters>
  <Application>Microsoft Office Word</Application>
  <DocSecurity>0</DocSecurity>
  <Lines>158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NVES numerical precision and calculations</vt:lpstr>
    </vt:vector>
  </TitlesOfParts>
  <Company>Department of Infrastructure &amp; Regional Development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NVES numerical precision and calculations</dc:title>
  <dc:subject/>
  <dc:creator>O'Connor Simone</dc:creator>
  <cp:keywords>1.1</cp:keywords>
  <dc:description/>
  <cp:lastModifiedBy>O'Connor Simone</cp:lastModifiedBy>
  <cp:revision>2</cp:revision>
  <cp:lastPrinted>2025-06-19T01:49:00Z</cp:lastPrinted>
  <dcterms:created xsi:type="dcterms:W3CDTF">2025-06-19T01:42:00Z</dcterms:created>
  <dcterms:modified xsi:type="dcterms:W3CDTF">2025-06-19T01:50:00Z</dcterms:modified>
  <cp:category>June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0x0101005204C2ED6474624087625D5BC8BDA46B</vt:lpwstr>
  </property>
</Properties>
</file>