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122DA" w14:textId="2607E38D" w:rsidR="00ED268F" w:rsidRDefault="00D13A9A" w:rsidP="00D13A9A">
      <w:pPr>
        <w:spacing w:before="360" w:after="1200"/>
      </w:pPr>
      <w:bookmarkStart w:id="0" w:name="_Hlk209769405"/>
      <w:bookmarkEnd w:id="0"/>
      <w:r>
        <w:rPr>
          <w:noProof/>
        </w:rPr>
        <w:drawing>
          <wp:inline distT="0" distB="0" distL="0" distR="0" wp14:anchorId="1561D618" wp14:editId="420E41B5">
            <wp:extent cx="4282687" cy="790042"/>
            <wp:effectExtent l="0" t="0" r="3810" b="0"/>
            <wp:docPr id="16363331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33174"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82687" cy="790042"/>
                    </a:xfrm>
                    <a:prstGeom prst="rect">
                      <a:avLst/>
                    </a:prstGeom>
                  </pic:spPr>
                </pic:pic>
              </a:graphicData>
            </a:graphic>
          </wp:inline>
        </w:drawing>
      </w:r>
    </w:p>
    <w:p w14:paraId="2EFCB228" w14:textId="5A079472" w:rsidR="0064095A" w:rsidRDefault="00A636EE" w:rsidP="00710F69">
      <w:pPr>
        <w:pStyle w:val="Heading1"/>
        <w:rPr>
          <w:rStyle w:val="NonTOCTitleChar"/>
          <w:sz w:val="48"/>
          <w:szCs w:val="48"/>
        </w:rPr>
      </w:pPr>
      <w:bookmarkStart w:id="1" w:name="_Toc210386241"/>
      <w:r w:rsidRPr="1FD40C4F">
        <w:rPr>
          <w:sz w:val="32"/>
          <w:szCs w:val="32"/>
        </w:rPr>
        <w:t>Northern Australia Action Plan 2024–2029</w:t>
      </w:r>
      <w:r w:rsidR="00710F69" w:rsidRPr="1FD40C4F">
        <w:rPr>
          <w:sz w:val="32"/>
          <w:szCs w:val="32"/>
        </w:rPr>
        <w:t>:</w:t>
      </w:r>
      <w:r w:rsidR="00A01BE9">
        <w:br/>
      </w:r>
      <w:r w:rsidR="008E536C" w:rsidRPr="00A01BE9">
        <w:rPr>
          <w:rStyle w:val="NonTOCTitleChar"/>
          <w:b/>
          <w:bCs/>
        </w:rPr>
        <w:t>Annual Progress Report</w:t>
      </w:r>
      <w:r w:rsidR="008E536C">
        <w:t xml:space="preserve"> </w:t>
      </w:r>
      <w:r w:rsidR="008E536C" w:rsidRPr="00CF2831">
        <w:rPr>
          <w:rStyle w:val="NonTOCTitleChar"/>
          <w:sz w:val="48"/>
          <w:szCs w:val="48"/>
        </w:rPr>
        <w:t>2025</w:t>
      </w:r>
      <w:bookmarkEnd w:id="1"/>
    </w:p>
    <w:p w14:paraId="4D1850A9" w14:textId="6355BBB1" w:rsidR="00767C86" w:rsidRDefault="0019697D" w:rsidP="00767C86">
      <w:r>
        <w:rPr>
          <w:noProof/>
        </w:rPr>
        <w:drawing>
          <wp:inline distT="0" distB="0" distL="0" distR="0" wp14:anchorId="50C26E89" wp14:editId="3603C9F8">
            <wp:extent cx="6303866" cy="5124893"/>
            <wp:effectExtent l="0" t="0" r="1905" b="0"/>
            <wp:docPr id="1966185831" name="Picture 1" descr="Drone image of Lake Kununurra,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85831" name="Picture 1" descr="Drone image of Lake Kununurra, Western Australia."/>
                    <pic:cNvPicPr/>
                  </pic:nvPicPr>
                  <pic:blipFill rotWithShape="1">
                    <a:blip r:embed="rId10" cstate="print">
                      <a:extLst>
                        <a:ext uri="{28A0092B-C50C-407E-A947-70E740481C1C}">
                          <a14:useLocalDpi xmlns:a14="http://schemas.microsoft.com/office/drawing/2010/main" val="0"/>
                        </a:ext>
                      </a:extLst>
                    </a:blip>
                    <a:srcRect t="42523" b="-1"/>
                    <a:stretch>
                      <a:fillRect/>
                    </a:stretch>
                  </pic:blipFill>
                  <pic:spPr bwMode="auto">
                    <a:xfrm>
                      <a:off x="0" y="0"/>
                      <a:ext cx="6355827" cy="5167136"/>
                    </a:xfrm>
                    <a:prstGeom prst="rect">
                      <a:avLst/>
                    </a:prstGeom>
                    <a:ln>
                      <a:noFill/>
                    </a:ln>
                    <a:extLst>
                      <a:ext uri="{53640926-AAD7-44D8-BBD7-CCE9431645EC}">
                        <a14:shadowObscured xmlns:a14="http://schemas.microsoft.com/office/drawing/2010/main"/>
                      </a:ext>
                    </a:extLst>
                  </pic:spPr>
                </pic:pic>
              </a:graphicData>
            </a:graphic>
          </wp:inline>
        </w:drawing>
      </w:r>
    </w:p>
    <w:p w14:paraId="4EE13A7F" w14:textId="74393A5A" w:rsidR="001A6028" w:rsidRPr="001A6028" w:rsidRDefault="001A6028" w:rsidP="00E13CA4"/>
    <w:p w14:paraId="6BED970B" w14:textId="77777777" w:rsidR="001C2F22" w:rsidRDefault="001C2F22">
      <w:pPr>
        <w:suppressAutoHyphens w:val="0"/>
        <w:spacing w:before="160"/>
        <w:rPr>
          <w:rFonts w:asciiTheme="majorHAnsi" w:eastAsiaTheme="majorEastAsia" w:hAnsiTheme="majorHAnsi" w:cstheme="majorBidi"/>
          <w:b/>
          <w:bCs/>
          <w:noProof/>
          <w:sz w:val="52"/>
          <w:szCs w:val="64"/>
        </w:rPr>
        <w:sectPr w:rsidR="001C2F22" w:rsidSect="00A55CD6">
          <w:headerReference w:type="even" r:id="rId11"/>
          <w:headerReference w:type="default" r:id="rId12"/>
          <w:footerReference w:type="even" r:id="rId13"/>
          <w:footerReference w:type="default" r:id="rId14"/>
          <w:headerReference w:type="first" r:id="rId15"/>
          <w:footerReference w:type="first" r:id="rId16"/>
          <w:pgSz w:w="11906" w:h="16838" w:code="9"/>
          <w:pgMar w:top="1021" w:right="1021" w:bottom="1021" w:left="1021" w:header="340" w:footer="397" w:gutter="0"/>
          <w:cols w:space="708"/>
          <w:docGrid w:linePitch="360"/>
        </w:sectPr>
      </w:pPr>
      <w:bookmarkStart w:id="2" w:name="_Toc210386242"/>
    </w:p>
    <w:p w14:paraId="22B202C1" w14:textId="78E6E412" w:rsidR="006704FA" w:rsidRDefault="006704FA" w:rsidP="00710F69">
      <w:pPr>
        <w:pStyle w:val="Header1across"/>
      </w:pPr>
      <w:r>
        <w:lastRenderedPageBreak/>
        <w:t>Acknowledgement of Country</w:t>
      </w:r>
      <w:bookmarkEnd w:id="2"/>
    </w:p>
    <w:p w14:paraId="1C8C16B3" w14:textId="5FD402E7" w:rsidR="00E747F4" w:rsidRDefault="00E747F4" w:rsidP="00CF4E26">
      <w:r w:rsidRPr="00E747F4">
        <w:t>We acknowledge the Traditional Owners of lands and waters across northern Australia and pay our respects to Aboriginal and Torres Strait Islander peoples and Elders</w:t>
      </w:r>
      <w:r w:rsidR="00A815FE">
        <w:t>.</w:t>
      </w:r>
    </w:p>
    <w:p w14:paraId="1864800D" w14:textId="1C433E15" w:rsidR="00E747F4" w:rsidRDefault="00E747F4" w:rsidP="00E747F4">
      <w:r>
        <w:t xml:space="preserve">We recognise the strength and diversity of the world’s oldest continuing cultures, and the enduring connections that Aboriginal and Torres Strait Islander peoples hold with </w:t>
      </w:r>
      <w:r w:rsidR="006B1766">
        <w:t>c</w:t>
      </w:r>
      <w:r>
        <w:t>ountry, languages and traditions.</w:t>
      </w:r>
    </w:p>
    <w:p w14:paraId="64118E0E" w14:textId="77777777" w:rsidR="001C2F22" w:rsidRDefault="00E747F4" w:rsidP="001C2F22">
      <w:r>
        <w:t>In reporting on the Northern Australia Action Plan</w:t>
      </w:r>
      <w:r w:rsidR="00943691">
        <w:t xml:space="preserve"> 2024–2029</w:t>
      </w:r>
      <w:r>
        <w:t>, we reaffirm our commitment to genuine partnership with Aboriginal and Torres Strait Islander peoples, listening to their voices and supporting sustainable opportunities that reflect the uniqueness of each place.</w:t>
      </w:r>
      <w:bookmarkStart w:id="3" w:name="_Toc166592965"/>
      <w:bookmarkStart w:id="4" w:name="_Toc166761198"/>
      <w:bookmarkStart w:id="5" w:name="_Toc172024767"/>
      <w:bookmarkStart w:id="6" w:name="_Toc210386243"/>
      <w:bookmarkStart w:id="7" w:name="_Hlk170987483"/>
    </w:p>
    <w:p w14:paraId="693B5A8C" w14:textId="77777777" w:rsidR="00773BAF" w:rsidRDefault="000476D2" w:rsidP="005A6EA4">
      <w:pPr>
        <w:keepNext/>
      </w:pPr>
      <w:r>
        <w:rPr>
          <w:noProof/>
        </w:rPr>
        <w:drawing>
          <wp:inline distT="0" distB="0" distL="0" distR="0" wp14:anchorId="13D45429" wp14:editId="72976B7F">
            <wp:extent cx="5988835" cy="6502400"/>
            <wp:effectExtent l="0" t="0" r="0" b="0"/>
            <wp:docPr id="1169025776" name="Picture 2" descr="Flock of magpie geese in a wetlands framed by a clear sky. Located in the Atherton Tablelands,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25776" name="Picture 2" descr="Flock of magpie geese in a wetlands framed by a clear sky. Located in the Atherton Tablelands, Queensland."/>
                    <pic:cNvPicPr/>
                  </pic:nvPicPr>
                  <pic:blipFill rotWithShape="1">
                    <a:blip r:embed="rId17" cstate="print">
                      <a:extLst>
                        <a:ext uri="{28A0092B-C50C-407E-A947-70E740481C1C}">
                          <a14:useLocalDpi xmlns:a14="http://schemas.microsoft.com/office/drawing/2010/main" val="0"/>
                        </a:ext>
                      </a:extLst>
                    </a:blip>
                    <a:srcRect/>
                    <a:stretch>
                      <a:fillRect/>
                    </a:stretch>
                  </pic:blipFill>
                  <pic:spPr bwMode="auto">
                    <a:xfrm>
                      <a:off x="0" y="0"/>
                      <a:ext cx="5997433" cy="6511736"/>
                    </a:xfrm>
                    <a:prstGeom prst="rect">
                      <a:avLst/>
                    </a:prstGeom>
                    <a:ln>
                      <a:noFill/>
                    </a:ln>
                    <a:extLst>
                      <a:ext uri="{53640926-AAD7-44D8-BBD7-CCE9431645EC}">
                        <a14:shadowObscured xmlns:a14="http://schemas.microsoft.com/office/drawing/2010/main"/>
                      </a:ext>
                    </a:extLst>
                  </pic:spPr>
                </pic:pic>
              </a:graphicData>
            </a:graphic>
          </wp:inline>
        </w:drawing>
      </w:r>
    </w:p>
    <w:p w14:paraId="1FFBFDBB" w14:textId="1C562374" w:rsidR="000476D2" w:rsidRDefault="00773BAF" w:rsidP="005A6EA4">
      <w:pPr>
        <w:pStyle w:val="Sourcenotes"/>
        <w:rPr>
          <w:noProof/>
        </w:rPr>
      </w:pPr>
      <w:r>
        <w:t xml:space="preserve">Figure </w:t>
      </w:r>
      <w:r w:rsidR="005F0057">
        <w:fldChar w:fldCharType="begin"/>
      </w:r>
      <w:r w:rsidR="005F0057">
        <w:instrText xml:space="preserve"> SEQ Figure \* ARABIC </w:instrText>
      </w:r>
      <w:r w:rsidR="005F0057">
        <w:fldChar w:fldCharType="separate"/>
      </w:r>
      <w:r w:rsidR="005F0057">
        <w:rPr>
          <w:noProof/>
        </w:rPr>
        <w:t>1</w:t>
      </w:r>
      <w:r w:rsidR="005F0057">
        <w:rPr>
          <w:noProof/>
        </w:rPr>
        <w:fldChar w:fldCharType="end"/>
      </w:r>
      <w:r>
        <w:t xml:space="preserve"> </w:t>
      </w:r>
      <w:r w:rsidR="00E32D1E">
        <w:t>–</w:t>
      </w:r>
      <w:r>
        <w:t xml:space="preserve"> </w:t>
      </w:r>
      <w:r w:rsidR="00E32D1E">
        <w:t>Flock of m</w:t>
      </w:r>
      <w:r w:rsidR="00DB4C7E">
        <w:t>a</w:t>
      </w:r>
      <w:r w:rsidR="00E32D1E">
        <w:t xml:space="preserve">gpie geese </w:t>
      </w:r>
      <w:r w:rsidR="004F3F5B">
        <w:t>in the</w:t>
      </w:r>
      <w:r w:rsidR="00E32D1E">
        <w:t xml:space="preserve"> </w:t>
      </w:r>
      <w:r>
        <w:t xml:space="preserve">Atherton </w:t>
      </w:r>
      <w:r w:rsidR="005A516E">
        <w:t>T</w:t>
      </w:r>
      <w:r>
        <w:t>ablelands, QLD</w:t>
      </w:r>
      <w:r w:rsidR="004F3F5B">
        <w:t xml:space="preserve"> Credit: ONA</w:t>
      </w:r>
    </w:p>
    <w:p w14:paraId="475C28E9" w14:textId="77777777" w:rsidR="000476D2" w:rsidRDefault="000476D2" w:rsidP="003C13F6">
      <w:pPr>
        <w:rPr>
          <w:noProof/>
        </w:rPr>
      </w:pPr>
    </w:p>
    <w:p w14:paraId="43B299DC" w14:textId="355635D6" w:rsidR="003C13F6" w:rsidRDefault="003C13F6" w:rsidP="005A6EA4">
      <w:pPr>
        <w:rPr>
          <w:noProof/>
        </w:rPr>
      </w:pPr>
      <w:r>
        <w:rPr>
          <w:noProof/>
        </w:rPr>
        <w:br w:type="page"/>
      </w:r>
    </w:p>
    <w:bookmarkEnd w:id="3"/>
    <w:bookmarkEnd w:id="4"/>
    <w:bookmarkEnd w:id="5"/>
    <w:bookmarkEnd w:id="6"/>
    <w:p w14:paraId="3761BA2C" w14:textId="6C1841F6" w:rsidR="00400779" w:rsidRDefault="00FF7EA5" w:rsidP="001C2F22">
      <w:r>
        <w:rPr>
          <w:rFonts w:asciiTheme="majorHAnsi" w:eastAsiaTheme="majorEastAsia" w:hAnsiTheme="majorHAnsi" w:cstheme="majorBidi"/>
          <w:b/>
          <w:bCs/>
          <w:noProof/>
          <w:sz w:val="52"/>
          <w:szCs w:val="64"/>
        </w:rPr>
        <w:lastRenderedPageBreak/>
        <w:t>Ministerial Foreword</w:t>
      </w:r>
    </w:p>
    <w:p w14:paraId="1D12A647" w14:textId="77777777" w:rsidR="00FF7EA5" w:rsidRDefault="00FF7EA5" w:rsidP="00FF7EA5">
      <w:r>
        <w:t xml:space="preserve">The Australian Government remains committed to turning northern Australia’s enormous potential into economic and social development. This first Annual Progress Report to the Northern Australia Action Plan 2024–2029 demonstrates how we are delivering on that commitment. </w:t>
      </w:r>
    </w:p>
    <w:p w14:paraId="6F81BCA5" w14:textId="77777777" w:rsidR="00FF7EA5" w:rsidRDefault="00FF7EA5" w:rsidP="00FF7EA5">
      <w:r>
        <w:t xml:space="preserve">We are proud of the progress to date and equally focused on the work ahead. A strong north is essential to a strong Australia. It will power our economic future, support regional security, and create opportunities for generations to come. </w:t>
      </w:r>
    </w:p>
    <w:p w14:paraId="5F2EF163" w14:textId="77777777" w:rsidR="00FF7EA5" w:rsidRDefault="00FF7EA5" w:rsidP="00FF7EA5">
      <w:r>
        <w:t xml:space="preserve">Over the past year, we have continued to attract investment, strengthen local communities, and respond to challenges. These achievements reflect the resilience and ingenuity of northern Australians and the strength of collaboration across governments. </w:t>
      </w:r>
    </w:p>
    <w:p w14:paraId="26EF4F17" w14:textId="77777777" w:rsidR="00FF7EA5" w:rsidRDefault="00FF7EA5" w:rsidP="00FF7EA5">
      <w:r>
        <w:t xml:space="preserve">We are delivering this agenda through practical, place-based action across northern Australia. We are supporting private investment, upgrading critical infrastructure, improving housing and workforce pathways, strengthening digital and transport connectivity, investing in and protecting our natural environment, growing our critical minerals industry, and boosting resilience to disasters. </w:t>
      </w:r>
    </w:p>
    <w:p w14:paraId="45B9DCF4" w14:textId="77777777" w:rsidR="00FF7EA5" w:rsidRDefault="00FF7EA5" w:rsidP="00FF7EA5">
      <w:r>
        <w:t xml:space="preserve">We acknowledge the vital contributions of Senator the Hon </w:t>
      </w:r>
      <w:proofErr w:type="spellStart"/>
      <w:r>
        <w:t>Malarndirri</w:t>
      </w:r>
      <w:proofErr w:type="spellEnd"/>
      <w:r>
        <w:t xml:space="preserve"> McCarthy, Minister for Indigenous Australians, whose involvement in the Northern Australia Ministerial Forum and the Indigenous Reference Group has strengthened this work. </w:t>
      </w:r>
    </w:p>
    <w:p w14:paraId="39C6926E" w14:textId="7BF1A9EF" w:rsidR="00F5652B" w:rsidRPr="005A6EA4" w:rsidRDefault="00A103FC" w:rsidP="00C358AF">
      <w:pPr>
        <w:rPr>
          <w:b/>
        </w:rPr>
      </w:pPr>
      <w:r>
        <w:rPr>
          <w:noProof/>
          <w:lang w:val="en-US"/>
        </w:rPr>
        <w:drawing>
          <wp:anchor distT="0" distB="0" distL="114300" distR="114300" simplePos="0" relativeHeight="251658243" behindDoc="0" locked="0" layoutInCell="1" allowOverlap="1" wp14:anchorId="5F463BDC" wp14:editId="5887F38E">
            <wp:simplePos x="0" y="0"/>
            <wp:positionH relativeFrom="column">
              <wp:posOffset>167005</wp:posOffset>
            </wp:positionH>
            <wp:positionV relativeFrom="paragraph">
              <wp:posOffset>553085</wp:posOffset>
            </wp:positionV>
            <wp:extent cx="5857240" cy="4778375"/>
            <wp:effectExtent l="0" t="0" r="0" b="3175"/>
            <wp:wrapTopAndBottom/>
            <wp:docPr id="512692812" name="Picture 1" descr="Three people standing next to each other in front of a map of northern Australia in formal business attire. On the left is Mr Luke Gosling, in the centre is the Hon Madeleine King and on the right is Senator the Hon Nita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92812" name="Picture 1" descr="Three people standing next to each other in front of a map of northern Australia in formal business attire. On the left is Mr Luke Gosling, in the centre is the Hon Madeleine King and on the right is Senator the Hon Nita Green."/>
                    <pic:cNvPicPr/>
                  </pic:nvPicPr>
                  <pic:blipFill rotWithShape="1">
                    <a:blip r:embed="rId18" cstate="print">
                      <a:extLst>
                        <a:ext uri="{28A0092B-C50C-407E-A947-70E740481C1C}">
                          <a14:useLocalDpi xmlns:a14="http://schemas.microsoft.com/office/drawing/2010/main" val="0"/>
                        </a:ext>
                      </a:extLst>
                    </a:blip>
                    <a:srcRect/>
                    <a:stretch>
                      <a:fillRect/>
                    </a:stretch>
                  </pic:blipFill>
                  <pic:spPr bwMode="auto">
                    <a:xfrm>
                      <a:off x="0" y="0"/>
                      <a:ext cx="5857240" cy="477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7EA5">
        <w:t>We thank our partners in Queensland, Western Australia and the Northern Territory along with local government and local communities. The Action Plan is being realised through our collective efforts, and we look forward to continuing this shared journey in the years ahead.</w:t>
      </w:r>
    </w:p>
    <w:tbl>
      <w:tblPr>
        <w:tblStyle w:val="DPSTableGrid1"/>
        <w:tblW w:w="0" w:type="auto"/>
        <w:tblLook w:val="04A0" w:firstRow="1" w:lastRow="0" w:firstColumn="1" w:lastColumn="0" w:noHBand="0" w:noVBand="1"/>
      </w:tblPr>
      <w:tblGrid>
        <w:gridCol w:w="3146"/>
        <w:gridCol w:w="3653"/>
        <w:gridCol w:w="3261"/>
      </w:tblGrid>
      <w:tr w:rsidR="009F378B" w14:paraId="1EAC6813" w14:textId="30D483EE" w:rsidTr="00D1104C">
        <w:tc>
          <w:tcPr>
            <w:tcW w:w="3146" w:type="dxa"/>
          </w:tcPr>
          <w:p w14:paraId="4756203A" w14:textId="0C67E228" w:rsidR="009F378B" w:rsidRPr="005A6EA4" w:rsidRDefault="009F378B" w:rsidP="00C358AF">
            <w:pPr>
              <w:jc w:val="center"/>
              <w:rPr>
                <w:b/>
                <w:lang w:val="en-US"/>
              </w:rPr>
            </w:pPr>
            <w:proofErr w:type="spellStart"/>
            <w:r w:rsidRPr="00CF4E26">
              <w:rPr>
                <w:b/>
                <w:bCs/>
                <w:lang w:val="en-US"/>
              </w:rPr>
              <w:t>Mr</w:t>
            </w:r>
            <w:proofErr w:type="spellEnd"/>
            <w:r w:rsidRPr="00CF4E26">
              <w:rPr>
                <w:b/>
                <w:bCs/>
                <w:lang w:val="en-US"/>
              </w:rPr>
              <w:t xml:space="preserve"> Luke Gosling OAM MP</w:t>
            </w:r>
            <w:r w:rsidR="00FF0AE5">
              <w:rPr>
                <w:b/>
                <w:bCs/>
                <w:lang w:val="en-US"/>
              </w:rPr>
              <w:br/>
            </w:r>
            <w:r w:rsidRPr="00057373">
              <w:rPr>
                <w:bCs/>
                <w:lang w:val="en-US"/>
              </w:rPr>
              <w:t xml:space="preserve">Special Envoy for </w:t>
            </w:r>
            <w:proofErr w:type="spellStart"/>
            <w:r w:rsidRPr="00057373">
              <w:rPr>
                <w:bCs/>
                <w:lang w:val="en-US"/>
              </w:rPr>
              <w:t>Defence</w:t>
            </w:r>
            <w:proofErr w:type="spellEnd"/>
            <w:r w:rsidRPr="00057373">
              <w:rPr>
                <w:bCs/>
                <w:lang w:val="en-US"/>
              </w:rPr>
              <w:t xml:space="preserve">, Veterans' Affairs and </w:t>
            </w:r>
            <w:r w:rsidR="00057373">
              <w:rPr>
                <w:bCs/>
                <w:lang w:val="en-US"/>
              </w:rPr>
              <w:br/>
            </w:r>
            <w:r w:rsidRPr="00057373">
              <w:rPr>
                <w:bCs/>
                <w:lang w:val="en-US"/>
              </w:rPr>
              <w:t>Northern Australia</w:t>
            </w:r>
          </w:p>
        </w:tc>
        <w:tc>
          <w:tcPr>
            <w:tcW w:w="3653" w:type="dxa"/>
          </w:tcPr>
          <w:p w14:paraId="4E1F37CC" w14:textId="65104E09" w:rsidR="009F378B" w:rsidRPr="005A6EA4" w:rsidRDefault="009F378B" w:rsidP="00C358AF">
            <w:pPr>
              <w:jc w:val="center"/>
              <w:rPr>
                <w:b/>
                <w:bCs/>
              </w:rPr>
            </w:pPr>
            <w:r w:rsidRPr="0001309F">
              <w:rPr>
                <w:b/>
              </w:rPr>
              <w:t>The Hon Madeleine King MP</w:t>
            </w:r>
            <w:r w:rsidR="00C358AF">
              <w:rPr>
                <w:b/>
              </w:rPr>
              <w:br/>
            </w:r>
            <w:r w:rsidRPr="00C358AF">
              <w:rPr>
                <w:bCs/>
              </w:rPr>
              <w:t>Minister for Northern Australia</w:t>
            </w:r>
            <w:r w:rsidRPr="005A6EA4" w:rsidDel="008A6A4B">
              <w:rPr>
                <w:b/>
                <w:noProof/>
                <w:lang w:val="en-US"/>
              </w:rPr>
              <w:t xml:space="preserve"> </w:t>
            </w:r>
          </w:p>
        </w:tc>
        <w:tc>
          <w:tcPr>
            <w:tcW w:w="3261" w:type="dxa"/>
          </w:tcPr>
          <w:p w14:paraId="63D6099D" w14:textId="152CAA97" w:rsidR="009F378B" w:rsidRPr="00C358AF" w:rsidRDefault="009F378B" w:rsidP="00C358AF">
            <w:pPr>
              <w:jc w:val="center"/>
              <w:rPr>
                <w:b/>
                <w:bCs/>
              </w:rPr>
            </w:pPr>
            <w:r w:rsidRPr="00CF4E26">
              <w:rPr>
                <w:b/>
              </w:rPr>
              <w:t>Senator the Hon Nita Green</w:t>
            </w:r>
            <w:r w:rsidR="00C358AF">
              <w:rPr>
                <w:b/>
              </w:rPr>
              <w:br/>
            </w:r>
            <w:r w:rsidR="00750071" w:rsidRPr="00C358AF">
              <w:rPr>
                <w:bCs/>
                <w:lang w:val="en-US"/>
              </w:rPr>
              <w:t xml:space="preserve">Assistant Minister for </w:t>
            </w:r>
            <w:r w:rsidR="00750071" w:rsidRPr="00C358AF">
              <w:rPr>
                <w:bCs/>
                <w:lang w:val="en-US"/>
              </w:rPr>
              <w:br/>
              <w:t>Northern Australia</w:t>
            </w:r>
          </w:p>
        </w:tc>
      </w:tr>
    </w:tbl>
    <w:p w14:paraId="78503933" w14:textId="533420F5" w:rsidR="0014258D" w:rsidRPr="00C858AE" w:rsidRDefault="00AB7AF0" w:rsidP="00710F69">
      <w:pPr>
        <w:pStyle w:val="Header1across"/>
      </w:pPr>
      <w:bookmarkStart w:id="8" w:name="_Toc210386244"/>
      <w:bookmarkStart w:id="9" w:name="_Toc162341397"/>
      <w:bookmarkStart w:id="10" w:name="_Hlk170987505"/>
      <w:bookmarkEnd w:id="7"/>
      <w:r>
        <w:lastRenderedPageBreak/>
        <w:t xml:space="preserve">Progress on the </w:t>
      </w:r>
      <w:r w:rsidR="000C597A">
        <w:t>Action Plan</w:t>
      </w:r>
      <w:bookmarkEnd w:id="8"/>
    </w:p>
    <w:p w14:paraId="36C9A672" w14:textId="3B5E17D7" w:rsidR="005017D2" w:rsidRDefault="00B8592D" w:rsidP="00862E6D">
      <w:r>
        <w:rPr>
          <w:bCs/>
        </w:rPr>
        <w:t xml:space="preserve">The Australian Government remains committed to developing the northern Australia agenda. </w:t>
      </w:r>
      <w:r w:rsidR="009D537B" w:rsidRPr="009D537B">
        <w:rPr>
          <w:bCs/>
        </w:rPr>
        <w:t>The</w:t>
      </w:r>
      <w:r w:rsidR="009D537B" w:rsidRPr="000C597A">
        <w:t xml:space="preserve"> </w:t>
      </w:r>
      <w:r w:rsidR="002A0C34">
        <w:t xml:space="preserve">Northern Australia </w:t>
      </w:r>
      <w:r w:rsidR="000C597A" w:rsidRPr="000C597A">
        <w:t>Action Plan</w:t>
      </w:r>
      <w:r w:rsidR="009D537B" w:rsidRPr="009D537B">
        <w:rPr>
          <w:bCs/>
        </w:rPr>
        <w:t xml:space="preserve"> </w:t>
      </w:r>
      <w:r w:rsidR="002A0C34">
        <w:rPr>
          <w:bCs/>
        </w:rPr>
        <w:t xml:space="preserve">2024-2029 (Action Plan) </w:t>
      </w:r>
      <w:r w:rsidR="00486CD5">
        <w:rPr>
          <w:bCs/>
        </w:rPr>
        <w:t xml:space="preserve">outlined </w:t>
      </w:r>
      <w:r>
        <w:rPr>
          <w:bCs/>
        </w:rPr>
        <w:t xml:space="preserve">a </w:t>
      </w:r>
      <w:r w:rsidR="006776B6">
        <w:rPr>
          <w:bCs/>
        </w:rPr>
        <w:t xml:space="preserve">whole of </w:t>
      </w:r>
      <w:r>
        <w:rPr>
          <w:bCs/>
        </w:rPr>
        <w:t>Australian G</w:t>
      </w:r>
      <w:r w:rsidR="006776B6">
        <w:rPr>
          <w:bCs/>
        </w:rPr>
        <w:t xml:space="preserve">overnment </w:t>
      </w:r>
      <w:r w:rsidR="005017D2">
        <w:rPr>
          <w:bCs/>
        </w:rPr>
        <w:t xml:space="preserve">effort in </w:t>
      </w:r>
      <w:r w:rsidR="003A4492">
        <w:rPr>
          <w:bCs/>
        </w:rPr>
        <w:t xml:space="preserve">six </w:t>
      </w:r>
      <w:r w:rsidR="005017D2">
        <w:rPr>
          <w:bCs/>
        </w:rPr>
        <w:t>policy priority areas</w:t>
      </w:r>
      <w:r>
        <w:rPr>
          <w:bCs/>
        </w:rPr>
        <w:t xml:space="preserve"> that were identified by northern Australia stakeholders. These are</w:t>
      </w:r>
      <w:r w:rsidR="005017D2">
        <w:rPr>
          <w:bCs/>
        </w:rPr>
        <w:t>:</w:t>
      </w:r>
    </w:p>
    <w:p w14:paraId="030B3A9C" w14:textId="05471384" w:rsidR="005017D2" w:rsidRDefault="00862E6D" w:rsidP="001E5DF6">
      <w:pPr>
        <w:pStyle w:val="Bullet1"/>
      </w:pPr>
      <w:r>
        <w:t>Activating the northern economy</w:t>
      </w:r>
    </w:p>
    <w:p w14:paraId="248FDFCE" w14:textId="0DEB8FA5" w:rsidR="005017D2" w:rsidRDefault="00862E6D" w:rsidP="001E5DF6">
      <w:pPr>
        <w:pStyle w:val="Bullet1"/>
      </w:pPr>
      <w:r>
        <w:t>Infrastructure to unlock growth</w:t>
      </w:r>
    </w:p>
    <w:p w14:paraId="496D6CCF" w14:textId="1A96924E" w:rsidR="005017D2" w:rsidRDefault="00862E6D" w:rsidP="001E5DF6">
      <w:pPr>
        <w:pStyle w:val="Bullet1"/>
      </w:pPr>
      <w:r>
        <w:t>A safe and secure north</w:t>
      </w:r>
    </w:p>
    <w:p w14:paraId="5E33AFE8" w14:textId="0D31E1EC" w:rsidR="005017D2" w:rsidRDefault="00862E6D" w:rsidP="001E5DF6">
      <w:pPr>
        <w:pStyle w:val="Bullet1"/>
      </w:pPr>
      <w:r>
        <w:t>Growing the northern Australia workforce</w:t>
      </w:r>
    </w:p>
    <w:p w14:paraId="12BDA9F3" w14:textId="688500E1" w:rsidR="00740EC7" w:rsidRDefault="1DDC0949" w:rsidP="001E5DF6">
      <w:pPr>
        <w:pStyle w:val="Bullet1"/>
      </w:pPr>
      <w:r w:rsidRPr="7D7789F1">
        <w:rPr>
          <w:lang w:val="en-AU"/>
        </w:rPr>
        <w:t>Liveable, healthy and resilient communities</w:t>
      </w:r>
    </w:p>
    <w:p w14:paraId="792B108B" w14:textId="14A13312" w:rsidR="00740EC7" w:rsidRDefault="00862E6D" w:rsidP="001E5DF6">
      <w:pPr>
        <w:pStyle w:val="Bullet1"/>
      </w:pPr>
      <w:r>
        <w:t>Protecting the north’s environment and cultural heritage</w:t>
      </w:r>
    </w:p>
    <w:p w14:paraId="094966EF" w14:textId="1318BECC" w:rsidR="00283242" w:rsidRDefault="5EE41A2F" w:rsidP="00740EC7">
      <w:r>
        <w:t>To enable progress on these</w:t>
      </w:r>
      <w:r w:rsidR="00283242">
        <w:t xml:space="preserve"> </w:t>
      </w:r>
      <w:r w:rsidR="00B92BDE">
        <w:t>six</w:t>
      </w:r>
      <w:r w:rsidR="00283242">
        <w:t xml:space="preserve"> policy priority areas, the Action Plan identifie</w:t>
      </w:r>
      <w:r w:rsidR="00BC178F">
        <w:t>d</w:t>
      </w:r>
      <w:r w:rsidR="00283242">
        <w:t xml:space="preserve"> 17 areas for continued focus for short to medium term </w:t>
      </w:r>
      <w:r w:rsidR="03E6CC31">
        <w:t xml:space="preserve">government </w:t>
      </w:r>
      <w:r w:rsidR="00283242">
        <w:t>action.</w:t>
      </w:r>
    </w:p>
    <w:p w14:paraId="525E1826" w14:textId="2FC7BF8B" w:rsidR="00346E8C" w:rsidRDefault="006022E4" w:rsidP="00CF4E26">
      <w:pPr>
        <w:pStyle w:val="Heading3"/>
      </w:pPr>
      <w:r>
        <w:t>What this report covers</w:t>
      </w:r>
    </w:p>
    <w:p w14:paraId="7E393A3E" w14:textId="6695813B" w:rsidR="005176BF" w:rsidRDefault="005176BF" w:rsidP="005E781F">
      <w:r w:rsidRPr="005176BF">
        <w:t xml:space="preserve">This Annual Progress </w:t>
      </w:r>
      <w:r w:rsidR="00C06212">
        <w:t>Report</w:t>
      </w:r>
      <w:r w:rsidRPr="005176BF">
        <w:t xml:space="preserve"> highlights </w:t>
      </w:r>
      <w:r w:rsidR="00E31DDD">
        <w:t>the Australian Government</w:t>
      </w:r>
      <w:r w:rsidR="0056731F">
        <w:t>’s delivery</w:t>
      </w:r>
      <w:r w:rsidR="00E31DDD">
        <w:t xml:space="preserve"> </w:t>
      </w:r>
      <w:r w:rsidR="004164CA">
        <w:t>on the commitments under the</w:t>
      </w:r>
      <w:r w:rsidR="00DE55BB">
        <w:t xml:space="preserve"> Action Plan</w:t>
      </w:r>
      <w:r w:rsidRPr="005176BF">
        <w:t xml:space="preserve"> and </w:t>
      </w:r>
      <w:r w:rsidR="00EB5576">
        <w:t xml:space="preserve">highlights </w:t>
      </w:r>
      <w:r w:rsidR="00484444">
        <w:t xml:space="preserve">additional commitments since its release. </w:t>
      </w:r>
      <w:r w:rsidR="00640223">
        <w:t xml:space="preserve"> </w:t>
      </w:r>
      <w:r w:rsidR="009A030B">
        <w:t xml:space="preserve">As the Action Plan is a </w:t>
      </w:r>
      <w:r w:rsidR="002B12E6">
        <w:t>five-year</w:t>
      </w:r>
      <w:r w:rsidR="009A030B">
        <w:t xml:space="preserve"> </w:t>
      </w:r>
      <w:r w:rsidR="00FC091B">
        <w:t xml:space="preserve">plan, </w:t>
      </w:r>
      <w:r w:rsidR="00171F22">
        <w:t xml:space="preserve">progress will vary across the </w:t>
      </w:r>
      <w:r w:rsidR="00671D03">
        <w:t xml:space="preserve">policy priority </w:t>
      </w:r>
      <w:r w:rsidR="00592ED0">
        <w:t>areas</w:t>
      </w:r>
      <w:r w:rsidR="008F655C">
        <w:t xml:space="preserve"> </w:t>
      </w:r>
      <w:r w:rsidR="00671D03">
        <w:t xml:space="preserve">relative to their complexity and </w:t>
      </w:r>
      <w:r w:rsidR="0098600B">
        <w:t xml:space="preserve">scale. </w:t>
      </w:r>
    </w:p>
    <w:p w14:paraId="7F0AC3BC" w14:textId="07C1320A" w:rsidR="00862E6D" w:rsidRDefault="00862E6D" w:rsidP="005E781F">
      <w:r>
        <w:t>By reporting annually, we aim to provide transparency, support accountability and ensure the voices and aspirations of northern Australians remain central as the plan evolves.</w:t>
      </w:r>
    </w:p>
    <w:p w14:paraId="11C39C06" w14:textId="0AB30C44" w:rsidR="007F0660" w:rsidRPr="00AB3833" w:rsidRDefault="00C0537E" w:rsidP="00322350">
      <w:pPr>
        <w:pStyle w:val="Heading2"/>
        <w:rPr>
          <w:lang w:val="en-US"/>
        </w:rPr>
      </w:pPr>
      <w:bookmarkStart w:id="11" w:name="_Toc210386245"/>
      <w:bookmarkStart w:id="12" w:name="_Toc172024770"/>
      <w:bookmarkStart w:id="13" w:name="_Hlk170380303"/>
      <w:r>
        <w:t>P</w:t>
      </w:r>
      <w:r w:rsidR="007642F1">
        <w:t xml:space="preserve">olicy </w:t>
      </w:r>
      <w:r>
        <w:t>P</w:t>
      </w:r>
      <w:r w:rsidR="007642F1">
        <w:t xml:space="preserve">riority </w:t>
      </w:r>
      <w:r>
        <w:t>A</w:t>
      </w:r>
      <w:r w:rsidR="007642F1">
        <w:t xml:space="preserve">rea </w:t>
      </w:r>
      <w:r>
        <w:t xml:space="preserve">1: </w:t>
      </w:r>
      <w:r w:rsidR="007F0660">
        <w:t>Activating the northern economy</w:t>
      </w:r>
      <w:bookmarkEnd w:id="11"/>
    </w:p>
    <w:p w14:paraId="71985694" w14:textId="0882215F" w:rsidR="00080B2C" w:rsidRDefault="00C23F55" w:rsidP="00CF4E26">
      <w:r>
        <w:t xml:space="preserve">Central to the </w:t>
      </w:r>
      <w:r w:rsidR="008B1493">
        <w:t>Australian G</w:t>
      </w:r>
      <w:r>
        <w:t>overnment’s northern agenda is supporting</w:t>
      </w:r>
      <w:r w:rsidR="00AA7986">
        <w:t xml:space="preserve"> a </w:t>
      </w:r>
      <w:r w:rsidR="00B1060B">
        <w:t xml:space="preserve">resilient northern </w:t>
      </w:r>
      <w:r w:rsidR="006C19AA">
        <w:t>economy</w:t>
      </w:r>
      <w:r w:rsidR="004A1143">
        <w:t xml:space="preserve"> to reach its full potential</w:t>
      </w:r>
      <w:r w:rsidR="00AC7B8B">
        <w:t>.</w:t>
      </w:r>
      <w:r w:rsidR="00AA7986">
        <w:t xml:space="preserve"> </w:t>
      </w:r>
      <w:r w:rsidR="00B719BB" w:rsidRPr="00B719BB">
        <w:t xml:space="preserve">The Government continues to deliver major national initiatives that underpin growth in the north, including the Future Made in Australia agenda and significant investments in renewable energy, critical minerals and agriculture. </w:t>
      </w:r>
    </w:p>
    <w:p w14:paraId="77EE6893" w14:textId="630877B0" w:rsidR="00D7375E" w:rsidRDefault="00B719BB" w:rsidP="00CF4E26">
      <w:pPr>
        <w:rPr>
          <w:lang w:val="en-US"/>
        </w:rPr>
      </w:pPr>
      <w:r w:rsidRPr="00BE3303">
        <w:rPr>
          <w:lang w:val="en-US"/>
        </w:rPr>
        <w:t xml:space="preserve">Major infrastructure projects financed through the Northern Australia Infrastructure Facility (NAIF) continue to drive investment and create jobs. An independent review of the </w:t>
      </w:r>
      <w:r w:rsidRPr="00522CF9">
        <w:rPr>
          <w:i/>
          <w:iCs/>
          <w:lang w:val="en-US"/>
        </w:rPr>
        <w:t>Northern Australia Infrastructure Facility Act 2016</w:t>
      </w:r>
      <w:r w:rsidRPr="00BE3303">
        <w:rPr>
          <w:lang w:val="en-US"/>
        </w:rPr>
        <w:t xml:space="preserve"> (NAIF Act) was tabled in Parliament on 27 August 2025. The Report reflects stakeholders’ views that the NAIF remains a core part of the north’s economic framework, with resounding support for its continuation. </w:t>
      </w:r>
      <w:r w:rsidR="008D2D41" w:rsidRPr="008D2D41">
        <w:rPr>
          <w:lang w:val="en-US"/>
        </w:rPr>
        <w:t>The Review found that the NAIF and its workforce have evolved, and confirmed the NAIF plays a significant role in supporting government priorities and addressing the significant challenges of securing infrastructure financing in the north.</w:t>
      </w:r>
    </w:p>
    <w:p w14:paraId="3B814C28" w14:textId="33216F92" w:rsidR="00B719BB" w:rsidRPr="00B719BB" w:rsidRDefault="00D7375E" w:rsidP="00CF4E26">
      <w:pPr>
        <w:rPr>
          <w:lang w:val="en-US"/>
        </w:rPr>
      </w:pPr>
      <w:r w:rsidRPr="00D7375E">
        <w:rPr>
          <w:lang w:val="en-US"/>
        </w:rPr>
        <w:t>In 2024</w:t>
      </w:r>
      <w:r>
        <w:rPr>
          <w:lang w:val="en-US"/>
        </w:rPr>
        <w:t>–</w:t>
      </w:r>
      <w:r w:rsidRPr="00D7375E">
        <w:rPr>
          <w:lang w:val="en-US"/>
        </w:rPr>
        <w:t>25, five renewable energy projects</w:t>
      </w:r>
      <w:r w:rsidR="00382BC5">
        <w:rPr>
          <w:lang w:val="en-US"/>
        </w:rPr>
        <w:t xml:space="preserve"> in northern Australia</w:t>
      </w:r>
      <w:r w:rsidRPr="00D7375E">
        <w:rPr>
          <w:lang w:val="en-US"/>
        </w:rPr>
        <w:t xml:space="preserve"> were given the green light to proceed under the </w:t>
      </w:r>
      <w:r w:rsidRPr="00D7375E">
        <w:rPr>
          <w:i/>
          <w:lang w:val="en-US"/>
        </w:rPr>
        <w:t>Environment Protection and Biodiversity Conservation Act 1999</w:t>
      </w:r>
      <w:r w:rsidRPr="00D7375E">
        <w:rPr>
          <w:lang w:val="en-US"/>
        </w:rPr>
        <w:t xml:space="preserve">. These projects have a combined capacity exceeding </w:t>
      </w:r>
      <w:r w:rsidR="00376011">
        <w:rPr>
          <w:lang w:val="en-US"/>
        </w:rPr>
        <w:t xml:space="preserve">seven </w:t>
      </w:r>
      <w:r w:rsidR="00376011" w:rsidRPr="002E4ABC">
        <w:t>gigawatts</w:t>
      </w:r>
      <w:r w:rsidRPr="00C502CE">
        <w:rPr>
          <w:lang w:val="en-US"/>
        </w:rPr>
        <w:t>,</w:t>
      </w:r>
      <w:r w:rsidRPr="00D7375E">
        <w:rPr>
          <w:lang w:val="en-US"/>
        </w:rPr>
        <w:t xml:space="preserve"> enough to power over 3.6 million homes.</w:t>
      </w:r>
    </w:p>
    <w:p w14:paraId="0FEBC4DA" w14:textId="1724544A" w:rsidR="0006571B" w:rsidRPr="00F30F1B" w:rsidRDefault="00FE311C" w:rsidP="00B719BB">
      <w:pPr>
        <w:spacing w:before="120" w:after="120"/>
      </w:pPr>
      <w:bookmarkStart w:id="14" w:name="_Hlk212212129"/>
      <w:r>
        <w:rPr>
          <w:lang w:val="en-US"/>
        </w:rPr>
        <w:t>In October</w:t>
      </w:r>
      <w:r w:rsidR="002672CC">
        <w:rPr>
          <w:lang w:val="en-US"/>
        </w:rPr>
        <w:t xml:space="preserve"> 2025</w:t>
      </w:r>
      <w:r>
        <w:rPr>
          <w:lang w:val="en-US"/>
        </w:rPr>
        <w:t xml:space="preserve">, Australia and the US signed an </w:t>
      </w:r>
      <w:r w:rsidRPr="00FE311C">
        <w:t xml:space="preserve">historic framework </w:t>
      </w:r>
      <w:r>
        <w:t>on critical minerals and rare earth</w:t>
      </w:r>
      <w:r w:rsidR="00E97E6A">
        <w:t>s</w:t>
      </w:r>
      <w:r>
        <w:t xml:space="preserve"> that</w:t>
      </w:r>
      <w:r w:rsidRPr="00FE311C">
        <w:t xml:space="preserve"> will assist both countries in achieving resilience and security of supply chains.</w:t>
      </w:r>
      <w:r>
        <w:t xml:space="preserve"> T</w:t>
      </w:r>
      <w:r w:rsidRPr="00FE311C">
        <w:t xml:space="preserve">o complement the </w:t>
      </w:r>
      <w:r>
        <w:t>f</w:t>
      </w:r>
      <w:r w:rsidRPr="00FE311C">
        <w:t xml:space="preserve">ramework, </w:t>
      </w:r>
      <w:r>
        <w:t>both countries committed to</w:t>
      </w:r>
      <w:r w:rsidRPr="00FE311C">
        <w:t xml:space="preserve"> </w:t>
      </w:r>
      <w:r w:rsidR="00F0775C">
        <w:t xml:space="preserve">take measures to </w:t>
      </w:r>
      <w:r w:rsidRPr="00FE311C">
        <w:t>provid</w:t>
      </w:r>
      <w:r w:rsidR="00DF0E09">
        <w:t>e</w:t>
      </w:r>
      <w:r w:rsidRPr="00FE311C">
        <w:t xml:space="preserve"> at least US$1 billion in investments towards </w:t>
      </w:r>
      <w:r w:rsidR="00DD4A67" w:rsidRPr="00FE311C">
        <w:t>a</w:t>
      </w:r>
      <w:r w:rsidRPr="00FE311C">
        <w:t xml:space="preserve"> US$8.5 billion pipeline of priority critical minerals projects over the next six months.</w:t>
      </w:r>
      <w:r w:rsidR="007C68F0">
        <w:t xml:space="preserve"> </w:t>
      </w:r>
      <w:r w:rsidR="002F0468">
        <w:t xml:space="preserve">Northern Australia has significant </w:t>
      </w:r>
      <w:r w:rsidR="009A6A52">
        <w:t xml:space="preserve">deposits of critical </w:t>
      </w:r>
      <w:proofErr w:type="gramStart"/>
      <w:r w:rsidR="009A6A52">
        <w:t>minerals</w:t>
      </w:r>
      <w:proofErr w:type="gramEnd"/>
      <w:r w:rsidR="009A6A52">
        <w:t xml:space="preserve"> and this </w:t>
      </w:r>
      <w:r w:rsidR="00D47B30">
        <w:t xml:space="preserve">framework will support the north’s natural comparative </w:t>
      </w:r>
      <w:r w:rsidR="00D47B30" w:rsidRPr="00F30F1B">
        <w:t>advantage.</w:t>
      </w:r>
      <w:r w:rsidR="00340A0E" w:rsidRPr="00F30F1B">
        <w:t xml:space="preserve"> </w:t>
      </w:r>
    </w:p>
    <w:bookmarkEnd w:id="14"/>
    <w:p w14:paraId="3C47E6FC" w14:textId="1584B440" w:rsidR="00B719BB" w:rsidRPr="00B719BB" w:rsidRDefault="00B719BB" w:rsidP="00B719BB">
      <w:pPr>
        <w:spacing w:before="120" w:after="120"/>
        <w:rPr>
          <w:lang w:val="en-US"/>
        </w:rPr>
      </w:pPr>
      <w:r w:rsidRPr="00B719BB">
        <w:rPr>
          <w:lang w:val="en-US"/>
        </w:rPr>
        <w:t xml:space="preserve">The Government is also investing an additional $75 million in Prescribed Bodies Corporate (PBCs) to support First Nations economic empowerment, taking total PBC funding to more than $200 million over the three years to </w:t>
      </w:r>
      <w:r w:rsidR="00D807BE">
        <w:rPr>
          <w:lang w:val="en-US"/>
        </w:rPr>
        <w:t xml:space="preserve">   </w:t>
      </w:r>
      <w:r w:rsidRPr="00B719BB">
        <w:rPr>
          <w:lang w:val="en-US"/>
        </w:rPr>
        <w:t>2028</w:t>
      </w:r>
      <w:r w:rsidR="00D807BE" w:rsidRPr="00B719BB">
        <w:rPr>
          <w:lang w:val="en-US"/>
        </w:rPr>
        <w:t>–</w:t>
      </w:r>
      <w:r w:rsidRPr="00B719BB">
        <w:rPr>
          <w:lang w:val="en-US"/>
        </w:rPr>
        <w:t>29.</w:t>
      </w:r>
      <w:r w:rsidR="00A361C5">
        <w:rPr>
          <w:lang w:val="en-US"/>
        </w:rPr>
        <w:t xml:space="preserve"> </w:t>
      </w:r>
      <w:r w:rsidR="00A361C5" w:rsidRPr="00A361C5">
        <w:rPr>
          <w:lang w:val="en-US"/>
        </w:rPr>
        <w:t>Th</w:t>
      </w:r>
      <w:r w:rsidR="00A361C5">
        <w:rPr>
          <w:lang w:val="en-US"/>
        </w:rPr>
        <w:t>e additional PBC funding</w:t>
      </w:r>
      <w:r w:rsidR="00A361C5" w:rsidRPr="00A361C5">
        <w:rPr>
          <w:lang w:val="en-US"/>
        </w:rPr>
        <w:t xml:space="preserve"> will help Native Title holders to build capacity and work with the private sector to build wealth.</w:t>
      </w:r>
    </w:p>
    <w:p w14:paraId="71B40B21" w14:textId="4AD84B3D" w:rsidR="0016337D" w:rsidRPr="00B719BB" w:rsidRDefault="0016337D" w:rsidP="00B719BB">
      <w:pPr>
        <w:spacing w:before="120" w:after="120"/>
        <w:rPr>
          <w:lang w:val="en-US"/>
        </w:rPr>
      </w:pPr>
      <w:r w:rsidRPr="00D35B53">
        <w:t xml:space="preserve">In </w:t>
      </w:r>
      <w:r>
        <w:t xml:space="preserve">March </w:t>
      </w:r>
      <w:r w:rsidRPr="00D35B53">
        <w:t>2025, the Government awarded</w:t>
      </w:r>
      <w:r>
        <w:t xml:space="preserve"> </w:t>
      </w:r>
      <w:r w:rsidRPr="00D35B53">
        <w:t xml:space="preserve">$814 million to </w:t>
      </w:r>
      <w:r>
        <w:t>the Murchison G</w:t>
      </w:r>
      <w:r w:rsidRPr="00D35B53">
        <w:t xml:space="preserve">reen </w:t>
      </w:r>
      <w:r>
        <w:t>H</w:t>
      </w:r>
      <w:r w:rsidRPr="00D35B53">
        <w:t xml:space="preserve">ydrogen </w:t>
      </w:r>
      <w:r>
        <w:t>P</w:t>
      </w:r>
      <w:r w:rsidRPr="00D35B53">
        <w:t>roject</w:t>
      </w:r>
      <w:r>
        <w:t xml:space="preserve">, north of Kalbarri, </w:t>
      </w:r>
      <w:r w:rsidRPr="00D35B53">
        <w:t>WA</w:t>
      </w:r>
      <w:r>
        <w:t xml:space="preserve"> – one of two projects to help catalyse Australia’s renewable hydrogen industry. The project is </w:t>
      </w:r>
      <w:r w:rsidRPr="00D35B53">
        <w:t xml:space="preserve">expected to create </w:t>
      </w:r>
      <w:r w:rsidRPr="0093207C">
        <w:t>around</w:t>
      </w:r>
      <w:r w:rsidRPr="004C43BB">
        <w:t xml:space="preserve"> </w:t>
      </w:r>
      <w:r w:rsidRPr="00D35B53">
        <w:t>3,</w:t>
      </w:r>
      <w:r>
        <w:t>600</w:t>
      </w:r>
      <w:r w:rsidR="002F023D">
        <w:t xml:space="preserve"> </w:t>
      </w:r>
      <w:r>
        <w:t>construction</w:t>
      </w:r>
      <w:r w:rsidRPr="00D35B53">
        <w:t xml:space="preserve"> jobs (at peak) and 600 ongoing jobs</w:t>
      </w:r>
      <w:r>
        <w:t xml:space="preserve"> in the region</w:t>
      </w:r>
      <w:r w:rsidRPr="00D35B53">
        <w:t>.</w:t>
      </w:r>
    </w:p>
    <w:p w14:paraId="2D7515BC" w14:textId="1EE6C09C" w:rsidR="00B719BB" w:rsidRPr="00B719BB" w:rsidRDefault="00B719BB" w:rsidP="00B719BB">
      <w:pPr>
        <w:spacing w:before="120" w:after="120"/>
        <w:rPr>
          <w:lang w:val="en-US"/>
        </w:rPr>
      </w:pPr>
      <w:r w:rsidRPr="00B719BB">
        <w:rPr>
          <w:lang w:val="en-US"/>
        </w:rPr>
        <w:lastRenderedPageBreak/>
        <w:t xml:space="preserve">Under the Future Made in Australia </w:t>
      </w:r>
      <w:r w:rsidR="00EE31A5">
        <w:rPr>
          <w:lang w:val="en-US"/>
        </w:rPr>
        <w:t>agenda</w:t>
      </w:r>
      <w:r w:rsidRPr="00B719BB">
        <w:rPr>
          <w:lang w:val="en-US"/>
        </w:rPr>
        <w:t xml:space="preserve">, Australian small to medium enterprises (SMEs) and start-ups are being supported by the Industry Growth Program to </w:t>
      </w:r>
      <w:proofErr w:type="spellStart"/>
      <w:r w:rsidRPr="00B719BB">
        <w:rPr>
          <w:lang w:val="en-US"/>
        </w:rPr>
        <w:t>commercialise</w:t>
      </w:r>
      <w:proofErr w:type="spellEnd"/>
      <w:r w:rsidRPr="00B719BB">
        <w:rPr>
          <w:lang w:val="en-US"/>
        </w:rPr>
        <w:t xml:space="preserve"> their ideas and grow. To date, 33 businesses in northern Australia have received support through the Advisory Service</w:t>
      </w:r>
      <w:r w:rsidR="000E411A">
        <w:rPr>
          <w:lang w:val="en-US"/>
        </w:rPr>
        <w:t>.</w:t>
      </w:r>
    </w:p>
    <w:p w14:paraId="68204A68" w14:textId="5D7B38BF" w:rsidR="00027604" w:rsidRPr="00B719BB" w:rsidRDefault="00B719BB" w:rsidP="00027604">
      <w:pPr>
        <w:spacing w:before="120" w:after="120"/>
        <w:rPr>
          <w:lang w:val="en-US"/>
        </w:rPr>
      </w:pPr>
      <w:r w:rsidRPr="00B719BB">
        <w:rPr>
          <w:lang w:val="en-US"/>
        </w:rPr>
        <w:t>Through the Government’s Indigenous Advancement Strategy, the Indigenous Business and Employment Hubs program is providing $49.9 million from 2022–23 to 2025–26 to strengthen First Nations businesses and employment pathways. In the first half of 2025, the Northern Territory Hub supported 103 businesses, delivered 28 training and networking activities, and assisted 253 job seekers with employment services.</w:t>
      </w:r>
    </w:p>
    <w:p w14:paraId="3BF970C7" w14:textId="62B5B17D" w:rsidR="00B629EA" w:rsidRPr="00B629EA" w:rsidRDefault="00B719BB" w:rsidP="00B629EA">
      <w:pPr>
        <w:spacing w:before="120" w:after="120"/>
        <w:rPr>
          <w:lang w:val="en-US"/>
        </w:rPr>
      </w:pPr>
      <w:r w:rsidRPr="00B719BB">
        <w:rPr>
          <w:lang w:val="en-US"/>
        </w:rPr>
        <w:t xml:space="preserve">In support of the Government’s </w:t>
      </w:r>
      <w:r w:rsidR="0004140C">
        <w:rPr>
          <w:lang w:val="en-US"/>
        </w:rPr>
        <w:t>N</w:t>
      </w:r>
      <w:r w:rsidRPr="00B719BB">
        <w:rPr>
          <w:lang w:val="en-US"/>
        </w:rPr>
        <w:t xml:space="preserve">et </w:t>
      </w:r>
      <w:r w:rsidR="0004140C">
        <w:rPr>
          <w:lang w:val="en-US"/>
        </w:rPr>
        <w:t>Z</w:t>
      </w:r>
      <w:r w:rsidRPr="00B719BB">
        <w:rPr>
          <w:lang w:val="en-US"/>
        </w:rPr>
        <w:t xml:space="preserve">ero </w:t>
      </w:r>
      <w:r w:rsidR="00EA163D">
        <w:rPr>
          <w:lang w:val="en-US"/>
        </w:rPr>
        <w:t>P</w:t>
      </w:r>
      <w:r w:rsidRPr="00B719BB">
        <w:rPr>
          <w:lang w:val="en-US"/>
        </w:rPr>
        <w:t>lans, $11.4 million was allocated in the 2024–25 Budget to support First Nations groups to participate in the Australian Carbon Credit Unit Scheme consent and agreement processes on Native Title land.</w:t>
      </w:r>
    </w:p>
    <w:tbl>
      <w:tblPr>
        <w:tblStyle w:val="ListTable4-Accent3"/>
        <w:tblW w:w="0" w:type="auto"/>
        <w:tblLayout w:type="fixed"/>
        <w:tblLook w:val="04A0" w:firstRow="1" w:lastRow="0" w:firstColumn="1" w:lastColumn="0" w:noHBand="0" w:noVBand="1"/>
      </w:tblPr>
      <w:tblGrid>
        <w:gridCol w:w="2689"/>
        <w:gridCol w:w="7512"/>
      </w:tblGrid>
      <w:tr w:rsidR="002A0C34" w:rsidRPr="00194AF9" w14:paraId="49E5DD67" w14:textId="77777777" w:rsidTr="0051289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tcPr>
          <w:p w14:paraId="363D2FE4" w14:textId="5AD7B076" w:rsidR="002A0C34" w:rsidRPr="005A6EA4" w:rsidRDefault="002A0C34" w:rsidP="00B629EA">
            <w:pPr>
              <w:keepNext/>
              <w:rPr>
                <w:color w:val="auto"/>
                <w:sz w:val="20"/>
                <w:szCs w:val="20"/>
                <w:lang w:val="en-US"/>
              </w:rPr>
            </w:pPr>
            <w:r w:rsidRPr="005A6EA4">
              <w:rPr>
                <w:color w:val="auto"/>
                <w:sz w:val="20"/>
                <w:szCs w:val="20"/>
                <w:lang w:val="en-US"/>
              </w:rPr>
              <w:t>Area of Continued Focus</w:t>
            </w:r>
          </w:p>
        </w:tc>
        <w:tc>
          <w:tcPr>
            <w:tcW w:w="7512" w:type="dxa"/>
            <w:noWrap/>
          </w:tcPr>
          <w:p w14:paraId="64632095" w14:textId="1D601B16" w:rsidR="002A0C34" w:rsidRPr="005A6EA4" w:rsidRDefault="002A0C34" w:rsidP="00B629EA">
            <w:pPr>
              <w:keepNext/>
              <w:cnfStyle w:val="100000000000" w:firstRow="1" w:lastRow="0" w:firstColumn="0" w:lastColumn="0" w:oddVBand="0" w:evenVBand="0" w:oddHBand="0" w:evenHBand="0" w:firstRowFirstColumn="0" w:firstRowLastColumn="0" w:lastRowFirstColumn="0" w:lastRowLastColumn="0"/>
              <w:rPr>
                <w:color w:val="auto"/>
                <w:sz w:val="20"/>
                <w:szCs w:val="20"/>
              </w:rPr>
            </w:pPr>
            <w:r w:rsidRPr="005A6EA4">
              <w:rPr>
                <w:color w:val="auto"/>
                <w:sz w:val="20"/>
                <w:szCs w:val="20"/>
              </w:rPr>
              <w:t xml:space="preserve">2025 Annual Progress Report Update </w:t>
            </w:r>
          </w:p>
        </w:tc>
      </w:tr>
      <w:tr w:rsidR="002A0C34" w:rsidRPr="00194AF9" w14:paraId="2B9621A4" w14:textId="77777777" w:rsidTr="005128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3C8CCDF0" w14:textId="1E2FFD7C" w:rsidR="002A0C34" w:rsidRPr="00D3138B" w:rsidRDefault="002A0C34" w:rsidP="00D3138B">
            <w:pPr>
              <w:rPr>
                <w:sz w:val="20"/>
                <w:szCs w:val="20"/>
                <w:lang w:val="en-US"/>
              </w:rPr>
            </w:pPr>
            <w:bookmarkStart w:id="15" w:name="_Toc210386246"/>
            <w:bookmarkStart w:id="16" w:name="_Hlk210919015"/>
            <w:r w:rsidRPr="3DF0C04B">
              <w:rPr>
                <w:sz w:val="20"/>
                <w:szCs w:val="20"/>
                <w:lang w:val="en-US"/>
              </w:rPr>
              <w:t xml:space="preserve">1.    Support northern Australia to </w:t>
            </w:r>
            <w:proofErr w:type="spellStart"/>
            <w:r w:rsidRPr="3DF0C04B">
              <w:rPr>
                <w:sz w:val="20"/>
                <w:szCs w:val="20"/>
                <w:lang w:val="en-US"/>
              </w:rPr>
              <w:t>capitalise</w:t>
            </w:r>
            <w:proofErr w:type="spellEnd"/>
            <w:r w:rsidRPr="3DF0C04B">
              <w:rPr>
                <w:sz w:val="20"/>
                <w:szCs w:val="20"/>
                <w:lang w:val="en-US"/>
              </w:rPr>
              <w:t xml:space="preserve"> on opportunities presented under the Future Made in Australia agenda and other major government investment opportunities.</w:t>
            </w:r>
          </w:p>
        </w:tc>
        <w:tc>
          <w:tcPr>
            <w:tcW w:w="7512" w:type="dxa"/>
            <w:noWrap/>
            <w:hideMark/>
          </w:tcPr>
          <w:p w14:paraId="7E103A9A" w14:textId="59295508" w:rsidR="00CF06EE" w:rsidRDefault="00CF06EE" w:rsidP="00CF06EE">
            <w:pPr>
              <w:cnfStyle w:val="000000100000" w:firstRow="0" w:lastRow="0" w:firstColumn="0" w:lastColumn="0" w:oddVBand="0" w:evenVBand="0" w:oddHBand="1" w:evenHBand="0" w:firstRowFirstColumn="0" w:firstRowLastColumn="0" w:lastRowFirstColumn="0" w:lastRowLastColumn="0"/>
              <w:rPr>
                <w:sz w:val="20"/>
                <w:szCs w:val="20"/>
              </w:rPr>
            </w:pPr>
            <w:r w:rsidRPr="37C6704B">
              <w:rPr>
                <w:sz w:val="20"/>
                <w:szCs w:val="20"/>
              </w:rPr>
              <w:t xml:space="preserve">The </w:t>
            </w:r>
            <w:r w:rsidR="00A41C56">
              <w:rPr>
                <w:sz w:val="20"/>
                <w:szCs w:val="20"/>
              </w:rPr>
              <w:t>Australian</w:t>
            </w:r>
            <w:r w:rsidRPr="37C6704B">
              <w:rPr>
                <w:sz w:val="20"/>
                <w:szCs w:val="20"/>
              </w:rPr>
              <w:t xml:space="preserve"> Government remains steadfast in its commitment to northern Australia capitalising on the Future Made in Australia agenda. </w:t>
            </w:r>
          </w:p>
          <w:p w14:paraId="4FA527F2" w14:textId="4E313B6F" w:rsidR="00CF06EE" w:rsidRDefault="00CF06EE" w:rsidP="00CF06EE">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37C6704B">
              <w:rPr>
                <w:sz w:val="20"/>
                <w:szCs w:val="20"/>
              </w:rPr>
              <w:t xml:space="preserve">In 2025, the Government announced a landmark $5 billion Net Zero Fund </w:t>
            </w:r>
            <w:r w:rsidRPr="37C6704B">
              <w:rPr>
                <w:rFonts w:eastAsiaTheme="minorEastAsia"/>
                <w:sz w:val="20"/>
                <w:szCs w:val="20"/>
              </w:rPr>
              <w:t>to</w:t>
            </w:r>
            <w:r w:rsidRPr="009F313F">
              <w:rPr>
                <w:rFonts w:eastAsiaTheme="minorEastAsia"/>
                <w:sz w:val="20"/>
                <w:szCs w:val="20"/>
              </w:rPr>
              <w:t xml:space="preserve"> support Australian heavy industry to decarbonise, as well as the scale-up of low emissions technologies needed for our</w:t>
            </w:r>
            <w:r w:rsidRPr="37C6704B">
              <w:rPr>
                <w:rFonts w:eastAsiaTheme="minorEastAsia"/>
                <w:sz w:val="20"/>
                <w:szCs w:val="20"/>
              </w:rPr>
              <w:t xml:space="preserve"> transition to</w:t>
            </w:r>
            <w:r w:rsidRPr="009F313F">
              <w:rPr>
                <w:rFonts w:eastAsiaTheme="minorEastAsia"/>
                <w:sz w:val="20"/>
                <w:szCs w:val="20"/>
              </w:rPr>
              <w:t xml:space="preserve"> </w:t>
            </w:r>
            <w:r>
              <w:rPr>
                <w:rFonts w:eastAsiaTheme="minorEastAsia"/>
                <w:sz w:val="20"/>
                <w:szCs w:val="20"/>
              </w:rPr>
              <w:t>n</w:t>
            </w:r>
            <w:r w:rsidRPr="009F313F">
              <w:rPr>
                <w:rFonts w:eastAsiaTheme="minorEastAsia"/>
                <w:sz w:val="20"/>
                <w:szCs w:val="20"/>
              </w:rPr>
              <w:t xml:space="preserve">et </w:t>
            </w:r>
            <w:r>
              <w:rPr>
                <w:rFonts w:eastAsiaTheme="minorEastAsia"/>
                <w:sz w:val="20"/>
                <w:szCs w:val="20"/>
              </w:rPr>
              <w:t>z</w:t>
            </w:r>
            <w:r w:rsidRPr="009F313F">
              <w:rPr>
                <w:rFonts w:eastAsiaTheme="minorEastAsia"/>
                <w:sz w:val="20"/>
                <w:szCs w:val="20"/>
              </w:rPr>
              <w:t>ero</w:t>
            </w:r>
            <w:r w:rsidRPr="37C6704B">
              <w:rPr>
                <w:rFonts w:eastAsiaTheme="minorEastAsia"/>
                <w:sz w:val="20"/>
                <w:szCs w:val="20"/>
              </w:rPr>
              <w:t>.</w:t>
            </w:r>
          </w:p>
          <w:p w14:paraId="0B112652" w14:textId="3CC6AFB4" w:rsidR="00CF06EE" w:rsidRDefault="00CF06EE" w:rsidP="005A6EA4">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Pr>
                <w:rFonts w:eastAsiaTheme="minorEastAsia"/>
                <w:sz w:val="20"/>
                <w:szCs w:val="20"/>
              </w:rPr>
              <w:t>Further, t</w:t>
            </w:r>
            <w:r w:rsidRPr="004517A8">
              <w:rPr>
                <w:rFonts w:eastAsiaTheme="minorEastAsia"/>
                <w:sz w:val="20"/>
                <w:szCs w:val="20"/>
              </w:rPr>
              <w:t>he new Green Iron Fund and</w:t>
            </w:r>
            <w:r w:rsidRPr="004517A8">
              <w:rPr>
                <w:rStyle w:val="CommentReference"/>
                <w:sz w:val="20"/>
                <w:szCs w:val="20"/>
              </w:rPr>
              <w:t xml:space="preserve"> $</w:t>
            </w:r>
            <w:r w:rsidRPr="004517A8">
              <w:rPr>
                <w:rFonts w:eastAsiaTheme="minorEastAsia"/>
                <w:sz w:val="20"/>
                <w:szCs w:val="20"/>
                <w:lang w:val="en-US"/>
              </w:rPr>
              <w:t xml:space="preserve">2 billion investment in Australian made aluminum </w:t>
            </w:r>
            <w:r>
              <w:rPr>
                <w:rFonts w:eastAsiaTheme="minorEastAsia"/>
                <w:sz w:val="20"/>
                <w:szCs w:val="20"/>
                <w:lang w:val="en-US"/>
              </w:rPr>
              <w:t xml:space="preserve">have been announced and government will continue to work with local communities to </w:t>
            </w:r>
            <w:proofErr w:type="spellStart"/>
            <w:r>
              <w:rPr>
                <w:rFonts w:eastAsiaTheme="minorEastAsia"/>
                <w:sz w:val="20"/>
                <w:szCs w:val="20"/>
                <w:lang w:val="en-US"/>
              </w:rPr>
              <w:t>capitalise</w:t>
            </w:r>
            <w:proofErr w:type="spellEnd"/>
            <w:r>
              <w:rPr>
                <w:rFonts w:eastAsiaTheme="minorEastAsia"/>
                <w:sz w:val="20"/>
                <w:szCs w:val="20"/>
                <w:lang w:val="en-US"/>
              </w:rPr>
              <w:t xml:space="preserve"> on these investments and shore up local jobs.</w:t>
            </w:r>
          </w:p>
          <w:p w14:paraId="00C54935" w14:textId="32FAB334" w:rsidR="002A0C34" w:rsidRPr="00194AF9" w:rsidRDefault="002A0C34" w:rsidP="001C2F22">
            <w:pPr>
              <w:cnfStyle w:val="000000100000" w:firstRow="0" w:lastRow="0" w:firstColumn="0" w:lastColumn="0" w:oddVBand="0" w:evenVBand="0" w:oddHBand="1" w:evenHBand="0" w:firstRowFirstColumn="0" w:firstRowLastColumn="0" w:lastRowFirstColumn="0" w:lastRowLastColumn="0"/>
              <w:rPr>
                <w:sz w:val="20"/>
                <w:szCs w:val="20"/>
              </w:rPr>
            </w:pPr>
            <w:r w:rsidRPr="00194AF9">
              <w:rPr>
                <w:sz w:val="20"/>
                <w:szCs w:val="20"/>
              </w:rPr>
              <w:t xml:space="preserve">Government agencies such as </w:t>
            </w:r>
            <w:r w:rsidR="00875C85">
              <w:rPr>
                <w:sz w:val="20"/>
                <w:szCs w:val="20"/>
              </w:rPr>
              <w:t>the</w:t>
            </w:r>
            <w:r w:rsidRPr="00194AF9">
              <w:rPr>
                <w:sz w:val="20"/>
                <w:szCs w:val="20"/>
              </w:rPr>
              <w:t xml:space="preserve"> </w:t>
            </w:r>
            <w:r w:rsidR="002719B4">
              <w:rPr>
                <w:sz w:val="20"/>
                <w:szCs w:val="20"/>
              </w:rPr>
              <w:t>Australian Renewable Energy Agency</w:t>
            </w:r>
            <w:r w:rsidRPr="00194AF9">
              <w:rPr>
                <w:sz w:val="20"/>
                <w:szCs w:val="20"/>
              </w:rPr>
              <w:t xml:space="preserve"> </w:t>
            </w:r>
            <w:r w:rsidR="00875C85">
              <w:rPr>
                <w:sz w:val="20"/>
                <w:szCs w:val="20"/>
              </w:rPr>
              <w:t>(ARENA)</w:t>
            </w:r>
            <w:r w:rsidRPr="00194AF9">
              <w:rPr>
                <w:sz w:val="20"/>
                <w:szCs w:val="20"/>
              </w:rPr>
              <w:t xml:space="preserve"> and the </w:t>
            </w:r>
            <w:r w:rsidR="00170834">
              <w:rPr>
                <w:sz w:val="20"/>
                <w:szCs w:val="20"/>
              </w:rPr>
              <w:t>Clean Energy Finance Corporation</w:t>
            </w:r>
            <w:r w:rsidRPr="00194AF9">
              <w:rPr>
                <w:sz w:val="20"/>
                <w:szCs w:val="20"/>
              </w:rPr>
              <w:t xml:space="preserve"> </w:t>
            </w:r>
            <w:r w:rsidR="00ED03F5">
              <w:rPr>
                <w:sz w:val="20"/>
                <w:szCs w:val="20"/>
              </w:rPr>
              <w:t>(CEFC</w:t>
            </w:r>
            <w:r w:rsidR="00263028">
              <w:rPr>
                <w:sz w:val="20"/>
                <w:szCs w:val="20"/>
              </w:rPr>
              <w:t>)</w:t>
            </w:r>
            <w:r w:rsidRPr="00194AF9">
              <w:rPr>
                <w:sz w:val="20"/>
                <w:szCs w:val="20"/>
              </w:rPr>
              <w:t xml:space="preserve"> </w:t>
            </w:r>
            <w:r w:rsidR="00A46F43">
              <w:rPr>
                <w:sz w:val="20"/>
                <w:szCs w:val="20"/>
              </w:rPr>
              <w:t>support</w:t>
            </w:r>
            <w:r w:rsidRPr="00194AF9">
              <w:rPr>
                <w:sz w:val="20"/>
                <w:szCs w:val="20"/>
              </w:rPr>
              <w:t xml:space="preserve"> investments </w:t>
            </w:r>
            <w:r w:rsidR="004F42E8">
              <w:rPr>
                <w:sz w:val="20"/>
                <w:szCs w:val="20"/>
              </w:rPr>
              <w:t>that progress</w:t>
            </w:r>
            <w:r w:rsidRPr="00194AF9">
              <w:rPr>
                <w:sz w:val="20"/>
                <w:szCs w:val="20"/>
              </w:rPr>
              <w:t xml:space="preserve"> the Future Made in Australia agenda. ARENA</w:t>
            </w:r>
            <w:r w:rsidR="00C65DF4">
              <w:rPr>
                <w:sz w:val="20"/>
                <w:szCs w:val="20"/>
              </w:rPr>
              <w:t xml:space="preserve"> under its Advancing Renewables Program</w:t>
            </w:r>
            <w:r w:rsidRPr="00194AF9">
              <w:rPr>
                <w:sz w:val="20"/>
                <w:szCs w:val="20"/>
              </w:rPr>
              <w:t xml:space="preserve"> has </w:t>
            </w:r>
            <w:r w:rsidR="00C65DF4">
              <w:rPr>
                <w:sz w:val="20"/>
                <w:szCs w:val="20"/>
              </w:rPr>
              <w:t>funded</w:t>
            </w:r>
            <w:r w:rsidRPr="00194AF9">
              <w:rPr>
                <w:sz w:val="20"/>
                <w:szCs w:val="20"/>
              </w:rPr>
              <w:t xml:space="preserve"> $1.67 million </w:t>
            </w:r>
            <w:r w:rsidR="000F7AB5">
              <w:rPr>
                <w:sz w:val="20"/>
                <w:szCs w:val="20"/>
              </w:rPr>
              <w:t>to support a feasibility study for the East Kimberley Clean Energy Project</w:t>
            </w:r>
            <w:r w:rsidR="00FF7EA5">
              <w:rPr>
                <w:sz w:val="20"/>
                <w:szCs w:val="20"/>
              </w:rPr>
              <w:t>.</w:t>
            </w:r>
            <w:r w:rsidR="00FF7EA5" w:rsidRPr="00194AF9">
              <w:rPr>
                <w:sz w:val="20"/>
                <w:szCs w:val="20"/>
              </w:rPr>
              <w:t xml:space="preserve"> </w:t>
            </w:r>
            <w:r w:rsidR="00FF7EA5">
              <w:rPr>
                <w:sz w:val="20"/>
                <w:szCs w:val="20"/>
              </w:rPr>
              <w:t>L</w:t>
            </w:r>
            <w:r w:rsidR="00FF7EA5" w:rsidRPr="00194AF9">
              <w:rPr>
                <w:sz w:val="20"/>
                <w:szCs w:val="20"/>
              </w:rPr>
              <w:t xml:space="preserve">ed </w:t>
            </w:r>
            <w:r w:rsidRPr="00194AF9">
              <w:rPr>
                <w:sz w:val="20"/>
                <w:szCs w:val="20"/>
              </w:rPr>
              <w:t>by the Aboriginal Clean Energy Partnership</w:t>
            </w:r>
            <w:r w:rsidR="00FF7EA5">
              <w:rPr>
                <w:sz w:val="20"/>
                <w:szCs w:val="20"/>
              </w:rPr>
              <w:t>,</w:t>
            </w:r>
            <w:r w:rsidRPr="00194AF9">
              <w:rPr>
                <w:sz w:val="20"/>
                <w:szCs w:val="20"/>
              </w:rPr>
              <w:t xml:space="preserve"> </w:t>
            </w:r>
            <w:r w:rsidR="00FF7EA5">
              <w:rPr>
                <w:sz w:val="20"/>
                <w:szCs w:val="20"/>
              </w:rPr>
              <w:t xml:space="preserve">it is </w:t>
            </w:r>
            <w:r w:rsidRPr="00194AF9">
              <w:rPr>
                <w:sz w:val="20"/>
                <w:szCs w:val="20"/>
              </w:rPr>
              <w:t>giving First Nations partners equal ownership and decision-making</w:t>
            </w:r>
            <w:r w:rsidR="00FF7EA5">
              <w:rPr>
                <w:sz w:val="20"/>
                <w:szCs w:val="20"/>
              </w:rPr>
              <w:t>.</w:t>
            </w:r>
            <w:r w:rsidRPr="00194AF9">
              <w:rPr>
                <w:sz w:val="20"/>
                <w:szCs w:val="20"/>
              </w:rPr>
              <w:t xml:space="preserve"> </w:t>
            </w:r>
            <w:r w:rsidR="00922259">
              <w:rPr>
                <w:sz w:val="20"/>
                <w:szCs w:val="20"/>
              </w:rPr>
              <w:t>Phase 1 of this project concluded in 2024, with Phase 2 progressing. The project is targeting a final investment decision in 2026</w:t>
            </w:r>
            <w:r w:rsidR="00263028">
              <w:rPr>
                <w:sz w:val="20"/>
                <w:szCs w:val="20"/>
              </w:rPr>
              <w:t>.</w:t>
            </w:r>
          </w:p>
        </w:tc>
      </w:tr>
      <w:tr w:rsidR="002A0C34" w:rsidRPr="00194AF9" w14:paraId="475E8A8A" w14:textId="77777777" w:rsidTr="00512894">
        <w:trPr>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39954A93" w14:textId="6BC251F5" w:rsidR="002A0C34" w:rsidRPr="00194AF9" w:rsidRDefault="002A0C34" w:rsidP="001C2F22">
            <w:pPr>
              <w:rPr>
                <w:sz w:val="20"/>
                <w:szCs w:val="20"/>
              </w:rPr>
            </w:pPr>
            <w:r w:rsidRPr="00194AF9">
              <w:rPr>
                <w:sz w:val="20"/>
                <w:szCs w:val="20"/>
                <w:lang w:val="x-none"/>
              </w:rPr>
              <w:t>2.    Build on northern Australia’s comparative advantages to harness the opportunities created by global commitments to transition to a net zero economy</w:t>
            </w:r>
            <w:r w:rsidR="00D3138B">
              <w:rPr>
                <w:sz w:val="20"/>
                <w:szCs w:val="20"/>
                <w:lang w:val="x-none"/>
              </w:rPr>
              <w:t>.</w:t>
            </w:r>
          </w:p>
        </w:tc>
        <w:tc>
          <w:tcPr>
            <w:tcW w:w="7512" w:type="dxa"/>
            <w:noWrap/>
            <w:hideMark/>
          </w:tcPr>
          <w:p w14:paraId="35DB7092" w14:textId="23973B07" w:rsidR="002A0C34" w:rsidRDefault="7358E608" w:rsidP="001C2F22">
            <w:pPr>
              <w:cnfStyle w:val="000000000000" w:firstRow="0" w:lastRow="0" w:firstColumn="0" w:lastColumn="0" w:oddVBand="0" w:evenVBand="0" w:oddHBand="0" w:evenHBand="0" w:firstRowFirstColumn="0" w:firstRowLastColumn="0" w:lastRowFirstColumn="0" w:lastRowLastColumn="0"/>
              <w:rPr>
                <w:sz w:val="20"/>
                <w:szCs w:val="20"/>
              </w:rPr>
            </w:pPr>
            <w:r w:rsidRPr="74C8CB4C">
              <w:rPr>
                <w:sz w:val="20"/>
                <w:szCs w:val="20"/>
              </w:rPr>
              <w:t xml:space="preserve">This </w:t>
            </w:r>
            <w:r w:rsidR="00381D01">
              <w:rPr>
                <w:sz w:val="20"/>
                <w:szCs w:val="20"/>
              </w:rPr>
              <w:t>G</w:t>
            </w:r>
            <w:r w:rsidR="002A0C34" w:rsidRPr="00194AF9">
              <w:rPr>
                <w:sz w:val="20"/>
                <w:szCs w:val="20"/>
              </w:rPr>
              <w:t xml:space="preserve">overnment is investing </w:t>
            </w:r>
            <w:r w:rsidR="00FA7379">
              <w:rPr>
                <w:sz w:val="20"/>
                <w:szCs w:val="20"/>
              </w:rPr>
              <w:t>around</w:t>
            </w:r>
            <w:r w:rsidR="002A0C34" w:rsidRPr="00194AF9">
              <w:rPr>
                <w:sz w:val="20"/>
                <w:szCs w:val="20"/>
              </w:rPr>
              <w:t xml:space="preserve"> $500 million in regional hydrogen hubs, including Townsville and the Pilbara. </w:t>
            </w:r>
            <w:r w:rsidR="007965CF">
              <w:rPr>
                <w:sz w:val="20"/>
                <w:szCs w:val="20"/>
              </w:rPr>
              <w:t>In addition, th</w:t>
            </w:r>
            <w:r w:rsidR="002A0C34" w:rsidRPr="00194AF9">
              <w:rPr>
                <w:sz w:val="20"/>
                <w:szCs w:val="20"/>
              </w:rPr>
              <w:t xml:space="preserve">e CEFC is supporting clean energy projects across northern Australia, with major investments </w:t>
            </w:r>
            <w:r w:rsidR="007E3A1C">
              <w:rPr>
                <w:sz w:val="20"/>
                <w:szCs w:val="20"/>
              </w:rPr>
              <w:t xml:space="preserve">in </w:t>
            </w:r>
            <w:r w:rsidR="00333307">
              <w:rPr>
                <w:sz w:val="20"/>
                <w:szCs w:val="20"/>
              </w:rPr>
              <w:t>renewable energy generation</w:t>
            </w:r>
            <w:r w:rsidR="003B7A0A">
              <w:rPr>
                <w:sz w:val="20"/>
                <w:szCs w:val="20"/>
              </w:rPr>
              <w:t>,</w:t>
            </w:r>
            <w:r w:rsidR="002A0C34" w:rsidRPr="00194AF9">
              <w:rPr>
                <w:sz w:val="20"/>
                <w:szCs w:val="20"/>
              </w:rPr>
              <w:t xml:space="preserve"> storage and grid infrastructure in Queensland. </w:t>
            </w:r>
            <w:r w:rsidR="00591F1C">
              <w:rPr>
                <w:sz w:val="20"/>
                <w:szCs w:val="20"/>
              </w:rPr>
              <w:t>The Government’s r</w:t>
            </w:r>
            <w:r w:rsidR="002A0C34" w:rsidRPr="00194AF9">
              <w:rPr>
                <w:sz w:val="20"/>
                <w:szCs w:val="20"/>
              </w:rPr>
              <w:t>egional planning pilots will guide development in energy, urban growth and critical minerals.</w:t>
            </w:r>
          </w:p>
          <w:p w14:paraId="4F6AAEE4" w14:textId="0B709FEA" w:rsidR="00AC435E" w:rsidRDefault="00AC435E" w:rsidP="001C2F2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The </w:t>
            </w:r>
            <w:r w:rsidRPr="003B0223">
              <w:rPr>
                <w:sz w:val="20"/>
                <w:szCs w:val="20"/>
              </w:rPr>
              <w:t xml:space="preserve">$8.5 billion </w:t>
            </w:r>
            <w:r>
              <w:rPr>
                <w:sz w:val="20"/>
                <w:szCs w:val="20"/>
              </w:rPr>
              <w:t>critical minerals framework agreed with the Un</w:t>
            </w:r>
            <w:r w:rsidRPr="003B0223">
              <w:rPr>
                <w:sz w:val="20"/>
                <w:szCs w:val="20"/>
              </w:rPr>
              <w:t>ited States</w:t>
            </w:r>
            <w:r>
              <w:rPr>
                <w:sz w:val="20"/>
                <w:szCs w:val="20"/>
              </w:rPr>
              <w:t xml:space="preserve"> will help unlock a pipeline of development, including in the north. </w:t>
            </w:r>
          </w:p>
          <w:p w14:paraId="2EA4E5B2" w14:textId="77777777" w:rsidR="00527FDD" w:rsidRDefault="00527FDD" w:rsidP="001C2F22">
            <w:pPr>
              <w:cnfStyle w:val="000000000000" w:firstRow="0" w:lastRow="0" w:firstColumn="0" w:lastColumn="0" w:oddVBand="0" w:evenVBand="0" w:oddHBand="0" w:evenHBand="0" w:firstRowFirstColumn="0" w:firstRowLastColumn="0" w:lastRowFirstColumn="0" w:lastRowLastColumn="0"/>
              <w:rPr>
                <w:sz w:val="20"/>
                <w:szCs w:val="20"/>
              </w:rPr>
            </w:pPr>
            <w:r w:rsidRPr="00527FDD">
              <w:rPr>
                <w:sz w:val="20"/>
                <w:szCs w:val="20"/>
              </w:rPr>
              <w:t>Building on existing Australian support, the Australian Government announced a US$100 equity investment in the Arafura Nolans project in the Northern Territory. Once operational, the project is expected to produce five per cent of global rare earths – essential for energy security and defence.</w:t>
            </w:r>
          </w:p>
          <w:p w14:paraId="2F5ABF02" w14:textId="034B7041" w:rsidR="00924BD5" w:rsidRPr="00194AF9" w:rsidRDefault="00924BD5" w:rsidP="001C2F22">
            <w:pPr>
              <w:cnfStyle w:val="000000000000" w:firstRow="0" w:lastRow="0" w:firstColumn="0" w:lastColumn="0" w:oddVBand="0" w:evenVBand="0" w:oddHBand="0" w:evenHBand="0" w:firstRowFirstColumn="0" w:firstRowLastColumn="0" w:lastRowFirstColumn="0" w:lastRowLastColumn="0"/>
              <w:rPr>
                <w:sz w:val="20"/>
                <w:szCs w:val="20"/>
              </w:rPr>
            </w:pPr>
            <w:r>
              <w:rPr>
                <w:rFonts w:eastAsiaTheme="minorEastAsia"/>
                <w:sz w:val="20"/>
                <w:szCs w:val="20"/>
              </w:rPr>
              <w:t xml:space="preserve">The </w:t>
            </w:r>
            <w:r w:rsidRPr="00EA5AEA">
              <w:rPr>
                <w:rFonts w:eastAsiaTheme="minorEastAsia"/>
                <w:sz w:val="20"/>
                <w:szCs w:val="20"/>
              </w:rPr>
              <w:t>NAIF will invest up to $50 million to create jobs and give a further boost to Western Australia’s economy by providing support for the Butcherbird manganese project.</w:t>
            </w:r>
          </w:p>
        </w:tc>
      </w:tr>
      <w:tr w:rsidR="002A0C34" w:rsidRPr="00194AF9" w14:paraId="6FE24611" w14:textId="77777777" w:rsidTr="005128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10F5AFAB" w14:textId="77777777" w:rsidR="002A0C34" w:rsidRPr="00194AF9" w:rsidRDefault="002A0C34" w:rsidP="001C2F22">
            <w:pPr>
              <w:rPr>
                <w:sz w:val="20"/>
                <w:szCs w:val="20"/>
              </w:rPr>
            </w:pPr>
            <w:r w:rsidRPr="00194AF9">
              <w:rPr>
                <w:sz w:val="20"/>
                <w:szCs w:val="20"/>
                <w:lang w:val="x-none"/>
              </w:rPr>
              <w:t>3.    Scope a First Nations Economic Partnership to improve economic outcomes for First Nations peoples, including northern perspectives.</w:t>
            </w:r>
          </w:p>
        </w:tc>
        <w:tc>
          <w:tcPr>
            <w:tcW w:w="7512" w:type="dxa"/>
            <w:noWrap/>
            <w:hideMark/>
          </w:tcPr>
          <w:p w14:paraId="3C60FD4D" w14:textId="2979ED06" w:rsidR="002A0C34" w:rsidRPr="00194AF9" w:rsidRDefault="005F6CFF" w:rsidP="001C2F22">
            <w:pPr>
              <w:cnfStyle w:val="000000100000" w:firstRow="0" w:lastRow="0" w:firstColumn="0" w:lastColumn="0" w:oddVBand="0" w:evenVBand="0" w:oddHBand="1" w:evenHBand="0" w:firstRowFirstColumn="0" w:firstRowLastColumn="0" w:lastRowFirstColumn="0" w:lastRowLastColumn="0"/>
              <w:rPr>
                <w:sz w:val="20"/>
                <w:szCs w:val="20"/>
              </w:rPr>
            </w:pPr>
            <w:r w:rsidRPr="005F6CFF">
              <w:rPr>
                <w:sz w:val="20"/>
                <w:szCs w:val="20"/>
              </w:rPr>
              <w:t>The Prime Minister delivered on this by announcing the First Nations Economic Partnership at the 2025 Garma Festival. This partnership will enable the Australian Government to work genuinely with key First Nations bodies to advance comprehensive and lasting economic empowerment. First Nation</w:t>
            </w:r>
            <w:r w:rsidR="00522CF9">
              <w:rPr>
                <w:sz w:val="20"/>
                <w:szCs w:val="20"/>
              </w:rPr>
              <w:t>s</w:t>
            </w:r>
            <w:r w:rsidRPr="005F6CFF">
              <w:rPr>
                <w:sz w:val="20"/>
                <w:szCs w:val="20"/>
              </w:rPr>
              <w:t xml:space="preserve"> partners include the Coalition of Peaks and the First Nations Economic Empowerment Alliance.</w:t>
            </w:r>
          </w:p>
        </w:tc>
      </w:tr>
      <w:tr w:rsidR="00BD266D" w:rsidRPr="00194AF9" w14:paraId="3837096A" w14:textId="77777777" w:rsidTr="00512894">
        <w:trPr>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56A6E4DF" w14:textId="05011D99" w:rsidR="00BD266D" w:rsidRPr="00194AF9" w:rsidRDefault="00BD266D" w:rsidP="00BD266D">
            <w:pPr>
              <w:rPr>
                <w:sz w:val="20"/>
                <w:szCs w:val="20"/>
              </w:rPr>
            </w:pPr>
            <w:r w:rsidRPr="00194AF9">
              <w:rPr>
                <w:sz w:val="20"/>
                <w:szCs w:val="20"/>
                <w:lang w:val="x-none"/>
              </w:rPr>
              <w:t>4.    Enhance self-determined, sustainable opportunities for First Nations peoples and business, including Prescribed Bodies Corporates to leverage and protect their land, water, Traditional Knowledge, expertise, ingenuity and cultural heritage and other assets</w:t>
            </w:r>
            <w:r>
              <w:rPr>
                <w:sz w:val="20"/>
                <w:szCs w:val="20"/>
                <w:lang w:val="x-none"/>
              </w:rPr>
              <w:t>.</w:t>
            </w:r>
          </w:p>
        </w:tc>
        <w:tc>
          <w:tcPr>
            <w:tcW w:w="7512" w:type="dxa"/>
            <w:noWrap/>
            <w:hideMark/>
          </w:tcPr>
          <w:p w14:paraId="0E8E1EB0" w14:textId="77777777" w:rsidR="00BD266D" w:rsidRPr="00194AF9" w:rsidRDefault="00BD266D" w:rsidP="00BD266D">
            <w:pPr>
              <w:cnfStyle w:val="000000000000" w:firstRow="0" w:lastRow="0" w:firstColumn="0" w:lastColumn="0" w:oddVBand="0" w:evenVBand="0" w:oddHBand="0" w:evenHBand="0" w:firstRowFirstColumn="0" w:firstRowLastColumn="0" w:lastRowFirstColumn="0" w:lastRowLastColumn="0"/>
              <w:rPr>
                <w:sz w:val="20"/>
                <w:szCs w:val="20"/>
              </w:rPr>
            </w:pPr>
            <w:r w:rsidRPr="37C6704B">
              <w:rPr>
                <w:sz w:val="20"/>
                <w:szCs w:val="20"/>
              </w:rPr>
              <w:t xml:space="preserve">The Government has committed an additional $75 million to support Prescribed Bodies Corporate. </w:t>
            </w:r>
          </w:p>
          <w:p w14:paraId="7D3C0D31" w14:textId="5C3C60A1" w:rsidR="00BD266D" w:rsidRPr="00194AF9" w:rsidRDefault="00BD266D" w:rsidP="00BD266D">
            <w:pPr>
              <w:cnfStyle w:val="000000000000" w:firstRow="0" w:lastRow="0" w:firstColumn="0" w:lastColumn="0" w:oddVBand="0" w:evenVBand="0" w:oddHBand="0" w:evenHBand="0" w:firstRowFirstColumn="0" w:firstRowLastColumn="0" w:lastRowFirstColumn="0" w:lastRowLastColumn="0"/>
              <w:rPr>
                <w:sz w:val="20"/>
                <w:szCs w:val="20"/>
              </w:rPr>
            </w:pPr>
            <w:r w:rsidRPr="37C6704B">
              <w:rPr>
                <w:sz w:val="20"/>
                <w:szCs w:val="20"/>
              </w:rPr>
              <w:t xml:space="preserve">The Australian Law Reform Commission is reviewing the </w:t>
            </w:r>
            <w:r w:rsidRPr="007E3A1C">
              <w:rPr>
                <w:i/>
                <w:iCs/>
                <w:sz w:val="20"/>
                <w:szCs w:val="20"/>
              </w:rPr>
              <w:t>Native Title Act</w:t>
            </w:r>
            <w:r w:rsidR="007E3A1C" w:rsidRPr="007E3A1C">
              <w:rPr>
                <w:i/>
                <w:iCs/>
                <w:sz w:val="20"/>
                <w:szCs w:val="20"/>
              </w:rPr>
              <w:t xml:space="preserve"> 19</w:t>
            </w:r>
            <w:r w:rsidR="007E3A1C">
              <w:rPr>
                <w:i/>
                <w:iCs/>
                <w:sz w:val="20"/>
                <w:szCs w:val="20"/>
              </w:rPr>
              <w:t>9</w:t>
            </w:r>
            <w:r w:rsidR="007E3A1C" w:rsidRPr="007E3A1C">
              <w:rPr>
                <w:i/>
                <w:iCs/>
                <w:sz w:val="20"/>
                <w:szCs w:val="20"/>
              </w:rPr>
              <w:t>3</w:t>
            </w:r>
            <w:r w:rsidRPr="37C6704B">
              <w:rPr>
                <w:sz w:val="20"/>
                <w:szCs w:val="20"/>
              </w:rPr>
              <w:t xml:space="preserve"> to improve its efficiency, fairness and effectiveness. Its report is due by early 2026. </w:t>
            </w:r>
          </w:p>
          <w:p w14:paraId="5BA73206" w14:textId="7A606A9D" w:rsidR="00BD266D" w:rsidRPr="00194AF9" w:rsidRDefault="00BD266D" w:rsidP="00BD266D">
            <w:pPr>
              <w:cnfStyle w:val="000000000000" w:firstRow="0" w:lastRow="0" w:firstColumn="0" w:lastColumn="0" w:oddVBand="0" w:evenVBand="0" w:oddHBand="0" w:evenHBand="0" w:firstRowFirstColumn="0" w:firstRowLastColumn="0" w:lastRowFirstColumn="0" w:lastRowLastColumn="0"/>
              <w:rPr>
                <w:sz w:val="20"/>
                <w:szCs w:val="20"/>
              </w:rPr>
            </w:pPr>
            <w:r w:rsidRPr="37C6704B">
              <w:rPr>
                <w:sz w:val="20"/>
                <w:szCs w:val="20"/>
              </w:rPr>
              <w:t>The Government is working with the Indigenous Carbon Industry Network to deliver First Nations carbon farming training</w:t>
            </w:r>
            <w:r w:rsidR="00983006">
              <w:rPr>
                <w:sz w:val="20"/>
                <w:szCs w:val="20"/>
              </w:rPr>
              <w:t xml:space="preserve">. </w:t>
            </w:r>
            <w:r w:rsidRPr="37C6704B">
              <w:rPr>
                <w:sz w:val="20"/>
                <w:szCs w:val="20"/>
              </w:rPr>
              <w:t>The Government is also developing two new savanna fire management methods under the Australian Carbon Credit Unit (ACCU) Scheme, creating more opportunities for projects that support First Nations communities through jobs on Country, income from ACCU sales, and strengthened capacity to care for Country, culture and community.</w:t>
            </w:r>
          </w:p>
        </w:tc>
      </w:tr>
      <w:tr w:rsidR="002A0C34" w:rsidRPr="00194AF9" w14:paraId="5A19FAA8" w14:textId="77777777" w:rsidTr="005128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3270FD4D" w14:textId="77777777" w:rsidR="002A0C34" w:rsidRPr="00146760" w:rsidRDefault="002A0C34" w:rsidP="001C2F22">
            <w:pPr>
              <w:rPr>
                <w:sz w:val="20"/>
                <w:szCs w:val="20"/>
              </w:rPr>
            </w:pPr>
            <w:r w:rsidRPr="00146760">
              <w:rPr>
                <w:sz w:val="20"/>
                <w:szCs w:val="20"/>
                <w:lang w:val="x-none"/>
              </w:rPr>
              <w:lastRenderedPageBreak/>
              <w:t xml:space="preserve">5.    </w:t>
            </w:r>
            <w:bookmarkStart w:id="17" w:name="_Hlk211257417"/>
            <w:r w:rsidRPr="00146760">
              <w:rPr>
                <w:sz w:val="20"/>
                <w:szCs w:val="20"/>
                <w:lang w:val="x-none"/>
              </w:rPr>
              <w:t>Enhance participation of Aboriginal and Torres Strait Islander community-controlled organisations and First Nations business in delivering services in the north.</w:t>
            </w:r>
            <w:bookmarkEnd w:id="17"/>
          </w:p>
        </w:tc>
        <w:tc>
          <w:tcPr>
            <w:tcW w:w="7512" w:type="dxa"/>
            <w:noWrap/>
            <w:hideMark/>
          </w:tcPr>
          <w:p w14:paraId="33B24BFD" w14:textId="5B576288" w:rsidR="002A0C34" w:rsidRPr="00146760" w:rsidRDefault="00F22F22" w:rsidP="001C2F22">
            <w:pPr>
              <w:cnfStyle w:val="000000100000" w:firstRow="0" w:lastRow="0" w:firstColumn="0" w:lastColumn="0" w:oddVBand="0" w:evenVBand="0" w:oddHBand="1" w:evenHBand="0" w:firstRowFirstColumn="0" w:firstRowLastColumn="0" w:lastRowFirstColumn="0" w:lastRowLastColumn="0"/>
              <w:rPr>
                <w:sz w:val="20"/>
                <w:szCs w:val="20"/>
              </w:rPr>
            </w:pPr>
            <w:r w:rsidRPr="37C6704B">
              <w:rPr>
                <w:sz w:val="20"/>
                <w:szCs w:val="20"/>
              </w:rPr>
              <w:t>The Department of Infrastructure is working with states and territories to develop a new First Nations Employment and Procurement Framework to deliver greater socioeconomic outcomes for First Nations people through their participation on infrastructure projects jointly funded through the Infrastructure Investment Program.</w:t>
            </w:r>
          </w:p>
        </w:tc>
      </w:tr>
      <w:tr w:rsidR="002A0C34" w:rsidRPr="00194AF9" w14:paraId="4AE37373" w14:textId="77777777" w:rsidTr="00512894">
        <w:trPr>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31B1DF64" w14:textId="75FBED85" w:rsidR="002A0C34" w:rsidRPr="00194AF9" w:rsidRDefault="002A0C34" w:rsidP="001C2F22">
            <w:pPr>
              <w:rPr>
                <w:sz w:val="20"/>
                <w:szCs w:val="20"/>
              </w:rPr>
            </w:pPr>
            <w:r w:rsidRPr="00194AF9">
              <w:rPr>
                <w:sz w:val="20"/>
                <w:szCs w:val="20"/>
                <w:lang w:val="x-none"/>
              </w:rPr>
              <w:t>6.    Investigate opportunities to address higher costs of doing business in the north</w:t>
            </w:r>
            <w:r w:rsidR="00D3138B">
              <w:rPr>
                <w:sz w:val="20"/>
                <w:szCs w:val="20"/>
                <w:lang w:val="x-none"/>
              </w:rPr>
              <w:t>.</w:t>
            </w:r>
          </w:p>
        </w:tc>
        <w:tc>
          <w:tcPr>
            <w:tcW w:w="7512" w:type="dxa"/>
            <w:noWrap/>
            <w:hideMark/>
          </w:tcPr>
          <w:p w14:paraId="0FD3C96F" w14:textId="697DE668" w:rsidR="002A0C34" w:rsidRPr="00194AF9" w:rsidRDefault="00600411" w:rsidP="001C2F22">
            <w:pPr>
              <w:cnfStyle w:val="000000000000" w:firstRow="0" w:lastRow="0" w:firstColumn="0" w:lastColumn="0" w:oddVBand="0" w:evenVBand="0" w:oddHBand="0" w:evenHBand="0" w:firstRowFirstColumn="0" w:firstRowLastColumn="0" w:lastRowFirstColumn="0" w:lastRowLastColumn="0"/>
              <w:rPr>
                <w:sz w:val="20"/>
                <w:szCs w:val="20"/>
              </w:rPr>
            </w:pPr>
            <w:r w:rsidRPr="00194AF9">
              <w:rPr>
                <w:sz w:val="20"/>
                <w:szCs w:val="20"/>
              </w:rPr>
              <w:t xml:space="preserve">The Treasury commenced the Review of the </w:t>
            </w:r>
            <w:r w:rsidRPr="009D5489">
              <w:rPr>
                <w:i/>
                <w:iCs/>
                <w:sz w:val="20"/>
                <w:szCs w:val="20"/>
              </w:rPr>
              <w:t>Terrorism and Cyclone Insurance Act 2003</w:t>
            </w:r>
            <w:r w:rsidRPr="00194AF9">
              <w:rPr>
                <w:sz w:val="20"/>
                <w:szCs w:val="20"/>
              </w:rPr>
              <w:t xml:space="preserve"> on 30 September 2025. The review will assess whether the cyclone reinsurance pool is meeting its purpose of improving insurance access and affordability for households, small businesses and strata properties with medium to high cyclone and flood risk.</w:t>
            </w:r>
          </w:p>
        </w:tc>
      </w:tr>
    </w:tbl>
    <w:p w14:paraId="49F86412" w14:textId="0C0AF860" w:rsidR="006562EF" w:rsidRPr="006562EF" w:rsidRDefault="00C04733" w:rsidP="00056FA8">
      <w:pPr>
        <w:pStyle w:val="Heading2"/>
      </w:pPr>
      <w:r>
        <w:t>P</w:t>
      </w:r>
      <w:r w:rsidR="007642F1">
        <w:t xml:space="preserve">olicy </w:t>
      </w:r>
      <w:r>
        <w:t>P</w:t>
      </w:r>
      <w:r w:rsidR="007642F1">
        <w:t xml:space="preserve">riority </w:t>
      </w:r>
      <w:r>
        <w:t>A</w:t>
      </w:r>
      <w:r w:rsidR="007642F1">
        <w:t xml:space="preserve">rea </w:t>
      </w:r>
      <w:r w:rsidR="00C0537E">
        <w:t xml:space="preserve">2: </w:t>
      </w:r>
      <w:bookmarkStart w:id="18" w:name="_Hlk209451650"/>
      <w:r w:rsidR="00751E7D">
        <w:t>Infrastructure to unlock growth</w:t>
      </w:r>
      <w:bookmarkEnd w:id="15"/>
    </w:p>
    <w:bookmarkEnd w:id="18"/>
    <w:p w14:paraId="619EEFD5" w14:textId="2AF75289" w:rsidR="00D462EA" w:rsidRDefault="008C622C" w:rsidP="00537B72">
      <w:pPr>
        <w:rPr>
          <w:lang w:val="en-US"/>
        </w:rPr>
      </w:pPr>
      <w:r w:rsidRPr="00E92919">
        <w:t xml:space="preserve">Investment in infrastructure </w:t>
      </w:r>
      <w:r w:rsidR="002A0C34" w:rsidRPr="00E92919">
        <w:t>remains</w:t>
      </w:r>
      <w:r w:rsidRPr="00E92919">
        <w:t xml:space="preserve"> critical to unlocking the north’s potential.</w:t>
      </w:r>
      <w:r w:rsidR="00E92919">
        <w:t xml:space="preserve"> </w:t>
      </w:r>
      <w:r w:rsidR="002A0C34">
        <w:t xml:space="preserve">Infrastructure </w:t>
      </w:r>
      <w:r w:rsidR="00B17B40" w:rsidRPr="00B17B40">
        <w:t>challenges increase the cost of living and doing business, restrict access to essential services, and make it harder to attract and retain workers. Th</w:t>
      </w:r>
      <w:r w:rsidR="00F96DCF">
        <w:t>is</w:t>
      </w:r>
      <w:r w:rsidR="00B17B40" w:rsidRPr="00B17B40">
        <w:t xml:space="preserve"> </w:t>
      </w:r>
      <w:r w:rsidR="00733ACF">
        <w:t>G</w:t>
      </w:r>
      <w:r w:rsidR="00B17B40" w:rsidRPr="00B17B40">
        <w:t>overnment recognises these issues and is implementing a range of programs to address them, improve liveability, and drive economic growth.</w:t>
      </w:r>
    </w:p>
    <w:p w14:paraId="300884C6" w14:textId="565458BF" w:rsidR="00D462EA" w:rsidRDefault="00D462EA" w:rsidP="00D462EA">
      <w:pPr>
        <w:rPr>
          <w:lang w:val="en-US"/>
        </w:rPr>
      </w:pPr>
      <w:r w:rsidRPr="00B17B40">
        <w:rPr>
          <w:lang w:val="x-none"/>
        </w:rPr>
        <w:t>Robust supply chains and cost-effective access to markets are essential to the north’s development. In August 2025, the Government released the refreshed National Freight and Supply Chain Strategy and the new National Action Plan. Actions under the Strategy will improve freight productivity and resilience in northern Australia, including defining and modelling the current freight network and developing a national freight resilience plan.</w:t>
      </w:r>
    </w:p>
    <w:p w14:paraId="46A29D56" w14:textId="68D18486" w:rsidR="00D462EA" w:rsidRPr="00B17B40" w:rsidRDefault="00D462EA" w:rsidP="00D462EA">
      <w:pPr>
        <w:rPr>
          <w:lang w:val="en-US"/>
        </w:rPr>
      </w:pPr>
      <w:r w:rsidRPr="00B17B40">
        <w:rPr>
          <w:lang w:val="x-none"/>
        </w:rPr>
        <w:t>In September 2025, the Government released draft legislation on the Universal Outdoor Mobile Obligation (UOMO) alongside its response to the 2024 Regional Telecommunications Review. UOMO will require mobile carriers to provide reasonable access to outdoor mobile voice and text services almost everywhere across Australia.</w:t>
      </w:r>
    </w:p>
    <w:p w14:paraId="73B42CF0" w14:textId="5257B18C" w:rsidR="00102219" w:rsidRPr="00102219" w:rsidRDefault="00102219" w:rsidP="00102219">
      <w:pPr>
        <w:rPr>
          <w:lang w:val="en-US"/>
        </w:rPr>
      </w:pPr>
      <w:r w:rsidRPr="00102219">
        <w:t>Recognising housing as central to the region’s future</w:t>
      </w:r>
      <w:r w:rsidR="00E92A66">
        <w:t xml:space="preserve"> </w:t>
      </w:r>
      <w:proofErr w:type="spellStart"/>
      <w:r w:rsidR="00983006">
        <w:t>t</w:t>
      </w:r>
      <w:r w:rsidR="00983006" w:rsidRPr="00102219">
        <w:rPr>
          <w:lang w:val="x-none"/>
        </w:rPr>
        <w:t>he</w:t>
      </w:r>
      <w:proofErr w:type="spellEnd"/>
      <w:r w:rsidRPr="00102219">
        <w:rPr>
          <w:lang w:val="x-none"/>
        </w:rPr>
        <w:t xml:space="preserve"> Northern Australia Ministerial Forum (NAMF) established a </w:t>
      </w:r>
      <w:proofErr w:type="gramStart"/>
      <w:r w:rsidRPr="00102219">
        <w:rPr>
          <w:lang w:val="x-none"/>
        </w:rPr>
        <w:t>senior officials</w:t>
      </w:r>
      <w:proofErr w:type="gramEnd"/>
      <w:r w:rsidRPr="00102219">
        <w:rPr>
          <w:lang w:val="x-none"/>
        </w:rPr>
        <w:t xml:space="preserve"> working group in late 2024 to identify</w:t>
      </w:r>
      <w:r w:rsidRPr="00102219">
        <w:t xml:space="preserve"> </w:t>
      </w:r>
      <w:r w:rsidRPr="00102219">
        <w:rPr>
          <w:lang w:val="x-none"/>
        </w:rPr>
        <w:t xml:space="preserve">north-specific barriers and opportunities to increase housing supply, and to support </w:t>
      </w:r>
      <w:r w:rsidR="008B77B3" w:rsidRPr="00102219">
        <w:rPr>
          <w:lang w:val="x-none"/>
        </w:rPr>
        <w:t>evidence-based</w:t>
      </w:r>
      <w:r w:rsidRPr="00102219">
        <w:rPr>
          <w:lang w:val="x-none"/>
        </w:rPr>
        <w:t xml:space="preserve"> action to inform decision making.</w:t>
      </w:r>
    </w:p>
    <w:p w14:paraId="622CD5B7" w14:textId="3AA4022B" w:rsidR="00102219" w:rsidRPr="003C7E9C" w:rsidRDefault="00102219" w:rsidP="00102219">
      <w:r w:rsidRPr="00102219">
        <w:rPr>
          <w:lang w:val="en-US"/>
        </w:rPr>
        <w:t xml:space="preserve">The working group found that while there is a </w:t>
      </w:r>
      <w:r w:rsidRPr="00102219">
        <w:rPr>
          <w:lang w:val="x-none"/>
        </w:rPr>
        <w:t xml:space="preserve">national housing crisis, </w:t>
      </w:r>
      <w:r w:rsidRPr="00102219">
        <w:t>northern Australia faces</w:t>
      </w:r>
      <w:r w:rsidRPr="00102219">
        <w:rPr>
          <w:lang w:val="x-none"/>
        </w:rPr>
        <w:t xml:space="preserve"> added challenges</w:t>
      </w:r>
      <w:r w:rsidRPr="00102219">
        <w:t>. These include</w:t>
      </w:r>
      <w:r w:rsidRPr="00102219">
        <w:rPr>
          <w:lang w:val="x-none"/>
        </w:rPr>
        <w:t xml:space="preserve"> distorted housing markets, above average homelessness and overcrowding rates, high and escalating construction costs</w:t>
      </w:r>
      <w:r w:rsidRPr="00102219">
        <w:t xml:space="preserve">, </w:t>
      </w:r>
      <w:r w:rsidRPr="00102219">
        <w:rPr>
          <w:lang w:val="x-none"/>
        </w:rPr>
        <w:t>a highly constrained workforce</w:t>
      </w:r>
      <w:r w:rsidRPr="00102219">
        <w:t xml:space="preserve"> </w:t>
      </w:r>
      <w:r w:rsidRPr="00102219">
        <w:rPr>
          <w:lang w:val="x-none"/>
        </w:rPr>
        <w:t xml:space="preserve">in a very competitive labour market, </w:t>
      </w:r>
      <w:r w:rsidRPr="00102219">
        <w:t xml:space="preserve">and a </w:t>
      </w:r>
      <w:r w:rsidRPr="00102219">
        <w:rPr>
          <w:lang w:val="x-none"/>
        </w:rPr>
        <w:t xml:space="preserve">complex land tenure </w:t>
      </w:r>
      <w:r w:rsidRPr="003C7E9C">
        <w:rPr>
          <w:lang w:val="x-none"/>
        </w:rPr>
        <w:t>and regulatory environment.</w:t>
      </w:r>
      <w:r w:rsidR="007E6934" w:rsidRPr="007E6934">
        <w:rPr>
          <w:lang w:val="x-none"/>
        </w:rPr>
        <w:t xml:space="preserve"> </w:t>
      </w:r>
      <w:r w:rsidR="007E6934">
        <w:rPr>
          <w:lang w:val="x-none"/>
        </w:rPr>
        <w:t xml:space="preserve">Continued dialogue across </w:t>
      </w:r>
      <w:r w:rsidR="00851D3A">
        <w:rPr>
          <w:lang w:val="x-none"/>
        </w:rPr>
        <w:t>Australian</w:t>
      </w:r>
      <w:r w:rsidR="007E6934">
        <w:rPr>
          <w:lang w:val="x-none"/>
        </w:rPr>
        <w:t xml:space="preserve">, </w:t>
      </w:r>
      <w:r w:rsidR="00E66B3B">
        <w:rPr>
          <w:lang w:val="x-none"/>
        </w:rPr>
        <w:t>s</w:t>
      </w:r>
      <w:r w:rsidR="007E6934">
        <w:rPr>
          <w:lang w:val="x-none"/>
        </w:rPr>
        <w:t xml:space="preserve">tate and </w:t>
      </w:r>
      <w:r w:rsidR="00E66B3B">
        <w:rPr>
          <w:lang w:val="x-none"/>
        </w:rPr>
        <w:t>t</w:t>
      </w:r>
      <w:r w:rsidR="007E6934">
        <w:rPr>
          <w:lang w:val="x-none"/>
        </w:rPr>
        <w:t>erritory governments will help ensure program delivery is better aligned to the unique needs of northern Australia.</w:t>
      </w:r>
    </w:p>
    <w:p w14:paraId="31C68C71" w14:textId="588044B5" w:rsidR="00B17B40" w:rsidRPr="00B17B40" w:rsidRDefault="00B17B40" w:rsidP="00B17B40">
      <w:pPr>
        <w:rPr>
          <w:lang w:val="en-US"/>
        </w:rPr>
      </w:pPr>
      <w:r w:rsidRPr="00B17B40">
        <w:rPr>
          <w:lang w:val="x-none"/>
        </w:rPr>
        <w:t>To address acute housing shortages in remote First Nations communities, the Government is investing $</w:t>
      </w:r>
      <w:r w:rsidR="00570E77" w:rsidRPr="00B17B40">
        <w:rPr>
          <w:lang w:val="x-none"/>
        </w:rPr>
        <w:t>220</w:t>
      </w:r>
      <w:r w:rsidR="00FA090B">
        <w:t xml:space="preserve"> </w:t>
      </w:r>
      <w:r w:rsidRPr="00B17B40">
        <w:rPr>
          <w:lang w:val="x-none"/>
        </w:rPr>
        <w:t xml:space="preserve">million over five years from 2022–23 through the Homelands Housing and Infrastructure Program. The Australian and NT </w:t>
      </w:r>
      <w:r w:rsidR="003D12B0">
        <w:rPr>
          <w:lang w:val="x-none"/>
        </w:rPr>
        <w:t>g</w:t>
      </w:r>
      <w:r w:rsidRPr="00B17B40">
        <w:rPr>
          <w:lang w:val="x-none"/>
        </w:rPr>
        <w:t>overnments are also jointly investing $4 billion over 10 years from 2024–25 through the Northern Territory Remote Housing Package. As at 30 June 2025, 34 of 37 projects from the initial $</w:t>
      </w:r>
      <w:r w:rsidR="00570E77" w:rsidRPr="00B17B40">
        <w:rPr>
          <w:lang w:val="x-none"/>
        </w:rPr>
        <w:t>100</w:t>
      </w:r>
      <w:r w:rsidR="00717211">
        <w:t xml:space="preserve"> </w:t>
      </w:r>
      <w:r w:rsidRPr="00B17B40">
        <w:rPr>
          <w:lang w:val="x-none"/>
        </w:rPr>
        <w:t>million Homelands Housing and Infrastructure Program had been completed. In 2024–25, 222 houses were built, and property and tenancy management services were delivered under the Northern Territory Remote Housing Package.</w:t>
      </w:r>
    </w:p>
    <w:p w14:paraId="1195BE53" w14:textId="7CC3B723" w:rsidR="00D462EA" w:rsidRDefault="00B17B40" w:rsidP="00B17B40">
      <w:pPr>
        <w:rPr>
          <w:lang w:val="en-US"/>
        </w:rPr>
      </w:pPr>
      <w:r w:rsidRPr="22AF63F8">
        <w:rPr>
          <w:lang w:val="en-US"/>
        </w:rPr>
        <w:t>The 2025–26 Budget outlined major</w:t>
      </w:r>
      <w:r w:rsidR="2E411DCD" w:rsidRPr="005C6EE9">
        <w:rPr>
          <w:lang w:val="en-US"/>
        </w:rPr>
        <w:t xml:space="preserve"> commitments in the north under the Infrastructure Investment </w:t>
      </w:r>
      <w:r w:rsidR="00097C7C">
        <w:rPr>
          <w:lang w:val="en-US"/>
        </w:rPr>
        <w:t>P</w:t>
      </w:r>
      <w:r w:rsidR="2E411DCD" w:rsidRPr="005C6EE9">
        <w:rPr>
          <w:lang w:val="en-US"/>
        </w:rPr>
        <w:t>rogram</w:t>
      </w:r>
      <w:r w:rsidRPr="22AF63F8">
        <w:rPr>
          <w:lang w:val="en-US"/>
        </w:rPr>
        <w:t>, including $7.2 billion for safety upgrades on the Bruce Highway in Queensland, $245 million to replace the Barron River Bridge in Queensland, and $200 million to duplicate</w:t>
      </w:r>
      <w:r w:rsidR="57ABE059" w:rsidRPr="005C6EE9">
        <w:rPr>
          <w:lang w:val="en-US"/>
        </w:rPr>
        <w:t xml:space="preserve"> priority sections of </w:t>
      </w:r>
      <w:r w:rsidRPr="22AF63F8">
        <w:rPr>
          <w:lang w:val="en-US"/>
        </w:rPr>
        <w:t>the Stuart Highway between Darwin and Katherine in the Northern Territory. The Government is also investing $1.1 billion for the Tanami Road Upgrade across Western Australia and the Northern Territory, $1 billion for the Outback Way across all three northern jurisdictions, and $400 million for the Queensland Beef Corridors. These investments will improve freight reliability, boost flood and disaster resilience, create Indigenous and local jobs, and deliver long-term benefits across the north.</w:t>
      </w:r>
    </w:p>
    <w:p w14:paraId="69B22D91" w14:textId="77777777" w:rsidR="005F0057" w:rsidRDefault="005F0057" w:rsidP="005F0057">
      <w:pPr>
        <w:keepNext/>
      </w:pPr>
      <w:r>
        <w:rPr>
          <w:noProof/>
          <w:lang w:val="en-US"/>
        </w:rPr>
        <w:lastRenderedPageBreak/>
        <w:drawing>
          <wp:inline distT="0" distB="0" distL="0" distR="0" wp14:anchorId="76E8725E" wp14:editId="650CE9D6">
            <wp:extent cx="6644005" cy="2038350"/>
            <wp:effectExtent l="0" t="0" r="4445" b="0"/>
            <wp:docPr id="1280523389" name="Picture 1" descr="A truck driving on a bridge over a river surrounded by forest on both sides. Barron River Bridge,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523389" name="Picture 1" descr="A truck driving on a bridge over a river surrounded by forest on both sides. Barron River Bridge, Queensland."/>
                    <pic:cNvPicPr/>
                  </pic:nvPicPr>
                  <pic:blipFill rotWithShape="1">
                    <a:blip r:embed="rId19" cstate="print">
                      <a:extLst>
                        <a:ext uri="{28A0092B-C50C-407E-A947-70E740481C1C}">
                          <a14:useLocalDpi xmlns:a14="http://schemas.microsoft.com/office/drawing/2010/main" val="0"/>
                        </a:ext>
                      </a:extLst>
                    </a:blip>
                    <a:srcRect/>
                    <a:stretch>
                      <a:fillRect/>
                    </a:stretch>
                  </pic:blipFill>
                  <pic:spPr bwMode="auto">
                    <a:xfrm>
                      <a:off x="0" y="0"/>
                      <a:ext cx="6645910" cy="2038934"/>
                    </a:xfrm>
                    <a:prstGeom prst="rect">
                      <a:avLst/>
                    </a:prstGeom>
                    <a:ln>
                      <a:noFill/>
                    </a:ln>
                    <a:extLst>
                      <a:ext uri="{53640926-AAD7-44D8-BBD7-CCE9431645EC}">
                        <a14:shadowObscured xmlns:a14="http://schemas.microsoft.com/office/drawing/2010/main"/>
                      </a:ext>
                    </a:extLst>
                  </pic:spPr>
                </pic:pic>
              </a:graphicData>
            </a:graphic>
          </wp:inline>
        </w:drawing>
      </w:r>
    </w:p>
    <w:p w14:paraId="36A83141" w14:textId="318E8F87" w:rsidR="005F0057" w:rsidRPr="00B17B40" w:rsidRDefault="005F0057" w:rsidP="005F0057">
      <w:pPr>
        <w:pStyle w:val="Sourcenotes"/>
        <w:rPr>
          <w:lang w:val="en-US"/>
        </w:rPr>
      </w:pPr>
      <w:r>
        <w:t xml:space="preserve">Figure </w:t>
      </w:r>
      <w:r>
        <w:fldChar w:fldCharType="begin"/>
      </w:r>
      <w:r>
        <w:instrText xml:space="preserve"> SEQ Figure \* ARABIC </w:instrText>
      </w:r>
      <w:r>
        <w:fldChar w:fldCharType="separate"/>
      </w:r>
      <w:r>
        <w:rPr>
          <w:noProof/>
        </w:rPr>
        <w:t>2</w:t>
      </w:r>
      <w:r>
        <w:rPr>
          <w:noProof/>
        </w:rPr>
        <w:fldChar w:fldCharType="end"/>
      </w:r>
      <w:r>
        <w:t xml:space="preserve"> - Barron River Bridge, QLD. Credit Queensland Department of Transport and Main Roads</w:t>
      </w:r>
    </w:p>
    <w:p w14:paraId="456F17D1" w14:textId="087B9223" w:rsidR="00B17B40" w:rsidRDefault="00B17B40" w:rsidP="00B17B40">
      <w:pPr>
        <w:rPr>
          <w:spacing w:val="-4"/>
          <w:lang w:val="en-US"/>
        </w:rPr>
      </w:pPr>
      <w:r w:rsidRPr="001C65EE">
        <w:rPr>
          <w:spacing w:val="-4"/>
          <w:lang w:val="en-US"/>
        </w:rPr>
        <w:t>Digital and mobile connectivity directly affect</w:t>
      </w:r>
      <w:r w:rsidR="0102B7F3" w:rsidRPr="001C65EE">
        <w:rPr>
          <w:spacing w:val="-4"/>
          <w:lang w:val="en-US"/>
        </w:rPr>
        <w:t xml:space="preserve"> </w:t>
      </w:r>
      <w:r w:rsidRPr="001C65EE">
        <w:rPr>
          <w:spacing w:val="-4"/>
          <w:lang w:val="en-US"/>
        </w:rPr>
        <w:t xml:space="preserve">the north’s ability to conduct business and access services. In 2024–25, key investments to increase availability and reliability included the completion of </w:t>
      </w:r>
      <w:r w:rsidR="73D39F39" w:rsidRPr="001C65EE">
        <w:rPr>
          <w:spacing w:val="-4"/>
          <w:lang w:val="en-US"/>
        </w:rPr>
        <w:t>31</w:t>
      </w:r>
      <w:r w:rsidRPr="001C65EE">
        <w:rPr>
          <w:spacing w:val="-4"/>
          <w:lang w:val="en-US"/>
        </w:rPr>
        <w:t xml:space="preserve"> projects in northern Australia through the Regional Connectivity Program, and continued NBN upgrades, with around 52,000 premises in the north to be upgraded through the Government’s $3 billion equity investment. The Government also provided $50 million in grant funding to state and territory governments for pilot programs under the Regional Roads Australia Mobile Program.</w:t>
      </w:r>
    </w:p>
    <w:p w14:paraId="6E7F1851" w14:textId="30DD8241" w:rsidR="27F37961" w:rsidRDefault="27F37961" w:rsidP="00876991">
      <w:pPr>
        <w:spacing w:after="0"/>
        <w:rPr>
          <w:rFonts w:ascii="Calibri" w:eastAsia="Calibri" w:hAnsi="Calibri" w:cs="Calibri"/>
          <w:lang w:val="en-US"/>
        </w:rPr>
      </w:pPr>
      <w:r w:rsidRPr="22AF63F8">
        <w:rPr>
          <w:rFonts w:ascii="Calibri" w:eastAsia="Calibri" w:hAnsi="Calibri" w:cs="Calibri"/>
          <w:lang w:val="en-US"/>
        </w:rPr>
        <w:t xml:space="preserve">The outcomes of Round 3 of the Mobile Network Hardening Program were announced in September 2025, with $9.8 million in grant funding being provided for 303 projects to improve the resilience of Australia's mobile network telecommunications infrastructure. </w:t>
      </w:r>
      <w:r w:rsidR="00B84C01">
        <w:rPr>
          <w:rFonts w:ascii="Calibri" w:eastAsia="Calibri" w:hAnsi="Calibri" w:cs="Calibri"/>
          <w:lang w:val="en-US"/>
        </w:rPr>
        <w:t>In northern Australia</w:t>
      </w:r>
      <w:r w:rsidRPr="22AF63F8">
        <w:rPr>
          <w:rFonts w:ascii="Calibri" w:eastAsia="Calibri" w:hAnsi="Calibri" w:cs="Calibri"/>
          <w:lang w:val="en-US"/>
        </w:rPr>
        <w:t xml:space="preserve"> $3 million is being provided for 71 resilience upgrade projects.</w:t>
      </w:r>
    </w:p>
    <w:bookmarkEnd w:id="16"/>
    <w:p w14:paraId="20260F1A" w14:textId="393AB346" w:rsidR="00826F3E" w:rsidRDefault="00961C54" w:rsidP="00826F3E">
      <w:pPr>
        <w:keepNext/>
      </w:pPr>
      <w:r>
        <w:rPr>
          <w:b/>
          <w:noProof/>
          <w:color w:val="595E64"/>
          <w:sz w:val="26"/>
          <w:lang w:val="x-none"/>
        </w:rPr>
        <w:drawing>
          <wp:inline distT="0" distB="0" distL="0" distR="0" wp14:anchorId="79A7CD39" wp14:editId="6C34173F">
            <wp:extent cx="6625256" cy="2329180"/>
            <wp:effectExtent l="0" t="0" r="4445" b="0"/>
            <wp:docPr id="2004780401" name="Picture 2" descr="Aerial image of the Port of Wyndham, showing a tugboat and loading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780401" name="Picture 2" descr="Aerial image of the Port of Wyndham, showing a tugboat and loading tower."/>
                    <pic:cNvPicPr>
                      <a:picLocks noChangeAspect="1"/>
                    </pic:cNvPicPr>
                  </pic:nvPicPr>
                  <pic:blipFill rotWithShape="1">
                    <a:blip r:embed="rId20" cstate="print">
                      <a:extLst>
                        <a:ext uri="{28A0092B-C50C-407E-A947-70E740481C1C}">
                          <a14:useLocalDpi xmlns:a14="http://schemas.microsoft.com/office/drawing/2010/main" val="0"/>
                        </a:ext>
                      </a:extLst>
                    </a:blip>
                    <a:srcRect/>
                    <a:stretch>
                      <a:fillRect/>
                    </a:stretch>
                  </pic:blipFill>
                  <pic:spPr bwMode="auto">
                    <a:xfrm>
                      <a:off x="0" y="0"/>
                      <a:ext cx="6627019" cy="2329800"/>
                    </a:xfrm>
                    <a:prstGeom prst="rect">
                      <a:avLst/>
                    </a:prstGeom>
                    <a:ln>
                      <a:noFill/>
                    </a:ln>
                    <a:extLst>
                      <a:ext uri="{53640926-AAD7-44D8-BBD7-CCE9431645EC}">
                        <a14:shadowObscured xmlns:a14="http://schemas.microsoft.com/office/drawing/2010/main"/>
                      </a:ext>
                    </a:extLst>
                  </pic:spPr>
                </pic:pic>
              </a:graphicData>
            </a:graphic>
          </wp:inline>
        </w:drawing>
      </w:r>
    </w:p>
    <w:p w14:paraId="0B7C2B4C" w14:textId="0734F2C0" w:rsidR="006542CD" w:rsidRPr="006542CD" w:rsidRDefault="00826F3E" w:rsidP="006542CD">
      <w:pPr>
        <w:pStyle w:val="Sourcenotes"/>
        <w:rPr>
          <w:lang w:val="en-AU"/>
        </w:rPr>
      </w:pPr>
      <w:bookmarkStart w:id="19" w:name="_Toc210386254"/>
      <w:r w:rsidRPr="47BA0498">
        <w:rPr>
          <w:lang w:val="en-US"/>
        </w:rPr>
        <w:t xml:space="preserve">Figure </w:t>
      </w:r>
      <w:r>
        <w:fldChar w:fldCharType="begin"/>
      </w:r>
      <w:r>
        <w:instrText>SEQ Figure \* ARABIC</w:instrText>
      </w:r>
      <w:r>
        <w:fldChar w:fldCharType="separate"/>
      </w:r>
      <w:r w:rsidR="005F0057">
        <w:rPr>
          <w:noProof/>
        </w:rPr>
        <w:t>3</w:t>
      </w:r>
      <w:r>
        <w:fldChar w:fldCharType="end"/>
      </w:r>
      <w:bookmarkEnd w:id="19"/>
      <w:r w:rsidRPr="47BA0498">
        <w:rPr>
          <w:lang w:val="en-US"/>
        </w:rPr>
        <w:t xml:space="preserve"> </w:t>
      </w:r>
      <w:r w:rsidR="0089110B" w:rsidRPr="47BA0498">
        <w:rPr>
          <w:lang w:val="en-US"/>
        </w:rPr>
        <w:t>–</w:t>
      </w:r>
      <w:r w:rsidRPr="47BA0498">
        <w:rPr>
          <w:lang w:val="en-US"/>
        </w:rPr>
        <w:t xml:space="preserve"> </w:t>
      </w:r>
      <w:r w:rsidR="002A2418">
        <w:rPr>
          <w:lang w:val="en-US"/>
        </w:rPr>
        <w:t>Port of Wy</w:t>
      </w:r>
      <w:r w:rsidR="00236EAF">
        <w:rPr>
          <w:lang w:val="en-US"/>
        </w:rPr>
        <w:t>ndham</w:t>
      </w:r>
      <w:r w:rsidR="0089110B" w:rsidRPr="47BA0498">
        <w:rPr>
          <w:lang w:val="en-US"/>
        </w:rPr>
        <w:t xml:space="preserve">, </w:t>
      </w:r>
      <w:r w:rsidR="00236EAF">
        <w:rPr>
          <w:lang w:val="en-US"/>
        </w:rPr>
        <w:t>WA</w:t>
      </w:r>
      <w:r w:rsidR="0089110B" w:rsidRPr="47BA0498">
        <w:rPr>
          <w:lang w:val="en-US"/>
        </w:rPr>
        <w:t xml:space="preserve">. Credit </w:t>
      </w:r>
      <w:r w:rsidR="006542CD" w:rsidRPr="006542CD">
        <w:rPr>
          <w:lang w:val="en-US"/>
        </w:rPr>
        <w:t>Kimberley Ports Authority</w:t>
      </w:r>
    </w:p>
    <w:p w14:paraId="3FE8AFDA" w14:textId="0A883ACD" w:rsidR="00CD296E" w:rsidRPr="00CD296E" w:rsidRDefault="00692189" w:rsidP="00CD296E">
      <w:pPr>
        <w:pStyle w:val="Box1Heading"/>
        <w:rPr>
          <w:lang w:val="en-AU"/>
        </w:rPr>
      </w:pPr>
      <w:r>
        <w:rPr>
          <w:lang w:val="en-AU"/>
        </w:rPr>
        <w:t xml:space="preserve">Expanded border services </w:t>
      </w:r>
      <w:r w:rsidR="009070B3">
        <w:rPr>
          <w:lang w:val="en-AU"/>
        </w:rPr>
        <w:t xml:space="preserve">for critical ports in </w:t>
      </w:r>
      <w:r>
        <w:rPr>
          <w:lang w:val="en-AU"/>
        </w:rPr>
        <w:t>Western Australia</w:t>
      </w:r>
      <w:r w:rsidR="009070B3">
        <w:rPr>
          <w:lang w:val="en-AU"/>
        </w:rPr>
        <w:t>’s north</w:t>
      </w:r>
    </w:p>
    <w:p w14:paraId="35E30316" w14:textId="36526243" w:rsidR="00475760" w:rsidRPr="00475760" w:rsidRDefault="00475760" w:rsidP="4F69A129">
      <w:pPr>
        <w:pStyle w:val="Box1Text0"/>
        <w:rPr>
          <w:lang w:val="en-US"/>
        </w:rPr>
      </w:pPr>
      <w:r w:rsidRPr="4F69A129">
        <w:rPr>
          <w:lang w:val="en-US"/>
        </w:rPr>
        <w:t>In January 2025 the government announced that it had supported applications for expanded border services for three critical ports in Western Australia’s north – the Ports of Wyndham, Ashburton and Dampier. The expansion of services at these ports will allow for more direct international shipping, meaning businesses, farmers and other industry in the north will be able to import and export goods closer without having to transit through ports such as Darwin or Fremantle.</w:t>
      </w:r>
    </w:p>
    <w:p w14:paraId="788145A1" w14:textId="7679B1A9" w:rsidR="00475760" w:rsidRPr="00475760" w:rsidRDefault="00475760" w:rsidP="4F69A129">
      <w:pPr>
        <w:pStyle w:val="Box1Text0"/>
        <w:rPr>
          <w:lang w:val="en-US"/>
        </w:rPr>
      </w:pPr>
      <w:r w:rsidRPr="4F69A129">
        <w:rPr>
          <w:lang w:val="en-US"/>
        </w:rPr>
        <w:t xml:space="preserve">The changes are expected to greatly increase throughput at the ports. At the Port of Wyndham for example, exports at the time of the announcement were 212,199 </w:t>
      </w:r>
      <w:proofErr w:type="spellStart"/>
      <w:r w:rsidRPr="4F69A129">
        <w:rPr>
          <w:lang w:val="en-US"/>
        </w:rPr>
        <w:t>tonnes</w:t>
      </w:r>
      <w:proofErr w:type="spellEnd"/>
      <w:r w:rsidRPr="4F69A129">
        <w:rPr>
          <w:lang w:val="en-US"/>
        </w:rPr>
        <w:t xml:space="preserve">, and this is expected to increase to over 1.36 million </w:t>
      </w:r>
      <w:proofErr w:type="spellStart"/>
      <w:r w:rsidRPr="4F69A129">
        <w:rPr>
          <w:lang w:val="en-US"/>
        </w:rPr>
        <w:t>tonnes</w:t>
      </w:r>
      <w:proofErr w:type="spellEnd"/>
      <w:r w:rsidRPr="4F69A129">
        <w:rPr>
          <w:lang w:val="en-US"/>
        </w:rPr>
        <w:t>.</w:t>
      </w:r>
    </w:p>
    <w:p w14:paraId="28DD7C6F" w14:textId="42750AE4" w:rsidR="00316581" w:rsidRDefault="00316581" w:rsidP="008D2EE2">
      <w:pPr>
        <w:pStyle w:val="Box1Text0"/>
        <w:rPr>
          <w:lang w:val="en-US"/>
        </w:rPr>
      </w:pPr>
      <w:r w:rsidRPr="00316581">
        <w:rPr>
          <w:lang w:val="en-US"/>
        </w:rPr>
        <w:t xml:space="preserve">In October 2025 the Australian and Western Australian governments welcomed the first Kimberley Cotton Gin export from the Port of Wyndham in a boost for diversifying regional economies and trade. The Kimberley Cotton Gin Project was supported by a $9 million investment by the Western Australian </w:t>
      </w:r>
      <w:r>
        <w:rPr>
          <w:lang w:val="en-US"/>
        </w:rPr>
        <w:t>G</w:t>
      </w:r>
      <w:r w:rsidRPr="00316581">
        <w:rPr>
          <w:lang w:val="en-US"/>
        </w:rPr>
        <w:t>overnment and a NAIF loan of up to $34 million over 12 years. The processing facility is intended to make cotton an economically feasible broadacre crop in the Kimberley region by removing the need to transport unprocessed cotton interstate.</w:t>
      </w:r>
    </w:p>
    <w:p w14:paraId="3EA86CBC" w14:textId="65E54D90" w:rsidR="00292C45" w:rsidRPr="00592C18" w:rsidRDefault="00475760" w:rsidP="008D2EE2">
      <w:pPr>
        <w:pStyle w:val="Box1Text0"/>
        <w:rPr>
          <w:lang w:val="en-US"/>
        </w:rPr>
      </w:pPr>
      <w:r w:rsidRPr="00475760">
        <w:t>The expansion of border services in Western Australia’s north will benefit businesses and communities particularly in the East Kimberley and Pilbara regions, cutting costs, boosting productivity, providing jobs, and improving the resilience of supply chains, including for clean energy and green fuel projects.</w:t>
      </w:r>
    </w:p>
    <w:tbl>
      <w:tblPr>
        <w:tblStyle w:val="ListTable4-Accent3"/>
        <w:tblW w:w="10485" w:type="dxa"/>
        <w:tblLook w:val="04A0" w:firstRow="1" w:lastRow="0" w:firstColumn="1" w:lastColumn="0" w:noHBand="0" w:noVBand="1"/>
      </w:tblPr>
      <w:tblGrid>
        <w:gridCol w:w="4673"/>
        <w:gridCol w:w="5812"/>
      </w:tblGrid>
      <w:tr w:rsidR="002A0C34" w:rsidRPr="00194AF9" w14:paraId="2F4DDBDA" w14:textId="77777777" w:rsidTr="005A3A0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tcPr>
          <w:p w14:paraId="77F87DF1" w14:textId="5337E901" w:rsidR="002A0C34" w:rsidRPr="00047364" w:rsidRDefault="002A0C34" w:rsidP="00B629EA">
            <w:pPr>
              <w:keepNext/>
              <w:rPr>
                <w:color w:val="000000" w:themeColor="text1"/>
                <w:sz w:val="20"/>
                <w:szCs w:val="20"/>
              </w:rPr>
            </w:pPr>
            <w:bookmarkStart w:id="20" w:name="_Hlk211251697"/>
            <w:r w:rsidRPr="00C909CF">
              <w:rPr>
                <w:color w:val="000000" w:themeColor="text1"/>
                <w:sz w:val="20"/>
                <w:szCs w:val="20"/>
              </w:rPr>
              <w:lastRenderedPageBreak/>
              <w:t>Area of Continued Focus</w:t>
            </w:r>
          </w:p>
        </w:tc>
        <w:tc>
          <w:tcPr>
            <w:tcW w:w="5812" w:type="dxa"/>
            <w:noWrap/>
          </w:tcPr>
          <w:p w14:paraId="13048423" w14:textId="3D513F28" w:rsidR="002A0C34" w:rsidRPr="00047364" w:rsidRDefault="00801EDF" w:rsidP="00B629EA">
            <w:pPr>
              <w:keepNext/>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C909CF">
              <w:rPr>
                <w:color w:val="000000" w:themeColor="text1"/>
                <w:sz w:val="20"/>
                <w:szCs w:val="20"/>
              </w:rPr>
              <w:t>2025 Annual Progress Report Update</w:t>
            </w:r>
          </w:p>
        </w:tc>
      </w:tr>
      <w:tr w:rsidR="002A0C34" w:rsidRPr="00194AF9" w14:paraId="07F24981" w14:textId="77777777" w:rsidTr="005A3A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043FAD93" w14:textId="77777777" w:rsidR="002A0C34" w:rsidRPr="00194AF9" w:rsidRDefault="002A0C34" w:rsidP="001C2F22">
            <w:pPr>
              <w:rPr>
                <w:sz w:val="20"/>
                <w:szCs w:val="20"/>
              </w:rPr>
            </w:pPr>
            <w:bookmarkStart w:id="21" w:name="_Toc210386247"/>
            <w:bookmarkEnd w:id="20"/>
            <w:r w:rsidRPr="00194AF9">
              <w:rPr>
                <w:sz w:val="20"/>
                <w:szCs w:val="20"/>
                <w:lang w:val="x-none"/>
              </w:rPr>
              <w:t>7.    Raise awareness of the specific circumstances and needs of northern Australia in policy initiatives and investments in housing.</w:t>
            </w:r>
          </w:p>
        </w:tc>
        <w:tc>
          <w:tcPr>
            <w:tcW w:w="5812" w:type="dxa"/>
            <w:noWrap/>
            <w:hideMark/>
          </w:tcPr>
          <w:p w14:paraId="19F28558" w14:textId="20468648" w:rsidR="002A0C34" w:rsidRPr="00194AF9" w:rsidRDefault="00395711" w:rsidP="001C2F22">
            <w:pPr>
              <w:cnfStyle w:val="000000100000" w:firstRow="0" w:lastRow="0" w:firstColumn="0" w:lastColumn="0" w:oddVBand="0" w:evenVBand="0" w:oddHBand="1" w:evenHBand="0" w:firstRowFirstColumn="0" w:firstRowLastColumn="0" w:lastRowFirstColumn="0" w:lastRowLastColumn="0"/>
              <w:rPr>
                <w:sz w:val="20"/>
                <w:szCs w:val="20"/>
              </w:rPr>
            </w:pPr>
            <w:r w:rsidRPr="37C6704B">
              <w:rPr>
                <w:sz w:val="20"/>
                <w:szCs w:val="20"/>
              </w:rPr>
              <w:t>The Government this year established the Northern Australia Housing Working Group</w:t>
            </w:r>
            <w:r>
              <w:rPr>
                <w:sz w:val="20"/>
                <w:szCs w:val="20"/>
              </w:rPr>
              <w:t xml:space="preserve"> to provide expert advice and advocate for housing solutions in the north. It presented its findings and recommendations to the Northern Australia Ministerial Forum in October 2025.</w:t>
            </w:r>
          </w:p>
        </w:tc>
      </w:tr>
      <w:tr w:rsidR="00977B41" w:rsidRPr="00194AF9" w14:paraId="679B5AF4" w14:textId="77777777" w:rsidTr="005A3A0E">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4FA86BE" w14:textId="77777777" w:rsidR="00977B41" w:rsidRPr="00194AF9" w:rsidRDefault="00977B41" w:rsidP="00977B41">
            <w:pPr>
              <w:rPr>
                <w:sz w:val="20"/>
                <w:szCs w:val="20"/>
              </w:rPr>
            </w:pPr>
            <w:r w:rsidRPr="00194AF9">
              <w:rPr>
                <w:sz w:val="20"/>
                <w:szCs w:val="20"/>
                <w:lang w:val="x-none"/>
              </w:rPr>
              <w:t xml:space="preserve">8.    </w:t>
            </w:r>
            <w:bookmarkStart w:id="22" w:name="_Hlk211257371"/>
            <w:r w:rsidRPr="00194AF9">
              <w:rPr>
                <w:sz w:val="20"/>
                <w:szCs w:val="20"/>
                <w:lang w:val="x-none"/>
              </w:rPr>
              <w:t>Continue to work with state and territory governments to understand and address current and future infrastructure needs and priorities in northern Australia.</w:t>
            </w:r>
            <w:bookmarkEnd w:id="22"/>
          </w:p>
        </w:tc>
        <w:tc>
          <w:tcPr>
            <w:tcW w:w="5812" w:type="dxa"/>
            <w:noWrap/>
            <w:hideMark/>
          </w:tcPr>
          <w:p w14:paraId="4A101FA8" w14:textId="6409EF5E" w:rsidR="00977B41" w:rsidRPr="005A6EA4" w:rsidRDefault="00977B41" w:rsidP="00B93DF3">
            <w:pPr>
              <w:cnfStyle w:val="000000000000" w:firstRow="0" w:lastRow="0" w:firstColumn="0" w:lastColumn="0" w:oddVBand="0" w:evenVBand="0" w:oddHBand="0" w:evenHBand="0" w:firstRowFirstColumn="0" w:firstRowLastColumn="0" w:lastRowFirstColumn="0" w:lastRowLastColumn="0"/>
              <w:rPr>
                <w:sz w:val="20"/>
                <w:szCs w:val="20"/>
              </w:rPr>
            </w:pPr>
            <w:r w:rsidRPr="37C6704B">
              <w:rPr>
                <w:sz w:val="20"/>
                <w:szCs w:val="20"/>
              </w:rPr>
              <w:t>The Government allocat</w:t>
            </w:r>
            <w:r>
              <w:rPr>
                <w:sz w:val="20"/>
                <w:szCs w:val="20"/>
              </w:rPr>
              <w:t xml:space="preserve">ed </w:t>
            </w:r>
            <w:r w:rsidRPr="37C6704B">
              <w:rPr>
                <w:sz w:val="20"/>
                <w:szCs w:val="20"/>
              </w:rPr>
              <w:t>$17.1 billion</w:t>
            </w:r>
            <w:r>
              <w:rPr>
                <w:sz w:val="20"/>
                <w:szCs w:val="20"/>
              </w:rPr>
              <w:t xml:space="preserve"> </w:t>
            </w:r>
            <w:r w:rsidRPr="37C6704B">
              <w:rPr>
                <w:sz w:val="20"/>
                <w:szCs w:val="20"/>
              </w:rPr>
              <w:t>for nation</w:t>
            </w:r>
            <w:r>
              <w:rPr>
                <w:sz w:val="20"/>
                <w:szCs w:val="20"/>
              </w:rPr>
              <w:t xml:space="preserve"> </w:t>
            </w:r>
            <w:r w:rsidRPr="37C6704B">
              <w:rPr>
                <w:sz w:val="20"/>
                <w:szCs w:val="20"/>
              </w:rPr>
              <w:t>building road and rail projects in the 2025–26 Budget. In northern Australia, this includes $7.2 billion for Bruce Highway safety upgrades in Queensland</w:t>
            </w:r>
            <w:r w:rsidR="00A72114">
              <w:rPr>
                <w:sz w:val="20"/>
                <w:szCs w:val="20"/>
              </w:rPr>
              <w:t xml:space="preserve">, </w:t>
            </w:r>
            <w:r w:rsidR="00A72114" w:rsidRPr="00A72114">
              <w:rPr>
                <w:sz w:val="20"/>
                <w:szCs w:val="20"/>
              </w:rPr>
              <w:t>$245 million to replace the Barron River Bridge on the Kennedy Highway in Queensland</w:t>
            </w:r>
            <w:r w:rsidRPr="37C6704B">
              <w:rPr>
                <w:sz w:val="20"/>
                <w:szCs w:val="20"/>
              </w:rPr>
              <w:t xml:space="preserve"> and $200 million to duplicate priority sections of the Stuart Highway between Darwin and Katherine</w:t>
            </w:r>
            <w:r w:rsidRPr="37C6704B">
              <w:rPr>
                <w:rFonts w:ascii="Calibri" w:eastAsia="Calibri" w:hAnsi="Calibri" w:cs="Calibri"/>
                <w:sz w:val="20"/>
                <w:szCs w:val="20"/>
              </w:rPr>
              <w:t xml:space="preserve"> </w:t>
            </w:r>
            <w:r w:rsidRPr="37C6704B">
              <w:rPr>
                <w:sz w:val="20"/>
                <w:szCs w:val="20"/>
              </w:rPr>
              <w:t>in the Northern Territory.</w:t>
            </w:r>
            <w:r w:rsidR="00DF7A06">
              <w:t xml:space="preserve"> </w:t>
            </w:r>
            <w:r w:rsidR="0060615B">
              <w:br/>
            </w:r>
            <w:r w:rsidR="00DF7A06" w:rsidRPr="00DF7A06">
              <w:rPr>
                <w:sz w:val="20"/>
                <w:szCs w:val="20"/>
              </w:rPr>
              <w:t xml:space="preserve">Current key land transport infrastructure projects in </w:t>
            </w:r>
            <w:r w:rsidR="00DF7A06">
              <w:rPr>
                <w:sz w:val="20"/>
                <w:szCs w:val="20"/>
              </w:rPr>
              <w:t>n</w:t>
            </w:r>
            <w:r w:rsidR="00DF7A06" w:rsidRPr="00DF7A06">
              <w:rPr>
                <w:sz w:val="20"/>
                <w:szCs w:val="20"/>
              </w:rPr>
              <w:t xml:space="preserve">orthern Australia </w:t>
            </w:r>
            <w:r w:rsidR="00B93DF3">
              <w:rPr>
                <w:sz w:val="20"/>
                <w:szCs w:val="20"/>
              </w:rPr>
              <w:t xml:space="preserve">also include </w:t>
            </w:r>
            <w:r w:rsidR="00B93DF3" w:rsidRPr="00B93DF3">
              <w:rPr>
                <w:sz w:val="20"/>
                <w:szCs w:val="20"/>
              </w:rPr>
              <w:t>$1.1 billion for the Tanami Road Upgrade across Western Australia and the Northern Territory</w:t>
            </w:r>
            <w:r w:rsidR="00B93DF3">
              <w:rPr>
                <w:sz w:val="20"/>
                <w:szCs w:val="20"/>
              </w:rPr>
              <w:t xml:space="preserve"> and </w:t>
            </w:r>
            <w:r w:rsidR="00B93DF3" w:rsidRPr="00B93DF3">
              <w:rPr>
                <w:sz w:val="20"/>
                <w:szCs w:val="20"/>
              </w:rPr>
              <w:t>$1</w:t>
            </w:r>
            <w:r w:rsidR="00D807BE">
              <w:rPr>
                <w:sz w:val="20"/>
                <w:szCs w:val="20"/>
              </w:rPr>
              <w:t> </w:t>
            </w:r>
            <w:r w:rsidR="00B93DF3" w:rsidRPr="00B93DF3">
              <w:rPr>
                <w:sz w:val="20"/>
                <w:szCs w:val="20"/>
              </w:rPr>
              <w:t>billion for the Outback Way across Queensland, Northern Territory and Western Australia</w:t>
            </w:r>
            <w:r w:rsidR="00B93DF3">
              <w:rPr>
                <w:sz w:val="20"/>
                <w:szCs w:val="20"/>
              </w:rPr>
              <w:t>.</w:t>
            </w:r>
          </w:p>
        </w:tc>
      </w:tr>
      <w:tr w:rsidR="00977B41" w:rsidRPr="00194AF9" w14:paraId="74B0532F" w14:textId="77777777" w:rsidTr="005A3A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DFD2432" w14:textId="147FE1B7" w:rsidR="00977B41" w:rsidRPr="00194AF9" w:rsidRDefault="00977B41" w:rsidP="00977B41">
            <w:pPr>
              <w:rPr>
                <w:sz w:val="20"/>
                <w:szCs w:val="20"/>
              </w:rPr>
            </w:pPr>
            <w:r w:rsidRPr="00194AF9">
              <w:rPr>
                <w:sz w:val="20"/>
                <w:szCs w:val="20"/>
                <w:lang w:val="en-US"/>
              </w:rPr>
              <w:t>9.    Continue efforts to improve the affordability, accessibility and reliability of air services in the north</w:t>
            </w:r>
            <w:r w:rsidR="00522CF9">
              <w:rPr>
                <w:sz w:val="20"/>
                <w:szCs w:val="20"/>
                <w:lang w:val="en-US"/>
              </w:rPr>
              <w:t>.</w:t>
            </w:r>
          </w:p>
        </w:tc>
        <w:tc>
          <w:tcPr>
            <w:tcW w:w="5812" w:type="dxa"/>
            <w:noWrap/>
            <w:hideMark/>
          </w:tcPr>
          <w:p w14:paraId="03627F0A" w14:textId="59B52AC4" w:rsidR="00977B41" w:rsidRPr="00194AF9" w:rsidRDefault="003508B7" w:rsidP="00977B41">
            <w:pPr>
              <w:cnfStyle w:val="000000100000" w:firstRow="0" w:lastRow="0" w:firstColumn="0" w:lastColumn="0" w:oddVBand="0" w:evenVBand="0" w:oddHBand="1" w:evenHBand="0" w:firstRowFirstColumn="0" w:firstRowLastColumn="0" w:lastRowFirstColumn="0" w:lastRowLastColumn="0"/>
              <w:rPr>
                <w:sz w:val="20"/>
                <w:szCs w:val="20"/>
              </w:rPr>
            </w:pPr>
            <w:r w:rsidRPr="00194AF9">
              <w:rPr>
                <w:sz w:val="20"/>
                <w:szCs w:val="20"/>
              </w:rPr>
              <w:t>In August 2024, the Government released the Aviation White Paper outlining 56 initiatives to improve passenger experience, industry efficiency and regional connectivity. Nearly $25 million was provided for 45 regional airport upgrades, including $3.1 million for five projects in northern Australia, and subsidised air services continued to support up to 275 remote communities.</w:t>
            </w:r>
          </w:p>
        </w:tc>
      </w:tr>
      <w:tr w:rsidR="00977B41" w:rsidRPr="00194AF9" w14:paraId="295B721D" w14:textId="77777777" w:rsidTr="005A3A0E">
        <w:trPr>
          <w:trHeight w:val="30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B7426E4" w14:textId="1D066269" w:rsidR="00977B41" w:rsidRPr="00F26BEE" w:rsidRDefault="00977B41" w:rsidP="00977B41">
            <w:pPr>
              <w:rPr>
                <w:sz w:val="20"/>
                <w:szCs w:val="20"/>
                <w:lang w:val="en-US"/>
              </w:rPr>
            </w:pPr>
            <w:r w:rsidRPr="00194AF9">
              <w:rPr>
                <w:sz w:val="20"/>
                <w:szCs w:val="20"/>
                <w:lang w:val="en-US"/>
              </w:rPr>
              <w:t>10.</w:t>
            </w:r>
            <w:r w:rsidRPr="00194AF9">
              <w:rPr>
                <w:sz w:val="20"/>
                <w:szCs w:val="20"/>
                <w:lang w:val="x-none"/>
              </w:rPr>
              <w:t>  </w:t>
            </w:r>
            <w:r>
              <w:rPr>
                <w:sz w:val="20"/>
                <w:szCs w:val="20"/>
                <w:lang w:val="en-US"/>
              </w:rPr>
              <w:t xml:space="preserve"> </w:t>
            </w:r>
            <w:r w:rsidRPr="00194AF9">
              <w:rPr>
                <w:sz w:val="20"/>
                <w:szCs w:val="20"/>
                <w:lang w:val="en-US"/>
              </w:rPr>
              <w:t>Continue to work with jurisdictions and regions to ensure there is adequate water planning and infrastructure to support a quadruple bottom line of industry, community, First Nations peoples and environmental sustainability objectives.</w:t>
            </w:r>
          </w:p>
        </w:tc>
        <w:tc>
          <w:tcPr>
            <w:tcW w:w="5812" w:type="dxa"/>
            <w:noWrap/>
            <w:hideMark/>
          </w:tcPr>
          <w:p w14:paraId="2204B333" w14:textId="3191E53C" w:rsidR="00977B41" w:rsidRPr="00194AF9" w:rsidRDefault="00F66A71" w:rsidP="00977B41">
            <w:pPr>
              <w:cnfStyle w:val="000000000000" w:firstRow="0" w:lastRow="0" w:firstColumn="0" w:lastColumn="0" w:oddVBand="0" w:evenVBand="0" w:oddHBand="0" w:evenHBand="0" w:firstRowFirstColumn="0" w:firstRowLastColumn="0" w:lastRowFirstColumn="0" w:lastRowLastColumn="0"/>
              <w:rPr>
                <w:sz w:val="20"/>
                <w:szCs w:val="20"/>
              </w:rPr>
            </w:pPr>
            <w:r w:rsidRPr="37C6704B">
              <w:rPr>
                <w:sz w:val="20"/>
                <w:szCs w:val="20"/>
              </w:rPr>
              <w:t>Over $1.2 billion is being delivered through the National Water Grid Fund towards critical water infrastructure in northern Australia. The Government has exceeded its $150 million commitment to improve First Nations water access and is developing a new National Water Agreement to strengthen sustainable planning and First Nations influence, and a Closing the Gap Inland Waters Target (15c) to improve First Nations peoples’ access to, ownership of, and management of water.</w:t>
            </w:r>
          </w:p>
        </w:tc>
      </w:tr>
    </w:tbl>
    <w:p w14:paraId="5E87C97C" w14:textId="3FDF196A" w:rsidR="00751E7D" w:rsidRDefault="00C0537E" w:rsidP="00751E7D">
      <w:pPr>
        <w:pStyle w:val="Heading2"/>
      </w:pPr>
      <w:r>
        <w:t>P</w:t>
      </w:r>
      <w:r w:rsidR="007642F1">
        <w:t xml:space="preserve">olicy </w:t>
      </w:r>
      <w:r>
        <w:t>P</w:t>
      </w:r>
      <w:r w:rsidR="007642F1">
        <w:t xml:space="preserve">riority </w:t>
      </w:r>
      <w:r>
        <w:t>A</w:t>
      </w:r>
      <w:r w:rsidR="007642F1">
        <w:t xml:space="preserve">rea </w:t>
      </w:r>
      <w:r w:rsidR="00FA1F4E">
        <w:t xml:space="preserve">3: </w:t>
      </w:r>
      <w:r w:rsidR="00751E7D">
        <w:t>A safe and secure north</w:t>
      </w:r>
      <w:bookmarkEnd w:id="21"/>
    </w:p>
    <w:p w14:paraId="71285DB0" w14:textId="52B5951D" w:rsidR="00E11133" w:rsidRPr="00E92919" w:rsidRDefault="00D807BE" w:rsidP="00734A51">
      <w:r>
        <w:t>Northern Australia makes a vital contribution to both national security and the national economy. The north has significant potential for sustainable and resilient growth, including the further development of natural resources and greater use of renewable energy sources</w:t>
      </w:r>
      <w:r w:rsidR="00E11133" w:rsidRPr="00E92919">
        <w:t>.</w:t>
      </w:r>
      <w:r>
        <w:t xml:space="preserve"> The north is also a key component of the National Defence Strategy.</w:t>
      </w:r>
    </w:p>
    <w:p w14:paraId="51E85300" w14:textId="6A5CBD13" w:rsidR="00366592" w:rsidRPr="00366592" w:rsidRDefault="00366592" w:rsidP="00734A51">
      <w:pPr>
        <w:rPr>
          <w:lang w:val="en-US"/>
        </w:rPr>
      </w:pPr>
      <w:bookmarkStart w:id="23" w:name="_Toc210386248"/>
      <w:r w:rsidRPr="00366592">
        <w:rPr>
          <w:lang w:val="en-US"/>
        </w:rPr>
        <w:t xml:space="preserve">The 2023 </w:t>
      </w:r>
      <w:proofErr w:type="spellStart"/>
      <w:r w:rsidRPr="00366592">
        <w:rPr>
          <w:lang w:val="en-US"/>
        </w:rPr>
        <w:t>Defence</w:t>
      </w:r>
      <w:proofErr w:type="spellEnd"/>
      <w:r w:rsidRPr="00366592">
        <w:rPr>
          <w:lang w:val="en-US"/>
        </w:rPr>
        <w:t xml:space="preserve"> Strategic Review and the 2024 National </w:t>
      </w:r>
      <w:proofErr w:type="spellStart"/>
      <w:r w:rsidRPr="00366592">
        <w:rPr>
          <w:lang w:val="en-US"/>
        </w:rPr>
        <w:t>Defence</w:t>
      </w:r>
      <w:proofErr w:type="spellEnd"/>
      <w:r w:rsidRPr="00366592">
        <w:rPr>
          <w:lang w:val="en-US"/>
        </w:rPr>
        <w:t xml:space="preserve"> Strategy (NDS) </w:t>
      </w:r>
      <w:r w:rsidR="00D807BE">
        <w:rPr>
          <w:lang w:val="en-US"/>
        </w:rPr>
        <w:t>observed</w:t>
      </w:r>
      <w:r w:rsidRPr="00366592">
        <w:rPr>
          <w:lang w:val="en-US"/>
        </w:rPr>
        <w:t xml:space="preserve"> </w:t>
      </w:r>
      <w:r w:rsidR="00D807BE">
        <w:rPr>
          <w:lang w:val="en-US"/>
        </w:rPr>
        <w:t>that Australia is facing the most complex and challenging strategic environment since the Second World War. The NDS also</w:t>
      </w:r>
      <w:r w:rsidR="007A4412">
        <w:rPr>
          <w:lang w:val="en-US"/>
        </w:rPr>
        <w:t xml:space="preserve"> identified</w:t>
      </w:r>
      <w:r w:rsidRPr="00366592">
        <w:rPr>
          <w:lang w:val="en-US"/>
        </w:rPr>
        <w:t xml:space="preserve"> the need for investment in connected northern bases</w:t>
      </w:r>
      <w:r w:rsidR="00D807BE">
        <w:rPr>
          <w:lang w:val="en-US"/>
        </w:rPr>
        <w:t xml:space="preserve"> to</w:t>
      </w:r>
      <w:r w:rsidR="00646C85">
        <w:rPr>
          <w:lang w:val="en-US"/>
        </w:rPr>
        <w:t xml:space="preserve"> enhance force projection and improve </w:t>
      </w:r>
      <w:proofErr w:type="spellStart"/>
      <w:r w:rsidR="00646C85">
        <w:rPr>
          <w:lang w:val="en-US"/>
        </w:rPr>
        <w:t>Defence’s</w:t>
      </w:r>
      <w:proofErr w:type="spellEnd"/>
      <w:r w:rsidR="00646C85">
        <w:rPr>
          <w:lang w:val="en-US"/>
        </w:rPr>
        <w:t xml:space="preserve"> ability to operate through disruption. For this purpose, the Integrated Investment Program committed $14-18 billion over the next decade in investment in northern bases.</w:t>
      </w:r>
    </w:p>
    <w:p w14:paraId="58C4FC1E" w14:textId="08588761" w:rsidR="00366592" w:rsidRPr="00366592" w:rsidRDefault="3A4FB32E" w:rsidP="005A6EA4">
      <w:pPr>
        <w:rPr>
          <w:lang w:val="en-US"/>
        </w:rPr>
      </w:pPr>
      <w:r w:rsidRPr="74EFDF57">
        <w:rPr>
          <w:lang w:val="en-US"/>
        </w:rPr>
        <w:t>Over the past year</w:t>
      </w:r>
      <w:r w:rsidR="5976FA71" w:rsidRPr="74EFDF57">
        <w:rPr>
          <w:lang w:val="en-US"/>
        </w:rPr>
        <w:t xml:space="preserve">, </w:t>
      </w:r>
      <w:proofErr w:type="spellStart"/>
      <w:r w:rsidR="5976FA71" w:rsidRPr="74EFDF57">
        <w:rPr>
          <w:lang w:val="en-US"/>
        </w:rPr>
        <w:t>Defence</w:t>
      </w:r>
      <w:proofErr w:type="spellEnd"/>
      <w:r w:rsidR="5976FA71" w:rsidRPr="74EFDF57">
        <w:rPr>
          <w:lang w:val="en-US"/>
        </w:rPr>
        <w:t xml:space="preserve"> </w:t>
      </w:r>
      <w:r w:rsidR="006325D9">
        <w:rPr>
          <w:lang w:val="en-US"/>
        </w:rPr>
        <w:t xml:space="preserve">capital works </w:t>
      </w:r>
      <w:r w:rsidR="5976FA71" w:rsidRPr="74EFDF57">
        <w:rPr>
          <w:lang w:val="en-US"/>
        </w:rPr>
        <w:t xml:space="preserve">projects in the north have </w:t>
      </w:r>
      <w:r w:rsidR="00D12182">
        <w:rPr>
          <w:lang w:val="en-US"/>
        </w:rPr>
        <w:t>awarded</w:t>
      </w:r>
      <w:r w:rsidR="00646C85">
        <w:rPr>
          <w:lang w:val="en-US"/>
        </w:rPr>
        <w:t xml:space="preserve"> </w:t>
      </w:r>
      <w:proofErr w:type="gramStart"/>
      <w:r w:rsidR="00646C85">
        <w:rPr>
          <w:lang w:val="en-US"/>
        </w:rPr>
        <w:t>the large majority of</w:t>
      </w:r>
      <w:proofErr w:type="gramEnd"/>
      <w:r w:rsidRPr="74EFDF57">
        <w:rPr>
          <w:lang w:val="en-US"/>
        </w:rPr>
        <w:t xml:space="preserve"> sub-contracts to local businesses</w:t>
      </w:r>
      <w:r w:rsidR="00646C85">
        <w:rPr>
          <w:lang w:val="en-US"/>
        </w:rPr>
        <w:t>, as shown in Table 1</w:t>
      </w:r>
      <w:r w:rsidR="001B5415">
        <w:rPr>
          <w:lang w:val="en-US"/>
        </w:rPr>
        <w:t>.</w:t>
      </w:r>
      <w:r w:rsidR="001B5415" w:rsidRPr="74EFDF57">
        <w:rPr>
          <w:lang w:val="en-US"/>
        </w:rPr>
        <w:t xml:space="preserve"> </w:t>
      </w:r>
      <w:r w:rsidR="001B5415">
        <w:rPr>
          <w:lang w:val="en-US"/>
        </w:rPr>
        <w:t xml:space="preserve">This has provided </w:t>
      </w:r>
      <w:proofErr w:type="gramStart"/>
      <w:r w:rsidRPr="74EFDF57">
        <w:rPr>
          <w:lang w:val="en-US"/>
        </w:rPr>
        <w:t>significant flow-on</w:t>
      </w:r>
      <w:proofErr w:type="gramEnd"/>
      <w:r w:rsidRPr="74EFDF57">
        <w:rPr>
          <w:lang w:val="en-US"/>
        </w:rPr>
        <w:t xml:space="preserve"> economic and social benefits to supporting communities and regions. Across </w:t>
      </w:r>
      <w:r w:rsidR="00F472BE">
        <w:rPr>
          <w:lang w:val="en-US"/>
        </w:rPr>
        <w:t>five</w:t>
      </w:r>
      <w:r w:rsidR="00F472BE" w:rsidRPr="74EFDF57">
        <w:rPr>
          <w:lang w:val="en-US"/>
        </w:rPr>
        <w:t xml:space="preserve"> </w:t>
      </w:r>
      <w:r w:rsidRPr="74EFDF57">
        <w:rPr>
          <w:lang w:val="en-US"/>
        </w:rPr>
        <w:t xml:space="preserve">key </w:t>
      </w:r>
      <w:proofErr w:type="spellStart"/>
      <w:r w:rsidR="00146760" w:rsidRPr="74EFDF57">
        <w:rPr>
          <w:lang w:val="en-US"/>
        </w:rPr>
        <w:t>Defence</w:t>
      </w:r>
      <w:proofErr w:type="spellEnd"/>
      <w:r w:rsidRPr="74EFDF57">
        <w:rPr>
          <w:lang w:val="en-US"/>
        </w:rPr>
        <w:t xml:space="preserve"> project</w:t>
      </w:r>
      <w:r w:rsidR="2A8CA2AD" w:rsidRPr="74EFDF57">
        <w:rPr>
          <w:lang w:val="en-US"/>
        </w:rPr>
        <w:t>s</w:t>
      </w:r>
      <w:r w:rsidRPr="74EFDF57">
        <w:rPr>
          <w:lang w:val="en-US"/>
        </w:rPr>
        <w:t>, $1.</w:t>
      </w:r>
      <w:r w:rsidR="1AA269FF" w:rsidRPr="74EFDF57">
        <w:rPr>
          <w:lang w:val="en-US"/>
        </w:rPr>
        <w:t>77</w:t>
      </w:r>
      <w:r w:rsidRPr="74EFDF57">
        <w:rPr>
          <w:lang w:val="en-US"/>
        </w:rPr>
        <w:t xml:space="preserve"> billion</w:t>
      </w:r>
      <w:r w:rsidR="0098680F">
        <w:rPr>
          <w:lang w:val="en-US"/>
        </w:rPr>
        <w:t xml:space="preserve"> is estimated to have been</w:t>
      </w:r>
      <w:r w:rsidRPr="74EFDF57">
        <w:rPr>
          <w:lang w:val="en-US"/>
        </w:rPr>
        <w:t xml:space="preserve"> delivered to date, with a further $</w:t>
      </w:r>
      <w:r w:rsidR="074A6AB7" w:rsidRPr="74EFDF57">
        <w:rPr>
          <w:lang w:val="en-US"/>
        </w:rPr>
        <w:t>749</w:t>
      </w:r>
      <w:r w:rsidRPr="74EFDF57">
        <w:rPr>
          <w:lang w:val="en-US"/>
        </w:rPr>
        <w:t xml:space="preserve"> million expected in 2025–26. </w:t>
      </w:r>
      <w:r w:rsidR="3F82365E" w:rsidRPr="74EFDF57">
        <w:rPr>
          <w:lang w:val="en-US"/>
        </w:rPr>
        <w:t>This local focus lifts</w:t>
      </w:r>
      <w:r w:rsidRPr="74EFDF57">
        <w:rPr>
          <w:lang w:val="en-US"/>
        </w:rPr>
        <w:t xml:space="preserve"> industry participation</w:t>
      </w:r>
      <w:r w:rsidR="5F7867AA" w:rsidRPr="74EFDF57">
        <w:rPr>
          <w:lang w:val="en-US"/>
        </w:rPr>
        <w:t xml:space="preserve"> and</w:t>
      </w:r>
      <w:r w:rsidRPr="74EFDF57">
        <w:rPr>
          <w:lang w:val="en-US"/>
        </w:rPr>
        <w:t xml:space="preserve"> workforce opportunities, </w:t>
      </w:r>
      <w:r w:rsidR="5F7867AA" w:rsidRPr="74EFDF57">
        <w:rPr>
          <w:lang w:val="en-US"/>
        </w:rPr>
        <w:t xml:space="preserve">strengthens regional </w:t>
      </w:r>
      <w:r w:rsidRPr="74EFDF57">
        <w:rPr>
          <w:lang w:val="en-US"/>
        </w:rPr>
        <w:t xml:space="preserve">resilience and national civil preparedness, </w:t>
      </w:r>
      <w:r w:rsidR="203859F3" w:rsidRPr="74EFDF57">
        <w:rPr>
          <w:lang w:val="en-US"/>
        </w:rPr>
        <w:t>and positions</w:t>
      </w:r>
      <w:r w:rsidRPr="74EFDF57">
        <w:rPr>
          <w:lang w:val="en-US"/>
        </w:rPr>
        <w:t xml:space="preserve"> northern Australia </w:t>
      </w:r>
      <w:r w:rsidR="203859F3" w:rsidRPr="74EFDF57">
        <w:rPr>
          <w:lang w:val="en-US"/>
        </w:rPr>
        <w:t xml:space="preserve">to </w:t>
      </w:r>
      <w:r w:rsidRPr="74EFDF57">
        <w:rPr>
          <w:lang w:val="en-US"/>
        </w:rPr>
        <w:t xml:space="preserve">underpin national security, </w:t>
      </w:r>
      <w:proofErr w:type="spellStart"/>
      <w:r w:rsidR="00146760" w:rsidRPr="74EFDF57">
        <w:rPr>
          <w:lang w:val="en-US"/>
        </w:rPr>
        <w:t>Defence</w:t>
      </w:r>
      <w:proofErr w:type="spellEnd"/>
      <w:r w:rsidRPr="74EFDF57">
        <w:rPr>
          <w:lang w:val="en-US"/>
        </w:rPr>
        <w:t xml:space="preserve"> and economic growth.</w:t>
      </w:r>
    </w:p>
    <w:p w14:paraId="05E2B91E" w14:textId="77777777" w:rsidR="005F0057" w:rsidRDefault="005F0057">
      <w:pPr>
        <w:suppressAutoHyphens w:val="0"/>
        <w:spacing w:before="160"/>
        <w:rPr>
          <w:b/>
          <w:iCs/>
          <w:color w:val="595E64"/>
          <w:szCs w:val="18"/>
        </w:rPr>
      </w:pPr>
      <w:r>
        <w:br w:type="page"/>
      </w:r>
    </w:p>
    <w:p w14:paraId="6126BFF5" w14:textId="00097539" w:rsidR="00A416D1" w:rsidRDefault="00A416D1" w:rsidP="00A416D1">
      <w:pPr>
        <w:pStyle w:val="Caption"/>
        <w:keepNext/>
      </w:pPr>
      <w:r>
        <w:lastRenderedPageBreak/>
        <w:t xml:space="preserve">Table </w:t>
      </w:r>
      <w:r>
        <w:fldChar w:fldCharType="begin"/>
      </w:r>
      <w:r>
        <w:instrText xml:space="preserve"> SEQ Table \* ARABIC </w:instrText>
      </w:r>
      <w:r>
        <w:fldChar w:fldCharType="separate"/>
      </w:r>
      <w:r>
        <w:rPr>
          <w:noProof/>
        </w:rPr>
        <w:t>1</w:t>
      </w:r>
      <w:r>
        <w:rPr>
          <w:noProof/>
        </w:rPr>
        <w:fldChar w:fldCharType="end"/>
      </w:r>
      <w:r>
        <w:t>: Defence - a focus on</w:t>
      </w:r>
      <w:r w:rsidR="00FA6389">
        <w:t xml:space="preserve"> local</w:t>
      </w:r>
      <w:r>
        <w:t xml:space="preserve"> sub-contract</w:t>
      </w:r>
      <w:r w:rsidR="00FA6389">
        <w:t>ors</w:t>
      </w:r>
    </w:p>
    <w:tbl>
      <w:tblPr>
        <w:tblStyle w:val="ListTable4-Accent1"/>
        <w:tblW w:w="10466" w:type="dxa"/>
        <w:tblLook w:val="04A0" w:firstRow="1" w:lastRow="0" w:firstColumn="1" w:lastColumn="0" w:noHBand="0" w:noVBand="1"/>
      </w:tblPr>
      <w:tblGrid>
        <w:gridCol w:w="2146"/>
        <w:gridCol w:w="1960"/>
        <w:gridCol w:w="1843"/>
        <w:gridCol w:w="1701"/>
        <w:gridCol w:w="2816"/>
      </w:tblGrid>
      <w:tr w:rsidR="003E7D48" w:rsidRPr="00646A4A" w14:paraId="4793CA43" w14:textId="77777777" w:rsidTr="00C909C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6" w:type="dxa"/>
            <w:hideMark/>
          </w:tcPr>
          <w:p w14:paraId="56837FCF" w14:textId="12A3E205" w:rsidR="00A416D1" w:rsidRPr="005A6EA4" w:rsidRDefault="00A416D1">
            <w:pPr>
              <w:rPr>
                <w:color w:val="auto"/>
                <w:sz w:val="20"/>
                <w:szCs w:val="20"/>
              </w:rPr>
            </w:pPr>
            <w:r w:rsidRPr="005A6EA4">
              <w:rPr>
                <w:color w:val="auto"/>
                <w:sz w:val="20"/>
                <w:szCs w:val="20"/>
                <w:lang w:val="en-US"/>
              </w:rPr>
              <w:t>Initiative / Project</w:t>
            </w:r>
          </w:p>
        </w:tc>
        <w:tc>
          <w:tcPr>
            <w:tcW w:w="1960" w:type="dxa"/>
            <w:hideMark/>
          </w:tcPr>
          <w:p w14:paraId="0DCB0663" w14:textId="2BEF3AEC" w:rsidR="00A416D1" w:rsidRPr="005A6EA4" w:rsidRDefault="002E3632">
            <w:pPr>
              <w:cnfStyle w:val="100000000000" w:firstRow="1" w:lastRow="0" w:firstColumn="0" w:lastColumn="0" w:oddVBand="0" w:evenVBand="0" w:oddHBand="0" w:evenHBand="0" w:firstRowFirstColumn="0" w:firstRowLastColumn="0" w:lastRowFirstColumn="0" w:lastRowLastColumn="0"/>
              <w:rPr>
                <w:color w:val="auto"/>
                <w:sz w:val="20"/>
                <w:szCs w:val="20"/>
              </w:rPr>
            </w:pPr>
            <w:r w:rsidRPr="005A6EA4">
              <w:rPr>
                <w:color w:val="auto"/>
                <w:sz w:val="20"/>
                <w:szCs w:val="20"/>
                <w:lang w:val="en-US"/>
              </w:rPr>
              <w:t xml:space="preserve">Estimated delivery </w:t>
            </w:r>
            <w:r w:rsidR="00A416D1" w:rsidRPr="005A6EA4">
              <w:rPr>
                <w:color w:val="auto"/>
                <w:sz w:val="20"/>
                <w:szCs w:val="20"/>
                <w:lang w:val="en-US"/>
              </w:rPr>
              <w:t>to date ($m)</w:t>
            </w:r>
          </w:p>
        </w:tc>
        <w:tc>
          <w:tcPr>
            <w:tcW w:w="1843" w:type="dxa"/>
            <w:hideMark/>
          </w:tcPr>
          <w:p w14:paraId="40C0C3CE" w14:textId="5B5518F7" w:rsidR="00A416D1" w:rsidRPr="005A6EA4" w:rsidRDefault="00A416D1">
            <w:pPr>
              <w:cnfStyle w:val="100000000000" w:firstRow="1" w:lastRow="0" w:firstColumn="0" w:lastColumn="0" w:oddVBand="0" w:evenVBand="0" w:oddHBand="0" w:evenHBand="0" w:firstRowFirstColumn="0" w:firstRowLastColumn="0" w:lastRowFirstColumn="0" w:lastRowLastColumn="0"/>
              <w:rPr>
                <w:color w:val="auto"/>
                <w:sz w:val="20"/>
                <w:szCs w:val="20"/>
              </w:rPr>
            </w:pPr>
            <w:r w:rsidRPr="005A6EA4">
              <w:rPr>
                <w:color w:val="auto"/>
                <w:sz w:val="20"/>
                <w:szCs w:val="20"/>
              </w:rPr>
              <w:t>Local sub-contracts</w:t>
            </w:r>
            <w:r w:rsidR="006F5BB7" w:rsidRPr="005A6EA4">
              <w:rPr>
                <w:color w:val="auto"/>
                <w:sz w:val="20"/>
                <w:szCs w:val="20"/>
              </w:rPr>
              <w:t xml:space="preserve"> awarded to date</w:t>
            </w:r>
          </w:p>
        </w:tc>
        <w:tc>
          <w:tcPr>
            <w:tcW w:w="1701" w:type="dxa"/>
            <w:hideMark/>
          </w:tcPr>
          <w:p w14:paraId="3E248662" w14:textId="50A2C8E7" w:rsidR="00A416D1" w:rsidRPr="005A6EA4" w:rsidRDefault="00A416D1">
            <w:pPr>
              <w:cnfStyle w:val="100000000000" w:firstRow="1" w:lastRow="0" w:firstColumn="0" w:lastColumn="0" w:oddVBand="0" w:evenVBand="0" w:oddHBand="0" w:evenHBand="0" w:firstRowFirstColumn="0" w:firstRowLastColumn="0" w:lastRowFirstColumn="0" w:lastRowLastColumn="0"/>
              <w:rPr>
                <w:color w:val="auto"/>
                <w:sz w:val="20"/>
                <w:szCs w:val="20"/>
              </w:rPr>
            </w:pPr>
            <w:r w:rsidRPr="005A6EA4">
              <w:rPr>
                <w:color w:val="auto"/>
                <w:sz w:val="20"/>
                <w:szCs w:val="20"/>
                <w:lang w:val="en-US"/>
              </w:rPr>
              <w:t xml:space="preserve">Sub-contracts </w:t>
            </w:r>
            <w:r w:rsidR="00565561">
              <w:rPr>
                <w:color w:val="auto"/>
                <w:sz w:val="20"/>
                <w:szCs w:val="20"/>
                <w:lang w:val="en-US"/>
              </w:rPr>
              <w:t>within</w:t>
            </w:r>
            <w:r w:rsidRPr="005A6EA4">
              <w:rPr>
                <w:color w:val="auto"/>
                <w:sz w:val="20"/>
                <w:szCs w:val="20"/>
                <w:lang w:val="en-US"/>
              </w:rPr>
              <w:t xml:space="preserve"> </w:t>
            </w:r>
            <w:r w:rsidR="00E66B3B">
              <w:rPr>
                <w:color w:val="auto"/>
                <w:sz w:val="20"/>
                <w:szCs w:val="20"/>
                <w:lang w:val="en-US"/>
              </w:rPr>
              <w:t>s</w:t>
            </w:r>
            <w:r w:rsidR="00565561">
              <w:rPr>
                <w:color w:val="auto"/>
                <w:sz w:val="20"/>
                <w:szCs w:val="20"/>
                <w:lang w:val="en-US"/>
              </w:rPr>
              <w:t>tate/</w:t>
            </w:r>
            <w:r w:rsidR="00E66B3B">
              <w:rPr>
                <w:color w:val="auto"/>
                <w:sz w:val="20"/>
                <w:szCs w:val="20"/>
                <w:lang w:val="en-US"/>
              </w:rPr>
              <w:t>t</w:t>
            </w:r>
            <w:r w:rsidR="00565561">
              <w:rPr>
                <w:color w:val="auto"/>
                <w:sz w:val="20"/>
                <w:szCs w:val="20"/>
                <w:lang w:val="en-US"/>
              </w:rPr>
              <w:t>erritory</w:t>
            </w:r>
            <w:r w:rsidR="00E908C2" w:rsidRPr="005A6EA4">
              <w:rPr>
                <w:color w:val="auto"/>
                <w:sz w:val="20"/>
                <w:szCs w:val="20"/>
                <w:lang w:val="en-US"/>
              </w:rPr>
              <w:t xml:space="preserve"> awarded to date</w:t>
            </w:r>
          </w:p>
        </w:tc>
        <w:tc>
          <w:tcPr>
            <w:tcW w:w="2816" w:type="dxa"/>
            <w:hideMark/>
          </w:tcPr>
          <w:p w14:paraId="1A44418F" w14:textId="5BD6EC6B" w:rsidR="00A416D1" w:rsidRPr="005A6EA4" w:rsidRDefault="00A416D1">
            <w:pPr>
              <w:cnfStyle w:val="100000000000" w:firstRow="1" w:lastRow="0" w:firstColumn="0" w:lastColumn="0" w:oddVBand="0" w:evenVBand="0" w:oddHBand="0" w:evenHBand="0" w:firstRowFirstColumn="0" w:firstRowLastColumn="0" w:lastRowFirstColumn="0" w:lastRowLastColumn="0"/>
              <w:rPr>
                <w:color w:val="auto"/>
                <w:sz w:val="20"/>
                <w:szCs w:val="20"/>
              </w:rPr>
            </w:pPr>
            <w:r w:rsidRPr="005A6EA4">
              <w:rPr>
                <w:color w:val="auto"/>
                <w:sz w:val="20"/>
                <w:szCs w:val="20"/>
                <w:lang w:val="en-US"/>
              </w:rPr>
              <w:t>Location</w:t>
            </w:r>
          </w:p>
        </w:tc>
      </w:tr>
      <w:tr w:rsidR="00D63341" w:rsidRPr="00646A4A" w14:paraId="7568C94B" w14:textId="77777777" w:rsidTr="00C909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6" w:type="dxa"/>
            <w:hideMark/>
          </w:tcPr>
          <w:p w14:paraId="0BC358D7" w14:textId="0A06EF42" w:rsidR="00D63341" w:rsidRPr="00C909CF" w:rsidRDefault="00D63341" w:rsidP="00D63341">
            <w:pPr>
              <w:rPr>
                <w:sz w:val="18"/>
                <w:szCs w:val="18"/>
              </w:rPr>
            </w:pPr>
            <w:r w:rsidRPr="00C909CF">
              <w:rPr>
                <w:sz w:val="18"/>
                <w:szCs w:val="18"/>
              </w:rPr>
              <w:t xml:space="preserve">RAAF Base Tindal Redevelopment and USFPI Airfield Works </w:t>
            </w:r>
          </w:p>
        </w:tc>
        <w:tc>
          <w:tcPr>
            <w:tcW w:w="1960" w:type="dxa"/>
            <w:hideMark/>
          </w:tcPr>
          <w:p w14:paraId="6033E42E" w14:textId="47157CE2" w:rsidR="00D63341" w:rsidRPr="00646A4A" w:rsidRDefault="00D63341" w:rsidP="00D63341">
            <w:pPr>
              <w:cnfStyle w:val="000000100000" w:firstRow="0" w:lastRow="0" w:firstColumn="0" w:lastColumn="0" w:oddVBand="0" w:evenVBand="0" w:oddHBand="1" w:evenHBand="0" w:firstRowFirstColumn="0" w:firstRowLastColumn="0" w:lastRowFirstColumn="0" w:lastRowLastColumn="0"/>
              <w:rPr>
                <w:sz w:val="20"/>
                <w:szCs w:val="20"/>
              </w:rPr>
            </w:pPr>
            <w:r w:rsidRPr="00A61C9F">
              <w:t>1,040</w:t>
            </w:r>
          </w:p>
        </w:tc>
        <w:tc>
          <w:tcPr>
            <w:tcW w:w="1843" w:type="dxa"/>
            <w:hideMark/>
          </w:tcPr>
          <w:p w14:paraId="41C59BC4" w14:textId="1E64D600" w:rsidR="00D63341" w:rsidRPr="00646A4A" w:rsidRDefault="00D63341" w:rsidP="00D63341">
            <w:pPr>
              <w:cnfStyle w:val="000000100000" w:firstRow="0" w:lastRow="0" w:firstColumn="0" w:lastColumn="0" w:oddVBand="0" w:evenVBand="0" w:oddHBand="1" w:evenHBand="0" w:firstRowFirstColumn="0" w:firstRowLastColumn="0" w:lastRowFirstColumn="0" w:lastRowLastColumn="0"/>
              <w:rPr>
                <w:sz w:val="20"/>
                <w:szCs w:val="20"/>
              </w:rPr>
            </w:pPr>
            <w:r w:rsidRPr="00A61C9F">
              <w:t>80%</w:t>
            </w:r>
          </w:p>
        </w:tc>
        <w:tc>
          <w:tcPr>
            <w:tcW w:w="1701" w:type="dxa"/>
            <w:hideMark/>
          </w:tcPr>
          <w:p w14:paraId="54F58CFD" w14:textId="4DB401BF" w:rsidR="00D63341" w:rsidRPr="00646A4A" w:rsidRDefault="00D63341" w:rsidP="00D63341">
            <w:pPr>
              <w:cnfStyle w:val="000000100000" w:firstRow="0" w:lastRow="0" w:firstColumn="0" w:lastColumn="0" w:oddVBand="0" w:evenVBand="0" w:oddHBand="1" w:evenHBand="0" w:firstRowFirstColumn="0" w:firstRowLastColumn="0" w:lastRowFirstColumn="0" w:lastRowLastColumn="0"/>
              <w:rPr>
                <w:sz w:val="20"/>
                <w:szCs w:val="20"/>
              </w:rPr>
            </w:pPr>
            <w:r w:rsidRPr="00A61C9F">
              <w:t>92%</w:t>
            </w:r>
          </w:p>
        </w:tc>
        <w:tc>
          <w:tcPr>
            <w:tcW w:w="2816" w:type="dxa"/>
            <w:hideMark/>
          </w:tcPr>
          <w:p w14:paraId="6B2E9721" w14:textId="0DB3D82D" w:rsidR="00D63341" w:rsidRPr="006B1E8C" w:rsidRDefault="00D63341" w:rsidP="00D63341">
            <w:pPr>
              <w:cnfStyle w:val="000000100000" w:firstRow="0" w:lastRow="0" w:firstColumn="0" w:lastColumn="0" w:oddVBand="0" w:evenVBand="0" w:oddHBand="1" w:evenHBand="0" w:firstRowFirstColumn="0" w:firstRowLastColumn="0" w:lastRowFirstColumn="0" w:lastRowLastColumn="0"/>
              <w:rPr>
                <w:sz w:val="20"/>
                <w:szCs w:val="20"/>
              </w:rPr>
            </w:pPr>
            <w:r w:rsidRPr="005A6EA4">
              <w:rPr>
                <w:sz w:val="20"/>
                <w:szCs w:val="20"/>
              </w:rPr>
              <w:t>RAAF Base Tindal (NT)</w:t>
            </w:r>
          </w:p>
        </w:tc>
      </w:tr>
      <w:tr w:rsidR="00D63341" w:rsidRPr="00646A4A" w14:paraId="3F0BF446" w14:textId="77777777" w:rsidTr="00C909CF">
        <w:trPr>
          <w:trHeight w:val="300"/>
        </w:trPr>
        <w:tc>
          <w:tcPr>
            <w:cnfStyle w:val="001000000000" w:firstRow="0" w:lastRow="0" w:firstColumn="1" w:lastColumn="0" w:oddVBand="0" w:evenVBand="0" w:oddHBand="0" w:evenHBand="0" w:firstRowFirstColumn="0" w:firstRowLastColumn="0" w:lastRowFirstColumn="0" w:lastRowLastColumn="0"/>
            <w:tcW w:w="2146" w:type="dxa"/>
            <w:hideMark/>
          </w:tcPr>
          <w:p w14:paraId="4FFF2946" w14:textId="4778FD61" w:rsidR="00D63341" w:rsidRPr="00C909CF" w:rsidRDefault="00D63341" w:rsidP="00D63341">
            <w:pPr>
              <w:rPr>
                <w:sz w:val="18"/>
                <w:szCs w:val="18"/>
              </w:rPr>
            </w:pPr>
            <w:r w:rsidRPr="00C909CF">
              <w:rPr>
                <w:sz w:val="18"/>
                <w:szCs w:val="18"/>
              </w:rPr>
              <w:t>USFPI Northern Territory Training Areas &amp; Ranges</w:t>
            </w:r>
          </w:p>
        </w:tc>
        <w:tc>
          <w:tcPr>
            <w:tcW w:w="1960" w:type="dxa"/>
            <w:hideMark/>
          </w:tcPr>
          <w:p w14:paraId="0ADF32FB" w14:textId="079D5393" w:rsidR="00D63341" w:rsidRPr="00646A4A" w:rsidRDefault="00D63341" w:rsidP="00D63341">
            <w:pPr>
              <w:cnfStyle w:val="000000000000" w:firstRow="0" w:lastRow="0" w:firstColumn="0" w:lastColumn="0" w:oddVBand="0" w:evenVBand="0" w:oddHBand="0" w:evenHBand="0" w:firstRowFirstColumn="0" w:firstRowLastColumn="0" w:lastRowFirstColumn="0" w:lastRowLastColumn="0"/>
              <w:rPr>
                <w:sz w:val="20"/>
                <w:szCs w:val="20"/>
              </w:rPr>
            </w:pPr>
            <w:r w:rsidRPr="00A61C9F">
              <w:t>561</w:t>
            </w:r>
          </w:p>
        </w:tc>
        <w:tc>
          <w:tcPr>
            <w:tcW w:w="1843" w:type="dxa"/>
            <w:hideMark/>
          </w:tcPr>
          <w:p w14:paraId="2FB384C7" w14:textId="399BE001" w:rsidR="00D63341" w:rsidRPr="00646A4A" w:rsidRDefault="00D63341" w:rsidP="00D63341">
            <w:pPr>
              <w:cnfStyle w:val="000000000000" w:firstRow="0" w:lastRow="0" w:firstColumn="0" w:lastColumn="0" w:oddVBand="0" w:evenVBand="0" w:oddHBand="0" w:evenHBand="0" w:firstRowFirstColumn="0" w:firstRowLastColumn="0" w:lastRowFirstColumn="0" w:lastRowLastColumn="0"/>
              <w:rPr>
                <w:sz w:val="20"/>
                <w:szCs w:val="20"/>
              </w:rPr>
            </w:pPr>
            <w:r w:rsidRPr="00A61C9F">
              <w:t>83%</w:t>
            </w:r>
          </w:p>
        </w:tc>
        <w:tc>
          <w:tcPr>
            <w:tcW w:w="1701" w:type="dxa"/>
            <w:hideMark/>
          </w:tcPr>
          <w:p w14:paraId="14F9859C" w14:textId="2BED69A5" w:rsidR="00D63341" w:rsidRPr="00646A4A" w:rsidRDefault="00D63341" w:rsidP="00D63341">
            <w:pPr>
              <w:cnfStyle w:val="000000000000" w:firstRow="0" w:lastRow="0" w:firstColumn="0" w:lastColumn="0" w:oddVBand="0" w:evenVBand="0" w:oddHBand="0" w:evenHBand="0" w:firstRowFirstColumn="0" w:firstRowLastColumn="0" w:lastRowFirstColumn="0" w:lastRowLastColumn="0"/>
              <w:rPr>
                <w:sz w:val="20"/>
                <w:szCs w:val="20"/>
              </w:rPr>
            </w:pPr>
            <w:r w:rsidRPr="00A61C9F">
              <w:t>92%</w:t>
            </w:r>
          </w:p>
        </w:tc>
        <w:tc>
          <w:tcPr>
            <w:tcW w:w="2816" w:type="dxa"/>
            <w:hideMark/>
          </w:tcPr>
          <w:p w14:paraId="438777CE" w14:textId="4DFAAC44" w:rsidR="00D63341" w:rsidRPr="006B1E8C" w:rsidRDefault="00D63341" w:rsidP="00D63341">
            <w:pPr>
              <w:cnfStyle w:val="000000000000" w:firstRow="0" w:lastRow="0" w:firstColumn="0" w:lastColumn="0" w:oddVBand="0" w:evenVBand="0" w:oddHBand="0" w:evenHBand="0" w:firstRowFirstColumn="0" w:firstRowLastColumn="0" w:lastRowFirstColumn="0" w:lastRowLastColumn="0"/>
              <w:rPr>
                <w:sz w:val="20"/>
                <w:szCs w:val="20"/>
              </w:rPr>
            </w:pPr>
            <w:r w:rsidRPr="005A6EA4">
              <w:rPr>
                <w:sz w:val="20"/>
                <w:szCs w:val="20"/>
              </w:rPr>
              <w:t>NT (Bradshaw, Kangaroo Flats, Mount Bundey, Robertson Barracks Training Area)</w:t>
            </w:r>
          </w:p>
        </w:tc>
      </w:tr>
      <w:tr w:rsidR="00D63341" w:rsidRPr="00646A4A" w14:paraId="5784453F" w14:textId="77777777" w:rsidTr="00C909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6" w:type="dxa"/>
            <w:hideMark/>
          </w:tcPr>
          <w:p w14:paraId="48A7047C" w14:textId="24AF97ED" w:rsidR="00D63341" w:rsidRPr="00C909CF" w:rsidRDefault="00D63341" w:rsidP="00D63341">
            <w:pPr>
              <w:rPr>
                <w:sz w:val="18"/>
                <w:szCs w:val="18"/>
              </w:rPr>
            </w:pPr>
            <w:r w:rsidRPr="00C909CF">
              <w:rPr>
                <w:sz w:val="18"/>
                <w:szCs w:val="18"/>
              </w:rPr>
              <w:t xml:space="preserve">Cocos (Keeling) Islands Airfield Upgrade </w:t>
            </w:r>
          </w:p>
        </w:tc>
        <w:tc>
          <w:tcPr>
            <w:tcW w:w="1960" w:type="dxa"/>
            <w:hideMark/>
          </w:tcPr>
          <w:p w14:paraId="4A63E7D5" w14:textId="7F643629" w:rsidR="00D63341" w:rsidRPr="00646A4A" w:rsidRDefault="00D63341" w:rsidP="00D63341">
            <w:pPr>
              <w:cnfStyle w:val="000000100000" w:firstRow="0" w:lastRow="0" w:firstColumn="0" w:lastColumn="0" w:oddVBand="0" w:evenVBand="0" w:oddHBand="1" w:evenHBand="0" w:firstRowFirstColumn="0" w:firstRowLastColumn="0" w:lastRowFirstColumn="0" w:lastRowLastColumn="0"/>
              <w:rPr>
                <w:sz w:val="20"/>
                <w:szCs w:val="20"/>
              </w:rPr>
            </w:pPr>
            <w:r w:rsidRPr="00A61C9F">
              <w:t>79</w:t>
            </w:r>
          </w:p>
        </w:tc>
        <w:tc>
          <w:tcPr>
            <w:tcW w:w="1843" w:type="dxa"/>
            <w:hideMark/>
          </w:tcPr>
          <w:p w14:paraId="75C1A799" w14:textId="1471236F" w:rsidR="00D63341" w:rsidRPr="00646A4A" w:rsidRDefault="00D63341" w:rsidP="00D63341">
            <w:pPr>
              <w:cnfStyle w:val="000000100000" w:firstRow="0" w:lastRow="0" w:firstColumn="0" w:lastColumn="0" w:oddVBand="0" w:evenVBand="0" w:oddHBand="1" w:evenHBand="0" w:firstRowFirstColumn="0" w:firstRowLastColumn="0" w:lastRowFirstColumn="0" w:lastRowLastColumn="0"/>
              <w:rPr>
                <w:sz w:val="20"/>
                <w:szCs w:val="20"/>
              </w:rPr>
            </w:pPr>
            <w:r w:rsidRPr="00A61C9F">
              <w:t>N/A</w:t>
            </w:r>
          </w:p>
        </w:tc>
        <w:tc>
          <w:tcPr>
            <w:tcW w:w="1701" w:type="dxa"/>
            <w:hideMark/>
          </w:tcPr>
          <w:p w14:paraId="214794E4" w14:textId="0316A3E1" w:rsidR="00D63341" w:rsidRPr="00646A4A" w:rsidRDefault="00D63341" w:rsidP="00D63341">
            <w:pPr>
              <w:cnfStyle w:val="000000100000" w:firstRow="0" w:lastRow="0" w:firstColumn="0" w:lastColumn="0" w:oddVBand="0" w:evenVBand="0" w:oddHBand="1" w:evenHBand="0" w:firstRowFirstColumn="0" w:firstRowLastColumn="0" w:lastRowFirstColumn="0" w:lastRowLastColumn="0"/>
              <w:rPr>
                <w:sz w:val="20"/>
                <w:szCs w:val="20"/>
              </w:rPr>
            </w:pPr>
            <w:r w:rsidRPr="00A61C9F">
              <w:t>99%</w:t>
            </w:r>
          </w:p>
        </w:tc>
        <w:tc>
          <w:tcPr>
            <w:tcW w:w="2816" w:type="dxa"/>
            <w:hideMark/>
          </w:tcPr>
          <w:p w14:paraId="5227AF7E" w14:textId="16998FDC" w:rsidR="00D63341" w:rsidRPr="006B1E8C" w:rsidRDefault="00D63341" w:rsidP="00D63341">
            <w:pPr>
              <w:cnfStyle w:val="000000100000" w:firstRow="0" w:lastRow="0" w:firstColumn="0" w:lastColumn="0" w:oddVBand="0" w:evenVBand="0" w:oddHBand="1" w:evenHBand="0" w:firstRowFirstColumn="0" w:firstRowLastColumn="0" w:lastRowFirstColumn="0" w:lastRowLastColumn="0"/>
              <w:rPr>
                <w:sz w:val="20"/>
                <w:szCs w:val="20"/>
              </w:rPr>
            </w:pPr>
            <w:r w:rsidRPr="005A6EA4">
              <w:rPr>
                <w:sz w:val="20"/>
                <w:szCs w:val="20"/>
              </w:rPr>
              <w:t>Cocos (Keeling) Islands (IOT)</w:t>
            </w:r>
          </w:p>
        </w:tc>
      </w:tr>
      <w:tr w:rsidR="00D63341" w:rsidRPr="00646A4A" w14:paraId="12133217" w14:textId="77777777" w:rsidTr="00C909CF">
        <w:trPr>
          <w:trHeight w:val="300"/>
        </w:trPr>
        <w:tc>
          <w:tcPr>
            <w:cnfStyle w:val="001000000000" w:firstRow="0" w:lastRow="0" w:firstColumn="1" w:lastColumn="0" w:oddVBand="0" w:evenVBand="0" w:oddHBand="0" w:evenHBand="0" w:firstRowFirstColumn="0" w:firstRowLastColumn="0" w:lastRowFirstColumn="0" w:lastRowLastColumn="0"/>
            <w:tcW w:w="2146" w:type="dxa"/>
            <w:hideMark/>
          </w:tcPr>
          <w:p w14:paraId="08615EE0" w14:textId="1C30A958" w:rsidR="00D63341" w:rsidRPr="00C909CF" w:rsidRDefault="00D63341" w:rsidP="00D63341">
            <w:pPr>
              <w:rPr>
                <w:sz w:val="18"/>
                <w:szCs w:val="18"/>
              </w:rPr>
            </w:pPr>
            <w:r w:rsidRPr="00C909CF">
              <w:rPr>
                <w:sz w:val="18"/>
                <w:szCs w:val="18"/>
              </w:rPr>
              <w:t xml:space="preserve">Robertson Barracks Base Improvements </w:t>
            </w:r>
          </w:p>
        </w:tc>
        <w:tc>
          <w:tcPr>
            <w:tcW w:w="1960" w:type="dxa"/>
            <w:hideMark/>
          </w:tcPr>
          <w:p w14:paraId="1A817AD0" w14:textId="11DD44DA" w:rsidR="00D63341" w:rsidRPr="00646A4A" w:rsidRDefault="00D63341" w:rsidP="00D63341">
            <w:pPr>
              <w:cnfStyle w:val="000000000000" w:firstRow="0" w:lastRow="0" w:firstColumn="0" w:lastColumn="0" w:oddVBand="0" w:evenVBand="0" w:oddHBand="0" w:evenHBand="0" w:firstRowFirstColumn="0" w:firstRowLastColumn="0" w:lastRowFirstColumn="0" w:lastRowLastColumn="0"/>
              <w:rPr>
                <w:sz w:val="20"/>
                <w:szCs w:val="20"/>
              </w:rPr>
            </w:pPr>
            <w:r w:rsidRPr="00A61C9F">
              <w:t>70</w:t>
            </w:r>
          </w:p>
        </w:tc>
        <w:tc>
          <w:tcPr>
            <w:tcW w:w="1843" w:type="dxa"/>
            <w:hideMark/>
          </w:tcPr>
          <w:p w14:paraId="74514351" w14:textId="70A7154A" w:rsidR="00D63341" w:rsidRPr="00646A4A" w:rsidRDefault="00D63341" w:rsidP="00D63341">
            <w:pPr>
              <w:cnfStyle w:val="000000000000" w:firstRow="0" w:lastRow="0" w:firstColumn="0" w:lastColumn="0" w:oddVBand="0" w:evenVBand="0" w:oddHBand="0" w:evenHBand="0" w:firstRowFirstColumn="0" w:firstRowLastColumn="0" w:lastRowFirstColumn="0" w:lastRowLastColumn="0"/>
              <w:rPr>
                <w:sz w:val="20"/>
                <w:szCs w:val="20"/>
              </w:rPr>
            </w:pPr>
            <w:r w:rsidRPr="00A61C9F">
              <w:t>96%</w:t>
            </w:r>
          </w:p>
        </w:tc>
        <w:tc>
          <w:tcPr>
            <w:tcW w:w="1701" w:type="dxa"/>
            <w:hideMark/>
          </w:tcPr>
          <w:p w14:paraId="6C907EBF" w14:textId="54E8BDA1" w:rsidR="00D63341" w:rsidRPr="00646A4A" w:rsidRDefault="00D63341" w:rsidP="00D63341">
            <w:pPr>
              <w:cnfStyle w:val="000000000000" w:firstRow="0" w:lastRow="0" w:firstColumn="0" w:lastColumn="0" w:oddVBand="0" w:evenVBand="0" w:oddHBand="0" w:evenHBand="0" w:firstRowFirstColumn="0" w:firstRowLastColumn="0" w:lastRowFirstColumn="0" w:lastRowLastColumn="0"/>
              <w:rPr>
                <w:sz w:val="20"/>
                <w:szCs w:val="20"/>
              </w:rPr>
            </w:pPr>
            <w:r w:rsidRPr="00A61C9F">
              <w:t>96%</w:t>
            </w:r>
          </w:p>
        </w:tc>
        <w:tc>
          <w:tcPr>
            <w:tcW w:w="2816" w:type="dxa"/>
            <w:hideMark/>
          </w:tcPr>
          <w:p w14:paraId="7E5B5D32" w14:textId="7FBFAC2A" w:rsidR="00D63341" w:rsidRPr="006B1E8C" w:rsidRDefault="00D63341" w:rsidP="00D63341">
            <w:pPr>
              <w:cnfStyle w:val="000000000000" w:firstRow="0" w:lastRow="0" w:firstColumn="0" w:lastColumn="0" w:oddVBand="0" w:evenVBand="0" w:oddHBand="0" w:evenHBand="0" w:firstRowFirstColumn="0" w:firstRowLastColumn="0" w:lastRowFirstColumn="0" w:lastRowLastColumn="0"/>
              <w:rPr>
                <w:sz w:val="20"/>
                <w:szCs w:val="20"/>
              </w:rPr>
            </w:pPr>
            <w:r w:rsidRPr="005A6EA4">
              <w:rPr>
                <w:sz w:val="20"/>
                <w:szCs w:val="20"/>
              </w:rPr>
              <w:t>Robertson Barracks (NT)</w:t>
            </w:r>
          </w:p>
        </w:tc>
      </w:tr>
      <w:tr w:rsidR="00D63341" w:rsidRPr="00646A4A" w14:paraId="565AEFC3" w14:textId="77777777" w:rsidTr="00C909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6" w:type="dxa"/>
            <w:hideMark/>
          </w:tcPr>
          <w:p w14:paraId="057557A1" w14:textId="773CCFED" w:rsidR="00D63341" w:rsidRPr="00C909CF" w:rsidRDefault="00D63341" w:rsidP="00D63341">
            <w:pPr>
              <w:rPr>
                <w:sz w:val="18"/>
                <w:szCs w:val="18"/>
              </w:rPr>
            </w:pPr>
            <w:r w:rsidRPr="00C909CF">
              <w:rPr>
                <w:sz w:val="18"/>
                <w:szCs w:val="18"/>
              </w:rPr>
              <w:t>Army Aviation Program of Works</w:t>
            </w:r>
          </w:p>
        </w:tc>
        <w:tc>
          <w:tcPr>
            <w:tcW w:w="1960" w:type="dxa"/>
            <w:hideMark/>
          </w:tcPr>
          <w:p w14:paraId="01AF629B" w14:textId="73019CEC" w:rsidR="00D63341" w:rsidRPr="00646A4A" w:rsidRDefault="00D63341" w:rsidP="00D63341">
            <w:pPr>
              <w:cnfStyle w:val="000000100000" w:firstRow="0" w:lastRow="0" w:firstColumn="0" w:lastColumn="0" w:oddVBand="0" w:evenVBand="0" w:oddHBand="1" w:evenHBand="0" w:firstRowFirstColumn="0" w:firstRowLastColumn="0" w:lastRowFirstColumn="0" w:lastRowLastColumn="0"/>
              <w:rPr>
                <w:sz w:val="20"/>
                <w:szCs w:val="20"/>
              </w:rPr>
            </w:pPr>
            <w:r w:rsidRPr="00A61C9F">
              <w:t>19</w:t>
            </w:r>
          </w:p>
        </w:tc>
        <w:tc>
          <w:tcPr>
            <w:tcW w:w="1843" w:type="dxa"/>
            <w:hideMark/>
          </w:tcPr>
          <w:p w14:paraId="406680BE" w14:textId="1FEE043F" w:rsidR="00D63341" w:rsidRPr="00646A4A" w:rsidRDefault="00D63341" w:rsidP="00D63341">
            <w:pPr>
              <w:cnfStyle w:val="000000100000" w:firstRow="0" w:lastRow="0" w:firstColumn="0" w:lastColumn="0" w:oddVBand="0" w:evenVBand="0" w:oddHBand="1" w:evenHBand="0" w:firstRowFirstColumn="0" w:firstRowLastColumn="0" w:lastRowFirstColumn="0" w:lastRowLastColumn="0"/>
              <w:rPr>
                <w:sz w:val="20"/>
                <w:szCs w:val="20"/>
              </w:rPr>
            </w:pPr>
            <w:r w:rsidRPr="00A61C9F">
              <w:t>84%</w:t>
            </w:r>
          </w:p>
        </w:tc>
        <w:tc>
          <w:tcPr>
            <w:tcW w:w="1701" w:type="dxa"/>
            <w:hideMark/>
          </w:tcPr>
          <w:p w14:paraId="3765C7DA" w14:textId="092597C4" w:rsidR="00D63341" w:rsidRPr="00646A4A" w:rsidRDefault="00D63341" w:rsidP="00D63341">
            <w:pPr>
              <w:cnfStyle w:val="000000100000" w:firstRow="0" w:lastRow="0" w:firstColumn="0" w:lastColumn="0" w:oddVBand="0" w:evenVBand="0" w:oddHBand="1" w:evenHBand="0" w:firstRowFirstColumn="0" w:firstRowLastColumn="0" w:lastRowFirstColumn="0" w:lastRowLastColumn="0"/>
              <w:rPr>
                <w:sz w:val="20"/>
                <w:szCs w:val="20"/>
              </w:rPr>
            </w:pPr>
            <w:r w:rsidRPr="00A61C9F">
              <w:t>96%</w:t>
            </w:r>
          </w:p>
        </w:tc>
        <w:tc>
          <w:tcPr>
            <w:tcW w:w="2816" w:type="dxa"/>
            <w:hideMark/>
          </w:tcPr>
          <w:p w14:paraId="56B0C3F8" w14:textId="023BFA7F" w:rsidR="00D63341" w:rsidRPr="006B1E8C" w:rsidRDefault="00D63341" w:rsidP="00D63341">
            <w:pPr>
              <w:cnfStyle w:val="000000100000" w:firstRow="0" w:lastRow="0" w:firstColumn="0" w:lastColumn="0" w:oddVBand="0" w:evenVBand="0" w:oddHBand="1" w:evenHBand="0" w:firstRowFirstColumn="0" w:firstRowLastColumn="0" w:lastRowFirstColumn="0" w:lastRowLastColumn="0"/>
              <w:rPr>
                <w:sz w:val="20"/>
                <w:szCs w:val="20"/>
              </w:rPr>
            </w:pPr>
            <w:r w:rsidRPr="005A6EA4">
              <w:rPr>
                <w:sz w:val="20"/>
                <w:szCs w:val="20"/>
              </w:rPr>
              <w:t>RAAF Base Townsville &amp; Townsville Field Training Area (QLD)</w:t>
            </w:r>
          </w:p>
        </w:tc>
      </w:tr>
    </w:tbl>
    <w:p w14:paraId="1808F1ED" w14:textId="27327F3D" w:rsidR="00366592" w:rsidRPr="00366592" w:rsidRDefault="00644221" w:rsidP="00146760">
      <w:pPr>
        <w:rPr>
          <w:lang w:val="en-US"/>
        </w:rPr>
      </w:pPr>
      <w:r>
        <w:rPr>
          <w:lang w:val="en-US"/>
        </w:rPr>
        <w:t>T</w:t>
      </w:r>
      <w:r w:rsidR="00366592" w:rsidRPr="70EA9E79">
        <w:rPr>
          <w:lang w:val="en-US"/>
        </w:rPr>
        <w:t xml:space="preserve">he region’s proximity to </w:t>
      </w:r>
      <w:proofErr w:type="spellStart"/>
      <w:r w:rsidR="00366592" w:rsidRPr="70EA9E79">
        <w:rPr>
          <w:lang w:val="en-US"/>
        </w:rPr>
        <w:t>neighbouring</w:t>
      </w:r>
      <w:proofErr w:type="spellEnd"/>
      <w:r w:rsidR="00366592" w:rsidRPr="70EA9E79">
        <w:rPr>
          <w:lang w:val="en-US"/>
        </w:rPr>
        <w:t xml:space="preserve"> countries, high </w:t>
      </w:r>
      <w:r w:rsidR="786A528A" w:rsidRPr="70EA9E79">
        <w:rPr>
          <w:lang w:val="en-US"/>
        </w:rPr>
        <w:t xml:space="preserve">potential for </w:t>
      </w:r>
      <w:r w:rsidR="00366592" w:rsidRPr="70EA9E79">
        <w:rPr>
          <w:lang w:val="en-US"/>
        </w:rPr>
        <w:t xml:space="preserve">cross-border movement and unique biodiversity create heightened risks of pests, diseases and invasive species entering the country. </w:t>
      </w:r>
      <w:r w:rsidR="00565561">
        <w:rPr>
          <w:lang w:val="en-US"/>
        </w:rPr>
        <w:t xml:space="preserve">Biosecurity is critical to maintaining a safe and secure northern Australia. </w:t>
      </w:r>
      <w:r w:rsidR="00366592" w:rsidRPr="70EA9E79">
        <w:rPr>
          <w:lang w:val="en-US"/>
        </w:rPr>
        <w:t xml:space="preserve">Biosecurity risk management arrangements are being strengthened in relation to </w:t>
      </w:r>
      <w:proofErr w:type="spellStart"/>
      <w:r w:rsidR="00366592" w:rsidRPr="70EA9E79">
        <w:rPr>
          <w:lang w:val="en-US"/>
        </w:rPr>
        <w:t>unauthorised</w:t>
      </w:r>
      <w:proofErr w:type="spellEnd"/>
      <w:r w:rsidR="00366592" w:rsidRPr="70EA9E79">
        <w:rPr>
          <w:lang w:val="en-US"/>
        </w:rPr>
        <w:t xml:space="preserve"> maritime arrivals and illegal foreign fishing vessels across the </w:t>
      </w:r>
      <w:r w:rsidR="002B3392" w:rsidRPr="70EA9E79">
        <w:rPr>
          <w:lang w:val="en-US"/>
        </w:rPr>
        <w:t>northwest</w:t>
      </w:r>
      <w:r w:rsidR="00366592" w:rsidRPr="70EA9E79">
        <w:rPr>
          <w:lang w:val="en-US"/>
        </w:rPr>
        <w:t xml:space="preserve"> region of Western Australia, the Northern </w:t>
      </w:r>
      <w:r w:rsidR="001F4D39" w:rsidRPr="70EA9E79">
        <w:rPr>
          <w:lang w:val="en-US"/>
        </w:rPr>
        <w:t>Territory,</w:t>
      </w:r>
      <w:r w:rsidR="00366592" w:rsidRPr="70EA9E79">
        <w:rPr>
          <w:lang w:val="en-US"/>
        </w:rPr>
        <w:t xml:space="preserve"> and the Torres Strait.</w:t>
      </w:r>
    </w:p>
    <w:p w14:paraId="1DC433CD" w14:textId="07684788" w:rsidR="00565561" w:rsidRDefault="00366592" w:rsidP="00366592">
      <w:pPr>
        <w:rPr>
          <w:lang w:val="en-US"/>
        </w:rPr>
      </w:pPr>
      <w:r w:rsidRPr="00366592">
        <w:rPr>
          <w:lang w:val="en-US"/>
        </w:rPr>
        <w:t>The Northern Australia Quarantine Strategy (NAQS) Targeted Surveillance Program has contributed to additional preparedness and response activities across a range of plant and aquatic pests and diseases (e.g. foot-and-mouth disease, lumpy skin disease and a suite of exotic citrus and banana diseases), supporting state and territory responses and broader national efforts.</w:t>
      </w:r>
    </w:p>
    <w:p w14:paraId="3AA3F40E" w14:textId="18E09C0C" w:rsidR="00B629EA" w:rsidRDefault="00366592" w:rsidP="00366592">
      <w:pPr>
        <w:rPr>
          <w:lang w:val="en-US"/>
        </w:rPr>
      </w:pPr>
      <w:r w:rsidRPr="00366592">
        <w:rPr>
          <w:lang w:val="en-US"/>
        </w:rPr>
        <w:t xml:space="preserve">Over the past year, </w:t>
      </w:r>
      <w:r w:rsidR="00565561">
        <w:rPr>
          <w:lang w:val="en-US"/>
        </w:rPr>
        <w:t xml:space="preserve">the </w:t>
      </w:r>
      <w:r w:rsidRPr="00366592">
        <w:rPr>
          <w:lang w:val="en-US"/>
        </w:rPr>
        <w:t xml:space="preserve">Indigenous </w:t>
      </w:r>
      <w:r w:rsidR="00565561">
        <w:rPr>
          <w:lang w:val="en-US"/>
        </w:rPr>
        <w:t>R</w:t>
      </w:r>
      <w:r w:rsidRPr="00366592">
        <w:rPr>
          <w:lang w:val="en-US"/>
        </w:rPr>
        <w:t>anger</w:t>
      </w:r>
      <w:r w:rsidR="00565561">
        <w:rPr>
          <w:lang w:val="en-US"/>
        </w:rPr>
        <w:t>s Program through the National Indigenous Australian Agency,</w:t>
      </w:r>
      <w:r w:rsidRPr="00366592">
        <w:rPr>
          <w:lang w:val="en-US"/>
        </w:rPr>
        <w:t xml:space="preserve"> ha</w:t>
      </w:r>
      <w:r w:rsidR="00565561">
        <w:rPr>
          <w:lang w:val="en-US"/>
        </w:rPr>
        <w:t>s</w:t>
      </w:r>
      <w:r w:rsidRPr="00366592">
        <w:rPr>
          <w:lang w:val="en-US"/>
        </w:rPr>
        <w:t xml:space="preserve"> also been expanded</w:t>
      </w:r>
      <w:r w:rsidR="00565561">
        <w:rPr>
          <w:lang w:val="en-US"/>
        </w:rPr>
        <w:t xml:space="preserve"> to create more than 1,000 new Indigenous ranger jobs across Australia, including in the north</w:t>
      </w:r>
      <w:r w:rsidRPr="00366592">
        <w:rPr>
          <w:lang w:val="en-US"/>
        </w:rPr>
        <w:t xml:space="preserve">, building capability, improving </w:t>
      </w:r>
      <w:r w:rsidR="00747359" w:rsidRPr="00366592">
        <w:rPr>
          <w:lang w:val="en-US"/>
        </w:rPr>
        <w:t>resilience,</w:t>
      </w:r>
      <w:r w:rsidRPr="00366592">
        <w:rPr>
          <w:lang w:val="en-US"/>
        </w:rPr>
        <w:t xml:space="preserve"> and strengthening early detection of exotic diseases, weeds and pests, while supporting on-country regional jobs and knowledge sharing. </w:t>
      </w:r>
      <w:r w:rsidR="00565561">
        <w:rPr>
          <w:lang w:val="en-US"/>
        </w:rPr>
        <w:t>In addition, t</w:t>
      </w:r>
      <w:r w:rsidRPr="00366592">
        <w:rPr>
          <w:lang w:val="en-US"/>
        </w:rPr>
        <w:t>he Indigenous Ranger Biosecurity Program</w:t>
      </w:r>
      <w:r w:rsidR="00565561">
        <w:rPr>
          <w:lang w:val="en-US"/>
        </w:rPr>
        <w:t xml:space="preserve">, through the Department of Agriculture, Fisheries and Forestry, </w:t>
      </w:r>
      <w:r w:rsidRPr="00366592">
        <w:rPr>
          <w:lang w:val="en-US"/>
        </w:rPr>
        <w:t xml:space="preserve">partners with 67 Indigenous ranger groups and two Indigenous cattle stations across the 10,000 km northern coastline from Cardwell (QLD) to </w:t>
      </w:r>
      <w:proofErr w:type="spellStart"/>
      <w:r w:rsidRPr="00366592">
        <w:rPr>
          <w:lang w:val="en-US"/>
        </w:rPr>
        <w:t>Bidyadanga</w:t>
      </w:r>
      <w:proofErr w:type="spellEnd"/>
      <w:r w:rsidRPr="00366592">
        <w:rPr>
          <w:lang w:val="en-US"/>
        </w:rPr>
        <w:t xml:space="preserve"> (WA).</w:t>
      </w:r>
    </w:p>
    <w:tbl>
      <w:tblPr>
        <w:tblStyle w:val="ListTable4-Accent3"/>
        <w:tblW w:w="10460" w:type="dxa"/>
        <w:tblLook w:val="04A0" w:firstRow="1" w:lastRow="0" w:firstColumn="1" w:lastColumn="0" w:noHBand="0" w:noVBand="1"/>
      </w:tblPr>
      <w:tblGrid>
        <w:gridCol w:w="2689"/>
        <w:gridCol w:w="7771"/>
      </w:tblGrid>
      <w:tr w:rsidR="002A0C34" w:rsidRPr="00194AF9" w14:paraId="5A56922E" w14:textId="77777777" w:rsidTr="00C2475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tcPr>
          <w:p w14:paraId="5D8A9546" w14:textId="3F1B7591" w:rsidR="002A0C34" w:rsidRPr="005A6EA4" w:rsidRDefault="002A0C34" w:rsidP="002A0C34">
            <w:pPr>
              <w:rPr>
                <w:color w:val="auto"/>
                <w:sz w:val="20"/>
                <w:szCs w:val="20"/>
                <w:lang w:val="en-US"/>
              </w:rPr>
            </w:pPr>
            <w:r w:rsidRPr="005A6EA4">
              <w:rPr>
                <w:color w:val="auto"/>
                <w:sz w:val="20"/>
                <w:szCs w:val="20"/>
              </w:rPr>
              <w:t>Area of Continued Focus</w:t>
            </w:r>
          </w:p>
        </w:tc>
        <w:tc>
          <w:tcPr>
            <w:tcW w:w="7771" w:type="dxa"/>
            <w:noWrap/>
          </w:tcPr>
          <w:p w14:paraId="288D933F" w14:textId="4B299478" w:rsidR="002A0C34" w:rsidRPr="005A6EA4" w:rsidRDefault="00E80F5F" w:rsidP="002A0C34">
            <w:pPr>
              <w:cnfStyle w:val="100000000000" w:firstRow="1" w:lastRow="0" w:firstColumn="0" w:lastColumn="0" w:oddVBand="0" w:evenVBand="0" w:oddHBand="0" w:evenHBand="0" w:firstRowFirstColumn="0" w:firstRowLastColumn="0" w:lastRowFirstColumn="0" w:lastRowLastColumn="0"/>
              <w:rPr>
                <w:color w:val="auto"/>
                <w:sz w:val="20"/>
                <w:szCs w:val="20"/>
                <w:lang w:val="en-US"/>
              </w:rPr>
            </w:pPr>
            <w:r w:rsidRPr="005A6EA4">
              <w:rPr>
                <w:color w:val="auto"/>
                <w:sz w:val="20"/>
                <w:szCs w:val="20"/>
              </w:rPr>
              <w:t>2025 Annual Progress Report Update</w:t>
            </w:r>
          </w:p>
        </w:tc>
      </w:tr>
      <w:tr w:rsidR="002A0C34" w:rsidRPr="00194AF9" w14:paraId="06D1A8CF" w14:textId="77777777" w:rsidTr="00C247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40538950" w14:textId="43B71379" w:rsidR="002A0C34" w:rsidRPr="00F26BEE" w:rsidRDefault="002A0C34" w:rsidP="001C2F22">
            <w:pPr>
              <w:rPr>
                <w:sz w:val="20"/>
                <w:szCs w:val="20"/>
                <w:lang w:val="en-US"/>
              </w:rPr>
            </w:pPr>
            <w:r w:rsidRPr="09C6C46C">
              <w:rPr>
                <w:sz w:val="20"/>
                <w:szCs w:val="20"/>
                <w:lang w:val="en-US"/>
              </w:rPr>
              <w:t>11.</w:t>
            </w:r>
            <w:r w:rsidR="00A55CD6" w:rsidRPr="00194AF9">
              <w:rPr>
                <w:sz w:val="20"/>
                <w:szCs w:val="20"/>
                <w:lang w:val="x-none"/>
              </w:rPr>
              <w:t xml:space="preserve">    </w:t>
            </w:r>
            <w:r w:rsidR="0357A00C" w:rsidRPr="73D8182B">
              <w:rPr>
                <w:sz w:val="20"/>
                <w:szCs w:val="20"/>
                <w:lang w:val="en-US"/>
              </w:rPr>
              <w:t xml:space="preserve"> </w:t>
            </w:r>
            <w:r w:rsidRPr="09C6C46C">
              <w:rPr>
                <w:sz w:val="20"/>
                <w:szCs w:val="20"/>
                <w:lang w:val="en-US"/>
              </w:rPr>
              <w:t xml:space="preserve">Work with local communities, </w:t>
            </w:r>
            <w:r w:rsidRPr="76534580">
              <w:rPr>
                <w:sz w:val="20"/>
                <w:szCs w:val="20"/>
                <w:lang w:val="en-US"/>
              </w:rPr>
              <w:t>business</w:t>
            </w:r>
            <w:r w:rsidR="732C76E5" w:rsidRPr="76534580">
              <w:rPr>
                <w:sz w:val="20"/>
                <w:szCs w:val="20"/>
                <w:lang w:val="en-US"/>
              </w:rPr>
              <w:t>es</w:t>
            </w:r>
            <w:r w:rsidRPr="09C6C46C">
              <w:rPr>
                <w:sz w:val="20"/>
                <w:szCs w:val="20"/>
                <w:lang w:val="en-US"/>
              </w:rPr>
              <w:t xml:space="preserve">, governments and other stakeholders to </w:t>
            </w:r>
            <w:proofErr w:type="spellStart"/>
            <w:r w:rsidRPr="09C6C46C">
              <w:rPr>
                <w:sz w:val="20"/>
                <w:szCs w:val="20"/>
                <w:lang w:val="en-US"/>
              </w:rPr>
              <w:t>maximise</w:t>
            </w:r>
            <w:proofErr w:type="spellEnd"/>
            <w:r w:rsidRPr="09C6C46C">
              <w:rPr>
                <w:sz w:val="20"/>
                <w:szCs w:val="20"/>
                <w:lang w:val="en-US"/>
              </w:rPr>
              <w:t xml:space="preserve"> local benefits from </w:t>
            </w:r>
            <w:proofErr w:type="spellStart"/>
            <w:r w:rsidRPr="09C6C46C">
              <w:rPr>
                <w:sz w:val="20"/>
                <w:szCs w:val="20"/>
                <w:lang w:val="en-US"/>
              </w:rPr>
              <w:t>Defence</w:t>
            </w:r>
            <w:proofErr w:type="spellEnd"/>
            <w:r w:rsidRPr="09C6C46C">
              <w:rPr>
                <w:sz w:val="20"/>
                <w:szCs w:val="20"/>
                <w:lang w:val="en-US"/>
              </w:rPr>
              <w:t xml:space="preserve"> investments in the north.</w:t>
            </w:r>
          </w:p>
        </w:tc>
        <w:tc>
          <w:tcPr>
            <w:tcW w:w="7771" w:type="dxa"/>
            <w:noWrap/>
            <w:hideMark/>
          </w:tcPr>
          <w:p w14:paraId="1022A1D5" w14:textId="729BD82F" w:rsidR="00E34139" w:rsidRDefault="00E34139" w:rsidP="001C2F22">
            <w:pPr>
              <w:cnfStyle w:val="000000100000" w:firstRow="0" w:lastRow="0" w:firstColumn="0" w:lastColumn="0" w:oddVBand="0" w:evenVBand="0" w:oddHBand="1" w:evenHBand="0" w:firstRowFirstColumn="0" w:firstRowLastColumn="0" w:lastRowFirstColumn="0" w:lastRowLastColumn="0"/>
              <w:rPr>
                <w:sz w:val="20"/>
                <w:szCs w:val="20"/>
                <w:lang w:val="en-US"/>
              </w:rPr>
            </w:pPr>
            <w:r w:rsidRPr="00296CC0">
              <w:rPr>
                <w:sz w:val="20"/>
                <w:szCs w:val="20"/>
                <w:lang w:val="en-US"/>
              </w:rPr>
              <w:t xml:space="preserve">Across five key </w:t>
            </w:r>
            <w:proofErr w:type="spellStart"/>
            <w:r w:rsidRPr="00296CC0">
              <w:rPr>
                <w:sz w:val="20"/>
                <w:szCs w:val="20"/>
                <w:lang w:val="en-US"/>
              </w:rPr>
              <w:t>Defence</w:t>
            </w:r>
            <w:proofErr w:type="spellEnd"/>
            <w:r w:rsidRPr="00296CC0">
              <w:rPr>
                <w:sz w:val="20"/>
                <w:szCs w:val="20"/>
                <w:lang w:val="en-US"/>
              </w:rPr>
              <w:t xml:space="preserve"> projects in the north, $1.77 billion is estimated to have been delivered to date, with a further $749 million expected in 2025–26</w:t>
            </w:r>
            <w:r>
              <w:rPr>
                <w:sz w:val="20"/>
                <w:szCs w:val="20"/>
                <w:lang w:val="en-US"/>
              </w:rPr>
              <w:t>, providing significant economic opportunities for local businesses</w:t>
            </w:r>
            <w:r w:rsidRPr="00296CC0">
              <w:rPr>
                <w:sz w:val="20"/>
                <w:szCs w:val="20"/>
                <w:lang w:val="en-US"/>
              </w:rPr>
              <w:t>.</w:t>
            </w:r>
          </w:p>
          <w:p w14:paraId="5FC795FB" w14:textId="7CA9B271" w:rsidR="002A0C34" w:rsidRPr="00194AF9" w:rsidRDefault="002A0C34" w:rsidP="001C2F22">
            <w:pPr>
              <w:cnfStyle w:val="000000100000" w:firstRow="0" w:lastRow="0" w:firstColumn="0" w:lastColumn="0" w:oddVBand="0" w:evenVBand="0" w:oddHBand="1" w:evenHBand="0" w:firstRowFirstColumn="0" w:firstRowLastColumn="0" w:lastRowFirstColumn="0" w:lastRowLastColumn="0"/>
              <w:rPr>
                <w:sz w:val="20"/>
                <w:szCs w:val="20"/>
              </w:rPr>
            </w:pPr>
            <w:r w:rsidRPr="00194AF9">
              <w:rPr>
                <w:sz w:val="20"/>
                <w:szCs w:val="20"/>
                <w:lang w:val="en-US"/>
              </w:rPr>
              <w:t xml:space="preserve">The United States Force Posture Initiatives are upgrading key </w:t>
            </w:r>
            <w:proofErr w:type="spellStart"/>
            <w:r w:rsidRPr="00194AF9">
              <w:rPr>
                <w:sz w:val="20"/>
                <w:szCs w:val="20"/>
                <w:lang w:val="en-US"/>
              </w:rPr>
              <w:t>Defence</w:t>
            </w:r>
            <w:proofErr w:type="spellEnd"/>
            <w:r w:rsidRPr="00194AF9">
              <w:rPr>
                <w:sz w:val="20"/>
                <w:szCs w:val="20"/>
                <w:lang w:val="en-US"/>
              </w:rPr>
              <w:t xml:space="preserve"> facilities in the NT, with $561 million delivered and 83% of sub-contracts awarded locally. Major upgrades at RAAF Base Tindal and Robertson Barracks are also progressing, alongside the Army Aviation Program of Works </w:t>
            </w:r>
            <w:r w:rsidRPr="00A7428A">
              <w:rPr>
                <w:sz w:val="20"/>
                <w:szCs w:val="20"/>
                <w:lang w:val="en-US"/>
              </w:rPr>
              <w:t xml:space="preserve">in Townsville, with </w:t>
            </w:r>
            <w:r w:rsidR="00A7428A" w:rsidRPr="00A7428A">
              <w:rPr>
                <w:sz w:val="20"/>
                <w:szCs w:val="20"/>
                <w:lang w:val="en-US"/>
              </w:rPr>
              <w:t xml:space="preserve">over </w:t>
            </w:r>
            <w:r w:rsidR="00A834AB">
              <w:rPr>
                <w:sz w:val="20"/>
                <w:szCs w:val="20"/>
                <w:lang w:val="en-US"/>
              </w:rPr>
              <w:t>80</w:t>
            </w:r>
            <w:r w:rsidR="00A7428A" w:rsidRPr="00A7428A">
              <w:rPr>
                <w:sz w:val="20"/>
                <w:szCs w:val="20"/>
                <w:lang w:val="en-US"/>
              </w:rPr>
              <w:t>%</w:t>
            </w:r>
            <w:r w:rsidR="00565561">
              <w:rPr>
                <w:sz w:val="20"/>
                <w:szCs w:val="20"/>
                <w:lang w:val="en-US"/>
              </w:rPr>
              <w:t xml:space="preserve"> and 96% of</w:t>
            </w:r>
            <w:r w:rsidR="00A7428A" w:rsidRPr="00A7428A">
              <w:rPr>
                <w:sz w:val="20"/>
                <w:szCs w:val="20"/>
                <w:lang w:val="en-US"/>
              </w:rPr>
              <w:t xml:space="preserve"> sub-</w:t>
            </w:r>
            <w:r w:rsidRPr="00A7428A">
              <w:rPr>
                <w:sz w:val="20"/>
                <w:szCs w:val="20"/>
                <w:lang w:val="en-US"/>
              </w:rPr>
              <w:t>contracts</w:t>
            </w:r>
            <w:r w:rsidR="00565561">
              <w:rPr>
                <w:sz w:val="20"/>
                <w:szCs w:val="20"/>
                <w:lang w:val="en-US"/>
              </w:rPr>
              <w:t xml:space="preserve"> respectively</w:t>
            </w:r>
            <w:r w:rsidRPr="00A7428A">
              <w:rPr>
                <w:sz w:val="20"/>
                <w:szCs w:val="20"/>
                <w:lang w:val="en-US"/>
              </w:rPr>
              <w:t xml:space="preserve"> going</w:t>
            </w:r>
            <w:r w:rsidRPr="00194AF9">
              <w:rPr>
                <w:sz w:val="20"/>
                <w:szCs w:val="20"/>
                <w:lang w:val="en-US"/>
              </w:rPr>
              <w:t xml:space="preserve"> to local businesses. </w:t>
            </w:r>
          </w:p>
        </w:tc>
      </w:tr>
      <w:tr w:rsidR="002A0C34" w:rsidRPr="00194AF9" w14:paraId="2EC21123" w14:textId="77777777" w:rsidTr="00C24756">
        <w:trPr>
          <w:trHeight w:val="30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3445D2E2" w14:textId="59B99734" w:rsidR="002A0C34" w:rsidRPr="00F26BEE" w:rsidRDefault="002A0C34" w:rsidP="001C2F22">
            <w:pPr>
              <w:rPr>
                <w:sz w:val="20"/>
                <w:szCs w:val="20"/>
                <w:lang w:val="x-none"/>
              </w:rPr>
            </w:pPr>
            <w:r w:rsidRPr="00194AF9">
              <w:rPr>
                <w:sz w:val="20"/>
                <w:szCs w:val="20"/>
                <w:lang w:val="x-none"/>
              </w:rPr>
              <w:t>12.</w:t>
            </w:r>
            <w:r w:rsidR="00A55CD6" w:rsidRPr="00194AF9">
              <w:rPr>
                <w:sz w:val="20"/>
                <w:szCs w:val="20"/>
                <w:lang w:val="x-none"/>
              </w:rPr>
              <w:t xml:space="preserve">    </w:t>
            </w:r>
            <w:r w:rsidR="00A55CD6">
              <w:rPr>
                <w:sz w:val="20"/>
                <w:szCs w:val="20"/>
                <w:lang w:val="x-none"/>
              </w:rPr>
              <w:t xml:space="preserve"> </w:t>
            </w:r>
            <w:r w:rsidRPr="00194AF9">
              <w:rPr>
                <w:sz w:val="20"/>
                <w:szCs w:val="20"/>
                <w:lang w:val="x-none"/>
              </w:rPr>
              <w:t>Continue work to reduce northern Australia’s vulnerability to the impacts of biosecurity threats.</w:t>
            </w:r>
          </w:p>
        </w:tc>
        <w:tc>
          <w:tcPr>
            <w:tcW w:w="7771" w:type="dxa"/>
            <w:noWrap/>
            <w:hideMark/>
          </w:tcPr>
          <w:p w14:paraId="75B7FF17" w14:textId="6284063B" w:rsidR="002A0C34" w:rsidRPr="00194AF9" w:rsidRDefault="002A0C34" w:rsidP="001C2F22">
            <w:pPr>
              <w:cnfStyle w:val="000000000000" w:firstRow="0" w:lastRow="0" w:firstColumn="0" w:lastColumn="0" w:oddVBand="0" w:evenVBand="0" w:oddHBand="0" w:evenHBand="0" w:firstRowFirstColumn="0" w:firstRowLastColumn="0" w:lastRowFirstColumn="0" w:lastRowLastColumn="0"/>
              <w:rPr>
                <w:sz w:val="20"/>
                <w:szCs w:val="20"/>
              </w:rPr>
            </w:pPr>
            <w:r w:rsidRPr="00194AF9">
              <w:rPr>
                <w:sz w:val="20"/>
                <w:szCs w:val="20"/>
              </w:rPr>
              <w:t>The Maritime Border Command is targeting unauthorised arrivals and illegal foreign fishing across northern Australia. The NAQS program has strengthened preparedness for major pest and disease threats, while the Indigenous Ranger Biosecurity Program now partners with 67 ranger groups and two cattle stations. Biosecurity capability is being further supported at expanding northern ports.</w:t>
            </w:r>
            <w:r w:rsidR="00FB3C91">
              <w:rPr>
                <w:sz w:val="20"/>
                <w:szCs w:val="20"/>
              </w:rPr>
              <w:t xml:space="preserve"> The Office of the Chief </w:t>
            </w:r>
            <w:r w:rsidR="00996AFC">
              <w:rPr>
                <w:sz w:val="20"/>
                <w:szCs w:val="20"/>
              </w:rPr>
              <w:t>Veterinary</w:t>
            </w:r>
            <w:r w:rsidR="00FB3C91">
              <w:rPr>
                <w:sz w:val="20"/>
                <w:szCs w:val="20"/>
              </w:rPr>
              <w:t xml:space="preserve"> Officer maintains an ongoing presence in northern Australia and is supporting work to strengthen First Nations engagement in emergency animal disease preparedness.</w:t>
            </w:r>
          </w:p>
        </w:tc>
      </w:tr>
    </w:tbl>
    <w:p w14:paraId="74470E08" w14:textId="77777777" w:rsidR="00512894" w:rsidRDefault="00512894" w:rsidP="00347DF6">
      <w:pPr>
        <w:pStyle w:val="Heading2"/>
      </w:pPr>
    </w:p>
    <w:p w14:paraId="3B9B638F" w14:textId="77777777" w:rsidR="00512894" w:rsidRDefault="00512894">
      <w:pPr>
        <w:suppressAutoHyphens w:val="0"/>
        <w:spacing w:before="160"/>
        <w:rPr>
          <w:rFonts w:asciiTheme="majorHAnsi" w:eastAsiaTheme="majorEastAsia" w:hAnsiTheme="majorHAnsi" w:cstheme="majorBidi"/>
          <w:b/>
          <w:bCs/>
          <w:color w:val="16242A"/>
          <w:spacing w:val="-20"/>
          <w:sz w:val="40"/>
          <w:szCs w:val="40"/>
        </w:rPr>
      </w:pPr>
      <w:r>
        <w:br w:type="page"/>
      </w:r>
    </w:p>
    <w:p w14:paraId="680A7CCB" w14:textId="64F239AC" w:rsidR="00347DF6" w:rsidRDefault="00FA1F4E" w:rsidP="00347DF6">
      <w:pPr>
        <w:pStyle w:val="Heading2"/>
      </w:pPr>
      <w:r>
        <w:lastRenderedPageBreak/>
        <w:t>P</w:t>
      </w:r>
      <w:r w:rsidR="007642F1">
        <w:t xml:space="preserve">olicy </w:t>
      </w:r>
      <w:r>
        <w:t>P</w:t>
      </w:r>
      <w:r w:rsidR="007642F1">
        <w:t xml:space="preserve">riority </w:t>
      </w:r>
      <w:r>
        <w:t>A</w:t>
      </w:r>
      <w:r w:rsidR="007642F1">
        <w:t xml:space="preserve">rea </w:t>
      </w:r>
      <w:r>
        <w:t xml:space="preserve">4: </w:t>
      </w:r>
      <w:r w:rsidR="00347DF6">
        <w:t>Growing the northern Australia workforce</w:t>
      </w:r>
      <w:bookmarkEnd w:id="23"/>
    </w:p>
    <w:p w14:paraId="41A2C8B8" w14:textId="1720D496" w:rsidR="00B52F83" w:rsidRPr="00512894" w:rsidRDefault="00AD15D3" w:rsidP="00512894">
      <w:pPr>
        <w:spacing w:line="240" w:lineRule="exact"/>
      </w:pPr>
      <w:r>
        <w:t>N</w:t>
      </w:r>
      <w:r w:rsidR="00080F0F" w:rsidRPr="003F1C8E">
        <w:t>orthern Australia</w:t>
      </w:r>
      <w:r>
        <w:t>’s</w:t>
      </w:r>
      <w:r w:rsidR="00080F0F" w:rsidRPr="2D51981A">
        <w:t xml:space="preserve"> development relies on a growing and skilled workforce to unlock the region’s vast economic potential and ensure sustainable growth.</w:t>
      </w:r>
      <w:r w:rsidR="00512894">
        <w:t xml:space="preserve"> </w:t>
      </w:r>
      <w:r w:rsidR="00B52F83" w:rsidRPr="00B52F83">
        <w:t>Addressing workforce shortages is essential not only to attract investment and deliver major projects, but also to support thriving local communities and improve service delivery in health, education and infrastructure.</w:t>
      </w:r>
    </w:p>
    <w:p w14:paraId="69943561" w14:textId="2A9D1DB1" w:rsidR="00B52F83" w:rsidRPr="00B52F83" w:rsidRDefault="00B52F83" w:rsidP="00512894">
      <w:pPr>
        <w:spacing w:line="240" w:lineRule="exact"/>
        <w:rPr>
          <w:lang w:val="en-US"/>
        </w:rPr>
      </w:pPr>
      <w:r w:rsidRPr="00B52F83">
        <w:rPr>
          <w:lang w:val="x-none"/>
        </w:rPr>
        <w:t>Over the past year, progress has been made through investments in foundation skills, new education policy design and targeted training programs, including dedicated support for First Nations Australians, as well as support for northern Australia’s skilled migration needs.</w:t>
      </w:r>
    </w:p>
    <w:p w14:paraId="75D0B768" w14:textId="5D84B025" w:rsidR="00B52F83" w:rsidRPr="00B629EA" w:rsidRDefault="00B52F83" w:rsidP="00512894">
      <w:pPr>
        <w:spacing w:line="240" w:lineRule="exact"/>
        <w:rPr>
          <w:spacing w:val="-4"/>
          <w:lang w:val="en-US"/>
        </w:rPr>
      </w:pPr>
      <w:r w:rsidRPr="00B629EA">
        <w:rPr>
          <w:spacing w:val="-4"/>
          <w:lang w:val="x-none"/>
        </w:rPr>
        <w:t>In</w:t>
      </w:r>
      <w:r w:rsidR="009462D2">
        <w:rPr>
          <w:spacing w:val="-4"/>
          <w:lang w:val="x-none"/>
        </w:rPr>
        <w:t xml:space="preserve"> March 2025</w:t>
      </w:r>
      <w:r w:rsidRPr="00B629EA">
        <w:rPr>
          <w:spacing w:val="-4"/>
          <w:lang w:val="x-none"/>
        </w:rPr>
        <w:t xml:space="preserve">, the Government </w:t>
      </w:r>
      <w:r w:rsidR="009462D2">
        <w:rPr>
          <w:spacing w:val="-4"/>
          <w:lang w:val="x-none"/>
        </w:rPr>
        <w:t>embedded</w:t>
      </w:r>
      <w:r w:rsidRPr="00B629EA">
        <w:rPr>
          <w:spacing w:val="-4"/>
          <w:lang w:val="x-none"/>
        </w:rPr>
        <w:t xml:space="preserve"> Free TAFE as an enduring feature of the national vocational education and training system, </w:t>
      </w:r>
      <w:r w:rsidR="004B0128">
        <w:rPr>
          <w:spacing w:val="-4"/>
        </w:rPr>
        <w:t xml:space="preserve">by legislating the </w:t>
      </w:r>
      <w:r w:rsidR="004B0128">
        <w:rPr>
          <w:i/>
          <w:spacing w:val="-4"/>
        </w:rPr>
        <w:t>Free TAFE Act 2025,</w:t>
      </w:r>
      <w:r w:rsidRPr="00B629EA">
        <w:rPr>
          <w:spacing w:val="-4"/>
          <w:lang w:val="x-none"/>
        </w:rPr>
        <w:t xml:space="preserve"> supporting 100,000 Free TAFE places a year from 2027. As at 30 </w:t>
      </w:r>
      <w:r w:rsidR="00C8115F">
        <w:rPr>
          <w:spacing w:val="-4"/>
          <w:lang w:val="x-none"/>
        </w:rPr>
        <w:t>June 2025</w:t>
      </w:r>
      <w:r w:rsidRPr="00B629EA">
        <w:rPr>
          <w:spacing w:val="-4"/>
          <w:lang w:val="x-none"/>
        </w:rPr>
        <w:t>, Fee-Free TAFE ha</w:t>
      </w:r>
      <w:r w:rsidR="0031350C">
        <w:rPr>
          <w:spacing w:val="-4"/>
          <w:lang w:val="x-none"/>
        </w:rPr>
        <w:t>s</w:t>
      </w:r>
      <w:r w:rsidRPr="00B629EA">
        <w:rPr>
          <w:spacing w:val="-4"/>
          <w:lang w:val="x-none"/>
        </w:rPr>
        <w:t xml:space="preserve"> supported more than </w:t>
      </w:r>
      <w:r w:rsidR="00C8115F">
        <w:rPr>
          <w:spacing w:val="-4"/>
          <w:lang w:val="x-none"/>
        </w:rPr>
        <w:t>3</w:t>
      </w:r>
      <w:r w:rsidRPr="00B629EA">
        <w:rPr>
          <w:spacing w:val="-4"/>
          <w:lang w:val="x-none"/>
        </w:rPr>
        <w:t>,</w:t>
      </w:r>
      <w:r w:rsidR="00C8115F">
        <w:rPr>
          <w:spacing w:val="-4"/>
          <w:lang w:val="x-none"/>
        </w:rPr>
        <w:t>255</w:t>
      </w:r>
      <w:r w:rsidRPr="00B629EA">
        <w:rPr>
          <w:spacing w:val="-4"/>
          <w:lang w:val="x-none"/>
        </w:rPr>
        <w:t xml:space="preserve"> enrolments in the Northern Territory alone.</w:t>
      </w:r>
    </w:p>
    <w:p w14:paraId="63190392" w14:textId="0C06D917" w:rsidR="00B52F83" w:rsidRPr="00B52F83" w:rsidRDefault="00B52F83" w:rsidP="00512894">
      <w:pPr>
        <w:spacing w:line="240" w:lineRule="exact"/>
        <w:rPr>
          <w:lang w:val="en-US"/>
        </w:rPr>
      </w:pPr>
      <w:r w:rsidRPr="00B52F83">
        <w:rPr>
          <w:lang w:val="x-none"/>
        </w:rPr>
        <w:t>In the second half of 2024, the Government replaced the Community Development Program with the Remote Jobs and Economic Development (RJED) Program to create 3,000 new jobs in remote communities that offer proper wages and employment conditions, including superannuation and leave. A key feature is that communities help decide the jobs needed. The program was designed in partnership with First Nations peoples.</w:t>
      </w:r>
    </w:p>
    <w:p w14:paraId="51AADC5E" w14:textId="75417A35" w:rsidR="00B52F83" w:rsidRPr="00B629EA" w:rsidRDefault="00B52F83" w:rsidP="00512894">
      <w:pPr>
        <w:spacing w:line="240" w:lineRule="exact"/>
        <w:rPr>
          <w:spacing w:val="-2"/>
          <w:lang w:val="en-US"/>
        </w:rPr>
      </w:pPr>
      <w:r w:rsidRPr="00B629EA">
        <w:rPr>
          <w:spacing w:val="-2"/>
          <w:lang w:val="x-none"/>
        </w:rPr>
        <w:t>The Government is also continuing to collaborate with industry and state and territory governments on a range of visa programs and policy reforms to assist employers and communities in northern Australia to address their skilled workforce needs. Designated Area Migration Agreements (DAMAs) play a significant role in addressing labour shortages. The Government has pursued a state-led approach to DAMAs, giving states and territories a greater role in determining their migration needs, complementing their migration plans, and aligning the use of DAMAs to jurisdictional levers vital to attracting and retaining migrants in regional Australia, including the north.</w:t>
      </w:r>
    </w:p>
    <w:p w14:paraId="3D674FE0" w14:textId="6CE12F4F" w:rsidR="00EF01E4" w:rsidRDefault="00B52F83" w:rsidP="00512894">
      <w:pPr>
        <w:spacing w:line="240" w:lineRule="exact"/>
        <w:rPr>
          <w:lang w:val="x-none"/>
        </w:rPr>
      </w:pPr>
      <w:r w:rsidRPr="00B52F83">
        <w:rPr>
          <w:lang w:val="x-none"/>
        </w:rPr>
        <w:t xml:space="preserve">In January 2025, the Government confirmed that the Far North Queensland DAMA will remain in effect until April 2027. </w:t>
      </w:r>
      <w:r w:rsidR="00EF01E4" w:rsidRPr="00EF01E4">
        <w:rPr>
          <w:lang w:val="x-none"/>
        </w:rPr>
        <w:t>In addition, in March 2025, the Government expanded the Townsville North Queensland DAMA by introducing 14 new occupations, adjusting income thresholds for select occupations, and providing age and English language concessions for high-demand positions.</w:t>
      </w:r>
    </w:p>
    <w:p w14:paraId="22D4E44E" w14:textId="2EA86356" w:rsidR="00B52F83" w:rsidRPr="00B52F83" w:rsidRDefault="00B52F83" w:rsidP="00512894">
      <w:pPr>
        <w:spacing w:line="240" w:lineRule="exact"/>
        <w:rPr>
          <w:lang w:val="en-US"/>
        </w:rPr>
      </w:pPr>
      <w:r w:rsidRPr="00B52F83">
        <w:rPr>
          <w:lang w:val="x-none"/>
        </w:rPr>
        <w:t xml:space="preserve">In March 2025, the </w:t>
      </w:r>
      <w:r w:rsidR="0053368A">
        <w:rPr>
          <w:lang w:val="x-none"/>
        </w:rPr>
        <w:t>Australian</w:t>
      </w:r>
      <w:r w:rsidRPr="00B52F83">
        <w:rPr>
          <w:lang w:val="x-none"/>
        </w:rPr>
        <w:t xml:space="preserve"> and Northern Territory </w:t>
      </w:r>
      <w:r w:rsidR="00AF570C">
        <w:rPr>
          <w:lang w:val="x-none"/>
        </w:rPr>
        <w:t>g</w:t>
      </w:r>
      <w:r w:rsidRPr="00B52F83">
        <w:rPr>
          <w:lang w:val="x-none"/>
        </w:rPr>
        <w:t>overnments signed the third NT DAMA, which will be in effect until 2030. This agreement increases the total number of overseas workers who can be nominated under the DAMA to 7,500 across 325 occupations (up from 135 occupations) over the term of the agreement.</w:t>
      </w:r>
    </w:p>
    <w:p w14:paraId="357CF7DD" w14:textId="01540A33" w:rsidR="00962350" w:rsidRPr="00512894" w:rsidRDefault="00B52F83" w:rsidP="00512894">
      <w:pPr>
        <w:spacing w:line="240" w:lineRule="exact"/>
        <w:rPr>
          <w:spacing w:val="-2"/>
          <w:lang w:val="en-US"/>
        </w:rPr>
      </w:pPr>
      <w:r w:rsidRPr="00B629EA">
        <w:rPr>
          <w:spacing w:val="-2"/>
          <w:lang w:val="x-none"/>
        </w:rPr>
        <w:t>In addition, the State and Territory Nominated Migration Program granted 1,143 skilled visas to migrants nominated by the Northern Territory and 2,772 skilled visas to migrants nominated by Queensland in the year to February 2025.</w:t>
      </w:r>
      <w:r w:rsidR="00512894">
        <w:rPr>
          <w:spacing w:val="-2"/>
          <w:lang w:val="en-US"/>
        </w:rPr>
        <w:t xml:space="preserve"> </w:t>
      </w:r>
      <w:r w:rsidRPr="6F8F9FA6">
        <w:rPr>
          <w:lang w:val="en-US"/>
        </w:rPr>
        <w:t>These initiatives are helping to build a pipeline of skilled workers to meet the north’s growing demand through workforce development, population growth and migration strategies.</w:t>
      </w:r>
    </w:p>
    <w:p w14:paraId="63C35FE6" w14:textId="637CD20A" w:rsidR="00D01B04" w:rsidRDefault="00D01B04" w:rsidP="00D01B04">
      <w:pPr>
        <w:pStyle w:val="Box1Heading"/>
      </w:pPr>
      <w:r>
        <w:t>Broome Employment Services Trial</w:t>
      </w:r>
    </w:p>
    <w:p w14:paraId="04B3B214" w14:textId="77777777" w:rsidR="00971BB4" w:rsidRPr="00BA1C19" w:rsidRDefault="00971BB4" w:rsidP="008D2EE2">
      <w:pPr>
        <w:pStyle w:val="Box1Text0"/>
      </w:pPr>
      <w:r w:rsidRPr="00BA1C19">
        <w:t>The Broome Employment Services Trial is a place-based initiative designed to improve employment outcomes for people who use the service in the Broome region, until 30 June 2027.</w:t>
      </w:r>
    </w:p>
    <w:p w14:paraId="25234F0B" w14:textId="25CF8EB9" w:rsidR="00A748AC" w:rsidRPr="00BA1C19" w:rsidRDefault="00971BB4" w:rsidP="008D2EE2">
      <w:pPr>
        <w:pStyle w:val="Box1Text0"/>
      </w:pPr>
      <w:r w:rsidRPr="22AF63F8">
        <w:rPr>
          <w:lang w:val="en-US"/>
        </w:rPr>
        <w:t xml:space="preserve">Delivered by a First Nations provider and supported by locally embedded Australian Public Service (APS) staff, the trial </w:t>
      </w:r>
      <w:r w:rsidR="005B389A">
        <w:rPr>
          <w:lang w:val="en-US"/>
        </w:rPr>
        <w:t xml:space="preserve">is </w:t>
      </w:r>
      <w:r w:rsidRPr="22AF63F8">
        <w:rPr>
          <w:lang w:val="en-US"/>
        </w:rPr>
        <w:t>tailor</w:t>
      </w:r>
      <w:r w:rsidR="004F5A13">
        <w:rPr>
          <w:lang w:val="en-US"/>
        </w:rPr>
        <w:t>ed</w:t>
      </w:r>
      <w:r w:rsidRPr="22AF63F8">
        <w:rPr>
          <w:lang w:val="en-US"/>
        </w:rPr>
        <w:t xml:space="preserve"> </w:t>
      </w:r>
      <w:r w:rsidR="004F5A13">
        <w:rPr>
          <w:lang w:val="en-US"/>
        </w:rPr>
        <w:t>to</w:t>
      </w:r>
      <w:r w:rsidR="00FE1293">
        <w:rPr>
          <w:lang w:val="en-US"/>
        </w:rPr>
        <w:t xml:space="preserve"> </w:t>
      </w:r>
      <w:r w:rsidRPr="22AF63F8">
        <w:rPr>
          <w:lang w:val="en-US"/>
        </w:rPr>
        <w:t>meet local needs</w:t>
      </w:r>
      <w:r w:rsidR="00A748AC" w:rsidRPr="22AF63F8">
        <w:rPr>
          <w:lang w:val="en-US"/>
        </w:rPr>
        <w:t>.</w:t>
      </w:r>
    </w:p>
    <w:p w14:paraId="21C8EAF4" w14:textId="77777777" w:rsidR="00A748AC" w:rsidRPr="00BA1C19" w:rsidRDefault="00971BB4" w:rsidP="008D2EE2">
      <w:pPr>
        <w:pStyle w:val="Box1Text0"/>
      </w:pPr>
      <w:r w:rsidRPr="484DBC2C">
        <w:rPr>
          <w:lang w:val="en-US"/>
        </w:rPr>
        <w:t>APS staff work in close partnership with the provider and local stakeholders to better understand and respond to community priorities. This includes supporting participants to navigate complex service systems, streamlining pathways to secure employment, and strengthening relationships across government, business, and community. This work has directly improved education access for prison-based clients by connecting the Skills for Education and Employment (SEE) provider with the local correctional facility.</w:t>
      </w:r>
    </w:p>
    <w:p w14:paraId="458AB84D" w14:textId="26A3078E" w:rsidR="00971BB4" w:rsidRPr="00BA1C19" w:rsidRDefault="00971BB4" w:rsidP="008D2EE2">
      <w:pPr>
        <w:pStyle w:val="Box1Text0"/>
      </w:pPr>
      <w:r w:rsidRPr="00BA1C19">
        <w:t xml:space="preserve">The trial has achieved meaningful outcomes in Broome by addressing </w:t>
      </w:r>
      <w:r w:rsidR="00926AC0">
        <w:t xml:space="preserve">existing </w:t>
      </w:r>
      <w:r w:rsidRPr="00BA1C19">
        <w:t xml:space="preserve">challenges </w:t>
      </w:r>
      <w:r w:rsidR="00A7290B">
        <w:t xml:space="preserve">with </w:t>
      </w:r>
      <w:r w:rsidRPr="00BA1C19">
        <w:t>mainstream models, including fragmented services and infrastructure constraints. Between November 2023 and July 2025:</w:t>
      </w:r>
    </w:p>
    <w:p w14:paraId="41F5D65C" w14:textId="416FD700" w:rsidR="00861D3A" w:rsidRPr="00BA1C19" w:rsidRDefault="00861D3A" w:rsidP="4F69A129">
      <w:pPr>
        <w:pStyle w:val="Box1Bullet1"/>
        <w:rPr>
          <w:lang w:val="en-US"/>
        </w:rPr>
      </w:pPr>
      <w:r w:rsidRPr="4F69A129">
        <w:rPr>
          <w:lang w:val="en-US"/>
        </w:rPr>
        <w:t>375 job placements were achieved-an average of 18.7 per month, compared to 6.3 under the previous model.</w:t>
      </w:r>
    </w:p>
    <w:p w14:paraId="0F2D4D2F" w14:textId="77777777" w:rsidR="00861D3A" w:rsidRPr="00BA1C19" w:rsidRDefault="00861D3A" w:rsidP="00BA1C19">
      <w:pPr>
        <w:pStyle w:val="Box1Bullet1"/>
      </w:pPr>
      <w:r w:rsidRPr="00BA1C19">
        <w:t>Participant satisfaction reached 86.9%, with improved service delivery, reduced client issues, and increased community trust.</w:t>
      </w:r>
    </w:p>
    <w:p w14:paraId="57F6BBAB" w14:textId="57D32764" w:rsidR="00861D3A" w:rsidRPr="00BA1C19" w:rsidRDefault="00861D3A" w:rsidP="00BA1C19">
      <w:pPr>
        <w:pStyle w:val="Box1Bullet1"/>
      </w:pPr>
      <w:r w:rsidRPr="22AF63F8">
        <w:rPr>
          <w:lang w:val="en-US"/>
        </w:rPr>
        <w:t xml:space="preserve">Seven First Nations participants progressed into regional </w:t>
      </w:r>
      <w:proofErr w:type="spellStart"/>
      <w:r w:rsidR="00565561">
        <w:rPr>
          <w:lang w:val="en-US"/>
        </w:rPr>
        <w:t>D</w:t>
      </w:r>
      <w:r w:rsidRPr="22AF63F8">
        <w:rPr>
          <w:lang w:val="en-US"/>
        </w:rPr>
        <w:t>efence</w:t>
      </w:r>
      <w:proofErr w:type="spellEnd"/>
      <w:r w:rsidRPr="22AF63F8">
        <w:rPr>
          <w:lang w:val="en-US"/>
        </w:rPr>
        <w:t xml:space="preserve"> service roles supporting the Northern Australia </w:t>
      </w:r>
      <w:proofErr w:type="spellStart"/>
      <w:r w:rsidRPr="22AF63F8">
        <w:rPr>
          <w:lang w:val="en-US"/>
        </w:rPr>
        <w:t>Defence</w:t>
      </w:r>
      <w:proofErr w:type="spellEnd"/>
      <w:r w:rsidRPr="22AF63F8">
        <w:rPr>
          <w:lang w:val="en-US"/>
        </w:rPr>
        <w:t xml:space="preserve"> Strategy.</w:t>
      </w:r>
    </w:p>
    <w:p w14:paraId="13234A27" w14:textId="77777777" w:rsidR="005D6D96" w:rsidRDefault="005D6D96" w:rsidP="008D2EE2">
      <w:pPr>
        <w:pStyle w:val="Box1Text0"/>
      </w:pPr>
      <w:r w:rsidRPr="22AF63F8">
        <w:rPr>
          <w:lang w:val="en-US"/>
        </w:rPr>
        <w:t xml:space="preserve">Key learnings from the trial include the importance of APS stewardship, the effectiveness of place-based approaches in thin markets, and the </w:t>
      </w:r>
      <w:proofErr w:type="gramStart"/>
      <w:r w:rsidRPr="22AF63F8">
        <w:rPr>
          <w:lang w:val="en-US"/>
        </w:rPr>
        <w:t>needs</w:t>
      </w:r>
      <w:proofErr w:type="gramEnd"/>
      <w:r w:rsidRPr="22AF63F8">
        <w:rPr>
          <w:lang w:val="en-US"/>
        </w:rPr>
        <w:t xml:space="preserve"> to remove artificial boundaries between services.</w:t>
      </w:r>
    </w:p>
    <w:p w14:paraId="720AAC3E" w14:textId="7832BD4F" w:rsidR="005D6D96" w:rsidRPr="00861D3A" w:rsidRDefault="005D6D96" w:rsidP="008D2EE2">
      <w:pPr>
        <w:pStyle w:val="Box1Text0"/>
      </w:pPr>
      <w:r>
        <w:t>Insights from Broome are informing broader employment services reform and supporting other First Nations providers across Australia.</w:t>
      </w:r>
    </w:p>
    <w:p w14:paraId="11D97936" w14:textId="77777777" w:rsidR="00187F10" w:rsidRDefault="00187F10" w:rsidP="00187F10">
      <w:pPr>
        <w:spacing w:before="60" w:after="60"/>
        <w:rPr>
          <w:noProof/>
        </w:rPr>
      </w:pPr>
      <w:bookmarkStart w:id="24" w:name="_Toc210386249"/>
    </w:p>
    <w:tbl>
      <w:tblPr>
        <w:tblStyle w:val="ListTable4-Accent3"/>
        <w:tblW w:w="10485" w:type="dxa"/>
        <w:tblLook w:val="04A0" w:firstRow="1" w:lastRow="0" w:firstColumn="1" w:lastColumn="0" w:noHBand="0" w:noVBand="1"/>
      </w:tblPr>
      <w:tblGrid>
        <w:gridCol w:w="2405"/>
        <w:gridCol w:w="8080"/>
      </w:tblGrid>
      <w:tr w:rsidR="001C2F22" w:rsidRPr="00194AF9" w14:paraId="04D04DE4" w14:textId="77777777" w:rsidTr="00C2475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noWrap/>
          </w:tcPr>
          <w:p w14:paraId="65F37CD8" w14:textId="5E11A44E" w:rsidR="001C2F22" w:rsidRPr="005A6EA4" w:rsidRDefault="001C2F22" w:rsidP="001C2F22">
            <w:pPr>
              <w:rPr>
                <w:color w:val="auto"/>
                <w:sz w:val="20"/>
                <w:szCs w:val="20"/>
              </w:rPr>
            </w:pPr>
            <w:r w:rsidRPr="005A6EA4">
              <w:rPr>
                <w:color w:val="auto"/>
                <w:sz w:val="20"/>
                <w:szCs w:val="20"/>
              </w:rPr>
              <w:lastRenderedPageBreak/>
              <w:t>Area of Continued Focus</w:t>
            </w:r>
          </w:p>
        </w:tc>
        <w:tc>
          <w:tcPr>
            <w:tcW w:w="8080" w:type="dxa"/>
            <w:noWrap/>
          </w:tcPr>
          <w:p w14:paraId="49094CB3" w14:textId="38ECD4AF" w:rsidR="001C2F22" w:rsidRPr="005A6EA4" w:rsidRDefault="00801EDF" w:rsidP="001C2F22">
            <w:pPr>
              <w:cnfStyle w:val="100000000000" w:firstRow="1" w:lastRow="0" w:firstColumn="0" w:lastColumn="0" w:oddVBand="0" w:evenVBand="0" w:oddHBand="0" w:evenHBand="0" w:firstRowFirstColumn="0" w:firstRowLastColumn="0" w:lastRowFirstColumn="0" w:lastRowLastColumn="0"/>
              <w:rPr>
                <w:color w:val="auto"/>
                <w:sz w:val="20"/>
                <w:szCs w:val="20"/>
              </w:rPr>
            </w:pPr>
            <w:r w:rsidRPr="005A6EA4">
              <w:rPr>
                <w:color w:val="auto"/>
                <w:sz w:val="20"/>
                <w:szCs w:val="20"/>
              </w:rPr>
              <w:t>2025 Annual Progress Report Update</w:t>
            </w:r>
          </w:p>
        </w:tc>
      </w:tr>
      <w:tr w:rsidR="001C2F22" w:rsidRPr="00194AF9" w14:paraId="54BA19AF" w14:textId="77777777" w:rsidTr="00C247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B1B4604" w14:textId="62878E25" w:rsidR="001C2F22" w:rsidRPr="00F26BEE" w:rsidRDefault="001C2F22" w:rsidP="001C2F22">
            <w:pPr>
              <w:rPr>
                <w:sz w:val="20"/>
                <w:szCs w:val="20"/>
                <w:lang w:val="en-US"/>
              </w:rPr>
            </w:pPr>
            <w:r w:rsidRPr="766E5F1B">
              <w:rPr>
                <w:sz w:val="20"/>
                <w:szCs w:val="20"/>
                <w:lang w:val="en-US"/>
              </w:rPr>
              <w:t>13.</w:t>
            </w:r>
            <w:r w:rsidR="00A55CD6" w:rsidRPr="00194AF9">
              <w:rPr>
                <w:sz w:val="20"/>
                <w:szCs w:val="20"/>
                <w:lang w:val="x-none"/>
              </w:rPr>
              <w:t>   </w:t>
            </w:r>
            <w:r w:rsidR="344A04A2" w:rsidRPr="766E5F1B">
              <w:rPr>
                <w:sz w:val="20"/>
                <w:szCs w:val="20"/>
                <w:lang w:val="en-US"/>
              </w:rPr>
              <w:t xml:space="preserve"> </w:t>
            </w:r>
            <w:r w:rsidRPr="766E5F1B">
              <w:rPr>
                <w:sz w:val="20"/>
                <w:szCs w:val="20"/>
                <w:lang w:val="en-US"/>
              </w:rPr>
              <w:t>Work with industry and state and territory governments to support northern Australia accessing the skilled workforce required for economic growth.</w:t>
            </w:r>
          </w:p>
        </w:tc>
        <w:tc>
          <w:tcPr>
            <w:tcW w:w="8080" w:type="dxa"/>
            <w:noWrap/>
            <w:hideMark/>
          </w:tcPr>
          <w:p w14:paraId="42DB785B" w14:textId="77777777" w:rsidR="001C2F22" w:rsidRDefault="001C2F22" w:rsidP="001C2F22">
            <w:pPr>
              <w:cnfStyle w:val="000000100000" w:firstRow="0" w:lastRow="0" w:firstColumn="0" w:lastColumn="0" w:oddVBand="0" w:evenVBand="0" w:oddHBand="1" w:evenHBand="0" w:firstRowFirstColumn="0" w:firstRowLastColumn="0" w:lastRowFirstColumn="0" w:lastRowLastColumn="0"/>
              <w:rPr>
                <w:sz w:val="20"/>
                <w:szCs w:val="20"/>
              </w:rPr>
            </w:pPr>
            <w:r w:rsidRPr="00194AF9">
              <w:rPr>
                <w:sz w:val="20"/>
                <w:szCs w:val="20"/>
              </w:rPr>
              <w:t>The redesigned Skills for Education and Employment Program includes a dedicated stream to deliver place-based training for First Nations communities. The Remote Australia Employment Service will commence on 1 November 2025. A $3 million grant has also been awarded to deliver mobile training units in Central Australia across in-demand industries.</w:t>
            </w:r>
          </w:p>
          <w:p w14:paraId="4F35D0E6" w14:textId="77777777" w:rsidR="00444778" w:rsidRDefault="00444778" w:rsidP="0044477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strengthened Free TAFE system across the country is continuing to fund thousands of places across northern Australia.</w:t>
            </w:r>
          </w:p>
          <w:p w14:paraId="5E9BEDFB" w14:textId="77777777" w:rsidR="00444778" w:rsidRDefault="00444778" w:rsidP="0044477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Ongoing collaboration and refinement of regional DAMAs is helping to meet workforce needs in the north.</w:t>
            </w:r>
          </w:p>
          <w:p w14:paraId="4059EBDB" w14:textId="1F059BA4" w:rsidR="00444778" w:rsidRPr="00194AF9" w:rsidRDefault="00444778" w:rsidP="0044477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In the NT, under </w:t>
            </w:r>
            <w:r w:rsidRPr="005261BB">
              <w:rPr>
                <w:sz w:val="20"/>
                <w:szCs w:val="20"/>
              </w:rPr>
              <w:t>a Pacific Australia Labour Mobility (PALM) scheme pilot</w:t>
            </w:r>
            <w:r>
              <w:rPr>
                <w:sz w:val="20"/>
                <w:szCs w:val="20"/>
              </w:rPr>
              <w:t>, w</w:t>
            </w:r>
            <w:r w:rsidRPr="005261BB">
              <w:rPr>
                <w:sz w:val="20"/>
                <w:szCs w:val="20"/>
              </w:rPr>
              <w:t xml:space="preserve">orkers from Papua New Guinea </w:t>
            </w:r>
            <w:r>
              <w:rPr>
                <w:sz w:val="20"/>
                <w:szCs w:val="20"/>
              </w:rPr>
              <w:t xml:space="preserve">are </w:t>
            </w:r>
            <w:r w:rsidRPr="005261BB">
              <w:rPr>
                <w:sz w:val="20"/>
                <w:szCs w:val="20"/>
              </w:rPr>
              <w:t>train</w:t>
            </w:r>
            <w:r>
              <w:rPr>
                <w:sz w:val="20"/>
                <w:szCs w:val="20"/>
              </w:rPr>
              <w:t xml:space="preserve">ing and working </w:t>
            </w:r>
            <w:r w:rsidRPr="005261BB">
              <w:rPr>
                <w:sz w:val="20"/>
                <w:szCs w:val="20"/>
              </w:rPr>
              <w:t>in the early childhood sector</w:t>
            </w:r>
            <w:r>
              <w:rPr>
                <w:sz w:val="20"/>
                <w:szCs w:val="20"/>
              </w:rPr>
              <w:t xml:space="preserve"> in Katherine and Alice Springs where local educators have been difficult to find.</w:t>
            </w:r>
            <w:r w:rsidRPr="005261BB">
              <w:rPr>
                <w:sz w:val="20"/>
                <w:szCs w:val="20"/>
              </w:rPr>
              <w:t xml:space="preserve"> </w:t>
            </w:r>
          </w:p>
        </w:tc>
      </w:tr>
    </w:tbl>
    <w:bookmarkEnd w:id="24"/>
    <w:p w14:paraId="1F5F2E8B" w14:textId="39C90160" w:rsidR="002F3A4F" w:rsidRDefault="78AE82D3" w:rsidP="002F3A4F">
      <w:pPr>
        <w:pStyle w:val="Heading2"/>
      </w:pPr>
      <w:r w:rsidRPr="39617305">
        <w:rPr>
          <w:lang w:val="en-US"/>
        </w:rPr>
        <w:t>Policy Priority Area 5</w:t>
      </w:r>
      <w:r w:rsidR="00FA1F4E" w:rsidRPr="72572ED0">
        <w:rPr>
          <w:lang w:val="en-US"/>
        </w:rPr>
        <w:t xml:space="preserve">: </w:t>
      </w:r>
      <w:bookmarkStart w:id="25" w:name="_Hlk209451615"/>
      <w:proofErr w:type="spellStart"/>
      <w:r w:rsidR="002F3A4F" w:rsidRPr="72572ED0">
        <w:rPr>
          <w:lang w:val="en-US"/>
        </w:rPr>
        <w:t>Liveable</w:t>
      </w:r>
      <w:proofErr w:type="spellEnd"/>
      <w:r w:rsidR="002F3A4F" w:rsidRPr="72572ED0">
        <w:rPr>
          <w:lang w:val="en-US"/>
        </w:rPr>
        <w:t>, healthy and resilient communities</w:t>
      </w:r>
      <w:bookmarkEnd w:id="25"/>
    </w:p>
    <w:p w14:paraId="03B4472F" w14:textId="19869279" w:rsidR="00887D22" w:rsidRDefault="3A2CBEF4" w:rsidP="00FD4371">
      <w:r w:rsidRPr="177F499C">
        <w:rPr>
          <w:lang w:val="en-US"/>
        </w:rPr>
        <w:t>The ability of</w:t>
      </w:r>
      <w:r w:rsidR="00A62D48" w:rsidRPr="177F499C">
        <w:t xml:space="preserve"> people </w:t>
      </w:r>
      <w:r w:rsidRPr="177F499C">
        <w:t>to</w:t>
      </w:r>
      <w:r w:rsidR="00A62D48" w:rsidRPr="177F499C">
        <w:t xml:space="preserve"> live, work and thrive </w:t>
      </w:r>
      <w:r w:rsidRPr="177F499C">
        <w:t xml:space="preserve">in the north </w:t>
      </w:r>
      <w:r w:rsidR="00A62D48" w:rsidRPr="177F499C">
        <w:t xml:space="preserve">requires </w:t>
      </w:r>
      <w:r w:rsidR="0831A88E" w:rsidRPr="177F499C">
        <w:t xml:space="preserve">investment in community infrastructure and services. </w:t>
      </w:r>
      <w:r w:rsidR="005C0FC5" w:rsidRPr="177F499C">
        <w:t>Over the past year, a range of initiatives have been delivered to improve amenity, expand access to health care and strengthen resilience.</w:t>
      </w:r>
    </w:p>
    <w:p w14:paraId="4BB57870" w14:textId="4E8C9EC8" w:rsidR="005C0FC5" w:rsidRPr="00B629EA" w:rsidRDefault="005C0FC5" w:rsidP="00621A75">
      <w:pPr>
        <w:rPr>
          <w:lang w:val="en-US"/>
        </w:rPr>
      </w:pPr>
      <w:r w:rsidRPr="177F499C">
        <w:t>Investments are also supporting economic transition and justice outcomes, with targeted funding directed to First Nations-led initiatives in health, climate resilience and justice.</w:t>
      </w:r>
    </w:p>
    <w:p w14:paraId="0BDA5129" w14:textId="4DCF84D1" w:rsidR="005C0FC5" w:rsidRPr="005C0FC5" w:rsidRDefault="005C0FC5" w:rsidP="005C0FC5">
      <w:pPr>
        <w:rPr>
          <w:lang w:val="en-US"/>
        </w:rPr>
      </w:pPr>
      <w:r w:rsidRPr="766E5F1B">
        <w:rPr>
          <w:lang w:val="en-US"/>
        </w:rPr>
        <w:t xml:space="preserve">In December 2024, the Government announced funding for 72 projects under round two of the Growing Regions Program. Of these, 19 </w:t>
      </w:r>
      <w:proofErr w:type="gramStart"/>
      <w:r w:rsidRPr="766E5F1B">
        <w:rPr>
          <w:lang w:val="en-US"/>
        </w:rPr>
        <w:t xml:space="preserve">are located </w:t>
      </w:r>
      <w:r w:rsidR="0F90769D" w:rsidRPr="766E5F1B">
        <w:rPr>
          <w:lang w:val="en-US"/>
        </w:rPr>
        <w:t>in</w:t>
      </w:r>
      <w:proofErr w:type="gramEnd"/>
      <w:r w:rsidR="0F90769D" w:rsidRPr="766E5F1B">
        <w:rPr>
          <w:lang w:val="en-US"/>
        </w:rPr>
        <w:t xml:space="preserve"> </w:t>
      </w:r>
      <w:r w:rsidRPr="766E5F1B">
        <w:rPr>
          <w:lang w:val="en-US"/>
        </w:rPr>
        <w:t xml:space="preserve">northern Australia. Of the $386 million in national funding, around 33% ($127 million) was directed to projects in northern communities, delivering significant investment in local infrastructure </w:t>
      </w:r>
      <w:r w:rsidR="00C43E02" w:rsidRPr="00C43E02">
        <w:rPr>
          <w:lang w:val="en-US"/>
        </w:rPr>
        <w:t xml:space="preserve">that will enhance </w:t>
      </w:r>
      <w:proofErr w:type="spellStart"/>
      <w:r w:rsidR="00C43E02" w:rsidRPr="00C43E02">
        <w:rPr>
          <w:lang w:val="en-US"/>
        </w:rPr>
        <w:t>liveability</w:t>
      </w:r>
      <w:proofErr w:type="spellEnd"/>
      <w:r w:rsidR="00C43E02" w:rsidRPr="00C43E02">
        <w:rPr>
          <w:lang w:val="en-US"/>
        </w:rPr>
        <w:t>, bolster social cohesion and support local amenity throughout Australia's regions</w:t>
      </w:r>
      <w:r w:rsidRPr="766E5F1B">
        <w:rPr>
          <w:lang w:val="en-US"/>
        </w:rPr>
        <w:t>. The Regional Precincts and Partnerships Program (</w:t>
      </w:r>
      <w:proofErr w:type="spellStart"/>
      <w:r w:rsidRPr="766E5F1B">
        <w:rPr>
          <w:lang w:val="en-US"/>
        </w:rPr>
        <w:t>rPPP</w:t>
      </w:r>
      <w:proofErr w:type="spellEnd"/>
      <w:r w:rsidRPr="766E5F1B">
        <w:rPr>
          <w:lang w:val="en-US"/>
        </w:rPr>
        <w:t xml:space="preserve">) </w:t>
      </w:r>
      <w:r w:rsidR="5177987D" w:rsidRPr="766E5F1B">
        <w:rPr>
          <w:lang w:val="en-US"/>
        </w:rPr>
        <w:t>is driving</w:t>
      </w:r>
      <w:r w:rsidRPr="766E5F1B">
        <w:rPr>
          <w:lang w:val="en-US"/>
        </w:rPr>
        <w:t xml:space="preserve"> place-based investment in </w:t>
      </w:r>
      <w:r w:rsidR="78074F31" w:rsidRPr="766E5F1B">
        <w:rPr>
          <w:lang w:val="en-US"/>
        </w:rPr>
        <w:t xml:space="preserve">regions including </w:t>
      </w:r>
      <w:r w:rsidRPr="766E5F1B">
        <w:rPr>
          <w:lang w:val="en-US"/>
        </w:rPr>
        <w:t xml:space="preserve">the north. </w:t>
      </w:r>
      <w:r w:rsidR="543B6E3A" w:rsidRPr="766E5F1B">
        <w:rPr>
          <w:lang w:val="en-US"/>
        </w:rPr>
        <w:t>T</w:t>
      </w:r>
      <w:r w:rsidRPr="766E5F1B">
        <w:rPr>
          <w:lang w:val="en-US"/>
        </w:rPr>
        <w:t xml:space="preserve">en projects in northern Australia shared </w:t>
      </w:r>
      <w:r w:rsidR="68161E1C" w:rsidRPr="766E5F1B">
        <w:rPr>
          <w:lang w:val="en-US"/>
        </w:rPr>
        <w:t xml:space="preserve">in </w:t>
      </w:r>
      <w:r w:rsidRPr="766E5F1B">
        <w:rPr>
          <w:lang w:val="en-US"/>
        </w:rPr>
        <w:t>nearly $20 million</w:t>
      </w:r>
      <w:r w:rsidR="3E524110" w:rsidRPr="766E5F1B">
        <w:rPr>
          <w:lang w:val="en-US"/>
        </w:rPr>
        <w:t xml:space="preserve"> for design, development and delivery of new precincts</w:t>
      </w:r>
      <w:r w:rsidRPr="766E5F1B">
        <w:rPr>
          <w:lang w:val="en-US"/>
        </w:rPr>
        <w:t xml:space="preserve">, strengthening regional communities and supporting the delivery of vibrant, connected </w:t>
      </w:r>
      <w:r w:rsidR="1A1BF500" w:rsidRPr="766E5F1B">
        <w:rPr>
          <w:lang w:val="en-US"/>
        </w:rPr>
        <w:t>communi</w:t>
      </w:r>
      <w:r w:rsidR="3352F0CD" w:rsidRPr="766E5F1B">
        <w:rPr>
          <w:lang w:val="en-US"/>
        </w:rPr>
        <w:t>ties</w:t>
      </w:r>
      <w:r w:rsidRPr="766E5F1B">
        <w:rPr>
          <w:lang w:val="en-US"/>
        </w:rPr>
        <w:t>.</w:t>
      </w:r>
    </w:p>
    <w:p w14:paraId="516837A8" w14:textId="6B50762E" w:rsidR="005C0FC5" w:rsidRPr="005C0FC5" w:rsidRDefault="005C0FC5" w:rsidP="005C0FC5">
      <w:pPr>
        <w:rPr>
          <w:lang w:val="en-US"/>
        </w:rPr>
      </w:pPr>
      <w:r w:rsidRPr="005C0FC5">
        <w:rPr>
          <w:lang w:val="x-none"/>
        </w:rPr>
        <w:t>Actions aimed at improving the liveability of northern communities are complemented by initiatives to</w:t>
      </w:r>
      <w:r w:rsidR="008727FA">
        <w:rPr>
          <w:lang w:val="x-none"/>
        </w:rPr>
        <w:t xml:space="preserve"> enhance </w:t>
      </w:r>
      <w:r w:rsidRPr="005C0FC5">
        <w:rPr>
          <w:lang w:val="x-none"/>
        </w:rPr>
        <w:t>improve community resilience and adaptive capacity. In September 2025, the Government released the National Climate Risk Assessment (NCRA) and National Adaptation Plan (NAP). The NCRA is Australia’s first comprehensive, system-wide analysis of climate risks. It identifies how climate change poses risks to people, the economy, the environment and national systems that support wellbeing</w:t>
      </w:r>
      <w:r w:rsidR="005E4B48">
        <w:rPr>
          <w:lang w:val="x-none"/>
        </w:rPr>
        <w:t xml:space="preserve"> </w:t>
      </w:r>
      <w:r w:rsidR="005E4B48">
        <w:t xml:space="preserve">and has particular findings for </w:t>
      </w:r>
      <w:r w:rsidR="008F0DB7">
        <w:t>n</w:t>
      </w:r>
      <w:r w:rsidR="005E4B48">
        <w:t>orthern Australia</w:t>
      </w:r>
      <w:r w:rsidRPr="005C0FC5">
        <w:rPr>
          <w:lang w:val="x-none"/>
        </w:rPr>
        <w:t xml:space="preserve">. The NAP responds to the risks identified in the assessment and provides the Government’s policy framework for addressing them. </w:t>
      </w:r>
      <w:r w:rsidR="0068608C">
        <w:t>The Government will work with states, territories, and local government to create an action agenda for the NAP by the end of 2026</w:t>
      </w:r>
      <w:r w:rsidR="0068608C" w:rsidRPr="005C0FC5">
        <w:rPr>
          <w:lang w:val="x-none"/>
        </w:rPr>
        <w:t>.</w:t>
      </w:r>
    </w:p>
    <w:p w14:paraId="72F60D38" w14:textId="21935E8D" w:rsidR="005C0FC5" w:rsidRPr="00B20DA2" w:rsidRDefault="005C0FC5" w:rsidP="22AF63F8">
      <w:pPr>
        <w:rPr>
          <w:lang w:val="en-US"/>
        </w:rPr>
      </w:pPr>
      <w:r w:rsidRPr="766E5F1B">
        <w:rPr>
          <w:lang w:val="en-US"/>
        </w:rPr>
        <w:t xml:space="preserve">The risk assessment and adaptation plan build on extensive work undertaken by the </w:t>
      </w:r>
      <w:r w:rsidR="00C51411">
        <w:rPr>
          <w:lang w:val="en-US"/>
        </w:rPr>
        <w:t>Government</w:t>
      </w:r>
      <w:r w:rsidRPr="766E5F1B">
        <w:rPr>
          <w:lang w:val="en-US"/>
        </w:rPr>
        <w:t xml:space="preserve">, including initiatives such as the $1 billion Disaster Ready Fund (DRF) and the $91.8 million North Queensland Recovery and Resilience Package (NQRRP). Under </w:t>
      </w:r>
      <w:r w:rsidR="003A320B">
        <w:rPr>
          <w:lang w:val="en-US"/>
        </w:rPr>
        <w:t>R</w:t>
      </w:r>
      <w:r w:rsidRPr="766E5F1B">
        <w:rPr>
          <w:lang w:val="en-US"/>
        </w:rPr>
        <w:t>ounds 1 and 2 of the DRF, 53 projects worth a total of $107.5 million in Australian Government funding are being delivered in northern Australia. Under the NQRRP over the past year, 77 new resilience initiatives</w:t>
      </w:r>
      <w:r w:rsidR="00DB5408" w:rsidRPr="766E5F1B">
        <w:rPr>
          <w:lang w:val="en-US"/>
        </w:rPr>
        <w:t xml:space="preserve"> were funde</w:t>
      </w:r>
      <w:r w:rsidR="009E26ED">
        <w:rPr>
          <w:lang w:val="en-US"/>
        </w:rPr>
        <w:t xml:space="preserve">d, </w:t>
      </w:r>
      <w:r w:rsidRPr="766E5F1B">
        <w:rPr>
          <w:lang w:val="en-US"/>
        </w:rPr>
        <w:t xml:space="preserve">ranging from major infrastructure upgrades to flood mitigation infrastructure, emergency shelters, community generators and the sealing of frequently washed-out </w:t>
      </w:r>
      <w:r w:rsidR="1A1BF500" w:rsidRPr="766E5F1B">
        <w:rPr>
          <w:lang w:val="en-US"/>
        </w:rPr>
        <w:t>road</w:t>
      </w:r>
      <w:r w:rsidR="18797DF1" w:rsidRPr="766E5F1B">
        <w:rPr>
          <w:lang w:val="en-US"/>
        </w:rPr>
        <w:t>s</w:t>
      </w:r>
      <w:r w:rsidRPr="766E5F1B">
        <w:rPr>
          <w:lang w:val="en-US"/>
        </w:rPr>
        <w:t xml:space="preserve">. Farmers impacted by floods in 2023 were able to apply for grants of up to $150,000 to help restock and rebuild, and a $2 million study was undertaken to explore solutions for building livestock mounds as flood-safe areas. </w:t>
      </w:r>
    </w:p>
    <w:p w14:paraId="270E5386" w14:textId="2D2724C9" w:rsidR="005C0FC5" w:rsidRPr="00B20DA2" w:rsidRDefault="005C0FC5" w:rsidP="7C75E753">
      <w:pPr>
        <w:spacing w:before="0" w:after="160" w:line="257" w:lineRule="auto"/>
        <w:rPr>
          <w:lang w:val="en-US"/>
        </w:rPr>
      </w:pPr>
      <w:r w:rsidRPr="766E5F1B">
        <w:rPr>
          <w:lang w:val="en-US"/>
        </w:rPr>
        <w:t>In 2024–25, the Government also announced $23.3 million over four years to improve emergency preparedness and safety measures on the Cocos (Keeling) Islands in the event of severe weather events and rising sea levels.</w:t>
      </w:r>
      <w:r w:rsidR="01AA1EE3" w:rsidRPr="00B20DA2">
        <w:rPr>
          <w:lang w:val="en-US"/>
        </w:rPr>
        <w:t xml:space="preserve"> </w:t>
      </w:r>
      <w:r w:rsidR="00B43F7E">
        <w:rPr>
          <w:lang w:val="en-US"/>
        </w:rPr>
        <w:t xml:space="preserve">The </w:t>
      </w:r>
      <w:r w:rsidR="3748320D" w:rsidRPr="00FD4371">
        <w:rPr>
          <w:lang w:val="en-US"/>
        </w:rPr>
        <w:t xml:space="preserve">Torres Strait and Northern Peninsula Area Climate Resilience Centre </w:t>
      </w:r>
      <w:proofErr w:type="gramStart"/>
      <w:r w:rsidR="3748320D" w:rsidRPr="00FD4371">
        <w:rPr>
          <w:lang w:val="en-US"/>
        </w:rPr>
        <w:t>is</w:t>
      </w:r>
      <w:proofErr w:type="gramEnd"/>
      <w:r w:rsidR="3748320D" w:rsidRPr="00FD4371">
        <w:rPr>
          <w:lang w:val="en-US"/>
        </w:rPr>
        <w:t xml:space="preserve"> a First Nations-led response to the on-ground impacts of climate change. </w:t>
      </w:r>
      <w:r w:rsidR="00793344" w:rsidRPr="00793344">
        <w:rPr>
          <w:lang w:val="en-US"/>
        </w:rPr>
        <w:t xml:space="preserve">The Department of Climate Change, Energy, the Environment and Water </w:t>
      </w:r>
      <w:proofErr w:type="gramStart"/>
      <w:r w:rsidR="00793344" w:rsidRPr="00793344">
        <w:rPr>
          <w:lang w:val="en-US"/>
        </w:rPr>
        <w:t>is</w:t>
      </w:r>
      <w:r w:rsidR="3748320D" w:rsidRPr="00FD4371">
        <w:rPr>
          <w:lang w:val="en-US"/>
        </w:rPr>
        <w:t xml:space="preserve"> are</w:t>
      </w:r>
      <w:proofErr w:type="gramEnd"/>
      <w:r w:rsidR="3748320D" w:rsidRPr="00FD4371">
        <w:rPr>
          <w:lang w:val="en-US"/>
        </w:rPr>
        <w:t xml:space="preserve"> working with regional leaders and Traditional Owners to design, establish and deliver the $15.9 million investment over 6 years (2022–23 to 2027–28).</w:t>
      </w:r>
    </w:p>
    <w:p w14:paraId="262C16DA" w14:textId="15AF5EA7" w:rsidR="005C0FC5" w:rsidRPr="005C0FC5" w:rsidRDefault="33F16008" w:rsidP="7C75E753">
      <w:pPr>
        <w:spacing w:before="0" w:after="160" w:line="257" w:lineRule="auto"/>
        <w:rPr>
          <w:lang w:val="en-US"/>
        </w:rPr>
      </w:pPr>
      <w:r w:rsidRPr="7C75E753">
        <w:rPr>
          <w:lang w:val="en-US"/>
        </w:rPr>
        <w:t xml:space="preserve">Three regional </w:t>
      </w:r>
      <w:proofErr w:type="spellStart"/>
      <w:r w:rsidRPr="7C75E753">
        <w:rPr>
          <w:lang w:val="en-US"/>
        </w:rPr>
        <w:t>organisations</w:t>
      </w:r>
      <w:proofErr w:type="spellEnd"/>
      <w:r w:rsidR="52195B8F" w:rsidRPr="7C75E753">
        <w:rPr>
          <w:lang w:val="en-US"/>
        </w:rPr>
        <w:t xml:space="preserve"> have been awarded grants under Torres Strait and Northern Peninsula Area Climate Resilience Grant Program</w:t>
      </w:r>
      <w:r w:rsidR="4A5036E5" w:rsidRPr="7C75E753">
        <w:rPr>
          <w:lang w:val="en-US"/>
        </w:rPr>
        <w:t xml:space="preserve"> to lead practical climate adaptation projects and community education.</w:t>
      </w:r>
    </w:p>
    <w:p w14:paraId="0475757A" w14:textId="5C618FA6" w:rsidR="005C0FC5" w:rsidRPr="005C0FC5" w:rsidRDefault="005C0FC5" w:rsidP="005C0FC5">
      <w:pPr>
        <w:rPr>
          <w:lang w:val="en-US"/>
        </w:rPr>
      </w:pPr>
      <w:r w:rsidRPr="005C0FC5">
        <w:rPr>
          <w:lang w:val="x-none"/>
        </w:rPr>
        <w:t xml:space="preserve">The Government’s </w:t>
      </w:r>
      <w:r w:rsidR="002D1337">
        <w:rPr>
          <w:lang w:val="x-none"/>
        </w:rPr>
        <w:t xml:space="preserve">National </w:t>
      </w:r>
      <w:r w:rsidRPr="005C0FC5">
        <w:rPr>
          <w:lang w:val="x-none"/>
        </w:rPr>
        <w:t xml:space="preserve">Justice Reinvestment Program is a $69 million package supporting six place-based initiatives in northern Australia aimed at reducing the over-representation of First Nations people in the criminal </w:t>
      </w:r>
      <w:r w:rsidRPr="005C0FC5">
        <w:rPr>
          <w:lang w:val="x-none"/>
        </w:rPr>
        <w:lastRenderedPageBreak/>
        <w:t xml:space="preserve">justice system. This </w:t>
      </w:r>
      <w:r w:rsidR="002D1337">
        <w:rPr>
          <w:lang w:val="x-none"/>
        </w:rPr>
        <w:t>is</w:t>
      </w:r>
      <w:r w:rsidRPr="005C0FC5">
        <w:rPr>
          <w:lang w:val="x-none"/>
        </w:rPr>
        <w:t xml:space="preserve"> complemented by the Justice Reinvestment Unit, which is currently engaging with stakeholders to design its future governance and operational model ahead of transitioning to an Aboriginal Community Controlled, or First Nations-led, organisation next year.</w:t>
      </w:r>
    </w:p>
    <w:p w14:paraId="2928795A" w14:textId="3CA9B9E2" w:rsidR="005C0FC5" w:rsidRPr="005C0FC5" w:rsidRDefault="005C0FC5" w:rsidP="005C0FC5">
      <w:pPr>
        <w:rPr>
          <w:lang w:val="en-US"/>
        </w:rPr>
      </w:pPr>
      <w:r w:rsidRPr="005C0FC5">
        <w:rPr>
          <w:lang w:val="x-none"/>
        </w:rPr>
        <w:t>Additional First Nations-led initiatives contributing to justice and wellbeing outcomes include:</w:t>
      </w:r>
    </w:p>
    <w:p w14:paraId="10C435BC" w14:textId="57659CD7" w:rsidR="005C0FC5" w:rsidRPr="005C0FC5" w:rsidRDefault="005C0FC5" w:rsidP="000C132A">
      <w:pPr>
        <w:pStyle w:val="Bullet1"/>
        <w:spacing w:before="0" w:line="276" w:lineRule="auto"/>
        <w:rPr>
          <w:lang w:val="en-US"/>
        </w:rPr>
      </w:pPr>
      <w:r w:rsidRPr="005C0FC5">
        <w:t xml:space="preserve">$3.5 million </w:t>
      </w:r>
      <w:r w:rsidR="00B20DA2">
        <w:t xml:space="preserve">over five years </w:t>
      </w:r>
      <w:r w:rsidRPr="005C0FC5">
        <w:t>for the delivery of integrated, culturally appropriate social and emotional wellbeing</w:t>
      </w:r>
      <w:r w:rsidR="00F25E69">
        <w:t xml:space="preserve"> and</w:t>
      </w:r>
      <w:r w:rsidRPr="005C0FC5">
        <w:t xml:space="preserve"> mental health services across four wellbeing centres in </w:t>
      </w:r>
      <w:r w:rsidR="00F25E69">
        <w:t>Cap</w:t>
      </w:r>
      <w:r w:rsidR="00721EF6">
        <w:t>e York, Queensland</w:t>
      </w:r>
      <w:r w:rsidRPr="005C0FC5">
        <w:t>.</w:t>
      </w:r>
    </w:p>
    <w:p w14:paraId="524E1E13" w14:textId="3B8C2C22" w:rsidR="005C0FC5" w:rsidRPr="005C0FC5" w:rsidRDefault="005C0FC5" w:rsidP="000C132A">
      <w:pPr>
        <w:pStyle w:val="Bullet1"/>
        <w:spacing w:before="0" w:line="276" w:lineRule="auto"/>
        <w:rPr>
          <w:lang w:val="en-US"/>
        </w:rPr>
      </w:pPr>
      <w:r w:rsidRPr="005C0FC5">
        <w:t xml:space="preserve">$11.9 million </w:t>
      </w:r>
      <w:r w:rsidR="00721EF6">
        <w:t xml:space="preserve">over four years </w:t>
      </w:r>
      <w:r w:rsidRPr="005C0FC5">
        <w:t>to deliver culturally appropriate mental health and wellbeing programs across 18 remote communities in northern Australia.</w:t>
      </w:r>
    </w:p>
    <w:p w14:paraId="19E4A243" w14:textId="51BB0B36" w:rsidR="005C0FC5" w:rsidRPr="005C0FC5" w:rsidRDefault="005C0FC5" w:rsidP="000C132A">
      <w:pPr>
        <w:pStyle w:val="Bullet1"/>
        <w:spacing w:before="0" w:line="276" w:lineRule="auto"/>
        <w:rPr>
          <w:lang w:val="en-US"/>
        </w:rPr>
      </w:pPr>
      <w:r w:rsidRPr="005C0FC5">
        <w:t xml:space="preserve">$76.8 million </w:t>
      </w:r>
      <w:r w:rsidR="00B80B21" w:rsidRPr="7FB8C79E">
        <w:rPr>
          <w:lang w:val="en-US"/>
        </w:rPr>
        <w:t>over five years through Culture Care Connect</w:t>
      </w:r>
      <w:r w:rsidRPr="005C0FC5">
        <w:t xml:space="preserve"> for First Nations providers to deliver localised health and suicide prevention programs</w:t>
      </w:r>
      <w:r w:rsidR="00680B07" w:rsidRPr="7FB8C79E">
        <w:rPr>
          <w:lang w:val="en-US"/>
        </w:rPr>
        <w:t>, including ten in northern Australia.</w:t>
      </w:r>
    </w:p>
    <w:p w14:paraId="73319245" w14:textId="30915A09" w:rsidR="005C0FC5" w:rsidRPr="001C65EE" w:rsidRDefault="005C0FC5" w:rsidP="000C132A">
      <w:pPr>
        <w:pStyle w:val="Bullet1"/>
        <w:spacing w:before="0" w:line="276" w:lineRule="auto"/>
        <w:rPr>
          <w:spacing w:val="-6"/>
          <w:lang w:val="en-US"/>
        </w:rPr>
      </w:pPr>
      <w:r w:rsidRPr="001C65EE">
        <w:rPr>
          <w:spacing w:val="-6"/>
        </w:rPr>
        <w:t>$1.2 million to target chronic hepatitis B, which has the highest national prevalence in the Northern Territory.</w:t>
      </w:r>
    </w:p>
    <w:p w14:paraId="384028CF" w14:textId="64B8C415" w:rsidR="00563EF1" w:rsidRPr="00834472" w:rsidRDefault="005C0FC5">
      <w:pPr>
        <w:rPr>
          <w:lang w:val="en-US"/>
        </w:rPr>
      </w:pPr>
      <w:r w:rsidRPr="005C0FC5">
        <w:rPr>
          <w:lang w:val="x-none"/>
        </w:rPr>
        <w:t>Together, these investments are strengthening place-based, culturally grounded approaches that enhance liveability, resilience and justice outcomes for northern Australian communities.</w:t>
      </w:r>
    </w:p>
    <w:tbl>
      <w:tblPr>
        <w:tblStyle w:val="ListTable4-Accent3"/>
        <w:tblW w:w="10485" w:type="dxa"/>
        <w:tblLook w:val="04A0" w:firstRow="1" w:lastRow="0" w:firstColumn="1" w:lastColumn="0" w:noHBand="0" w:noVBand="1"/>
      </w:tblPr>
      <w:tblGrid>
        <w:gridCol w:w="3539"/>
        <w:gridCol w:w="6946"/>
      </w:tblGrid>
      <w:tr w:rsidR="001918F5" w:rsidRPr="00194AF9" w14:paraId="026257FD" w14:textId="77777777" w:rsidTr="005A3A0E">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3539" w:type="dxa"/>
            <w:noWrap/>
          </w:tcPr>
          <w:p w14:paraId="196FEA43" w14:textId="2DC9F81C" w:rsidR="001918F5" w:rsidRPr="005A6EA4" w:rsidRDefault="001918F5" w:rsidP="00382C4C">
            <w:pPr>
              <w:keepNext/>
              <w:rPr>
                <w:color w:val="auto"/>
                <w:sz w:val="20"/>
                <w:szCs w:val="20"/>
              </w:rPr>
            </w:pPr>
            <w:r w:rsidRPr="005A6EA4">
              <w:rPr>
                <w:color w:val="auto"/>
                <w:sz w:val="20"/>
                <w:szCs w:val="20"/>
              </w:rPr>
              <w:t>Area of Continued Focus</w:t>
            </w:r>
          </w:p>
        </w:tc>
        <w:tc>
          <w:tcPr>
            <w:tcW w:w="6946" w:type="dxa"/>
            <w:noWrap/>
          </w:tcPr>
          <w:p w14:paraId="757AC848" w14:textId="1AB65644" w:rsidR="001918F5" w:rsidRPr="005A6EA4" w:rsidRDefault="00E80F5F" w:rsidP="00382C4C">
            <w:pPr>
              <w:keepNext/>
              <w:cnfStyle w:val="100000000000" w:firstRow="1" w:lastRow="0" w:firstColumn="0" w:lastColumn="0" w:oddVBand="0" w:evenVBand="0" w:oddHBand="0" w:evenHBand="0" w:firstRowFirstColumn="0" w:firstRowLastColumn="0" w:lastRowFirstColumn="0" w:lastRowLastColumn="0"/>
              <w:rPr>
                <w:color w:val="auto"/>
                <w:sz w:val="20"/>
                <w:szCs w:val="20"/>
              </w:rPr>
            </w:pPr>
            <w:r w:rsidRPr="005A6EA4">
              <w:rPr>
                <w:color w:val="auto"/>
                <w:sz w:val="20"/>
                <w:szCs w:val="20"/>
              </w:rPr>
              <w:t>2025 Annual Progress Report Update</w:t>
            </w:r>
          </w:p>
        </w:tc>
      </w:tr>
      <w:tr w:rsidR="001918F5" w:rsidRPr="00194AF9" w14:paraId="429D90EB" w14:textId="77777777" w:rsidTr="005A3A0E">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3539" w:type="dxa"/>
            <w:noWrap/>
            <w:hideMark/>
          </w:tcPr>
          <w:p w14:paraId="11D632B2" w14:textId="3E42254A" w:rsidR="001918F5" w:rsidRPr="00F26BEE" w:rsidRDefault="001918F5" w:rsidP="00382C4C">
            <w:pPr>
              <w:rPr>
                <w:sz w:val="20"/>
                <w:szCs w:val="20"/>
                <w:lang w:val="x-none"/>
              </w:rPr>
            </w:pPr>
            <w:r w:rsidRPr="00194AF9">
              <w:rPr>
                <w:sz w:val="20"/>
                <w:szCs w:val="20"/>
                <w:lang w:val="x-none"/>
              </w:rPr>
              <w:t>14.</w:t>
            </w:r>
            <w:r w:rsidR="00A55CD6" w:rsidRPr="00194AF9">
              <w:rPr>
                <w:sz w:val="20"/>
                <w:szCs w:val="20"/>
                <w:lang w:val="x-none"/>
              </w:rPr>
              <w:t>   </w:t>
            </w:r>
            <w:r w:rsidR="00A55CD6">
              <w:rPr>
                <w:sz w:val="20"/>
                <w:szCs w:val="20"/>
                <w:lang w:val="x-none"/>
              </w:rPr>
              <w:t xml:space="preserve"> </w:t>
            </w:r>
            <w:r w:rsidRPr="00194AF9">
              <w:rPr>
                <w:sz w:val="20"/>
                <w:szCs w:val="20"/>
                <w:lang w:val="x-none"/>
              </w:rPr>
              <w:t>Work to overcome challenges that northern Australians may face in equitably accessing Australian Government investment.</w:t>
            </w:r>
          </w:p>
        </w:tc>
        <w:tc>
          <w:tcPr>
            <w:tcW w:w="6946" w:type="dxa"/>
            <w:noWrap/>
            <w:hideMark/>
          </w:tcPr>
          <w:p w14:paraId="61638977" w14:textId="69C6EDD0" w:rsidR="001918F5" w:rsidRPr="00194AF9" w:rsidRDefault="001918F5" w:rsidP="00382C4C">
            <w:pPr>
              <w:cnfStyle w:val="000000100000" w:firstRow="0" w:lastRow="0" w:firstColumn="0" w:lastColumn="0" w:oddVBand="0" w:evenVBand="0" w:oddHBand="1" w:evenHBand="0" w:firstRowFirstColumn="0" w:firstRowLastColumn="0" w:lastRowFirstColumn="0" w:lastRowLastColumn="0"/>
              <w:rPr>
                <w:sz w:val="20"/>
                <w:szCs w:val="20"/>
              </w:rPr>
            </w:pPr>
            <w:r w:rsidRPr="00194AF9">
              <w:rPr>
                <w:sz w:val="20"/>
                <w:szCs w:val="20"/>
              </w:rPr>
              <w:t xml:space="preserve">The Office of Northern Australia </w:t>
            </w:r>
            <w:r w:rsidR="000517ED">
              <w:rPr>
                <w:sz w:val="20"/>
                <w:szCs w:val="20"/>
              </w:rPr>
              <w:t>is undertaking an</w:t>
            </w:r>
            <w:r w:rsidR="000517ED" w:rsidRPr="00194AF9">
              <w:rPr>
                <w:sz w:val="20"/>
                <w:szCs w:val="20"/>
              </w:rPr>
              <w:t xml:space="preserve"> </w:t>
            </w:r>
            <w:r w:rsidRPr="00194AF9">
              <w:rPr>
                <w:sz w:val="20"/>
                <w:szCs w:val="20"/>
              </w:rPr>
              <w:t>analysis of</w:t>
            </w:r>
            <w:r w:rsidRPr="5D94191A">
              <w:rPr>
                <w:sz w:val="20"/>
                <w:szCs w:val="20"/>
              </w:rPr>
              <w:t xml:space="preserve"> </w:t>
            </w:r>
            <w:r w:rsidR="00C140C7">
              <w:rPr>
                <w:sz w:val="20"/>
                <w:szCs w:val="20"/>
              </w:rPr>
              <w:t xml:space="preserve">government </w:t>
            </w:r>
            <w:r w:rsidR="00C140C7" w:rsidRPr="00194AF9">
              <w:rPr>
                <w:sz w:val="20"/>
                <w:szCs w:val="20"/>
              </w:rPr>
              <w:t>grant</w:t>
            </w:r>
            <w:r w:rsidR="00C140C7">
              <w:rPr>
                <w:sz w:val="20"/>
                <w:szCs w:val="20"/>
              </w:rPr>
              <w:t xml:space="preserve"> program funding</w:t>
            </w:r>
            <w:r w:rsidR="00C140C7" w:rsidRPr="00194AF9">
              <w:rPr>
                <w:sz w:val="20"/>
                <w:szCs w:val="20"/>
              </w:rPr>
              <w:t xml:space="preserve"> </w:t>
            </w:r>
            <w:r w:rsidRPr="5D94191A">
              <w:rPr>
                <w:sz w:val="20"/>
                <w:szCs w:val="20"/>
              </w:rPr>
              <w:t xml:space="preserve">to better understand the distribution of </w:t>
            </w:r>
            <w:r w:rsidRPr="00194AF9">
              <w:rPr>
                <w:sz w:val="20"/>
                <w:szCs w:val="20"/>
              </w:rPr>
              <w:t xml:space="preserve">national investments in northern </w:t>
            </w:r>
            <w:r w:rsidR="0050732F" w:rsidRPr="00194AF9">
              <w:rPr>
                <w:sz w:val="20"/>
                <w:szCs w:val="20"/>
              </w:rPr>
              <w:t>Australia</w:t>
            </w:r>
            <w:r w:rsidR="0050732F" w:rsidRPr="5D94191A">
              <w:rPr>
                <w:sz w:val="20"/>
                <w:szCs w:val="20"/>
              </w:rPr>
              <w:t xml:space="preserve"> and</w:t>
            </w:r>
            <w:r w:rsidRPr="5D94191A">
              <w:rPr>
                <w:sz w:val="20"/>
                <w:szCs w:val="20"/>
              </w:rPr>
              <w:t xml:space="preserve"> inform actions to improve access to funding in northern Australia</w:t>
            </w:r>
            <w:r w:rsidR="00A40BEB">
              <w:rPr>
                <w:sz w:val="20"/>
                <w:szCs w:val="20"/>
              </w:rPr>
              <w:t>.</w:t>
            </w:r>
          </w:p>
        </w:tc>
      </w:tr>
      <w:tr w:rsidR="001918F5" w:rsidRPr="00194AF9" w14:paraId="1E892E05" w14:textId="77777777" w:rsidTr="005A3A0E">
        <w:trPr>
          <w:trHeight w:val="30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31CD566C" w14:textId="4CCF4CDD" w:rsidR="001918F5" w:rsidRPr="00F26BEE" w:rsidRDefault="001918F5" w:rsidP="00382C4C">
            <w:pPr>
              <w:rPr>
                <w:sz w:val="20"/>
                <w:szCs w:val="20"/>
                <w:lang w:val="x-none"/>
              </w:rPr>
            </w:pPr>
            <w:r w:rsidRPr="00194AF9">
              <w:rPr>
                <w:sz w:val="20"/>
                <w:szCs w:val="20"/>
                <w:lang w:val="x-none"/>
              </w:rPr>
              <w:t>15.</w:t>
            </w:r>
            <w:r w:rsidR="00A55CD6" w:rsidRPr="00194AF9">
              <w:rPr>
                <w:sz w:val="20"/>
                <w:szCs w:val="20"/>
                <w:lang w:val="x-none"/>
              </w:rPr>
              <w:t>   </w:t>
            </w:r>
            <w:r w:rsidR="00A55CD6">
              <w:rPr>
                <w:sz w:val="20"/>
                <w:szCs w:val="20"/>
                <w:lang w:val="x-none"/>
              </w:rPr>
              <w:t xml:space="preserve"> </w:t>
            </w:r>
            <w:r w:rsidRPr="00194AF9">
              <w:rPr>
                <w:sz w:val="20"/>
                <w:szCs w:val="20"/>
                <w:lang w:val="x-none"/>
              </w:rPr>
              <w:t>Continue efforts to ensure government funding and policy decisions consider northern Australia’s unique climate adaption needs.</w:t>
            </w:r>
          </w:p>
        </w:tc>
        <w:tc>
          <w:tcPr>
            <w:tcW w:w="6946" w:type="dxa"/>
            <w:noWrap/>
            <w:hideMark/>
          </w:tcPr>
          <w:p w14:paraId="2D7938EA" w14:textId="77777777" w:rsidR="001918F5" w:rsidRPr="00194AF9" w:rsidRDefault="001918F5" w:rsidP="00382C4C">
            <w:pPr>
              <w:cnfStyle w:val="000000000000" w:firstRow="0" w:lastRow="0" w:firstColumn="0" w:lastColumn="0" w:oddVBand="0" w:evenVBand="0" w:oddHBand="0" w:evenHBand="0" w:firstRowFirstColumn="0" w:firstRowLastColumn="0" w:lastRowFirstColumn="0" w:lastRowLastColumn="0"/>
              <w:rPr>
                <w:sz w:val="20"/>
                <w:szCs w:val="20"/>
              </w:rPr>
            </w:pPr>
            <w:r w:rsidRPr="00194AF9">
              <w:rPr>
                <w:sz w:val="20"/>
                <w:szCs w:val="20"/>
              </w:rPr>
              <w:t>The National Climate Risk Assessment, released on 15 September 2025, is Australia’s first system-wide analysis of climate risks and shows northern Australia is highly vulnerable. The National Adaptation Plan sets the Government’s framework for action. Climate resilience grants are funding First Nations-led adaptation, and Parks Australia is progressing climate-informed planning in protected areas.</w:t>
            </w:r>
          </w:p>
        </w:tc>
      </w:tr>
      <w:tr w:rsidR="001918F5" w:rsidRPr="00194AF9" w14:paraId="5B10F978" w14:textId="77777777" w:rsidTr="005A3A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0FB73476" w14:textId="2EAC1257" w:rsidR="001918F5" w:rsidRPr="00F26BEE" w:rsidRDefault="001918F5" w:rsidP="00382C4C">
            <w:pPr>
              <w:rPr>
                <w:sz w:val="20"/>
                <w:szCs w:val="20"/>
                <w:lang w:val="en-US"/>
              </w:rPr>
            </w:pPr>
            <w:r w:rsidRPr="09C6C46C">
              <w:rPr>
                <w:sz w:val="20"/>
                <w:szCs w:val="20"/>
                <w:lang w:val="en-US"/>
              </w:rPr>
              <w:t>16.</w:t>
            </w:r>
            <w:r w:rsidR="00A55CD6" w:rsidRPr="00194AF9">
              <w:rPr>
                <w:sz w:val="20"/>
                <w:szCs w:val="20"/>
                <w:lang w:val="x-none"/>
              </w:rPr>
              <w:t>   </w:t>
            </w:r>
            <w:r w:rsidR="00A55CD6">
              <w:rPr>
                <w:sz w:val="20"/>
                <w:szCs w:val="20"/>
                <w:lang w:val="x-none"/>
              </w:rPr>
              <w:t xml:space="preserve"> </w:t>
            </w:r>
            <w:r w:rsidRPr="09C6C46C">
              <w:rPr>
                <w:sz w:val="20"/>
                <w:szCs w:val="20"/>
                <w:lang w:val="en-US"/>
              </w:rPr>
              <w:t>Work with industry, community representatives, First Nations peoples, state and territory governments and local governments to collectively assist communities undergoing significant economic transition.</w:t>
            </w:r>
          </w:p>
        </w:tc>
        <w:tc>
          <w:tcPr>
            <w:tcW w:w="6946" w:type="dxa"/>
            <w:noWrap/>
            <w:hideMark/>
          </w:tcPr>
          <w:p w14:paraId="026440A7" w14:textId="77777777" w:rsidR="001918F5" w:rsidRPr="00194AF9" w:rsidRDefault="001918F5" w:rsidP="00382C4C">
            <w:pPr>
              <w:cnfStyle w:val="000000100000" w:firstRow="0" w:lastRow="0" w:firstColumn="0" w:lastColumn="0" w:oddVBand="0" w:evenVBand="0" w:oddHBand="1" w:evenHBand="0" w:firstRowFirstColumn="0" w:firstRowLastColumn="0" w:lastRowFirstColumn="0" w:lastRowLastColumn="0"/>
              <w:rPr>
                <w:sz w:val="20"/>
                <w:szCs w:val="20"/>
              </w:rPr>
            </w:pPr>
            <w:r w:rsidRPr="00194AF9">
              <w:rPr>
                <w:sz w:val="20"/>
                <w:szCs w:val="20"/>
              </w:rPr>
              <w:t xml:space="preserve">The Australian Government is partnering with the Queensland Government on a support package to secure the Mount Isa Copper Smelter and Townsville Refinery, protecting more than 600 direct jobs and 500 at Phosphate Hill. Engagement </w:t>
            </w:r>
            <w:proofErr w:type="gramStart"/>
            <w:r w:rsidRPr="00194AF9">
              <w:rPr>
                <w:sz w:val="20"/>
                <w:szCs w:val="20"/>
              </w:rPr>
              <w:t>continues on</w:t>
            </w:r>
            <w:proofErr w:type="gramEnd"/>
            <w:r w:rsidRPr="00194AF9">
              <w:rPr>
                <w:sz w:val="20"/>
                <w:szCs w:val="20"/>
              </w:rPr>
              <w:t xml:space="preserve"> the Gove Peninsula transition, supported by the National Skills Plan to align training with regional and emerging industry needs.</w:t>
            </w:r>
          </w:p>
        </w:tc>
      </w:tr>
    </w:tbl>
    <w:p w14:paraId="54753C66" w14:textId="0AFAD154" w:rsidR="001F1D63" w:rsidRPr="000111F1" w:rsidRDefault="001F1D63" w:rsidP="001F1D63">
      <w:pPr>
        <w:pStyle w:val="Box1Heading"/>
      </w:pPr>
      <w:r w:rsidRPr="000111F1">
        <w:t>Cairns Seniors Community Housing Project</w:t>
      </w:r>
    </w:p>
    <w:p w14:paraId="309AFB7C" w14:textId="77777777" w:rsidR="001F1D63" w:rsidRPr="007F4E69" w:rsidRDefault="001F1D63" w:rsidP="008D2EE2">
      <w:pPr>
        <w:pStyle w:val="Box1Text0"/>
      </w:pPr>
      <w:r w:rsidRPr="007F4E69">
        <w:t>The Northern Australia Infrastructure Facility (NAIF) is supporting the Cairns Seniors Community Housing project with a loan of up to $140 million, in partnership with the Queensland Government, ANZ and Housing Australia.</w:t>
      </w:r>
    </w:p>
    <w:p w14:paraId="44AE8323" w14:textId="1A8F585E" w:rsidR="001F1D63" w:rsidRPr="007F4E69" w:rsidRDefault="001F1D63" w:rsidP="4F69A129">
      <w:pPr>
        <w:pStyle w:val="Box1Text0"/>
        <w:rPr>
          <w:lang w:val="en-US"/>
        </w:rPr>
      </w:pPr>
      <w:r w:rsidRPr="4F69A129">
        <w:rPr>
          <w:lang w:val="en-US"/>
        </w:rPr>
        <w:t>As one of Queensland’s largest social and affordable housing developments, it will deliver 490 dwellings, comprised of 245 social, 223 affordable and 22 specialist disability accommodation apartments, providing housing to around 690 people, thereby helping to address the housing shortage in Cairns.</w:t>
      </w:r>
    </w:p>
    <w:p w14:paraId="75E9AD4E" w14:textId="4A731922" w:rsidR="001F1D63" w:rsidRPr="000111F1" w:rsidRDefault="001F1D63" w:rsidP="008D2EE2">
      <w:pPr>
        <w:pStyle w:val="Box1Text0"/>
        <w:rPr>
          <w:noProof/>
        </w:rPr>
      </w:pPr>
      <w:r w:rsidRPr="000111F1">
        <w:rPr>
          <w:noProof/>
        </w:rPr>
        <w:t xml:space="preserve">The project is forecast to contribute $140.8 million to the </w:t>
      </w:r>
      <w:r w:rsidRPr="0C58ECEC">
        <w:rPr>
          <w:noProof/>
        </w:rPr>
        <w:t xml:space="preserve">Far </w:t>
      </w:r>
      <w:r w:rsidRPr="000111F1">
        <w:rPr>
          <w:noProof/>
        </w:rPr>
        <w:t>North Queensland economy, creating 290 jobs during construction and 32 ongoing roles.</w:t>
      </w:r>
    </w:p>
    <w:p w14:paraId="20AA7024" w14:textId="77777777" w:rsidR="001F1D63" w:rsidRDefault="001F1D63" w:rsidP="001F1D63">
      <w:r w:rsidRPr="007F4E69">
        <w:rPr>
          <w:noProof/>
        </w:rPr>
        <w:drawing>
          <wp:inline distT="0" distB="0" distL="0" distR="0" wp14:anchorId="2BFD334B" wp14:editId="03EB1292">
            <wp:extent cx="6645275" cy="1998320"/>
            <wp:effectExtent l="0" t="0" r="3175" b="2540"/>
            <wp:docPr id="2117308812" name="Picture 1" descr="Artists impression of a communal area of the CSC housing project. Medium density housing is shown next to a children's play ground. Several children and adults are showing using the playground and walking through the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08812" name="Picture 1" descr="Artists impression of a communal area of the CSC housing project. Medium density housing is shown next to a children's play ground. Several children and adults are showing using the playground and walking through the scene."/>
                    <pic:cNvPicPr/>
                  </pic:nvPicPr>
                  <pic:blipFill rotWithShape="1">
                    <a:blip r:embed="rId21" cstate="print">
                      <a:extLst>
                        <a:ext uri="{28A0092B-C50C-407E-A947-70E740481C1C}">
                          <a14:useLocalDpi xmlns:a14="http://schemas.microsoft.com/office/drawing/2010/main" val="0"/>
                        </a:ext>
                      </a:extLst>
                    </a:blip>
                    <a:srcRect/>
                    <a:stretch>
                      <a:fillRect/>
                    </a:stretch>
                  </pic:blipFill>
                  <pic:spPr bwMode="auto">
                    <a:xfrm>
                      <a:off x="0" y="0"/>
                      <a:ext cx="6692459" cy="2012509"/>
                    </a:xfrm>
                    <a:prstGeom prst="rect">
                      <a:avLst/>
                    </a:prstGeom>
                    <a:ln>
                      <a:noFill/>
                    </a:ln>
                    <a:extLst>
                      <a:ext uri="{53640926-AAD7-44D8-BBD7-CCE9431645EC}">
                        <a14:shadowObscured xmlns:a14="http://schemas.microsoft.com/office/drawing/2010/main"/>
                      </a:ext>
                    </a:extLst>
                  </pic:spPr>
                </pic:pic>
              </a:graphicData>
            </a:graphic>
          </wp:inline>
        </w:drawing>
      </w:r>
    </w:p>
    <w:p w14:paraId="459CD0A5" w14:textId="58ACCC9E" w:rsidR="001F1D63" w:rsidRDefault="001F1D63" w:rsidP="001F1D63">
      <w:r w:rsidRPr="007F4E69">
        <w:rPr>
          <w:noProof/>
        </w:rPr>
        <mc:AlternateContent>
          <mc:Choice Requires="wps">
            <w:drawing>
              <wp:anchor distT="0" distB="0" distL="114300" distR="114300" simplePos="0" relativeHeight="251658241" behindDoc="1" locked="0" layoutInCell="1" allowOverlap="1" wp14:anchorId="0827EC47" wp14:editId="7B55B2DE">
                <wp:simplePos x="0" y="0"/>
                <wp:positionH relativeFrom="margin">
                  <wp:posOffset>12700</wp:posOffset>
                </wp:positionH>
                <wp:positionV relativeFrom="paragraph">
                  <wp:posOffset>3810</wp:posOffset>
                </wp:positionV>
                <wp:extent cx="5073650" cy="635"/>
                <wp:effectExtent l="0" t="0" r="0" b="0"/>
                <wp:wrapTight wrapText="bothSides">
                  <wp:wrapPolygon edited="0">
                    <wp:start x="0" y="0"/>
                    <wp:lineTo x="0" y="19440"/>
                    <wp:lineTo x="21492" y="19440"/>
                    <wp:lineTo x="21492" y="0"/>
                    <wp:lineTo x="0" y="0"/>
                  </wp:wrapPolygon>
                </wp:wrapTight>
                <wp:docPr id="1499635295" name="Text Box 1"/>
                <wp:cNvGraphicFramePr/>
                <a:graphic xmlns:a="http://schemas.openxmlformats.org/drawingml/2006/main">
                  <a:graphicData uri="http://schemas.microsoft.com/office/word/2010/wordprocessingShape">
                    <wps:wsp>
                      <wps:cNvSpPr txBox="1"/>
                      <wps:spPr>
                        <a:xfrm>
                          <a:off x="0" y="0"/>
                          <a:ext cx="5073650" cy="635"/>
                        </a:xfrm>
                        <a:prstGeom prst="rect">
                          <a:avLst/>
                        </a:prstGeom>
                        <a:solidFill>
                          <a:prstClr val="white"/>
                        </a:solidFill>
                        <a:ln>
                          <a:noFill/>
                        </a:ln>
                      </wps:spPr>
                      <wps:txbx>
                        <w:txbxContent>
                          <w:p w14:paraId="26966D0E" w14:textId="10D3E98E" w:rsidR="00A82887" w:rsidRPr="00AB3833" w:rsidRDefault="00A82887" w:rsidP="001F1D63">
                            <w:pPr>
                              <w:pStyle w:val="Sourcenotes"/>
                            </w:pPr>
                            <w:bookmarkStart w:id="26" w:name="_Toc210386253"/>
                            <w:r w:rsidRPr="00AB3833">
                              <w:t>Figure</w:t>
                            </w:r>
                            <w:r>
                              <w:fldChar w:fldCharType="begin"/>
                            </w:r>
                            <w:r>
                              <w:instrText>SEQ Figure \* ARABIC</w:instrText>
                            </w:r>
                            <w:r>
                              <w:fldChar w:fldCharType="separate"/>
                            </w:r>
                            <w:r w:rsidR="005F0057">
                              <w:rPr>
                                <w:noProof/>
                              </w:rPr>
                              <w:t>4</w:t>
                            </w:r>
                            <w:r>
                              <w:fldChar w:fldCharType="end"/>
                            </w:r>
                            <w:r w:rsidRPr="00AB3833">
                              <w:t xml:space="preserve"> </w:t>
                            </w:r>
                            <w:r>
                              <w:t>3</w:t>
                            </w:r>
                            <w:r w:rsidRPr="00AB3833">
                              <w:t>- Artists impression of the</w:t>
                            </w:r>
                            <w:r w:rsidRPr="00AA3F8A">
                              <w:t xml:space="preserve"> Cairns Seniors Community Housing project</w:t>
                            </w:r>
                            <w:r w:rsidRPr="00AB3833">
                              <w:t>.</w:t>
                            </w:r>
                            <w:r>
                              <w:t xml:space="preserve"> Credit NAIF</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827EC47" id="_x0000_t202" coordsize="21600,21600" o:spt="202" path="m,l,21600r21600,l21600,xe">
                <v:stroke joinstyle="miter"/>
                <v:path gradientshapeok="t" o:connecttype="rect"/>
              </v:shapetype>
              <v:shape id="_x0000_s1026" type="#_x0000_t202" style="position:absolute;margin-left:1pt;margin-top:.3pt;width:399.5pt;height:.05pt;z-index:-25165823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" stroked="f">
                <v:textbox style="mso-fit-shape-to-text:t" inset="0,0,0,0">
                  <w:txbxContent>
                    <w:p w14:paraId="26966D0E" w14:textId="10D3E98E" w:rsidR="00A82887" w:rsidRPr="00AB3833" w:rsidRDefault="00A82887" w:rsidP="001F1D63">
                      <w:pPr>
                        <w:pStyle w:val="Sourcenotes"/>
                      </w:pPr>
                      <w:bookmarkStart w:id="27" w:name="_Toc210386253"/>
                      <w:r w:rsidRPr="00AB3833">
                        <w:t>Figure</w:t>
                      </w:r>
                      <w:r>
                        <w:fldChar w:fldCharType="begin"/>
                      </w:r>
                      <w:r>
                        <w:instrText>SEQ Figure \* ARABIC</w:instrText>
                      </w:r>
                      <w:r>
                        <w:fldChar w:fldCharType="separate"/>
                      </w:r>
                      <w:r w:rsidR="005F0057">
                        <w:rPr>
                          <w:noProof/>
                        </w:rPr>
                        <w:t>4</w:t>
                      </w:r>
                      <w:r>
                        <w:fldChar w:fldCharType="end"/>
                      </w:r>
                      <w:r w:rsidRPr="00AB3833">
                        <w:t xml:space="preserve"> </w:t>
                      </w:r>
                      <w:r>
                        <w:t>3</w:t>
                      </w:r>
                      <w:r w:rsidRPr="00AB3833">
                        <w:t>- Artists impression of the</w:t>
                      </w:r>
                      <w:r w:rsidRPr="00AA3F8A">
                        <w:t xml:space="preserve"> Cairns Seniors Community Housing project</w:t>
                      </w:r>
                      <w:r w:rsidRPr="00AB3833">
                        <w:t>.</w:t>
                      </w:r>
                      <w:r>
                        <w:t xml:space="preserve"> Credit NAIF</w:t>
                      </w:r>
                      <w:bookmarkEnd w:id="27"/>
                    </w:p>
                  </w:txbxContent>
                </v:textbox>
                <w10:wrap type="tight" anchorx="margin"/>
              </v:shape>
            </w:pict>
          </mc:Fallback>
        </mc:AlternateContent>
      </w:r>
    </w:p>
    <w:p w14:paraId="51FB3CC5" w14:textId="1294F356" w:rsidR="00B915AF" w:rsidRDefault="005C600A" w:rsidP="0003191A">
      <w:pPr>
        <w:pStyle w:val="Heading2"/>
      </w:pPr>
      <w:bookmarkStart w:id="28" w:name="_Toc210386250"/>
      <w:r>
        <w:lastRenderedPageBreak/>
        <w:t>P</w:t>
      </w:r>
      <w:r w:rsidR="007642F1">
        <w:t xml:space="preserve">olicy </w:t>
      </w:r>
      <w:r>
        <w:t>P</w:t>
      </w:r>
      <w:r w:rsidR="007642F1">
        <w:t xml:space="preserve">riority </w:t>
      </w:r>
      <w:r>
        <w:t>A</w:t>
      </w:r>
      <w:r w:rsidR="007642F1">
        <w:t xml:space="preserve">rea </w:t>
      </w:r>
      <w:r>
        <w:t xml:space="preserve">6: </w:t>
      </w:r>
      <w:r w:rsidR="00B915AF">
        <w:t>Protecting the north’s environment and cultural heritage</w:t>
      </w:r>
      <w:bookmarkEnd w:id="28"/>
    </w:p>
    <w:p w14:paraId="565DAD6B" w14:textId="4569F480" w:rsidR="00887D22" w:rsidRDefault="005A0300" w:rsidP="00876991">
      <w:pPr>
        <w:rPr>
          <w:lang w:val="en-US"/>
        </w:rPr>
      </w:pPr>
      <w:r w:rsidRPr="4F69A129">
        <w:rPr>
          <w:lang w:val="en-US"/>
        </w:rPr>
        <w:t xml:space="preserve">To protect, conserve and promote Australia’s natural and cultural values, the Australian Government is working with states, territories, First Nations communities, industry and research </w:t>
      </w:r>
      <w:proofErr w:type="spellStart"/>
      <w:r w:rsidRPr="4F69A129">
        <w:rPr>
          <w:lang w:val="en-US"/>
        </w:rPr>
        <w:t>organisations</w:t>
      </w:r>
      <w:proofErr w:type="spellEnd"/>
      <w:r w:rsidRPr="4F69A129">
        <w:rPr>
          <w:lang w:val="en-US"/>
        </w:rPr>
        <w:t xml:space="preserve"> to facilitate sustainable development.</w:t>
      </w:r>
    </w:p>
    <w:p w14:paraId="71474E76" w14:textId="36D64D3B" w:rsidR="005A0300" w:rsidRPr="005A0300" w:rsidRDefault="005A0300" w:rsidP="00537B72">
      <w:pPr>
        <w:rPr>
          <w:lang w:val="en-US"/>
        </w:rPr>
      </w:pPr>
      <w:r w:rsidRPr="005A0300">
        <w:t>Significant progress has been made to streamline approval processes, invest in conservation and strengthen cultural heritage protections in partnership with First Nations communities.</w:t>
      </w:r>
    </w:p>
    <w:p w14:paraId="579A0059" w14:textId="334FA6EF" w:rsidR="005A0300" w:rsidRPr="001C65EE" w:rsidRDefault="005A0300" w:rsidP="005A0300">
      <w:pPr>
        <w:rPr>
          <w:spacing w:val="-4"/>
          <w:lang w:val="en-US"/>
        </w:rPr>
      </w:pPr>
      <w:r w:rsidRPr="001C65EE">
        <w:rPr>
          <w:spacing w:val="-4"/>
          <w:lang w:val="x-none"/>
        </w:rPr>
        <w:t xml:space="preserve">From July 2025, the Australian Bushland Program (ABP) </w:t>
      </w:r>
      <w:r w:rsidR="003142AE">
        <w:rPr>
          <w:spacing w:val="-4"/>
          <w:lang w:val="x-none"/>
        </w:rPr>
        <w:t>is</w:t>
      </w:r>
      <w:r w:rsidRPr="001C65EE">
        <w:rPr>
          <w:spacing w:val="-4"/>
          <w:lang w:val="x-none"/>
        </w:rPr>
        <w:t xml:space="preserve"> invest</w:t>
      </w:r>
      <w:r w:rsidR="003142AE">
        <w:rPr>
          <w:spacing w:val="-4"/>
          <w:lang w:val="x-none"/>
        </w:rPr>
        <w:t>ing</w:t>
      </w:r>
      <w:r w:rsidRPr="001C65EE">
        <w:rPr>
          <w:spacing w:val="-4"/>
          <w:lang w:val="x-none"/>
        </w:rPr>
        <w:t xml:space="preserve"> $250 million over five years to </w:t>
      </w:r>
      <w:r w:rsidR="00911D01">
        <w:rPr>
          <w:spacing w:val="-4"/>
          <w:lang w:val="x-none"/>
        </w:rPr>
        <w:t>grow Australia’s protected and conserved areas</w:t>
      </w:r>
      <w:r w:rsidR="00911D01" w:rsidRPr="001C65EE">
        <w:rPr>
          <w:spacing w:val="-4"/>
          <w:lang w:val="x-none"/>
        </w:rPr>
        <w:t>.</w:t>
      </w:r>
      <w:r w:rsidRPr="001C65EE">
        <w:rPr>
          <w:spacing w:val="-4"/>
          <w:lang w:val="x-none"/>
        </w:rPr>
        <w:t xml:space="preserve"> The program will make a significant contribution to Australia’s 30 by 30 target to protect and conserve 30% of Australia’s landmass by 2030</w:t>
      </w:r>
      <w:r w:rsidR="00F24476">
        <w:rPr>
          <w:spacing w:val="-4"/>
          <w:lang w:val="x-none"/>
        </w:rPr>
        <w:t>,</w:t>
      </w:r>
      <w:r w:rsidR="002E20CA">
        <w:rPr>
          <w:spacing w:val="-4"/>
          <w:lang w:val="x-none"/>
        </w:rPr>
        <w:t xml:space="preserve"> as well as supporting progress towards Australia’s Strategy for Nature. A portion of the ABP is committed to expanding Indigenous Protected Areas (IPAs), as an addition to the existin</w:t>
      </w:r>
      <w:r w:rsidR="00EE2EDF">
        <w:rPr>
          <w:spacing w:val="-4"/>
          <w:lang w:val="x-none"/>
        </w:rPr>
        <w:t>g</w:t>
      </w:r>
      <w:r w:rsidRPr="001C65EE">
        <w:rPr>
          <w:spacing w:val="-4"/>
          <w:lang w:val="x-none"/>
        </w:rPr>
        <w:t xml:space="preserve"> $231.5 million over five years (2023 to 2028) </w:t>
      </w:r>
      <w:r w:rsidR="00EE2EDF">
        <w:rPr>
          <w:spacing w:val="-4"/>
          <w:lang w:val="x-none"/>
        </w:rPr>
        <w:t>for</w:t>
      </w:r>
      <w:r w:rsidRPr="001C65EE">
        <w:rPr>
          <w:spacing w:val="-4"/>
          <w:lang w:val="x-none"/>
        </w:rPr>
        <w:t xml:space="preserve"> improv</w:t>
      </w:r>
      <w:r w:rsidR="00EE2EDF">
        <w:rPr>
          <w:spacing w:val="-4"/>
          <w:lang w:val="x-none"/>
        </w:rPr>
        <w:t>ing</w:t>
      </w:r>
      <w:r w:rsidRPr="001C65EE">
        <w:rPr>
          <w:spacing w:val="-4"/>
          <w:lang w:val="x-none"/>
        </w:rPr>
        <w:t xml:space="preserve"> and expand</w:t>
      </w:r>
      <w:r w:rsidR="00EE2EDF">
        <w:rPr>
          <w:spacing w:val="-4"/>
          <w:lang w:val="x-none"/>
        </w:rPr>
        <w:t>ing</w:t>
      </w:r>
      <w:r w:rsidRPr="001C65EE">
        <w:rPr>
          <w:spacing w:val="-4"/>
          <w:lang w:val="x-none"/>
        </w:rPr>
        <w:t xml:space="preserve"> Indigenous Protected Areas (IPAs)</w:t>
      </w:r>
      <w:r w:rsidR="00E24CE6">
        <w:rPr>
          <w:spacing w:val="-4"/>
          <w:lang w:val="x-none"/>
        </w:rPr>
        <w:t>.</w:t>
      </w:r>
    </w:p>
    <w:p w14:paraId="4A0C3D5C" w14:textId="0505A78D" w:rsidR="005A0300" w:rsidRPr="005A0300" w:rsidRDefault="00833313" w:rsidP="005A0300">
      <w:pPr>
        <w:rPr>
          <w:lang w:val="en-US"/>
        </w:rPr>
      </w:pPr>
      <w:r>
        <w:rPr>
          <w:lang w:val="en-US"/>
        </w:rPr>
        <w:t>In March 2025,</w:t>
      </w:r>
      <w:r w:rsidR="005A0300" w:rsidRPr="766E5F1B">
        <w:rPr>
          <w:lang w:val="en-US"/>
        </w:rPr>
        <w:t xml:space="preserve"> the Government </w:t>
      </w:r>
      <w:r>
        <w:rPr>
          <w:lang w:val="en-US"/>
        </w:rPr>
        <w:t>opened</w:t>
      </w:r>
      <w:r w:rsidR="005A0300" w:rsidRPr="766E5F1B">
        <w:rPr>
          <w:lang w:val="en-US"/>
        </w:rPr>
        <w:t xml:space="preserve"> the </w:t>
      </w:r>
      <w:r w:rsidR="00793344">
        <w:rPr>
          <w:lang w:val="en-US"/>
        </w:rPr>
        <w:t xml:space="preserve">world first </w:t>
      </w:r>
      <w:r w:rsidR="005A0300" w:rsidRPr="766E5F1B">
        <w:rPr>
          <w:lang w:val="en-US"/>
        </w:rPr>
        <w:t>Nature Repair Market</w:t>
      </w:r>
      <w:r w:rsidR="00406A11">
        <w:rPr>
          <w:lang w:val="en-US"/>
        </w:rPr>
        <w:t>, a national, voluntary, legislated biodiversity market</w:t>
      </w:r>
      <w:r w:rsidR="007E2CAF">
        <w:rPr>
          <w:lang w:val="en-US"/>
        </w:rPr>
        <w:t>.</w:t>
      </w:r>
      <w:r w:rsidR="00234E42">
        <w:rPr>
          <w:lang w:val="en-US"/>
        </w:rPr>
        <w:t xml:space="preserve"> </w:t>
      </w:r>
      <w:r w:rsidR="007E2CAF">
        <w:rPr>
          <w:lang w:val="en-US"/>
        </w:rPr>
        <w:t>The Government is developing methods that will provide opportunities for</w:t>
      </w:r>
      <w:r w:rsidR="005A0300" w:rsidRPr="766E5F1B">
        <w:rPr>
          <w:lang w:val="en-US"/>
        </w:rPr>
        <w:t xml:space="preserve"> land managers in the north </w:t>
      </w:r>
      <w:r w:rsidR="000D48E0">
        <w:rPr>
          <w:lang w:val="en-US"/>
        </w:rPr>
        <w:t xml:space="preserve">to </w:t>
      </w:r>
      <w:r w:rsidR="005A0300" w:rsidRPr="766E5F1B">
        <w:rPr>
          <w:lang w:val="en-US"/>
        </w:rPr>
        <w:t xml:space="preserve">attract investment into projects that enhance or protect biodiversity. The legislation </w:t>
      </w:r>
      <w:r w:rsidR="00580AFF">
        <w:rPr>
          <w:lang w:val="en-US"/>
        </w:rPr>
        <w:t xml:space="preserve">underpinning the Market </w:t>
      </w:r>
      <w:proofErr w:type="spellStart"/>
      <w:r w:rsidR="2DC79039" w:rsidRPr="766E5F1B">
        <w:rPr>
          <w:lang w:val="en-US"/>
        </w:rPr>
        <w:t>recognis</w:t>
      </w:r>
      <w:r w:rsidR="3769EC41" w:rsidRPr="766E5F1B">
        <w:rPr>
          <w:lang w:val="en-US"/>
        </w:rPr>
        <w:t>es</w:t>
      </w:r>
      <w:proofErr w:type="spellEnd"/>
      <w:r w:rsidR="005A0300" w:rsidRPr="766E5F1B">
        <w:rPr>
          <w:lang w:val="en-US"/>
        </w:rPr>
        <w:t xml:space="preserve"> and </w:t>
      </w:r>
      <w:r w:rsidR="2DC79039" w:rsidRPr="766E5F1B">
        <w:rPr>
          <w:lang w:val="en-US"/>
        </w:rPr>
        <w:t>uphold</w:t>
      </w:r>
      <w:r w:rsidR="05689EED" w:rsidRPr="766E5F1B">
        <w:rPr>
          <w:lang w:val="en-US"/>
        </w:rPr>
        <w:t>s</w:t>
      </w:r>
      <w:r w:rsidR="005A0300" w:rsidRPr="766E5F1B">
        <w:rPr>
          <w:lang w:val="en-US"/>
        </w:rPr>
        <w:t xml:space="preserve"> the rights and interests of First Nations people. The objects of the Act specifically call </w:t>
      </w:r>
      <w:r w:rsidR="00444820">
        <w:rPr>
          <w:lang w:val="en-US"/>
        </w:rPr>
        <w:t>for</w:t>
      </w:r>
      <w:r w:rsidR="00444820" w:rsidRPr="766E5F1B">
        <w:rPr>
          <w:lang w:val="en-US"/>
        </w:rPr>
        <w:t xml:space="preserve"> </w:t>
      </w:r>
      <w:r w:rsidR="005A0300" w:rsidRPr="766E5F1B">
        <w:rPr>
          <w:lang w:val="en-US"/>
        </w:rPr>
        <w:t>First Nations engagement and participation enabl</w:t>
      </w:r>
      <w:r w:rsidR="00F27E05">
        <w:rPr>
          <w:lang w:val="en-US"/>
        </w:rPr>
        <w:t>ing</w:t>
      </w:r>
      <w:r w:rsidR="005A0300" w:rsidRPr="766E5F1B">
        <w:rPr>
          <w:lang w:val="en-US"/>
        </w:rPr>
        <w:t xml:space="preserve"> the use of Indigenous knowledge guided by the owners of that knowledge. In addition to opportunities to undertake projects, </w:t>
      </w:r>
      <w:r w:rsidR="00F27E05">
        <w:rPr>
          <w:lang w:val="en-US"/>
        </w:rPr>
        <w:t>there are</w:t>
      </w:r>
      <w:r w:rsidR="005A0300" w:rsidRPr="766E5F1B">
        <w:rPr>
          <w:lang w:val="en-US"/>
        </w:rPr>
        <w:t xml:space="preserve"> opportunities for First Nations groups to provide paid expert advice on method development and to deliver advisory and other services to project proponents.</w:t>
      </w:r>
    </w:p>
    <w:p w14:paraId="277EDE86" w14:textId="29D147FB" w:rsidR="00793344" w:rsidRPr="00793344" w:rsidRDefault="00793344" w:rsidP="00793344">
      <w:pPr>
        <w:rPr>
          <w:rFonts w:eastAsiaTheme="minorEastAsia"/>
          <w:lang w:val="en-US"/>
        </w:rPr>
      </w:pPr>
      <w:r w:rsidRPr="00793344">
        <w:rPr>
          <w:rFonts w:eastAsiaTheme="minorEastAsia"/>
          <w:lang w:val="en-US"/>
        </w:rPr>
        <w:t>Guided by the Reef 2050 Long-Term Sustainability Plan, the Australian and Queensland governments have committed more than $5 billion from 2014–15 to 2029–30 to support the health and resilience of the Great Barrier Reef. Of this, more than $3.7 billion is from the Australian Government.</w:t>
      </w:r>
    </w:p>
    <w:p w14:paraId="492B8276" w14:textId="77777777" w:rsidR="00793344" w:rsidRPr="00793344" w:rsidRDefault="00793344" w:rsidP="00793344">
      <w:pPr>
        <w:rPr>
          <w:rFonts w:eastAsiaTheme="minorEastAsia"/>
          <w:lang w:val="en-US"/>
        </w:rPr>
      </w:pPr>
      <w:r w:rsidRPr="00793344">
        <w:rPr>
          <w:rFonts w:eastAsiaTheme="minorEastAsia"/>
          <w:lang w:val="en-US"/>
        </w:rPr>
        <w:t xml:space="preserve">The Australian Government has committed a record $1.2 billion over nine years to protect and restore the Great Barrier Reef including: </w:t>
      </w:r>
    </w:p>
    <w:p w14:paraId="2538C328" w14:textId="77777777" w:rsidR="00793344" w:rsidRPr="00793344" w:rsidRDefault="00793344" w:rsidP="00793344">
      <w:pPr>
        <w:rPr>
          <w:rFonts w:eastAsiaTheme="minorEastAsia"/>
          <w:lang w:val="en-US"/>
        </w:rPr>
      </w:pPr>
      <w:r w:rsidRPr="00793344">
        <w:rPr>
          <w:rFonts w:eastAsiaTheme="minorEastAsia"/>
          <w:lang w:val="en-US"/>
        </w:rPr>
        <w:t>•</w:t>
      </w:r>
      <w:r w:rsidRPr="00793344">
        <w:rPr>
          <w:rFonts w:eastAsiaTheme="minorEastAsia"/>
          <w:lang w:val="en-US"/>
        </w:rPr>
        <w:tab/>
        <w:t xml:space="preserve">priority actions to accelerate efforts to improve water </w:t>
      </w:r>
      <w:proofErr w:type="gramStart"/>
      <w:r w:rsidRPr="00793344">
        <w:rPr>
          <w:rFonts w:eastAsiaTheme="minorEastAsia"/>
          <w:lang w:val="en-US"/>
        </w:rPr>
        <w:t>quality;</w:t>
      </w:r>
      <w:proofErr w:type="gramEnd"/>
      <w:r w:rsidRPr="00793344">
        <w:rPr>
          <w:rFonts w:eastAsiaTheme="minorEastAsia"/>
          <w:lang w:val="en-US"/>
        </w:rPr>
        <w:t xml:space="preserve"> </w:t>
      </w:r>
    </w:p>
    <w:p w14:paraId="0DA3AAA7" w14:textId="77777777" w:rsidR="00793344" w:rsidRPr="00793344" w:rsidRDefault="00793344" w:rsidP="00793344">
      <w:pPr>
        <w:rPr>
          <w:rFonts w:eastAsiaTheme="minorEastAsia"/>
          <w:lang w:val="en-US"/>
        </w:rPr>
      </w:pPr>
      <w:r w:rsidRPr="00793344">
        <w:rPr>
          <w:rFonts w:eastAsiaTheme="minorEastAsia"/>
          <w:lang w:val="en-US"/>
        </w:rPr>
        <w:t>•</w:t>
      </w:r>
      <w:r w:rsidRPr="00793344">
        <w:rPr>
          <w:rFonts w:eastAsiaTheme="minorEastAsia"/>
          <w:lang w:val="en-US"/>
        </w:rPr>
        <w:tab/>
        <w:t xml:space="preserve">protecting coral and enhance the resilience through targeted control of crown-of-thorns </w:t>
      </w:r>
      <w:proofErr w:type="gramStart"/>
      <w:r w:rsidRPr="00793344">
        <w:rPr>
          <w:rFonts w:eastAsiaTheme="minorEastAsia"/>
          <w:lang w:val="en-US"/>
        </w:rPr>
        <w:t>starfish;</w:t>
      </w:r>
      <w:proofErr w:type="gramEnd"/>
    </w:p>
    <w:p w14:paraId="5AD68954" w14:textId="77777777" w:rsidR="00793344" w:rsidRPr="00793344" w:rsidRDefault="00793344" w:rsidP="00793344">
      <w:pPr>
        <w:rPr>
          <w:rFonts w:eastAsiaTheme="minorEastAsia"/>
          <w:lang w:val="en-US"/>
        </w:rPr>
      </w:pPr>
      <w:r w:rsidRPr="00793344">
        <w:rPr>
          <w:rFonts w:eastAsiaTheme="minorEastAsia"/>
          <w:lang w:val="en-US"/>
        </w:rPr>
        <w:t>•</w:t>
      </w:r>
      <w:r w:rsidRPr="00793344">
        <w:rPr>
          <w:rFonts w:eastAsiaTheme="minorEastAsia"/>
          <w:lang w:val="en-US"/>
        </w:rPr>
        <w:tab/>
        <w:t xml:space="preserve">delivering innovative, world-leading science and </w:t>
      </w:r>
      <w:proofErr w:type="gramStart"/>
      <w:r w:rsidRPr="00793344">
        <w:rPr>
          <w:rFonts w:eastAsiaTheme="minorEastAsia"/>
          <w:lang w:val="en-US"/>
        </w:rPr>
        <w:t>research;</w:t>
      </w:r>
      <w:proofErr w:type="gramEnd"/>
      <w:r w:rsidRPr="00793344">
        <w:rPr>
          <w:rFonts w:eastAsiaTheme="minorEastAsia"/>
          <w:lang w:val="en-US"/>
        </w:rPr>
        <w:t xml:space="preserve"> </w:t>
      </w:r>
    </w:p>
    <w:p w14:paraId="735F5259" w14:textId="77777777" w:rsidR="00793344" w:rsidRPr="00793344" w:rsidRDefault="00793344" w:rsidP="00793344">
      <w:pPr>
        <w:rPr>
          <w:rFonts w:eastAsiaTheme="minorEastAsia"/>
          <w:lang w:val="en-US"/>
        </w:rPr>
      </w:pPr>
      <w:r w:rsidRPr="00793344">
        <w:rPr>
          <w:rFonts w:eastAsiaTheme="minorEastAsia"/>
          <w:lang w:val="en-US"/>
        </w:rPr>
        <w:t>•</w:t>
      </w:r>
      <w:r w:rsidRPr="00793344">
        <w:rPr>
          <w:rFonts w:eastAsiaTheme="minorEastAsia"/>
          <w:lang w:val="en-US"/>
        </w:rPr>
        <w:tab/>
        <w:t xml:space="preserve">reducing the impact of high-risk fishing; and </w:t>
      </w:r>
    </w:p>
    <w:p w14:paraId="2AE723AF" w14:textId="77777777" w:rsidR="00793344" w:rsidRPr="00793344" w:rsidRDefault="00793344" w:rsidP="00793344">
      <w:pPr>
        <w:rPr>
          <w:rFonts w:eastAsiaTheme="minorEastAsia"/>
          <w:lang w:val="en-US"/>
        </w:rPr>
      </w:pPr>
      <w:r w:rsidRPr="00793344">
        <w:rPr>
          <w:rFonts w:eastAsiaTheme="minorEastAsia"/>
          <w:lang w:val="en-US"/>
        </w:rPr>
        <w:t>•</w:t>
      </w:r>
      <w:r w:rsidRPr="00793344">
        <w:rPr>
          <w:rFonts w:eastAsiaTheme="minorEastAsia"/>
          <w:lang w:val="en-US"/>
        </w:rPr>
        <w:tab/>
        <w:t xml:space="preserve">strengthening partnerships with First Nations people. </w:t>
      </w:r>
    </w:p>
    <w:p w14:paraId="23D40C91" w14:textId="09CC46B0" w:rsidR="00793344" w:rsidRDefault="00793344" w:rsidP="00793344">
      <w:pPr>
        <w:spacing w:before="0" w:after="0"/>
        <w:rPr>
          <w:rFonts w:ascii="Calibri" w:eastAsia="Calibri" w:hAnsi="Calibri" w:cs="Calibri"/>
          <w:lang w:val="en-US"/>
        </w:rPr>
      </w:pPr>
      <w:r w:rsidRPr="00793344">
        <w:rPr>
          <w:rFonts w:eastAsiaTheme="minorEastAsia"/>
          <w:lang w:val="en-US"/>
        </w:rPr>
        <w:t xml:space="preserve">Since 2022, the Government has invested and delivered more targeted programs, informed by latest science and expert advice, and accelerated action to improve water quality. The government continues to work with and support farmers, landholders, Traditional Owners, Natural Resource Management groups and other partners to help progress towards water quality targets through practical programs like the $200 million Landscape Repair Program, $28.5 million for the Reef Coastal Restoration Program and </w:t>
      </w:r>
      <w:proofErr w:type="gramStart"/>
      <w:r w:rsidRPr="00793344">
        <w:rPr>
          <w:rFonts w:eastAsiaTheme="minorEastAsia"/>
          <w:lang w:val="en-US"/>
        </w:rPr>
        <w:t>the $</w:t>
      </w:r>
      <w:proofErr w:type="gramEnd"/>
      <w:r w:rsidRPr="00793344">
        <w:rPr>
          <w:rFonts w:eastAsiaTheme="minorEastAsia"/>
          <w:lang w:val="en-US"/>
        </w:rPr>
        <w:t>192 million through the Clearer Water for a Healthy Reef Program.</w:t>
      </w:r>
    </w:p>
    <w:p w14:paraId="529AC2E5" w14:textId="3403F427" w:rsidR="005A0300" w:rsidRPr="005A0300" w:rsidRDefault="005A0300" w:rsidP="005A0300">
      <w:pPr>
        <w:rPr>
          <w:lang w:val="en-US"/>
        </w:rPr>
      </w:pPr>
      <w:r w:rsidRPr="0991E68A">
        <w:rPr>
          <w:lang w:val="en-US"/>
        </w:rPr>
        <w:t>To provide easier access to data and tools to support environmental assessments and approvals, Environment Information Australia launched its new web portal in February 2025. It also released the first National Ecosystem Account and is progressing environmental-economic accounts to inform future State of the Environment reporting, with the next report due in 2026.</w:t>
      </w:r>
    </w:p>
    <w:p w14:paraId="3D6C7A67" w14:textId="7EFEFDC2" w:rsidR="006F0288" w:rsidRDefault="005A0300" w:rsidP="005A0300">
      <w:pPr>
        <w:rPr>
          <w:lang w:val="en-US"/>
        </w:rPr>
      </w:pPr>
      <w:r w:rsidRPr="345C7758">
        <w:rPr>
          <w:lang w:val="en-US"/>
        </w:rPr>
        <w:t xml:space="preserve">Protecting cultural heritage in northern Australia is crucial to </w:t>
      </w:r>
      <w:proofErr w:type="spellStart"/>
      <w:r w:rsidRPr="345C7758">
        <w:rPr>
          <w:lang w:val="en-US"/>
        </w:rPr>
        <w:t>honouring</w:t>
      </w:r>
      <w:proofErr w:type="spellEnd"/>
      <w:r w:rsidRPr="345C7758">
        <w:rPr>
          <w:lang w:val="en-US"/>
        </w:rPr>
        <w:t xml:space="preserve"> First Nations</w:t>
      </w:r>
      <w:r w:rsidR="004441DB">
        <w:rPr>
          <w:lang w:val="en-US"/>
        </w:rPr>
        <w:t>’</w:t>
      </w:r>
      <w:r w:rsidRPr="345C7758">
        <w:rPr>
          <w:lang w:val="en-US"/>
        </w:rPr>
        <w:t xml:space="preserve"> </w:t>
      </w:r>
      <w:r w:rsidR="00786C83">
        <w:rPr>
          <w:lang w:val="x-none"/>
        </w:rPr>
        <w:t>continuing connection to Country</w:t>
      </w:r>
      <w:r w:rsidRPr="345C7758">
        <w:rPr>
          <w:lang w:val="en-US"/>
        </w:rPr>
        <w:t xml:space="preserve">, preserving diverse traditions and strengthening the region’s cultural identity for future generations. </w:t>
      </w:r>
      <w:r w:rsidR="0092205D">
        <w:t>From 2024-25, the</w:t>
      </w:r>
      <w:r w:rsidRPr="345C7758">
        <w:rPr>
          <w:lang w:val="en-US"/>
        </w:rPr>
        <w:t xml:space="preserve"> Government is investing $53.8 million over four years </w:t>
      </w:r>
      <w:r w:rsidR="00995FDE">
        <w:t>on urgent priorities in First Nations languages sector. The network of 25</w:t>
      </w:r>
      <w:r w:rsidRPr="345C7758">
        <w:rPr>
          <w:lang w:val="en-US"/>
        </w:rPr>
        <w:t xml:space="preserve"> First Nations language </w:t>
      </w:r>
      <w:proofErr w:type="spellStart"/>
      <w:r w:rsidRPr="345C7758">
        <w:rPr>
          <w:lang w:val="en-US"/>
        </w:rPr>
        <w:t>centres</w:t>
      </w:r>
      <w:proofErr w:type="spellEnd"/>
      <w:r w:rsidRPr="345C7758">
        <w:rPr>
          <w:lang w:val="en-US"/>
        </w:rPr>
        <w:t xml:space="preserve">, </w:t>
      </w:r>
      <w:r w:rsidR="00A6181E">
        <w:t>throughout Australia each received a $200,000 funding boost,</w:t>
      </w:r>
      <w:r w:rsidR="00A6181E" w:rsidRPr="005A0300">
        <w:rPr>
          <w:lang w:val="x-none"/>
        </w:rPr>
        <w:t xml:space="preserve"> </w:t>
      </w:r>
      <w:r w:rsidR="00A6181E">
        <w:t>including</w:t>
      </w:r>
      <w:r w:rsidRPr="345C7758">
        <w:rPr>
          <w:lang w:val="en-US"/>
        </w:rPr>
        <w:t xml:space="preserve"> 11 </w:t>
      </w:r>
      <w:proofErr w:type="spellStart"/>
      <w:r w:rsidRPr="345C7758">
        <w:rPr>
          <w:lang w:val="en-US"/>
        </w:rPr>
        <w:t>centres</w:t>
      </w:r>
      <w:proofErr w:type="spellEnd"/>
      <w:r w:rsidRPr="345C7758">
        <w:rPr>
          <w:lang w:val="en-US"/>
        </w:rPr>
        <w:t xml:space="preserve"> across northern Australia </w:t>
      </w:r>
      <w:r w:rsidR="008044EF">
        <w:t>totalling</w:t>
      </w:r>
      <w:r w:rsidRPr="345C7758">
        <w:rPr>
          <w:lang w:val="en-US"/>
        </w:rPr>
        <w:t xml:space="preserve"> $2.2 million in 2024–25 to support language </w:t>
      </w:r>
      <w:r w:rsidR="000D3D77">
        <w:t xml:space="preserve">conservation, revitalisation and sustainability. </w:t>
      </w:r>
      <w:r w:rsidRPr="345C7758">
        <w:rPr>
          <w:lang w:val="en-US"/>
        </w:rPr>
        <w:t>In addition, 2,200 objects have been returned to First Nations communities (around 60% of these in northern Australia) under the $10.</w:t>
      </w:r>
      <w:r w:rsidR="2B08507C" w:rsidRPr="345C7758">
        <w:rPr>
          <w:lang w:val="en-US"/>
        </w:rPr>
        <w:t>4</w:t>
      </w:r>
      <w:r w:rsidRPr="345C7758">
        <w:rPr>
          <w:lang w:val="en-US"/>
        </w:rPr>
        <w:t xml:space="preserve"> million Return of Cultural Heritage Program.</w:t>
      </w:r>
    </w:p>
    <w:p w14:paraId="33A5D000" w14:textId="77777777" w:rsidR="000C132A" w:rsidRDefault="000C132A">
      <w:pPr>
        <w:suppressAutoHyphens w:val="0"/>
        <w:spacing w:before="160"/>
        <w:rPr>
          <w:b/>
          <w:noProof/>
          <w:color w:val="auto"/>
          <w:sz w:val="20"/>
          <w:lang w:val="x-none"/>
        </w:rPr>
      </w:pPr>
      <w:r>
        <w:rPr>
          <w:noProof/>
        </w:rPr>
        <w:br w:type="page"/>
      </w:r>
    </w:p>
    <w:p w14:paraId="03F65127" w14:textId="3AC1B0BB" w:rsidR="006F0288" w:rsidRPr="006A1CB1" w:rsidRDefault="006F0288" w:rsidP="006F0288">
      <w:pPr>
        <w:pStyle w:val="Box1Heading"/>
      </w:pPr>
      <w:r>
        <w:rPr>
          <w:noProof/>
        </w:rPr>
        <w:lastRenderedPageBreak/>
        <w:t>Northern Australia Indigenous Reference Group</w:t>
      </w:r>
    </w:p>
    <w:p w14:paraId="1B9407B5" w14:textId="6FEC504B" w:rsidR="00064366" w:rsidRPr="00064366" w:rsidRDefault="00064366" w:rsidP="4F69A129">
      <w:pPr>
        <w:pStyle w:val="Box1Text0"/>
        <w:rPr>
          <w:lang w:val="en-US"/>
        </w:rPr>
      </w:pPr>
      <w:r w:rsidRPr="4F69A129">
        <w:rPr>
          <w:lang w:val="en-US"/>
        </w:rPr>
        <w:t xml:space="preserve">The Indigenous Reference Group (IRG) provides key advice to government on the delivery of the Northern Australia Action Plan 2025–2029, ensuring First Nations voices are central to decisions shaping the future of the north and the Australian Government’s commitment to </w:t>
      </w:r>
      <w:r w:rsidR="00EA2B17">
        <w:rPr>
          <w:lang w:val="en-US"/>
        </w:rPr>
        <w:t xml:space="preserve">the National Agreement on </w:t>
      </w:r>
      <w:r w:rsidRPr="4F69A129">
        <w:rPr>
          <w:lang w:val="en-US"/>
        </w:rPr>
        <w:t>Closing the Gap.</w:t>
      </w:r>
    </w:p>
    <w:p w14:paraId="18F8751E" w14:textId="6A64FC3A" w:rsidR="00064366" w:rsidRPr="00064366" w:rsidRDefault="00064366" w:rsidP="008D2EE2">
      <w:pPr>
        <w:pStyle w:val="Box1Text0"/>
      </w:pPr>
      <w:r w:rsidRPr="00064366">
        <w:t xml:space="preserve">The 2021–24 IRG concluded its term in December 2024. </w:t>
      </w:r>
      <w:r w:rsidR="00B14255">
        <w:t>I</w:t>
      </w:r>
      <w:r w:rsidRPr="00064366">
        <w:t xml:space="preserve"> thank the outgoing Chair and members for their commitment, leadership, and valued contributions. Their work laid strong foundations for the next phase of First Nations economic participation in northern development.</w:t>
      </w:r>
    </w:p>
    <w:p w14:paraId="2C3F1A5B" w14:textId="4F10315A" w:rsidR="00064366" w:rsidRPr="00064366" w:rsidRDefault="00064366" w:rsidP="4F69A129">
      <w:pPr>
        <w:pStyle w:val="Box1Text0"/>
        <w:rPr>
          <w:lang w:val="en-US"/>
        </w:rPr>
      </w:pPr>
      <w:r w:rsidRPr="4F69A129">
        <w:rPr>
          <w:lang w:val="en-US"/>
        </w:rPr>
        <w:t>The IRG has now commenced under refreshed Terms of Reference, Chaired by Professor Martin Nakata. Continuing members Troy Fraser, Flora Warrior and Nini Mills bring valuable experience and continuity, while Damien Djerrkura and Alinta McGuire bring fresh perspectives.</w:t>
      </w:r>
    </w:p>
    <w:p w14:paraId="0BE2E9BB" w14:textId="77777777" w:rsidR="000D334D" w:rsidRDefault="00064366" w:rsidP="008D2EE2">
      <w:pPr>
        <w:pStyle w:val="Box1Text0"/>
      </w:pPr>
      <w:r w:rsidRPr="00064366">
        <w:t>The group met in Cairns in July 2025, held a virtual meeting in September, and is planning a third meeting in November in Canberra alongside the Minister’s Annual Statement to Parliament on Developing Northern Australia.</w:t>
      </w:r>
    </w:p>
    <w:p w14:paraId="7DF5E7D4" w14:textId="77777777" w:rsidR="006F0288" w:rsidRPr="000D334D" w:rsidRDefault="006F0288" w:rsidP="008D2EE2">
      <w:pPr>
        <w:pStyle w:val="Box1Text0"/>
        <w:rPr>
          <w:lang w:val="en-AU"/>
        </w:rPr>
      </w:pPr>
      <w:r w:rsidRPr="5483FE4A">
        <w:t>The IRG has identified three priorities:</w:t>
      </w:r>
    </w:p>
    <w:p w14:paraId="0FE8CC61" w14:textId="77777777" w:rsidR="006669EE" w:rsidRDefault="006669EE" w:rsidP="006669EE">
      <w:pPr>
        <w:pStyle w:val="Box1Bullet1"/>
        <w:rPr>
          <w:noProof/>
        </w:rPr>
      </w:pPr>
      <w:r>
        <w:rPr>
          <w:noProof/>
        </w:rPr>
        <w:t>Supporting the education to employment pipeline to deliver economic empowerment</w:t>
      </w:r>
    </w:p>
    <w:p w14:paraId="70F552A4" w14:textId="77777777" w:rsidR="006669EE" w:rsidRDefault="006669EE" w:rsidP="006669EE">
      <w:pPr>
        <w:pStyle w:val="Box1Bullet1"/>
        <w:rPr>
          <w:noProof/>
        </w:rPr>
      </w:pPr>
      <w:r>
        <w:rPr>
          <w:noProof/>
        </w:rPr>
        <w:t>Supporting First Nations enterprises</w:t>
      </w:r>
    </w:p>
    <w:p w14:paraId="662C8D6F" w14:textId="2D6C2CA9" w:rsidR="006F0288" w:rsidRDefault="006669EE" w:rsidP="006669EE">
      <w:pPr>
        <w:pStyle w:val="Box1Bullet1"/>
      </w:pPr>
      <w:r>
        <w:rPr>
          <w:noProof/>
        </w:rPr>
        <w:t>Data collection, impact measures, and alignment of departmental expenditure to national commitments.</w:t>
      </w:r>
    </w:p>
    <w:p w14:paraId="3A89CC2F" w14:textId="7A7DB310" w:rsidR="003672B6" w:rsidRDefault="002277B6" w:rsidP="003672B6">
      <w:pPr>
        <w:pStyle w:val="Heading2"/>
      </w:pPr>
      <w:bookmarkStart w:id="29" w:name="_Toc210386251"/>
      <w:r>
        <w:rPr>
          <w:lang w:val="en-US"/>
        </w:rPr>
        <w:t xml:space="preserve">Strengthening </w:t>
      </w:r>
      <w:r w:rsidR="009F174F">
        <w:rPr>
          <w:lang w:val="en-US"/>
        </w:rPr>
        <w:t>knowledge and evidence for the north</w:t>
      </w:r>
      <w:bookmarkEnd w:id="29"/>
    </w:p>
    <w:p w14:paraId="2B07D13E" w14:textId="0BF85FEA" w:rsidR="009F174F" w:rsidRDefault="009F174F" w:rsidP="00FD4371">
      <w:r w:rsidRPr="009F174F">
        <w:t>National initiatives in science, research and innovation are delivering tangible outcomes for northern Australia.</w:t>
      </w:r>
    </w:p>
    <w:bookmarkEnd w:id="9"/>
    <w:bookmarkEnd w:id="10"/>
    <w:bookmarkEnd w:id="12"/>
    <w:bookmarkEnd w:id="13"/>
    <w:p w14:paraId="04F94EBA" w14:textId="5D4BB7E4" w:rsidR="0091404D" w:rsidRDefault="0091404D" w:rsidP="00537B72">
      <w:r>
        <w:t>The Australian Government is strengthening how national initiatives serve the north, ensuring that investment, programs and evidence are better aligned with the region’s unique opportunities and challenges. Since the launch of the Action Plan, work has continued across government to embed First Nations partnerships, tailor approaches to place and strengthen the resilience of northern communities. An additional key priority has been to enhance the availability and usability of data and evidence to better inform decision making.</w:t>
      </w:r>
    </w:p>
    <w:p w14:paraId="26E103CF" w14:textId="32D0D58B" w:rsidR="0091404D" w:rsidRDefault="0091404D" w:rsidP="0091404D">
      <w:r>
        <w:t xml:space="preserve">The National Science Statement and National Science and Research Priorities are embedding and elevating </w:t>
      </w:r>
      <w:r w:rsidR="00EF64C5" w:rsidRPr="00EF64C5">
        <w:t xml:space="preserve">Aboriginal and Torres Strait Islander </w:t>
      </w:r>
      <w:r>
        <w:t>knowledge systems. The National Science and Technology Council is developing an implementation plan that will harness First Nations knowledge and voices to inform future work.</w:t>
      </w:r>
    </w:p>
    <w:p w14:paraId="41E10D4D" w14:textId="08B3FA33" w:rsidR="00F574E0" w:rsidRDefault="0091404D" w:rsidP="0091404D">
      <w:r>
        <w:t>Geoscience Australia's 10-year, $566.1 million Resourcing Australia’s Prosperity initiative is collecting geological, geochemical and geophysical datasets to assess the resource potential for minerals, energy and groundwater. Two of the three regional deep dives are in northern Australia</w:t>
      </w:r>
      <w:r w:rsidR="00F574E0">
        <w:t>:</w:t>
      </w:r>
    </w:p>
    <w:p w14:paraId="450C392D" w14:textId="7319F6E0" w:rsidR="008C61CE" w:rsidRPr="00F5113F" w:rsidRDefault="008C61CE" w:rsidP="008C61CE">
      <w:pPr>
        <w:pStyle w:val="Bullet1"/>
      </w:pPr>
      <w:proofErr w:type="spellStart"/>
      <w:r w:rsidRPr="00FD4371">
        <w:rPr>
          <w:lang w:val="en-US"/>
        </w:rPr>
        <w:t>Birrindudu</w:t>
      </w:r>
      <w:proofErr w:type="spellEnd"/>
      <w:r w:rsidRPr="00FD4371">
        <w:rPr>
          <w:lang w:val="en-US"/>
        </w:rPr>
        <w:t>, which is already underway and scheduled for completion in 2029. Engagement with First Nations communities is actively progressing in this region.</w:t>
      </w:r>
    </w:p>
    <w:p w14:paraId="458FA47F" w14:textId="77777777" w:rsidR="008C61CE" w:rsidRPr="00F5113F" w:rsidRDefault="008C61CE" w:rsidP="008C61CE">
      <w:pPr>
        <w:pStyle w:val="Bullet1"/>
      </w:pPr>
      <w:r w:rsidRPr="00F5113F">
        <w:rPr>
          <w:lang w:val="en-US"/>
        </w:rPr>
        <w:t>Georgetown–Julia Creek, announced in August, is in the early stages of engagement. Joint seismic work has been undertaken in collaboration with the Queensland Government, but broader stakeholder engagement is just beginning.</w:t>
      </w:r>
    </w:p>
    <w:p w14:paraId="765292F5" w14:textId="5607D697" w:rsidR="0005065B" w:rsidRDefault="0005065B" w:rsidP="0005065B">
      <w:r w:rsidRPr="00F5113F">
        <w:t>The work underway provides comprehensive insights into the natural features, assets and potential of the regions. Geoscience Australia is committed to engaging with First Nations people and communities in these regions, to learn their requirements for data and information and build strong, lasting relations that create collaborative opportunities and support self determination</w:t>
      </w:r>
    </w:p>
    <w:p w14:paraId="7C46A721" w14:textId="6FF164D7" w:rsidR="00B17292" w:rsidRDefault="0091404D" w:rsidP="0091404D">
      <w:r>
        <w:t>Through the National Environmental Science Program (NESP), the Government is funding projects in partnership with relevant research organisations to articulate research priorities across northern Australia. Initiatives within the NESP include building knowledge, skills and partnerships with First Nations communities to progress important environmental priorities such as seagrass management, and partnering with Traditional Owners of globally significant ecosystems, including Kakadu National Park, to better understand knowledge gaps and priorities and to inform monitoring and management practices.</w:t>
      </w:r>
    </w:p>
    <w:p w14:paraId="4AAD5451" w14:textId="77777777" w:rsidR="000C132A" w:rsidRDefault="000C132A">
      <w:pPr>
        <w:suppressAutoHyphens w:val="0"/>
        <w:spacing w:before="160"/>
        <w:rPr>
          <w:b/>
          <w:color w:val="auto"/>
          <w:sz w:val="20"/>
          <w:lang w:val="x-none"/>
        </w:rPr>
      </w:pPr>
      <w:r>
        <w:br w:type="page"/>
      </w:r>
    </w:p>
    <w:p w14:paraId="2A248483" w14:textId="2D059837" w:rsidR="005917B9" w:rsidRPr="00FC28EA" w:rsidRDefault="005917B9" w:rsidP="00F3528E">
      <w:pPr>
        <w:pStyle w:val="Box1Heading"/>
      </w:pPr>
      <w:r w:rsidRPr="005917B9">
        <w:lastRenderedPageBreak/>
        <w:t xml:space="preserve">Closing the distance: </w:t>
      </w:r>
      <w:r w:rsidR="0073380E" w:rsidRPr="00FC28EA">
        <w:t>T</w:t>
      </w:r>
      <w:r w:rsidRPr="005917B9">
        <w:t>elehealth innovations</w:t>
      </w:r>
    </w:p>
    <w:p w14:paraId="5AC500AB" w14:textId="01A4ED8A" w:rsidR="006A1CB1" w:rsidRPr="005C43E3" w:rsidRDefault="00621DDC" w:rsidP="008D2EE2">
      <w:pPr>
        <w:pStyle w:val="Box1Text0"/>
        <w:rPr>
          <w:noProof/>
        </w:rPr>
      </w:pPr>
      <w:r>
        <w:t>Cooperative Research Centre for Developing Northern</w:t>
      </w:r>
      <w:r w:rsidR="005917B9" w:rsidRPr="005917B9">
        <w:rPr>
          <w:noProof/>
        </w:rPr>
        <w:t xml:space="preserve"> </w:t>
      </w:r>
      <w:r w:rsidR="003C7218">
        <w:rPr>
          <w:noProof/>
        </w:rPr>
        <w:t xml:space="preserve">Australia </w:t>
      </w:r>
      <w:r w:rsidR="005917B9" w:rsidRPr="005917B9">
        <w:rPr>
          <w:noProof/>
        </w:rPr>
        <w:t xml:space="preserve">telehealth projects are reshaping rural and remote healthcare in northern Australia, ensuring equity despite distance. Project Echo Telehealth Skills and Health eMinds strengthen frontline workforce capability, while the Tele-Diabetic Foot Disease project is trialling a remote multidisciplinary model to prevent amputations, hospitalisations, and costs in dispersed communities. New eye screening services are saving sight for remote patients, reducing avoidable blindness through timely detection and treatment. The Telehealth Technician project builds local sustainability by training First Nations community members to deliver ICT, diagnostics, and telehealth facilitation under Medicare and public funding. A streamlined satellite-ready system ensures reliable access for remote First Nations health services. Together, </w:t>
      </w:r>
      <w:r w:rsidR="005917B9" w:rsidRPr="00B629EA">
        <w:rPr>
          <w:spacing w:val="-6"/>
        </w:rPr>
        <w:t>these initiatives create resilient, locally driven telehealth solutions that improve outcomes and advance equity across the north.</w:t>
      </w:r>
    </w:p>
    <w:p w14:paraId="6A187CE5" w14:textId="732BA382" w:rsidR="00AA46B0" w:rsidRDefault="00D539BD" w:rsidP="00387678">
      <w:pPr>
        <w:rPr>
          <w:highlight w:val="yellow"/>
        </w:rPr>
      </w:pPr>
      <w:r>
        <w:rPr>
          <w:noProof/>
        </w:rPr>
        <w:drawing>
          <wp:inline distT="0" distB="0" distL="0" distR="0" wp14:anchorId="2235BD78" wp14:editId="03162737">
            <wp:extent cx="6619827" cy="2266950"/>
            <wp:effectExtent l="0" t="0" r="0" b="0"/>
            <wp:docPr id="17751270" name="Picture 1" descr="Health professional in office attire, seated at a computer and wearing a computer headset. The person is engaged in a conference call with nine othe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1270" name="Picture 1" descr="Health professional in office attire, seated at a computer and wearing a computer headset. The person is engaged in a conference call with nine other people."/>
                    <pic:cNvPicPr>
                      <a:picLocks noChangeAspect="1"/>
                    </pic:cNvPicPr>
                  </pic:nvPicPr>
                  <pic:blipFill rotWithShape="1">
                    <a:blip r:embed="rId22" cstate="print">
                      <a:extLst>
                        <a:ext uri="{28A0092B-C50C-407E-A947-70E740481C1C}">
                          <a14:useLocalDpi xmlns:a14="http://schemas.microsoft.com/office/drawing/2010/main" val="0"/>
                        </a:ext>
                      </a:extLst>
                    </a:blip>
                    <a:srcRect/>
                    <a:stretch>
                      <a:fillRect/>
                    </a:stretch>
                  </pic:blipFill>
                  <pic:spPr bwMode="auto">
                    <a:xfrm>
                      <a:off x="0" y="0"/>
                      <a:ext cx="6620519" cy="2267187"/>
                    </a:xfrm>
                    <a:prstGeom prst="rect">
                      <a:avLst/>
                    </a:prstGeom>
                    <a:ln>
                      <a:noFill/>
                    </a:ln>
                    <a:extLst>
                      <a:ext uri="{53640926-AAD7-44D8-BBD7-CCE9431645EC}">
                        <a14:shadowObscured xmlns:a14="http://schemas.microsoft.com/office/drawing/2010/main"/>
                      </a:ext>
                    </a:extLst>
                  </pic:spPr>
                </pic:pic>
              </a:graphicData>
            </a:graphic>
          </wp:inline>
        </w:drawing>
      </w:r>
    </w:p>
    <w:p w14:paraId="7E258C02" w14:textId="26B58256" w:rsidR="001535B6" w:rsidRPr="007E29CF" w:rsidRDefault="00D539BD" w:rsidP="007E29CF">
      <w:pPr>
        <w:rPr>
          <w:highlight w:val="yellow"/>
        </w:rPr>
      </w:pPr>
      <w:r>
        <w:rPr>
          <w:noProof/>
        </w:rPr>
        <mc:AlternateContent>
          <mc:Choice Requires="wps">
            <w:drawing>
              <wp:anchor distT="0" distB="0" distL="114300" distR="114300" simplePos="0" relativeHeight="251658240" behindDoc="0" locked="0" layoutInCell="1" allowOverlap="1" wp14:anchorId="3F19292C" wp14:editId="3BDF94DD">
                <wp:simplePos x="0" y="0"/>
                <wp:positionH relativeFrom="margin">
                  <wp:align>left</wp:align>
                </wp:positionH>
                <wp:positionV relativeFrom="paragraph">
                  <wp:posOffset>6323</wp:posOffset>
                </wp:positionV>
                <wp:extent cx="3769360" cy="184785"/>
                <wp:effectExtent l="0" t="0" r="2540" b="5715"/>
                <wp:wrapTight wrapText="bothSides">
                  <wp:wrapPolygon edited="0">
                    <wp:start x="0" y="0"/>
                    <wp:lineTo x="0" y="20041"/>
                    <wp:lineTo x="21505" y="20041"/>
                    <wp:lineTo x="21505" y="0"/>
                    <wp:lineTo x="0" y="0"/>
                  </wp:wrapPolygon>
                </wp:wrapTight>
                <wp:docPr id="1626569724" name="Text Box 1"/>
                <wp:cNvGraphicFramePr/>
                <a:graphic xmlns:a="http://schemas.openxmlformats.org/drawingml/2006/main">
                  <a:graphicData uri="http://schemas.microsoft.com/office/word/2010/wordprocessingShape">
                    <wps:wsp>
                      <wps:cNvSpPr txBox="1"/>
                      <wps:spPr>
                        <a:xfrm>
                          <a:off x="0" y="0"/>
                          <a:ext cx="3769796" cy="185124"/>
                        </a:xfrm>
                        <a:prstGeom prst="rect">
                          <a:avLst/>
                        </a:prstGeom>
                        <a:solidFill>
                          <a:prstClr val="white"/>
                        </a:solidFill>
                        <a:ln>
                          <a:noFill/>
                        </a:ln>
                      </wps:spPr>
                      <wps:txbx>
                        <w:txbxContent>
                          <w:p w14:paraId="13D7E61D" w14:textId="6D7C4FBA" w:rsidR="00A82887" w:rsidRDefault="00A82887" w:rsidP="00387678">
                            <w:pPr>
                              <w:pStyle w:val="Sourcenotes"/>
                            </w:pPr>
                            <w:bookmarkStart w:id="30" w:name="_Toc210386255"/>
                            <w:r>
                              <w:t xml:space="preserve">Figure </w:t>
                            </w:r>
                            <w:r>
                              <w:fldChar w:fldCharType="begin"/>
                            </w:r>
                            <w:r>
                              <w:instrText>SEQ Figure \* ARABIC</w:instrText>
                            </w:r>
                            <w:r>
                              <w:fldChar w:fldCharType="separate"/>
                            </w:r>
                            <w:r w:rsidR="005F0057">
                              <w:rPr>
                                <w:noProof/>
                              </w:rPr>
                              <w:t>5</w:t>
                            </w:r>
                            <w:r>
                              <w:fldChar w:fldCharType="end"/>
                            </w:r>
                            <w:r>
                              <w:t xml:space="preserve"> - </w:t>
                            </w:r>
                            <w:r w:rsidRPr="00F67B2F">
                              <w:t>Telehealth</w:t>
                            </w:r>
                            <w:r>
                              <w:t xml:space="preserve"> conference. C</w:t>
                            </w:r>
                            <w:r w:rsidRPr="00F67B2F">
                              <w:t>redit</w:t>
                            </w:r>
                            <w:r>
                              <w:t xml:space="preserve"> Belinda Carlson</w:t>
                            </w:r>
                            <w:r w:rsidRPr="00F67B2F">
                              <w:t>.</w:t>
                            </w:r>
                            <w:bookmarkEnd w:id="30"/>
                          </w:p>
                          <w:p w14:paraId="19C56B84" w14:textId="77777777" w:rsidR="00A82887" w:rsidRPr="00F14929" w:rsidRDefault="00A82887" w:rsidP="00387678">
                            <w:pPr>
                              <w:pStyle w:val="Sourcenotes"/>
                              <w:rPr>
                                <w:noProof/>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9292C" id="_x0000_s1027" type="#_x0000_t202" style="position:absolute;margin-left:0;margin-top:.5pt;width:296.8pt;height:14.5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" stroked="f">
                <v:textbox inset="0,0,0,0">
                  <w:txbxContent>
                    <w:p w14:paraId="13D7E61D" w14:textId="6D7C4FBA" w:rsidR="00A82887" w:rsidRDefault="00A82887" w:rsidP="00387678">
                      <w:pPr>
                        <w:pStyle w:val="Sourcenotes"/>
                      </w:pPr>
                      <w:bookmarkStart w:id="31" w:name="_Toc210386255"/>
                      <w:r>
                        <w:t xml:space="preserve">Figure </w:t>
                      </w:r>
                      <w:r>
                        <w:fldChar w:fldCharType="begin"/>
                      </w:r>
                      <w:r>
                        <w:instrText>SEQ Figure \* ARABIC</w:instrText>
                      </w:r>
                      <w:r>
                        <w:fldChar w:fldCharType="separate"/>
                      </w:r>
                      <w:r w:rsidR="005F0057">
                        <w:rPr>
                          <w:noProof/>
                        </w:rPr>
                        <w:t>5</w:t>
                      </w:r>
                      <w:r>
                        <w:fldChar w:fldCharType="end"/>
                      </w:r>
                      <w:r>
                        <w:t xml:space="preserve"> - </w:t>
                      </w:r>
                      <w:r w:rsidRPr="00F67B2F">
                        <w:t>Telehealth</w:t>
                      </w:r>
                      <w:r>
                        <w:t xml:space="preserve"> conference. C</w:t>
                      </w:r>
                      <w:r w:rsidRPr="00F67B2F">
                        <w:t>redit</w:t>
                      </w:r>
                      <w:r>
                        <w:t xml:space="preserve"> Belinda Carlson</w:t>
                      </w:r>
                      <w:r w:rsidRPr="00F67B2F">
                        <w:t>.</w:t>
                      </w:r>
                      <w:bookmarkEnd w:id="31"/>
                    </w:p>
                    <w:p w14:paraId="19C56B84" w14:textId="77777777" w:rsidR="00A82887" w:rsidRPr="00F14929" w:rsidRDefault="00A82887" w:rsidP="00387678">
                      <w:pPr>
                        <w:pStyle w:val="Sourcenotes"/>
                        <w:rPr>
                          <w:noProof/>
                          <w:sz w:val="22"/>
                          <w:szCs w:val="22"/>
                        </w:rPr>
                      </w:pPr>
                    </w:p>
                  </w:txbxContent>
                </v:textbox>
                <w10:wrap type="tight" anchorx="margin"/>
              </v:shape>
            </w:pict>
          </mc:Fallback>
        </mc:AlternateContent>
      </w:r>
    </w:p>
    <w:tbl>
      <w:tblPr>
        <w:tblStyle w:val="ListTable4-Accent3"/>
        <w:tblW w:w="10485" w:type="dxa"/>
        <w:tblLook w:val="04A0" w:firstRow="1" w:lastRow="0" w:firstColumn="1" w:lastColumn="0" w:noHBand="0" w:noVBand="1"/>
      </w:tblPr>
      <w:tblGrid>
        <w:gridCol w:w="2830"/>
        <w:gridCol w:w="7655"/>
      </w:tblGrid>
      <w:tr w:rsidR="001C2F22" w:rsidRPr="00194AF9" w14:paraId="00977839" w14:textId="77777777" w:rsidTr="00F007F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noWrap/>
          </w:tcPr>
          <w:p w14:paraId="503E8FBE" w14:textId="6BEF09F3" w:rsidR="001C2F22" w:rsidRPr="005A6EA4" w:rsidRDefault="001C2F22" w:rsidP="001C2F22">
            <w:pPr>
              <w:rPr>
                <w:color w:val="auto"/>
                <w:sz w:val="20"/>
                <w:szCs w:val="20"/>
              </w:rPr>
            </w:pPr>
            <w:r w:rsidRPr="005A6EA4">
              <w:rPr>
                <w:color w:val="auto"/>
                <w:sz w:val="20"/>
                <w:szCs w:val="20"/>
              </w:rPr>
              <w:t>Area of Continued Focus</w:t>
            </w:r>
          </w:p>
        </w:tc>
        <w:tc>
          <w:tcPr>
            <w:tcW w:w="7655" w:type="dxa"/>
            <w:noWrap/>
          </w:tcPr>
          <w:p w14:paraId="0B1D5D78" w14:textId="705F4C5C" w:rsidR="001C2F22" w:rsidRPr="005A6EA4" w:rsidRDefault="00E80F5F" w:rsidP="001C2F22">
            <w:pPr>
              <w:cnfStyle w:val="100000000000" w:firstRow="1" w:lastRow="0" w:firstColumn="0" w:lastColumn="0" w:oddVBand="0" w:evenVBand="0" w:oddHBand="0" w:evenHBand="0" w:firstRowFirstColumn="0" w:firstRowLastColumn="0" w:lastRowFirstColumn="0" w:lastRowLastColumn="0"/>
              <w:rPr>
                <w:color w:val="auto"/>
                <w:sz w:val="20"/>
                <w:szCs w:val="20"/>
              </w:rPr>
            </w:pPr>
            <w:r w:rsidRPr="005A6EA4">
              <w:rPr>
                <w:color w:val="auto"/>
                <w:sz w:val="20"/>
                <w:szCs w:val="20"/>
              </w:rPr>
              <w:t>2025 Annual Progress Report Update</w:t>
            </w:r>
          </w:p>
        </w:tc>
      </w:tr>
      <w:tr w:rsidR="001C2F22" w:rsidRPr="00194AF9" w14:paraId="5E3F8DFC" w14:textId="77777777" w:rsidTr="00F007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B2F5D6B" w14:textId="62234656" w:rsidR="001C2F22" w:rsidRPr="00F26BEE" w:rsidRDefault="001C2F22" w:rsidP="001C2F22">
            <w:pPr>
              <w:rPr>
                <w:sz w:val="20"/>
                <w:szCs w:val="20"/>
                <w:lang w:val="en-US"/>
              </w:rPr>
            </w:pPr>
            <w:r w:rsidRPr="5E5090AA">
              <w:rPr>
                <w:sz w:val="20"/>
                <w:szCs w:val="20"/>
                <w:lang w:val="en-US"/>
              </w:rPr>
              <w:t>17.</w:t>
            </w:r>
            <w:r w:rsidR="00A55CD6" w:rsidRPr="00194AF9">
              <w:rPr>
                <w:sz w:val="20"/>
                <w:szCs w:val="20"/>
                <w:lang w:val="x-none"/>
              </w:rPr>
              <w:t xml:space="preserve">    </w:t>
            </w:r>
            <w:r w:rsidR="00A55CD6">
              <w:rPr>
                <w:sz w:val="20"/>
                <w:szCs w:val="20"/>
                <w:lang w:val="x-none"/>
              </w:rPr>
              <w:t xml:space="preserve"> </w:t>
            </w:r>
            <w:r w:rsidRPr="5E5090AA">
              <w:rPr>
                <w:sz w:val="20"/>
                <w:szCs w:val="20"/>
                <w:lang w:val="en-US"/>
              </w:rPr>
              <w:t xml:space="preserve">Partner with research </w:t>
            </w:r>
            <w:proofErr w:type="spellStart"/>
            <w:r w:rsidRPr="5E5090AA">
              <w:rPr>
                <w:sz w:val="20"/>
                <w:szCs w:val="20"/>
                <w:lang w:val="en-US"/>
              </w:rPr>
              <w:t>organisations</w:t>
            </w:r>
            <w:proofErr w:type="spellEnd"/>
            <w:r w:rsidRPr="5E5090AA">
              <w:rPr>
                <w:sz w:val="20"/>
                <w:szCs w:val="20"/>
                <w:lang w:val="en-US"/>
              </w:rPr>
              <w:t xml:space="preserve"> to develop research priorities for the north.</w:t>
            </w:r>
          </w:p>
        </w:tc>
        <w:tc>
          <w:tcPr>
            <w:tcW w:w="7655" w:type="dxa"/>
            <w:noWrap/>
            <w:hideMark/>
          </w:tcPr>
          <w:p w14:paraId="331F990E" w14:textId="77777777" w:rsidR="001C2F22" w:rsidRPr="00194AF9" w:rsidRDefault="001C2F22" w:rsidP="001C2F22">
            <w:pPr>
              <w:cnfStyle w:val="000000100000" w:firstRow="0" w:lastRow="0" w:firstColumn="0" w:lastColumn="0" w:oddVBand="0" w:evenVBand="0" w:oddHBand="1" w:evenHBand="0" w:firstRowFirstColumn="0" w:firstRowLastColumn="0" w:lastRowFirstColumn="0" w:lastRowLastColumn="0"/>
              <w:rPr>
                <w:sz w:val="20"/>
                <w:szCs w:val="20"/>
              </w:rPr>
            </w:pPr>
            <w:r w:rsidRPr="00194AF9">
              <w:rPr>
                <w:sz w:val="20"/>
                <w:szCs w:val="20"/>
              </w:rPr>
              <w:t>The National Environmental Science Program is funding projects to define northern Australia’s research priorities, including regional planning, seagrass management with First Nations communities, and work with Traditional Owners in places like Kakadu. It is also supporting the National Indigenous Environmental Research Network, while an independent panel is examining Australia’s research and development system.</w:t>
            </w:r>
          </w:p>
        </w:tc>
      </w:tr>
    </w:tbl>
    <w:p w14:paraId="74FA6B34" w14:textId="058C75E1" w:rsidR="004020F6" w:rsidRDefault="006B1E8C">
      <w:pPr>
        <w:suppressAutoHyphens w:val="0"/>
        <w:spacing w:before="160"/>
        <w:rPr>
          <w:highlight w:val="yellow"/>
        </w:rPr>
        <w:sectPr w:rsidR="004020F6" w:rsidSect="005A6EA4">
          <w:headerReference w:type="even" r:id="rId23"/>
          <w:headerReference w:type="default" r:id="rId24"/>
          <w:footerReference w:type="even" r:id="rId25"/>
          <w:footerReference w:type="default" r:id="rId26"/>
          <w:headerReference w:type="first" r:id="rId27"/>
          <w:footerReference w:type="first" r:id="rId28"/>
          <w:pgSz w:w="11906" w:h="16838" w:code="9"/>
          <w:pgMar w:top="720" w:right="720" w:bottom="426" w:left="720" w:header="340" w:footer="397" w:gutter="0"/>
          <w:cols w:space="708"/>
          <w:docGrid w:linePitch="360"/>
        </w:sectPr>
      </w:pPr>
      <w:r>
        <w:rPr>
          <w:noProof/>
          <w:highlight w:val="yellow"/>
        </w:rPr>
        <w:lastRenderedPageBreak/>
        <w:drawing>
          <wp:anchor distT="0" distB="0" distL="114300" distR="114300" simplePos="0" relativeHeight="251658242" behindDoc="0" locked="0" layoutInCell="1" allowOverlap="1" wp14:anchorId="0B581FBB" wp14:editId="77188794">
            <wp:simplePos x="0" y="0"/>
            <wp:positionH relativeFrom="page">
              <wp:posOffset>0</wp:posOffset>
            </wp:positionH>
            <wp:positionV relativeFrom="paragraph">
              <wp:posOffset>635</wp:posOffset>
            </wp:positionV>
            <wp:extent cx="13432790" cy="8667750"/>
            <wp:effectExtent l="0" t="0" r="0" b="0"/>
            <wp:wrapSquare wrapText="bothSides"/>
            <wp:docPr id="1419579839" name="Picture 1" descr="Aerial image of Darwin City skyline of mostly white high-rise building in the Northern Territory, Australia. The image shows the sea behind the building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579839" name="Picture 1" descr="Aerial image of Darwin City skyline of mostly white high-rise building in the Northern Territory, Australia. The image shows the sea behind the buildings.">
                      <a:extLst>
                        <a:ext uri="{C183D7F6-B498-43B3-948B-1728B52AA6E4}">
                          <adec:decorative xmlns:adec="http://schemas.microsoft.com/office/drawing/2017/decorative" val="0"/>
                        </a:ext>
                      </a:extLs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7684"/>
                    <a:stretch>
                      <a:fillRect/>
                    </a:stretch>
                  </pic:blipFill>
                  <pic:spPr bwMode="auto">
                    <a:xfrm>
                      <a:off x="0" y="0"/>
                      <a:ext cx="13432790" cy="8667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1EC8">
        <w:rPr>
          <w:noProof/>
        </w:rPr>
        <mc:AlternateContent>
          <mc:Choice Requires="wps">
            <w:drawing>
              <wp:inline distT="0" distB="0" distL="0" distR="0" wp14:anchorId="5C469773" wp14:editId="3F255CF4">
                <wp:extent cx="6645910" cy="200660"/>
                <wp:effectExtent l="0" t="0" r="2540" b="8890"/>
                <wp:docPr id="1777698085" name="Text Box 1"/>
                <wp:cNvGraphicFramePr/>
                <a:graphic xmlns:a="http://schemas.openxmlformats.org/drawingml/2006/main">
                  <a:graphicData uri="http://schemas.microsoft.com/office/word/2010/wordprocessingShape">
                    <wps:wsp>
                      <wps:cNvSpPr txBox="1"/>
                      <wps:spPr>
                        <a:xfrm>
                          <a:off x="0" y="0"/>
                          <a:ext cx="6645910" cy="200660"/>
                        </a:xfrm>
                        <a:prstGeom prst="rect">
                          <a:avLst/>
                        </a:prstGeom>
                        <a:solidFill>
                          <a:prstClr val="white"/>
                        </a:solidFill>
                        <a:ln>
                          <a:noFill/>
                        </a:ln>
                      </wps:spPr>
                      <wps:txbx>
                        <w:txbxContent>
                          <w:p w14:paraId="2CD1553B" w14:textId="77777777" w:rsidR="00A82887" w:rsidRPr="00321B77" w:rsidRDefault="00A82887" w:rsidP="00311EC8">
                            <w:pPr>
                              <w:pStyle w:val="Sourcenotes"/>
                              <w:ind w:firstLine="720"/>
                              <w:rPr>
                                <w:noProof/>
                                <w:sz w:val="22"/>
                                <w:szCs w:val="22"/>
                              </w:rPr>
                            </w:pPr>
                            <w:r w:rsidRPr="00E6709C">
                              <w:t>Darwin</w:t>
                            </w:r>
                            <w:r>
                              <w:t xml:space="preserve"> City</w:t>
                            </w:r>
                            <w:r w:rsidRPr="00E6709C">
                              <w:t xml:space="preserve">, </w:t>
                            </w:r>
                            <w:r>
                              <w:t>NT</w:t>
                            </w:r>
                            <w:r w:rsidRPr="00E6709C">
                              <w:t>.</w:t>
                            </w:r>
                            <w:r>
                              <w:rPr>
                                <w:noProof/>
                              </w:rPr>
                              <w:t xml:space="preserve"> Credit </w:t>
                            </w:r>
                            <w:r w:rsidRPr="00E6709C">
                              <w:rPr>
                                <w:noProof/>
                              </w:rPr>
                              <w:t>Jeremy Woodhouse.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C469773" id="Text Box 1" o:spid="_x0000_s1028" type="#_x0000_t202" style="width:523.3pt;height:1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" stroked="f">
                <v:textbox inset="0,0,0,0">
                  <w:txbxContent>
                    <w:p w14:paraId="2CD1553B" w14:textId="77777777" w:rsidR="00A82887" w:rsidRPr="00321B77" w:rsidRDefault="00A82887" w:rsidP="00311EC8">
                      <w:pPr>
                        <w:pStyle w:val="Sourcenotes"/>
                        <w:ind w:firstLine="720"/>
                        <w:rPr>
                          <w:noProof/>
                          <w:sz w:val="22"/>
                          <w:szCs w:val="22"/>
                        </w:rPr>
                      </w:pPr>
                      <w:r w:rsidRPr="00E6709C">
                        <w:t>Darwin</w:t>
                      </w:r>
                      <w:r>
                        <w:t xml:space="preserve"> City</w:t>
                      </w:r>
                      <w:r w:rsidRPr="00E6709C">
                        <w:t xml:space="preserve">, </w:t>
                      </w:r>
                      <w:r>
                        <w:t>NT</w:t>
                      </w:r>
                      <w:r w:rsidRPr="00E6709C">
                        <w:t>.</w:t>
                      </w:r>
                      <w:r>
                        <w:rPr>
                          <w:noProof/>
                        </w:rPr>
                        <w:t xml:space="preserve"> Credit </w:t>
                      </w:r>
                      <w:r w:rsidRPr="00E6709C">
                        <w:rPr>
                          <w:noProof/>
                        </w:rPr>
                        <w:t>Jeremy Woodhouse.</w:t>
                      </w:r>
                    </w:p>
                  </w:txbxContent>
                </v:textbox>
                <w10:anchorlock/>
              </v:shape>
            </w:pict>
          </mc:Fallback>
        </mc:AlternateContent>
      </w:r>
    </w:p>
    <w:p w14:paraId="42F8BB9B" w14:textId="794274EC" w:rsidR="001535B6" w:rsidRDefault="001535B6" w:rsidP="004419B9">
      <w:pPr>
        <w:rPr>
          <w:highlight w:val="yellow"/>
        </w:rPr>
      </w:pPr>
    </w:p>
    <w:sectPr w:rsidR="001535B6" w:rsidSect="004020F6">
      <w:headerReference w:type="default" r:id="rId30"/>
      <w:footerReference w:type="default" r:id="rId31"/>
      <w:type w:val="continuous"/>
      <w:pgSz w:w="11906" w:h="16838" w:code="9"/>
      <w:pgMar w:top="720" w:right="720" w:bottom="720" w:left="720" w:header="34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ACC0B6" w14:textId="77777777" w:rsidR="00A82887" w:rsidRDefault="00A82887" w:rsidP="008456D5">
      <w:pPr>
        <w:spacing w:before="0" w:after="0"/>
      </w:pPr>
      <w:r>
        <w:separator/>
      </w:r>
    </w:p>
    <w:p w14:paraId="5269FF76" w14:textId="77777777" w:rsidR="00A82887" w:rsidRDefault="00A82887"/>
    <w:p w14:paraId="477A4542" w14:textId="77777777" w:rsidR="00A82887" w:rsidRDefault="00A82887"/>
  </w:endnote>
  <w:endnote w:type="continuationSeparator" w:id="0">
    <w:p w14:paraId="2FDB8BB4" w14:textId="77777777" w:rsidR="00A82887" w:rsidRDefault="00A82887" w:rsidP="008456D5">
      <w:pPr>
        <w:spacing w:before="0" w:after="0"/>
      </w:pPr>
      <w:r>
        <w:continuationSeparator/>
      </w:r>
    </w:p>
    <w:p w14:paraId="148B5348" w14:textId="77777777" w:rsidR="00A82887" w:rsidRDefault="00A82887"/>
    <w:p w14:paraId="4006B14C" w14:textId="77777777" w:rsidR="00A82887" w:rsidRDefault="00A82887"/>
  </w:endnote>
  <w:endnote w:type="continuationNotice" w:id="1">
    <w:p w14:paraId="4DF15197" w14:textId="77777777" w:rsidR="00A82887" w:rsidRDefault="00A82887">
      <w:pPr>
        <w:spacing w:before="0" w:after="0"/>
      </w:pPr>
    </w:p>
    <w:p w14:paraId="3DD3F508" w14:textId="77777777" w:rsidR="00A82887" w:rsidRDefault="00A82887"/>
    <w:p w14:paraId="076C1252" w14:textId="77777777" w:rsidR="00A82887" w:rsidRDefault="00A828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4B408" w14:textId="1649FE8A" w:rsidR="00A82887" w:rsidRDefault="008D6932">
    <w:pPr>
      <w:pStyle w:val="Footer"/>
    </w:pPr>
    <w:r>
      <w:rPr>
        <w:noProof/>
      </w:rPr>
      <mc:AlternateContent>
        <mc:Choice Requires="wps">
          <w:drawing>
            <wp:anchor distT="0" distB="0" distL="0" distR="0" simplePos="0" relativeHeight="251680768" behindDoc="0" locked="0" layoutInCell="1" allowOverlap="1" wp14:anchorId="2FB6A117" wp14:editId="782E0867">
              <wp:simplePos x="635" y="635"/>
              <wp:positionH relativeFrom="page">
                <wp:align>center</wp:align>
              </wp:positionH>
              <wp:positionV relativeFrom="page">
                <wp:align>bottom</wp:align>
              </wp:positionV>
              <wp:extent cx="872490" cy="458470"/>
              <wp:effectExtent l="0" t="0" r="3810" b="0"/>
              <wp:wrapNone/>
              <wp:docPr id="1884246707" name="Text Box 23"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72490" cy="458470"/>
                      </a:xfrm>
                      <a:prstGeom prst="rect">
                        <a:avLst/>
                      </a:prstGeom>
                      <a:solidFill>
                        <a:prstClr val="white"/>
                      </a:solidFill>
                      <a:ln>
                        <a:noFill/>
                      </a:ln>
                    </wps:spPr>
                    <wps:txbx>
                      <w:txbxContent>
                        <w:p w14:paraId="457255DF" w14:textId="4E552001" w:rsidR="008D6932" w:rsidRPr="008D6932" w:rsidRDefault="008D6932" w:rsidP="008D6932">
                          <w:pPr>
                            <w:spacing w:after="0"/>
                            <w:rPr>
                              <w:rFonts w:ascii="Calibri" w:eastAsia="Calibri" w:hAnsi="Calibri" w:cs="Calibri"/>
                              <w:noProof/>
                              <w:color w:val="FF0000"/>
                              <w:sz w:val="28"/>
                              <w:szCs w:val="28"/>
                            </w:rPr>
                          </w:pPr>
                          <w:r w:rsidRPr="008D6932">
                            <w:rPr>
                              <w:rFonts w:ascii="Calibri" w:eastAsia="Calibri" w:hAnsi="Calibri" w:cs="Calibri"/>
                              <w:noProof/>
                              <w:color w:val="FF0000"/>
                              <w:sz w:val="28"/>
                              <w:szCs w:val="28"/>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B6A117" id="_x0000_t202" coordsize="21600,21600" o:spt="202" path="m,l,21600r21600,l21600,xe">
              <v:stroke joinstyle="miter"/>
              <v:path gradientshapeok="t" o:connecttype="rect"/>
            </v:shapetype>
            <v:shape id="Text Box 23" o:spid="_x0000_s1030" type="#_x0000_t202" alt="UNOFFICIAL" style="position:absolute;margin-left:0;margin-top:0;width:68.7pt;height:36.1pt;z-index:251680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" stroked="f">
              <v:textbox style="mso-fit-shape-to-text:t" inset="0,0,0,15pt">
                <w:txbxContent>
                  <w:p w14:paraId="457255DF" w14:textId="4E552001" w:rsidR="008D6932" w:rsidRPr="008D6932" w:rsidRDefault="008D6932" w:rsidP="008D6932">
                    <w:pPr>
                      <w:spacing w:after="0"/>
                      <w:rPr>
                        <w:rFonts w:ascii="Calibri" w:eastAsia="Calibri" w:hAnsi="Calibri" w:cs="Calibri"/>
                        <w:noProof/>
                        <w:color w:val="FF0000"/>
                        <w:sz w:val="28"/>
                        <w:szCs w:val="28"/>
                      </w:rPr>
                    </w:pPr>
                    <w:r w:rsidRPr="008D6932">
                      <w:rPr>
                        <w:rFonts w:ascii="Calibri" w:eastAsia="Calibri" w:hAnsi="Calibri" w:cs="Calibri"/>
                        <w:noProof/>
                        <w:color w:val="FF0000"/>
                        <w:sz w:val="28"/>
                        <w:szCs w:val="28"/>
                      </w:rPr>
                      <w:t>UNOFFICIAL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542D3" w14:textId="7933AC38" w:rsidR="00A82887" w:rsidRDefault="008D6932" w:rsidP="00C3007A">
    <w:pPr>
      <w:framePr w:w="11907" w:h="284" w:hSpace="181" w:wrap="around" w:vAnchor="page" w:hAnchor="page" w:yAlign="bottom"/>
      <w:spacing w:before="0" w:after="0"/>
    </w:pPr>
    <w:r>
      <w:rPr>
        <w:noProof/>
      </w:rPr>
      <mc:AlternateContent>
        <mc:Choice Requires="wps">
          <w:drawing>
            <wp:anchor distT="0" distB="0" distL="0" distR="0" simplePos="0" relativeHeight="251681792" behindDoc="0" locked="0" layoutInCell="1" allowOverlap="1" wp14:anchorId="4E62CC8A" wp14:editId="09745950">
              <wp:simplePos x="0" y="10515600"/>
              <wp:positionH relativeFrom="page">
                <wp:align>center</wp:align>
              </wp:positionH>
              <wp:positionV relativeFrom="page">
                <wp:align>bottom</wp:align>
              </wp:positionV>
              <wp:extent cx="872490" cy="458470"/>
              <wp:effectExtent l="0" t="0" r="3810" b="0"/>
              <wp:wrapNone/>
              <wp:docPr id="2085296920" name="Text Box 24"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72490" cy="458470"/>
                      </a:xfrm>
                      <a:prstGeom prst="rect">
                        <a:avLst/>
                      </a:prstGeom>
                      <a:solidFill>
                        <a:prstClr val="white"/>
                      </a:solidFill>
                      <a:ln>
                        <a:noFill/>
                      </a:ln>
                    </wps:spPr>
                    <wps:txbx>
                      <w:txbxContent>
                        <w:p w14:paraId="2241C5FE" w14:textId="50555832" w:rsidR="008D6932" w:rsidRPr="008D6932" w:rsidRDefault="008D6932" w:rsidP="008D6932">
                          <w:pPr>
                            <w:spacing w:after="0"/>
                            <w:rPr>
                              <w:rFonts w:ascii="Calibri" w:eastAsia="Calibri" w:hAnsi="Calibri" w:cs="Calibri"/>
                              <w:noProof/>
                              <w:color w:val="FF0000"/>
                              <w:sz w:val="28"/>
                              <w:szCs w:val="28"/>
                            </w:rPr>
                          </w:pPr>
                          <w:r w:rsidRPr="008D6932">
                            <w:rPr>
                              <w:rFonts w:ascii="Calibri" w:eastAsia="Calibri" w:hAnsi="Calibri" w:cs="Calibri"/>
                              <w:noProof/>
                              <w:color w:val="FF0000"/>
                              <w:sz w:val="28"/>
                              <w:szCs w:val="28"/>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62CC8A" id="_x0000_t202" coordsize="21600,21600" o:spt="202" path="m,l,21600r21600,l21600,xe">
              <v:stroke joinstyle="miter"/>
              <v:path gradientshapeok="t" o:connecttype="rect"/>
            </v:shapetype>
            <v:shape id="Text Box 24" o:spid="_x0000_s1031" type="#_x0000_t202" alt="UNOFFICIAL" style="position:absolute;margin-left:0;margin-top:0;width:68.7pt;height:36.1pt;z-index:251681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" stroked="f">
              <v:textbox style="mso-fit-shape-to-text:t" inset="0,0,0,15pt">
                <w:txbxContent>
                  <w:p w14:paraId="2241C5FE" w14:textId="50555832" w:rsidR="008D6932" w:rsidRPr="008D6932" w:rsidRDefault="008D6932" w:rsidP="008D6932">
                    <w:pPr>
                      <w:spacing w:after="0"/>
                      <w:rPr>
                        <w:rFonts w:ascii="Calibri" w:eastAsia="Calibri" w:hAnsi="Calibri" w:cs="Calibri"/>
                        <w:noProof/>
                        <w:color w:val="FF0000"/>
                        <w:sz w:val="28"/>
                        <w:szCs w:val="28"/>
                      </w:rPr>
                    </w:pPr>
                    <w:r w:rsidRPr="008D6932">
                      <w:rPr>
                        <w:rFonts w:ascii="Calibri" w:eastAsia="Calibri" w:hAnsi="Calibri" w:cs="Calibri"/>
                        <w:noProof/>
                        <w:color w:val="FF0000"/>
                        <w:sz w:val="28"/>
                        <w:szCs w:val="28"/>
                      </w:rPr>
                      <w:t>UNOFFICIAL</w:t>
                    </w:r>
                  </w:p>
                </w:txbxContent>
              </v:textbox>
              <w10:wrap anchorx="page" anchory="page"/>
            </v:shape>
          </w:pict>
        </mc:Fallback>
      </mc:AlternateContent>
    </w:r>
  </w:p>
  <w:p w14:paraId="3BD188BF" w14:textId="27F18C14" w:rsidR="00A82887" w:rsidRPr="001D659E" w:rsidRDefault="00A82887" w:rsidP="00273101">
    <w:pPr>
      <w:pStyle w:val="Footer"/>
      <w:tabs>
        <w:tab w:val="clear" w:pos="4513"/>
        <w:tab w:val="clear" w:pos="9026"/>
        <w:tab w:val="right" w:pos="9781"/>
      </w:tabs>
      <w:spacing w:after="160"/>
      <w:ind w:right="-3289"/>
    </w:pPr>
    <w:r>
      <w:tab/>
    </w:r>
    <w:r w:rsidRPr="5F1E10D4">
      <w:rPr>
        <w:sz w:val="18"/>
        <w:szCs w:val="18"/>
        <w:lang w:val="en-U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0D758" w14:textId="6C04B0CB" w:rsidR="00A82887" w:rsidRDefault="008D6932">
    <w:pPr>
      <w:pStyle w:val="Footer"/>
    </w:pPr>
    <w:r>
      <w:rPr>
        <w:noProof/>
      </w:rPr>
      <mc:AlternateContent>
        <mc:Choice Requires="wps">
          <w:drawing>
            <wp:anchor distT="0" distB="0" distL="0" distR="0" simplePos="0" relativeHeight="251679744" behindDoc="0" locked="0" layoutInCell="1" allowOverlap="1" wp14:anchorId="0AFF57C2" wp14:editId="7DBC2759">
              <wp:simplePos x="635" y="635"/>
              <wp:positionH relativeFrom="page">
                <wp:align>center</wp:align>
              </wp:positionH>
              <wp:positionV relativeFrom="page">
                <wp:align>bottom</wp:align>
              </wp:positionV>
              <wp:extent cx="872490" cy="458470"/>
              <wp:effectExtent l="0" t="0" r="3810" b="0"/>
              <wp:wrapNone/>
              <wp:docPr id="1512244742" name="Text Box 22"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72490" cy="458470"/>
                      </a:xfrm>
                      <a:prstGeom prst="rect">
                        <a:avLst/>
                      </a:prstGeom>
                      <a:solidFill>
                        <a:prstClr val="white"/>
                      </a:solidFill>
                      <a:ln>
                        <a:noFill/>
                      </a:ln>
                    </wps:spPr>
                    <wps:txbx>
                      <w:txbxContent>
                        <w:p w14:paraId="391EDBA9" w14:textId="6FDDBDE1" w:rsidR="008D6932" w:rsidRPr="008D6932" w:rsidRDefault="008D6932" w:rsidP="008D6932">
                          <w:pPr>
                            <w:spacing w:after="0"/>
                            <w:rPr>
                              <w:rFonts w:ascii="Calibri" w:eastAsia="Calibri" w:hAnsi="Calibri" w:cs="Calibri"/>
                              <w:noProof/>
                              <w:color w:val="FF0000"/>
                              <w:sz w:val="28"/>
                              <w:szCs w:val="28"/>
                            </w:rPr>
                          </w:pPr>
                          <w:r w:rsidRPr="008D6932">
                            <w:rPr>
                              <w:rFonts w:ascii="Calibri" w:eastAsia="Calibri" w:hAnsi="Calibri" w:cs="Calibri"/>
                              <w:noProof/>
                              <w:color w:val="FF0000"/>
                              <w:sz w:val="28"/>
                              <w:szCs w:val="28"/>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FF57C2" id="_x0000_t202" coordsize="21600,21600" o:spt="202" path="m,l,21600r21600,l21600,xe">
              <v:stroke joinstyle="miter"/>
              <v:path gradientshapeok="t" o:connecttype="rect"/>
            </v:shapetype>
            <v:shape id="Text Box 22" o:spid="_x0000_s1033" type="#_x0000_t202" alt="UNOFFICIAL" style="position:absolute;margin-left:0;margin-top:0;width:68.7pt;height:36.1pt;z-index:251679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" stroked="f">
              <v:textbox style="mso-fit-shape-to-text:t" inset="0,0,0,15pt">
                <w:txbxContent>
                  <w:p w14:paraId="391EDBA9" w14:textId="6FDDBDE1" w:rsidR="008D6932" w:rsidRPr="008D6932" w:rsidRDefault="008D6932" w:rsidP="008D6932">
                    <w:pPr>
                      <w:spacing w:after="0"/>
                      <w:rPr>
                        <w:rFonts w:ascii="Calibri" w:eastAsia="Calibri" w:hAnsi="Calibri" w:cs="Calibri"/>
                        <w:noProof/>
                        <w:color w:val="FF0000"/>
                        <w:sz w:val="28"/>
                        <w:szCs w:val="28"/>
                      </w:rPr>
                    </w:pPr>
                    <w:r w:rsidRPr="008D6932">
                      <w:rPr>
                        <w:rFonts w:ascii="Calibri" w:eastAsia="Calibri" w:hAnsi="Calibri" w:cs="Calibri"/>
                        <w:noProof/>
                        <w:color w:val="FF0000"/>
                        <w:sz w:val="28"/>
                        <w:szCs w:val="28"/>
                      </w:rPr>
                      <w:t>UNOFFICIAL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7F150" w14:textId="059D25AB" w:rsidR="00A82887" w:rsidRDefault="008D6932" w:rsidP="000E7192">
    <w:pPr>
      <w:pStyle w:val="Footer"/>
      <w:spacing w:before="720"/>
      <w:jc w:val="right"/>
    </w:pPr>
    <w:r>
      <w:rPr>
        <w:noProof/>
      </w:rPr>
      <mc:AlternateContent>
        <mc:Choice Requires="wps">
          <w:drawing>
            <wp:anchor distT="0" distB="0" distL="0" distR="0" simplePos="0" relativeHeight="251683840" behindDoc="0" locked="0" layoutInCell="1" allowOverlap="1" wp14:anchorId="78BABD53" wp14:editId="274D98F1">
              <wp:simplePos x="635" y="635"/>
              <wp:positionH relativeFrom="page">
                <wp:align>center</wp:align>
              </wp:positionH>
              <wp:positionV relativeFrom="page">
                <wp:align>bottom</wp:align>
              </wp:positionV>
              <wp:extent cx="872490" cy="458470"/>
              <wp:effectExtent l="0" t="0" r="3810" b="0"/>
              <wp:wrapNone/>
              <wp:docPr id="1582795357" name="Text Box 26"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72490" cy="458470"/>
                      </a:xfrm>
                      <a:prstGeom prst="rect">
                        <a:avLst/>
                      </a:prstGeom>
                      <a:solidFill>
                        <a:prstClr val="white"/>
                      </a:solidFill>
                      <a:ln>
                        <a:noFill/>
                      </a:ln>
                    </wps:spPr>
                    <wps:txbx>
                      <w:txbxContent>
                        <w:p w14:paraId="6616BEAE" w14:textId="119E16CB" w:rsidR="008D6932" w:rsidRPr="008D6932" w:rsidRDefault="008D6932" w:rsidP="008D6932">
                          <w:pPr>
                            <w:spacing w:after="0"/>
                            <w:rPr>
                              <w:rFonts w:ascii="Calibri" w:eastAsia="Calibri" w:hAnsi="Calibri" w:cs="Calibri"/>
                              <w:noProof/>
                              <w:color w:val="FF0000"/>
                              <w:sz w:val="28"/>
                              <w:szCs w:val="28"/>
                            </w:rPr>
                          </w:pPr>
                          <w:r w:rsidRPr="008D6932">
                            <w:rPr>
                              <w:rFonts w:ascii="Calibri" w:eastAsia="Calibri" w:hAnsi="Calibri" w:cs="Calibri"/>
                              <w:noProof/>
                              <w:color w:val="FF0000"/>
                              <w:sz w:val="28"/>
                              <w:szCs w:val="28"/>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BABD53" id="_x0000_t202" coordsize="21600,21600" o:spt="202" path="m,l,21600r21600,l21600,xe">
              <v:stroke joinstyle="miter"/>
              <v:path gradientshapeok="t" o:connecttype="rect"/>
            </v:shapetype>
            <v:shape id="Text Box 26" o:spid="_x0000_s1035" type="#_x0000_t202" alt="UNOFFICIAL" style="position:absolute;left:0;text-align:left;margin-left:0;margin-top:0;width:68.7pt;height:36.1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" stroked="f">
              <v:textbox style="mso-fit-shape-to-text:t" inset="0,0,0,15pt">
                <w:txbxContent>
                  <w:p w14:paraId="6616BEAE" w14:textId="119E16CB" w:rsidR="008D6932" w:rsidRPr="008D6932" w:rsidRDefault="008D6932" w:rsidP="008D6932">
                    <w:pPr>
                      <w:spacing w:after="0"/>
                      <w:rPr>
                        <w:rFonts w:ascii="Calibri" w:eastAsia="Calibri" w:hAnsi="Calibri" w:cs="Calibri"/>
                        <w:noProof/>
                        <w:color w:val="FF0000"/>
                        <w:sz w:val="28"/>
                        <w:szCs w:val="28"/>
                      </w:rPr>
                    </w:pPr>
                    <w:r w:rsidRPr="008D6932">
                      <w:rPr>
                        <w:rFonts w:ascii="Calibri" w:eastAsia="Calibri" w:hAnsi="Calibri" w:cs="Calibri"/>
                        <w:noProof/>
                        <w:color w:val="FF0000"/>
                        <w:sz w:val="28"/>
                        <w:szCs w:val="28"/>
                      </w:rPr>
                      <w:t>UNOFFICIAL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CFCBC" w14:textId="5DD87FAD" w:rsidR="00A82887" w:rsidRDefault="00A82887" w:rsidP="009F2B56">
    <w:pPr>
      <w:pStyle w:val="Footer"/>
      <w:jc w:val="right"/>
    </w:pPr>
    <w:r w:rsidRPr="5F1E10D4">
      <w:rPr>
        <w:sz w:val="18"/>
        <w:szCs w:val="18"/>
        <w:lang w:val="en-US"/>
      </w:rPr>
      <w:t xml:space="preserve">Page </w:t>
    </w:r>
    <w:r w:rsidRPr="5F1E10D4">
      <w:rPr>
        <w:noProof/>
        <w:sz w:val="18"/>
        <w:szCs w:val="18"/>
        <w:lang w:val="en-US"/>
      </w:rPr>
      <w:fldChar w:fldCharType="begin"/>
    </w:r>
    <w:r w:rsidRPr="5F1E10D4">
      <w:rPr>
        <w:sz w:val="18"/>
        <w:szCs w:val="18"/>
        <w:lang w:val="en-US"/>
      </w:rPr>
      <w:instrText xml:space="preserve"> PAGE   \* MERGEFORMAT </w:instrText>
    </w:r>
    <w:r w:rsidRPr="5F1E10D4">
      <w:rPr>
        <w:sz w:val="18"/>
        <w:szCs w:val="18"/>
        <w:lang w:val="en-US"/>
      </w:rPr>
      <w:fldChar w:fldCharType="separate"/>
    </w:r>
    <w:r>
      <w:rPr>
        <w:sz w:val="18"/>
        <w:szCs w:val="18"/>
        <w:lang w:val="en-US"/>
      </w:rPr>
      <w:t>1</w:t>
    </w:r>
    <w:r w:rsidRPr="5F1E10D4">
      <w:rPr>
        <w:noProof/>
        <w:sz w:val="18"/>
        <w:szCs w:val="18"/>
        <w:lang w:val="en-US"/>
      </w:rPr>
      <w:fldChar w:fldCharType="end"/>
    </w:r>
    <w:r w:rsidRPr="5F1E10D4">
      <w:rPr>
        <w:noProof/>
        <w:sz w:val="18"/>
        <w:szCs w:val="18"/>
        <w:lang w:val="en-US"/>
      </w:rPr>
      <w:t xml:space="preserve"> of </w:t>
    </w:r>
    <w:r w:rsidRPr="5F1E10D4">
      <w:rPr>
        <w:noProof/>
        <w:sz w:val="18"/>
        <w:szCs w:val="18"/>
        <w:lang w:val="en-US"/>
      </w:rPr>
      <w:fldChar w:fldCharType="begin"/>
    </w:r>
    <w:r w:rsidRPr="5F1E10D4">
      <w:rPr>
        <w:noProof/>
        <w:sz w:val="18"/>
        <w:szCs w:val="18"/>
        <w:lang w:val="en-US"/>
      </w:rPr>
      <w:instrText xml:space="preserve"> NUMPAGES   \* MERGEFORMAT </w:instrText>
    </w:r>
    <w:r w:rsidRPr="5F1E10D4">
      <w:rPr>
        <w:noProof/>
        <w:sz w:val="18"/>
        <w:szCs w:val="18"/>
        <w:lang w:val="en-US"/>
      </w:rPr>
      <w:fldChar w:fldCharType="separate"/>
    </w:r>
    <w:r>
      <w:rPr>
        <w:noProof/>
        <w:sz w:val="18"/>
        <w:szCs w:val="18"/>
        <w:lang w:val="en-US"/>
      </w:rPr>
      <w:t>13</w:t>
    </w:r>
    <w:r w:rsidRPr="5F1E10D4">
      <w:rPr>
        <w:noProof/>
        <w:sz w:val="18"/>
        <w:szCs w:val="18"/>
        <w:lang w:val="en-U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2602A" w14:textId="59226FF4" w:rsidR="00A82887" w:rsidRDefault="008D6932" w:rsidP="000E7192">
    <w:pPr>
      <w:pStyle w:val="Footer"/>
      <w:spacing w:before="720"/>
    </w:pPr>
    <w:r>
      <w:rPr>
        <w:noProof/>
        <w:lang w:eastAsia="en-AU"/>
      </w:rPr>
      <mc:AlternateContent>
        <mc:Choice Requires="wps">
          <w:drawing>
            <wp:anchor distT="0" distB="0" distL="0" distR="0" simplePos="0" relativeHeight="251682816" behindDoc="0" locked="0" layoutInCell="1" allowOverlap="1" wp14:anchorId="192DD875" wp14:editId="70928B54">
              <wp:simplePos x="635" y="635"/>
              <wp:positionH relativeFrom="page">
                <wp:align>center</wp:align>
              </wp:positionH>
              <wp:positionV relativeFrom="page">
                <wp:align>bottom</wp:align>
              </wp:positionV>
              <wp:extent cx="872490" cy="458470"/>
              <wp:effectExtent l="0" t="0" r="3810" b="0"/>
              <wp:wrapNone/>
              <wp:docPr id="401634791" name="Text Box 25"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72490" cy="458470"/>
                      </a:xfrm>
                      <a:prstGeom prst="rect">
                        <a:avLst/>
                      </a:prstGeom>
                      <a:solidFill>
                        <a:prstClr val="white"/>
                      </a:solidFill>
                      <a:ln>
                        <a:noFill/>
                      </a:ln>
                    </wps:spPr>
                    <wps:txbx>
                      <w:txbxContent>
                        <w:p w14:paraId="386C0A16" w14:textId="23CBD000" w:rsidR="008D6932" w:rsidRPr="008D6932" w:rsidRDefault="008D6932" w:rsidP="008D6932">
                          <w:pPr>
                            <w:spacing w:after="0"/>
                            <w:rPr>
                              <w:rFonts w:ascii="Calibri" w:eastAsia="Calibri" w:hAnsi="Calibri" w:cs="Calibri"/>
                              <w:noProof/>
                              <w:color w:val="FF0000"/>
                              <w:sz w:val="28"/>
                              <w:szCs w:val="28"/>
                            </w:rPr>
                          </w:pPr>
                          <w:r w:rsidRPr="008D6932">
                            <w:rPr>
                              <w:rFonts w:ascii="Calibri" w:eastAsia="Calibri" w:hAnsi="Calibri" w:cs="Calibri"/>
                              <w:noProof/>
                              <w:color w:val="FF0000"/>
                              <w:sz w:val="28"/>
                              <w:szCs w:val="28"/>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2DD875" id="_x0000_t202" coordsize="21600,21600" o:spt="202" path="m,l,21600r21600,l21600,xe">
              <v:stroke joinstyle="miter"/>
              <v:path gradientshapeok="t" o:connecttype="rect"/>
            </v:shapetype>
            <v:shape id="Text Box 25" o:spid="_x0000_s1037" type="#_x0000_t202" alt="UNOFFICIAL" style="position:absolute;margin-left:0;margin-top:0;width:68.7pt;height:36.1pt;z-index:2516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" stroked="f">
              <v:textbox style="mso-fit-shape-to-text:t" inset="0,0,0,15pt">
                <w:txbxContent>
                  <w:p w14:paraId="386C0A16" w14:textId="23CBD000" w:rsidR="008D6932" w:rsidRPr="008D6932" w:rsidRDefault="008D6932" w:rsidP="008D6932">
                    <w:pPr>
                      <w:spacing w:after="0"/>
                      <w:rPr>
                        <w:rFonts w:ascii="Calibri" w:eastAsia="Calibri" w:hAnsi="Calibri" w:cs="Calibri"/>
                        <w:noProof/>
                        <w:color w:val="FF0000"/>
                        <w:sz w:val="28"/>
                        <w:szCs w:val="28"/>
                      </w:rPr>
                    </w:pPr>
                    <w:r w:rsidRPr="008D6932">
                      <w:rPr>
                        <w:rFonts w:ascii="Calibri" w:eastAsia="Calibri" w:hAnsi="Calibri" w:cs="Calibri"/>
                        <w:noProof/>
                        <w:color w:val="FF0000"/>
                        <w:sz w:val="28"/>
                        <w:szCs w:val="28"/>
                      </w:rPr>
                      <w:t>UNOFFICIAL</w:t>
                    </w:r>
                  </w:p>
                </w:txbxContent>
              </v:textbox>
              <w10:wrap anchorx="page" anchory="page"/>
            </v:shape>
          </w:pict>
        </mc:Fallback>
      </mc:AlternateContent>
    </w:r>
    <w:r w:rsidR="00A82887">
      <w:rPr>
        <w:noProof/>
        <w:lang w:eastAsia="en-AU"/>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3D6B4" w14:textId="3C1B6038" w:rsidR="00A82887" w:rsidRDefault="008D6932" w:rsidP="009F2B56">
    <w:pPr>
      <w:pStyle w:val="Footer"/>
      <w:jc w:val="right"/>
    </w:pPr>
    <w:r>
      <w:rPr>
        <w:noProof/>
      </w:rPr>
      <mc:AlternateContent>
        <mc:Choice Requires="wps">
          <w:drawing>
            <wp:anchor distT="0" distB="0" distL="0" distR="0" simplePos="0" relativeHeight="251685888" behindDoc="0" locked="0" layoutInCell="1" allowOverlap="1" wp14:anchorId="01470E01" wp14:editId="4CFB21C0">
              <wp:simplePos x="635" y="635"/>
              <wp:positionH relativeFrom="page">
                <wp:align>center</wp:align>
              </wp:positionH>
              <wp:positionV relativeFrom="page">
                <wp:align>bottom</wp:align>
              </wp:positionV>
              <wp:extent cx="872490" cy="458470"/>
              <wp:effectExtent l="0" t="0" r="3810" b="0"/>
              <wp:wrapNone/>
              <wp:docPr id="1506916069" name="Text Box 28"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72490" cy="458470"/>
                      </a:xfrm>
                      <a:prstGeom prst="rect">
                        <a:avLst/>
                      </a:prstGeom>
                      <a:solidFill>
                        <a:prstClr val="white"/>
                      </a:solidFill>
                      <a:ln>
                        <a:noFill/>
                      </a:ln>
                    </wps:spPr>
                    <wps:txbx>
                      <w:txbxContent>
                        <w:p w14:paraId="3C9B9A65" w14:textId="387EEA39" w:rsidR="008D6932" w:rsidRPr="008D6932" w:rsidRDefault="008D6932" w:rsidP="008D6932">
                          <w:pPr>
                            <w:spacing w:after="0"/>
                            <w:rPr>
                              <w:rFonts w:ascii="Calibri" w:eastAsia="Calibri" w:hAnsi="Calibri" w:cs="Calibri"/>
                              <w:noProof/>
                              <w:color w:val="FF0000"/>
                              <w:sz w:val="28"/>
                              <w:szCs w:val="28"/>
                            </w:rPr>
                          </w:pPr>
                          <w:r w:rsidRPr="008D6932">
                            <w:rPr>
                              <w:rFonts w:ascii="Calibri" w:eastAsia="Calibri" w:hAnsi="Calibri" w:cs="Calibri"/>
                              <w:noProof/>
                              <w:color w:val="FF0000"/>
                              <w:sz w:val="28"/>
                              <w:szCs w:val="28"/>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470E01" id="_x0000_t202" coordsize="21600,21600" o:spt="202" path="m,l,21600r21600,l21600,xe">
              <v:stroke joinstyle="miter"/>
              <v:path gradientshapeok="t" o:connecttype="rect"/>
            </v:shapetype>
            <v:shape id="Text Box 28" o:spid="_x0000_s1039" type="#_x0000_t202" alt="UNOFFICIAL" style="position:absolute;left:0;text-align:left;margin-left:0;margin-top:0;width:68.7pt;height:36.1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" stroked="f">
              <v:textbox style="mso-fit-shape-to-text:t" inset="0,0,0,15pt">
                <w:txbxContent>
                  <w:p w14:paraId="3C9B9A65" w14:textId="387EEA39" w:rsidR="008D6932" w:rsidRPr="008D6932" w:rsidRDefault="008D6932" w:rsidP="008D6932">
                    <w:pPr>
                      <w:spacing w:after="0"/>
                      <w:rPr>
                        <w:rFonts w:ascii="Calibri" w:eastAsia="Calibri" w:hAnsi="Calibri" w:cs="Calibri"/>
                        <w:noProof/>
                        <w:color w:val="FF0000"/>
                        <w:sz w:val="28"/>
                        <w:szCs w:val="28"/>
                      </w:rPr>
                    </w:pPr>
                    <w:r w:rsidRPr="008D6932">
                      <w:rPr>
                        <w:rFonts w:ascii="Calibri" w:eastAsia="Calibri" w:hAnsi="Calibri" w:cs="Calibri"/>
                        <w:noProof/>
                        <w:color w:val="FF0000"/>
                        <w:sz w:val="28"/>
                        <w:szCs w:val="28"/>
                      </w:rPr>
                      <w:t>UNOFFICIAL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C7B1B7" w14:textId="77777777" w:rsidR="00A82887" w:rsidRDefault="00A82887" w:rsidP="00513E42">
      <w:pPr>
        <w:pStyle w:val="Sourcenotes"/>
      </w:pPr>
      <w:r w:rsidRPr="004063DE">
        <w:t>----------</w:t>
      </w:r>
    </w:p>
  </w:footnote>
  <w:footnote w:type="continuationSeparator" w:id="0">
    <w:p w14:paraId="4998B63E" w14:textId="77777777" w:rsidR="00A82887" w:rsidRDefault="00A82887" w:rsidP="00513E42">
      <w:pPr>
        <w:pStyle w:val="Sourcenotes"/>
      </w:pPr>
      <w:r>
        <w:continuationSeparator/>
      </w:r>
    </w:p>
  </w:footnote>
  <w:footnote w:type="continuationNotice" w:id="1">
    <w:p w14:paraId="0B8F294C" w14:textId="77777777" w:rsidR="00A82887" w:rsidRDefault="00A82887" w:rsidP="00513E42">
      <w:pPr>
        <w:pStyle w:val="Sourcenotes"/>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79FA2" w14:textId="5CE6D1BA" w:rsidR="00A82887" w:rsidRDefault="008D6932">
    <w:pPr>
      <w:pStyle w:val="Header"/>
    </w:pPr>
    <w:r>
      <w:rPr>
        <w:noProof/>
      </w:rPr>
      <mc:AlternateContent>
        <mc:Choice Requires="wps">
          <w:drawing>
            <wp:anchor distT="0" distB="0" distL="0" distR="0" simplePos="0" relativeHeight="251673600" behindDoc="0" locked="0" layoutInCell="1" allowOverlap="1" wp14:anchorId="1E08AB22" wp14:editId="4FF1C74C">
              <wp:simplePos x="635" y="635"/>
              <wp:positionH relativeFrom="page">
                <wp:align>center</wp:align>
              </wp:positionH>
              <wp:positionV relativeFrom="page">
                <wp:align>top</wp:align>
              </wp:positionV>
              <wp:extent cx="872490" cy="458470"/>
              <wp:effectExtent l="0" t="0" r="3810" b="0"/>
              <wp:wrapNone/>
              <wp:docPr id="537501226" name="Text Box 16"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72490" cy="458470"/>
                      </a:xfrm>
                      <a:prstGeom prst="rect">
                        <a:avLst/>
                      </a:prstGeom>
                      <a:solidFill>
                        <a:prstClr val="white"/>
                      </a:solidFill>
                      <a:ln>
                        <a:noFill/>
                      </a:ln>
                    </wps:spPr>
                    <wps:txbx>
                      <w:txbxContent>
                        <w:p w14:paraId="2625C96E" w14:textId="12AD406E" w:rsidR="008D6932" w:rsidRPr="008D6932" w:rsidRDefault="008D6932" w:rsidP="008D6932">
                          <w:pPr>
                            <w:spacing w:after="0"/>
                            <w:rPr>
                              <w:rFonts w:ascii="Calibri" w:eastAsia="Calibri" w:hAnsi="Calibri" w:cs="Calibri"/>
                              <w:noProof/>
                              <w:color w:val="FF0000"/>
                              <w:sz w:val="28"/>
                              <w:szCs w:val="28"/>
                            </w:rPr>
                          </w:pPr>
                          <w:r w:rsidRPr="008D6932">
                            <w:rPr>
                              <w:rFonts w:ascii="Calibri" w:eastAsia="Calibri" w:hAnsi="Calibri" w:cs="Calibri"/>
                              <w:noProof/>
                              <w:color w:val="FF0000"/>
                              <w:sz w:val="28"/>
                              <w:szCs w:val="28"/>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08AB22" id="_x0000_t202" coordsize="21600,21600" o:spt="202" path="m,l,21600r21600,l21600,xe">
              <v:stroke joinstyle="miter"/>
              <v:path gradientshapeok="t" o:connecttype="rect"/>
            </v:shapetype>
            <v:shape id="Text Box 16" o:spid="_x0000_s1029" type="#_x0000_t202" alt="UNOFFICIAL" style="position:absolute;left:0;text-align:left;margin-left:0;margin-top:0;width:68.7pt;height:36.1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" stroked="f">
              <v:textbox style="mso-fit-shape-to-text:t" inset="0,15pt,0,0">
                <w:txbxContent>
                  <w:p w14:paraId="2625C96E" w14:textId="12AD406E" w:rsidR="008D6932" w:rsidRPr="008D6932" w:rsidRDefault="008D6932" w:rsidP="008D6932">
                    <w:pPr>
                      <w:spacing w:after="0"/>
                      <w:rPr>
                        <w:rFonts w:ascii="Calibri" w:eastAsia="Calibri" w:hAnsi="Calibri" w:cs="Calibri"/>
                        <w:noProof/>
                        <w:color w:val="FF0000"/>
                        <w:sz w:val="28"/>
                        <w:szCs w:val="28"/>
                      </w:rPr>
                    </w:pPr>
                    <w:r w:rsidRPr="008D6932">
                      <w:rPr>
                        <w:rFonts w:ascii="Calibri" w:eastAsia="Calibri" w:hAnsi="Calibri" w:cs="Calibri"/>
                        <w:noProof/>
                        <w:color w:val="FF0000"/>
                        <w:sz w:val="28"/>
                        <w:szCs w:val="28"/>
                      </w:rPr>
                      <w:t>UNOFFICIAL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25653" w14:textId="77777777" w:rsidR="00446BF7" w:rsidRDefault="00446B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38394" w14:textId="14A03BCD" w:rsidR="00A82887" w:rsidRDefault="008D6932">
    <w:pPr>
      <w:pStyle w:val="Header"/>
    </w:pPr>
    <w:r>
      <w:rPr>
        <w:noProof/>
      </w:rPr>
      <mc:AlternateContent>
        <mc:Choice Requires="wps">
          <w:drawing>
            <wp:anchor distT="0" distB="0" distL="0" distR="0" simplePos="0" relativeHeight="251672576" behindDoc="0" locked="0" layoutInCell="1" allowOverlap="1" wp14:anchorId="6222E330" wp14:editId="6805F9B9">
              <wp:simplePos x="635" y="635"/>
              <wp:positionH relativeFrom="page">
                <wp:align>center</wp:align>
              </wp:positionH>
              <wp:positionV relativeFrom="page">
                <wp:align>top</wp:align>
              </wp:positionV>
              <wp:extent cx="872490" cy="458470"/>
              <wp:effectExtent l="0" t="0" r="3810" b="0"/>
              <wp:wrapNone/>
              <wp:docPr id="1184327653" name="Text Box 15"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72490" cy="458470"/>
                      </a:xfrm>
                      <a:prstGeom prst="rect">
                        <a:avLst/>
                      </a:prstGeom>
                      <a:solidFill>
                        <a:prstClr val="white"/>
                      </a:solidFill>
                      <a:ln>
                        <a:noFill/>
                      </a:ln>
                    </wps:spPr>
                    <wps:txbx>
                      <w:txbxContent>
                        <w:p w14:paraId="1B665CA4" w14:textId="40FCD0BA" w:rsidR="008D6932" w:rsidRPr="008D6932" w:rsidRDefault="008D6932" w:rsidP="008D6932">
                          <w:pPr>
                            <w:spacing w:after="0"/>
                            <w:rPr>
                              <w:rFonts w:ascii="Calibri" w:eastAsia="Calibri" w:hAnsi="Calibri" w:cs="Calibri"/>
                              <w:noProof/>
                              <w:color w:val="FF0000"/>
                              <w:sz w:val="28"/>
                              <w:szCs w:val="28"/>
                            </w:rPr>
                          </w:pPr>
                          <w:r w:rsidRPr="008D6932">
                            <w:rPr>
                              <w:rFonts w:ascii="Calibri" w:eastAsia="Calibri" w:hAnsi="Calibri" w:cs="Calibri"/>
                              <w:noProof/>
                              <w:color w:val="FF0000"/>
                              <w:sz w:val="28"/>
                              <w:szCs w:val="28"/>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22E330" id="_x0000_t202" coordsize="21600,21600" o:spt="202" path="m,l,21600r21600,l21600,xe">
              <v:stroke joinstyle="miter"/>
              <v:path gradientshapeok="t" o:connecttype="rect"/>
            </v:shapetype>
            <v:shape id="Text Box 15" o:spid="_x0000_s1032" type="#_x0000_t202" alt="UNOFFICIAL" style="position:absolute;left:0;text-align:left;margin-left:0;margin-top:0;width:68.7pt;height:36.1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" stroked="f">
              <v:textbox style="mso-fit-shape-to-text:t" inset="0,15pt,0,0">
                <w:txbxContent>
                  <w:p w14:paraId="1B665CA4" w14:textId="40FCD0BA" w:rsidR="008D6932" w:rsidRPr="008D6932" w:rsidRDefault="008D6932" w:rsidP="008D6932">
                    <w:pPr>
                      <w:spacing w:after="0"/>
                      <w:rPr>
                        <w:rFonts w:ascii="Calibri" w:eastAsia="Calibri" w:hAnsi="Calibri" w:cs="Calibri"/>
                        <w:noProof/>
                        <w:color w:val="FF0000"/>
                        <w:sz w:val="28"/>
                        <w:szCs w:val="28"/>
                      </w:rPr>
                    </w:pPr>
                    <w:r w:rsidRPr="008D6932">
                      <w:rPr>
                        <w:rFonts w:ascii="Calibri" w:eastAsia="Calibri" w:hAnsi="Calibri" w:cs="Calibri"/>
                        <w:noProof/>
                        <w:color w:val="FF0000"/>
                        <w:sz w:val="28"/>
                        <w:szCs w:val="28"/>
                      </w:rPr>
                      <w:t>UNOFFICIAL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E4CAF" w14:textId="607E3405" w:rsidR="00A82887" w:rsidRDefault="008D6932" w:rsidP="000E7192">
    <w:pPr>
      <w:pStyle w:val="Header"/>
      <w:spacing w:after="1320"/>
      <w:jc w:val="left"/>
    </w:pPr>
    <w:r>
      <w:rPr>
        <w:noProof/>
      </w:rPr>
      <mc:AlternateContent>
        <mc:Choice Requires="wps">
          <w:drawing>
            <wp:anchor distT="0" distB="0" distL="0" distR="0" simplePos="0" relativeHeight="251676672" behindDoc="0" locked="0" layoutInCell="1" allowOverlap="1" wp14:anchorId="649E7E07" wp14:editId="621F033B">
              <wp:simplePos x="635" y="635"/>
              <wp:positionH relativeFrom="page">
                <wp:align>center</wp:align>
              </wp:positionH>
              <wp:positionV relativeFrom="page">
                <wp:align>top</wp:align>
              </wp:positionV>
              <wp:extent cx="872490" cy="458470"/>
              <wp:effectExtent l="0" t="0" r="3810" b="0"/>
              <wp:wrapNone/>
              <wp:docPr id="1111199661" name="Text Box 19"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72490" cy="458470"/>
                      </a:xfrm>
                      <a:prstGeom prst="rect">
                        <a:avLst/>
                      </a:prstGeom>
                      <a:solidFill>
                        <a:prstClr val="white"/>
                      </a:solidFill>
                      <a:ln>
                        <a:noFill/>
                      </a:ln>
                    </wps:spPr>
                    <wps:txbx>
                      <w:txbxContent>
                        <w:p w14:paraId="08C24F3D" w14:textId="216680E6" w:rsidR="008D6932" w:rsidRPr="008D6932" w:rsidRDefault="008D6932" w:rsidP="008D6932">
                          <w:pPr>
                            <w:spacing w:after="0"/>
                            <w:rPr>
                              <w:rFonts w:ascii="Calibri" w:eastAsia="Calibri" w:hAnsi="Calibri" w:cs="Calibri"/>
                              <w:noProof/>
                              <w:color w:val="FF0000"/>
                              <w:sz w:val="28"/>
                              <w:szCs w:val="28"/>
                            </w:rPr>
                          </w:pPr>
                          <w:r w:rsidRPr="008D6932">
                            <w:rPr>
                              <w:rFonts w:ascii="Calibri" w:eastAsia="Calibri" w:hAnsi="Calibri" w:cs="Calibri"/>
                              <w:noProof/>
                              <w:color w:val="FF0000"/>
                              <w:sz w:val="28"/>
                              <w:szCs w:val="28"/>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9E7E07" id="_x0000_t202" coordsize="21600,21600" o:spt="202" path="m,l,21600r21600,l21600,xe">
              <v:stroke joinstyle="miter"/>
              <v:path gradientshapeok="t" o:connecttype="rect"/>
            </v:shapetype>
            <v:shape id="Text Box 19" o:spid="_x0000_s1034" type="#_x0000_t202" alt="UNOFFICIAL" style="position:absolute;margin-left:0;margin-top:0;width:68.7pt;height:36.1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" stroked="f">
              <v:textbox style="mso-fit-shape-to-text:t" inset="0,15pt,0,0">
                <w:txbxContent>
                  <w:p w14:paraId="08C24F3D" w14:textId="216680E6" w:rsidR="008D6932" w:rsidRPr="008D6932" w:rsidRDefault="008D6932" w:rsidP="008D6932">
                    <w:pPr>
                      <w:spacing w:after="0"/>
                      <w:rPr>
                        <w:rFonts w:ascii="Calibri" w:eastAsia="Calibri" w:hAnsi="Calibri" w:cs="Calibri"/>
                        <w:noProof/>
                        <w:color w:val="FF0000"/>
                        <w:sz w:val="28"/>
                        <w:szCs w:val="28"/>
                      </w:rPr>
                    </w:pPr>
                    <w:r w:rsidRPr="008D6932">
                      <w:rPr>
                        <w:rFonts w:ascii="Calibri" w:eastAsia="Calibri" w:hAnsi="Calibri" w:cs="Calibri"/>
                        <w:noProof/>
                        <w:color w:val="FF0000"/>
                        <w:sz w:val="28"/>
                        <w:szCs w:val="28"/>
                      </w:rPr>
                      <w:t>UNOFFICIAL</w:t>
                    </w:r>
                  </w:p>
                </w:txbxContent>
              </v:textbox>
              <w10:wrap anchorx="page" anchory="page"/>
            </v:shape>
          </w:pict>
        </mc:Fallback>
      </mc:AlternateContent>
    </w:r>
    <w:r w:rsidR="00A82887">
      <w:fldChar w:fldCharType="begin"/>
    </w:r>
    <w:r w:rsidR="00A82887">
      <w:instrText>STYLEREF  "Heading 1" \l  \* MERGEFORMAT</w:instrText>
    </w:r>
    <w:r w:rsidR="00A82887">
      <w:fldChar w:fldCharType="separate"/>
    </w:r>
    <w:r w:rsidR="00A82887" w:rsidRPr="00FF0AE5">
      <w:rPr>
        <w:b/>
        <w:bCs/>
        <w:noProof/>
        <w:lang w:val="en-US"/>
      </w:rPr>
      <w:t>Northern Australia Action Plan 2024–2029:</w:t>
    </w:r>
    <w:r w:rsidR="00A82887" w:rsidRPr="00FF0AE5">
      <w:rPr>
        <w:b/>
        <w:bCs/>
        <w:noProof/>
        <w:lang w:val="en-US"/>
      </w:rPr>
      <w:br/>
      <w:t xml:space="preserve">Annual Progress </w:t>
    </w:r>
    <w:r w:rsidR="00A82887">
      <w:rPr>
        <w:noProof/>
      </w:rPr>
      <w:t>Report 2025</w:t>
    </w:r>
    <w:r w:rsidR="00A82887">
      <w:rPr>
        <w:noProof/>
      </w:rPr>
      <w:fldChar w:fldCharType="end"/>
    </w:r>
    <w:r w:rsidR="00A82887">
      <w:fldChar w:fldCharType="begin"/>
    </w:r>
    <w:r w:rsidR="00A82887">
      <w:instrText>STYLEREF  "Heading 1" \l  \* MERGEFORMAT</w:instrText>
    </w:r>
    <w:r w:rsidR="00A82887">
      <w:fldChar w:fldCharType="separate"/>
    </w:r>
    <w:r w:rsidR="00A82887" w:rsidRPr="00FF0AE5">
      <w:rPr>
        <w:b/>
        <w:bCs/>
        <w:noProof/>
        <w:lang w:val="en-US"/>
      </w:rPr>
      <w:t>Northern Australia Action Plan 2024–2029:</w:t>
    </w:r>
    <w:r w:rsidR="00A82887" w:rsidRPr="00FF0AE5">
      <w:rPr>
        <w:b/>
        <w:bCs/>
        <w:noProof/>
        <w:lang w:val="en-US"/>
      </w:rPr>
      <w:br/>
      <w:t xml:space="preserve">Annual Progress </w:t>
    </w:r>
    <w:r w:rsidR="00A82887">
      <w:rPr>
        <w:noProof/>
      </w:rPr>
      <w:t>Report 2025</w:t>
    </w:r>
    <w:r w:rsidR="00A82887">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58A7D" w14:textId="57DF9A5F" w:rsidR="00A82887" w:rsidRPr="005518B6" w:rsidRDefault="00A82887" w:rsidP="004A09D1">
    <w:pPr>
      <w:jc w:val="right"/>
    </w:pPr>
    <w:r w:rsidRPr="005518B6">
      <w:rPr>
        <w:sz w:val="18"/>
        <w:szCs w:val="18"/>
      </w:rPr>
      <w:fldChar w:fldCharType="begin"/>
    </w:r>
    <w:r w:rsidRPr="005518B6">
      <w:rPr>
        <w:sz w:val="18"/>
        <w:szCs w:val="18"/>
      </w:rPr>
      <w:instrText xml:space="preserve"> STYLEREF  "Heading 1" \l  \* MERGEFORMAT </w:instrText>
    </w:r>
    <w:r w:rsidRPr="005518B6">
      <w:rPr>
        <w:sz w:val="18"/>
        <w:szCs w:val="18"/>
      </w:rPr>
      <w:fldChar w:fldCharType="separate"/>
    </w:r>
    <w:r w:rsidR="00446BF7" w:rsidRPr="00446BF7">
      <w:rPr>
        <w:noProof/>
        <w:sz w:val="18"/>
        <w:szCs w:val="18"/>
        <w:lang w:val="en-US"/>
      </w:rPr>
      <w:t>Northern Australia Action Plan 2024–2029:</w:t>
    </w:r>
    <w:r w:rsidR="00446BF7" w:rsidRPr="00446BF7">
      <w:rPr>
        <w:noProof/>
        <w:sz w:val="18"/>
        <w:lang w:val="en-US"/>
      </w:rPr>
      <w:br/>
    </w:r>
    <w:r w:rsidR="00446BF7" w:rsidRPr="00446BF7">
      <w:rPr>
        <w:noProof/>
        <w:sz w:val="18"/>
        <w:szCs w:val="18"/>
        <w:lang w:val="en-US"/>
      </w:rPr>
      <w:t xml:space="preserve">Annual Progress </w:t>
    </w:r>
    <w:r w:rsidR="00446BF7">
      <w:rPr>
        <w:noProof/>
        <w:sz w:val="18"/>
        <w:szCs w:val="18"/>
      </w:rPr>
      <w:t>Report 2025</w:t>
    </w:r>
    <w:r w:rsidRPr="005518B6">
      <w:rPr>
        <w:sz w:val="18"/>
        <w:szCs w:val="1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5B307" w14:textId="0A9E4C51" w:rsidR="00A82887" w:rsidRPr="00201F2D" w:rsidRDefault="008D6932" w:rsidP="000E7192">
    <w:pPr>
      <w:pStyle w:val="Header"/>
      <w:tabs>
        <w:tab w:val="left" w:pos="3720"/>
        <w:tab w:val="right" w:pos="9864"/>
      </w:tabs>
      <w:jc w:val="center"/>
      <w:rPr>
        <w:b/>
        <w:color w:val="FF0000"/>
        <w:sz w:val="20"/>
        <w:lang w:val="en-US"/>
      </w:rPr>
    </w:pPr>
    <w:r>
      <w:rPr>
        <w:b/>
        <w:noProof/>
        <w:color w:val="FF0000"/>
        <w:sz w:val="20"/>
        <w:lang w:val="en-US"/>
      </w:rPr>
      <mc:AlternateContent>
        <mc:Choice Requires="wps">
          <w:drawing>
            <wp:anchor distT="0" distB="0" distL="0" distR="0" simplePos="0" relativeHeight="251675648" behindDoc="0" locked="0" layoutInCell="1" allowOverlap="1" wp14:anchorId="75E267BC" wp14:editId="09566652">
              <wp:simplePos x="635" y="635"/>
              <wp:positionH relativeFrom="page">
                <wp:align>center</wp:align>
              </wp:positionH>
              <wp:positionV relativeFrom="page">
                <wp:align>top</wp:align>
              </wp:positionV>
              <wp:extent cx="872490" cy="458470"/>
              <wp:effectExtent l="0" t="0" r="3810" b="0"/>
              <wp:wrapNone/>
              <wp:docPr id="1756728383" name="Text Box 18"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72490" cy="458470"/>
                      </a:xfrm>
                      <a:prstGeom prst="rect">
                        <a:avLst/>
                      </a:prstGeom>
                      <a:solidFill>
                        <a:prstClr val="white"/>
                      </a:solidFill>
                      <a:ln>
                        <a:noFill/>
                      </a:ln>
                    </wps:spPr>
                    <wps:txbx>
                      <w:txbxContent>
                        <w:p w14:paraId="21D2AD9D" w14:textId="2A5B23C6" w:rsidR="008D6932" w:rsidRPr="008D6932" w:rsidRDefault="008D6932" w:rsidP="008D6932">
                          <w:pPr>
                            <w:spacing w:after="0"/>
                            <w:rPr>
                              <w:rFonts w:ascii="Calibri" w:eastAsia="Calibri" w:hAnsi="Calibri" w:cs="Calibri"/>
                              <w:noProof/>
                              <w:color w:val="FF0000"/>
                              <w:sz w:val="28"/>
                              <w:szCs w:val="28"/>
                            </w:rPr>
                          </w:pPr>
                          <w:r w:rsidRPr="008D6932">
                            <w:rPr>
                              <w:rFonts w:ascii="Calibri" w:eastAsia="Calibri" w:hAnsi="Calibri" w:cs="Calibri"/>
                              <w:noProof/>
                              <w:color w:val="FF0000"/>
                              <w:sz w:val="28"/>
                              <w:szCs w:val="28"/>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E267BC" id="_x0000_t202" coordsize="21600,21600" o:spt="202" path="m,l,21600r21600,l21600,xe">
              <v:stroke joinstyle="miter"/>
              <v:path gradientshapeok="t" o:connecttype="rect"/>
            </v:shapetype>
            <v:shape id="Text Box 18" o:spid="_x0000_s1036" type="#_x0000_t202" alt="UNOFFICIAL" style="position:absolute;left:0;text-align:left;margin-left:0;margin-top:0;width:68.7pt;height:36.1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" stroked="f">
              <v:textbox style="mso-fit-shape-to-text:t" inset="0,15pt,0,0">
                <w:txbxContent>
                  <w:p w14:paraId="21D2AD9D" w14:textId="2A5B23C6" w:rsidR="008D6932" w:rsidRPr="008D6932" w:rsidRDefault="008D6932" w:rsidP="008D6932">
                    <w:pPr>
                      <w:spacing w:after="0"/>
                      <w:rPr>
                        <w:rFonts w:ascii="Calibri" w:eastAsia="Calibri" w:hAnsi="Calibri" w:cs="Calibri"/>
                        <w:noProof/>
                        <w:color w:val="FF0000"/>
                        <w:sz w:val="28"/>
                        <w:szCs w:val="28"/>
                      </w:rPr>
                    </w:pPr>
                    <w:r w:rsidRPr="008D6932">
                      <w:rPr>
                        <w:rFonts w:ascii="Calibri" w:eastAsia="Calibri" w:hAnsi="Calibri" w:cs="Calibri"/>
                        <w:noProof/>
                        <w:color w:val="FF0000"/>
                        <w:sz w:val="28"/>
                        <w:szCs w:val="28"/>
                      </w:rPr>
                      <w:t>UNOFFICIAL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3848C" w14:textId="6AD8503A" w:rsidR="00A82887" w:rsidRPr="005518B6" w:rsidRDefault="008D6932" w:rsidP="00CE5FC4">
    <w:r>
      <w:rPr>
        <w:noProof/>
      </w:rPr>
      <mc:AlternateContent>
        <mc:Choice Requires="wps">
          <w:drawing>
            <wp:anchor distT="0" distB="0" distL="0" distR="0" simplePos="0" relativeHeight="251678720" behindDoc="0" locked="0" layoutInCell="1" allowOverlap="1" wp14:anchorId="078AB9DC" wp14:editId="02A3ED9F">
              <wp:simplePos x="635" y="635"/>
              <wp:positionH relativeFrom="page">
                <wp:align>center</wp:align>
              </wp:positionH>
              <wp:positionV relativeFrom="page">
                <wp:align>top</wp:align>
              </wp:positionV>
              <wp:extent cx="872490" cy="458470"/>
              <wp:effectExtent l="0" t="0" r="3810" b="0"/>
              <wp:wrapNone/>
              <wp:docPr id="1935060821" name="Text Box 21"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72490" cy="458470"/>
                      </a:xfrm>
                      <a:prstGeom prst="rect">
                        <a:avLst/>
                      </a:prstGeom>
                      <a:solidFill>
                        <a:prstClr val="white"/>
                      </a:solidFill>
                      <a:ln>
                        <a:noFill/>
                      </a:ln>
                    </wps:spPr>
                    <wps:txbx>
                      <w:txbxContent>
                        <w:p w14:paraId="1E7607A9" w14:textId="3110AE0B" w:rsidR="008D6932" w:rsidRPr="008D6932" w:rsidRDefault="008D6932" w:rsidP="008D6932">
                          <w:pPr>
                            <w:spacing w:after="0"/>
                            <w:rPr>
                              <w:rFonts w:ascii="Calibri" w:eastAsia="Calibri" w:hAnsi="Calibri" w:cs="Calibri"/>
                              <w:noProof/>
                              <w:color w:val="FF0000"/>
                              <w:sz w:val="28"/>
                              <w:szCs w:val="28"/>
                            </w:rPr>
                          </w:pPr>
                          <w:r w:rsidRPr="008D6932">
                            <w:rPr>
                              <w:rFonts w:ascii="Calibri" w:eastAsia="Calibri" w:hAnsi="Calibri" w:cs="Calibri"/>
                              <w:noProof/>
                              <w:color w:val="FF0000"/>
                              <w:sz w:val="28"/>
                              <w:szCs w:val="28"/>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8AB9DC" id="_x0000_t202" coordsize="21600,21600" o:spt="202" path="m,l,21600r21600,l21600,xe">
              <v:stroke joinstyle="miter"/>
              <v:path gradientshapeok="t" o:connecttype="rect"/>
            </v:shapetype>
            <v:shape id="Text Box 21" o:spid="_x0000_s1038" type="#_x0000_t202" alt="UNOFFICIAL" style="position:absolute;margin-left:0;margin-top:0;width:68.7pt;height:36.1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" stroked="f">
              <v:textbox style="mso-fit-shape-to-text:t" inset="0,15pt,0,0">
                <w:txbxContent>
                  <w:p w14:paraId="1E7607A9" w14:textId="3110AE0B" w:rsidR="008D6932" w:rsidRPr="008D6932" w:rsidRDefault="008D6932" w:rsidP="008D6932">
                    <w:pPr>
                      <w:spacing w:after="0"/>
                      <w:rPr>
                        <w:rFonts w:ascii="Calibri" w:eastAsia="Calibri" w:hAnsi="Calibri" w:cs="Calibri"/>
                        <w:noProof/>
                        <w:color w:val="FF0000"/>
                        <w:sz w:val="28"/>
                        <w:szCs w:val="28"/>
                      </w:rPr>
                    </w:pPr>
                    <w:r w:rsidRPr="008D6932">
                      <w:rPr>
                        <w:rFonts w:ascii="Calibri" w:eastAsia="Calibri" w:hAnsi="Calibri" w:cs="Calibri"/>
                        <w:noProof/>
                        <w:color w:val="FF0000"/>
                        <w:sz w:val="28"/>
                        <w:szCs w:val="28"/>
                      </w:rPr>
                      <w:t>UNOFFICIAL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552B9"/>
    <w:multiLevelType w:val="multilevel"/>
    <w:tmpl w:val="9C782298"/>
    <w:lvl w:ilvl="0">
      <w:start w:val="1"/>
      <w:numFmt w:val="decimal"/>
      <w:pStyle w:val="ListNumbered1"/>
      <w:lvlText w:val="%1."/>
      <w:lvlJc w:val="left"/>
      <w:pPr>
        <w:ind w:left="284" w:hanging="284"/>
      </w:pPr>
      <w:rPr>
        <w:rFonts w:hint="default"/>
        <w:b w:val="0"/>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D621AED"/>
    <w:multiLevelType w:val="multilevel"/>
    <w:tmpl w:val="4B5A47B2"/>
    <w:styleLink w:val="NumberedHeading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6F27CD0"/>
    <w:multiLevelType w:val="hybridMultilevel"/>
    <w:tmpl w:val="D97E3D32"/>
    <w:lvl w:ilvl="0" w:tplc="1114A8DA">
      <w:numFmt w:val="bullet"/>
      <w:pStyle w:val="ListParagraph"/>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622690"/>
    <w:multiLevelType w:val="multilevel"/>
    <w:tmpl w:val="555E7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62A3143"/>
    <w:multiLevelType w:val="hybridMultilevel"/>
    <w:tmpl w:val="C3EE2D94"/>
    <w:styleLink w:val="BoxedBullets"/>
    <w:lvl w:ilvl="0" w:tplc="FFFFFFFF">
      <w:start w:val="1"/>
      <w:numFmt w:val="bullet"/>
      <w:lvlText w:val=""/>
      <w:lvlJc w:val="left"/>
      <w:pPr>
        <w:ind w:left="720" w:hanging="360"/>
      </w:pPr>
      <w:rPr>
        <w:rFonts w:ascii="Symbol" w:hAnsi="Symbol" w:hint="default"/>
      </w:rPr>
    </w:lvl>
    <w:lvl w:ilvl="1" w:tplc="0C090003" w:tentative="1">
      <w:start w:val="1"/>
      <w:numFmt w:val="bullet"/>
      <w:pStyle w:val="Bullet2"/>
      <w:lvlText w:val="o"/>
      <w:lvlJc w:val="left"/>
      <w:pPr>
        <w:ind w:left="1440" w:hanging="360"/>
      </w:pPr>
      <w:rPr>
        <w:rFonts w:ascii="Courier New" w:hAnsi="Courier New" w:cs="Courier New" w:hint="default"/>
      </w:rPr>
    </w:lvl>
    <w:lvl w:ilvl="2" w:tplc="0C090005">
      <w:start w:val="1"/>
      <w:numFmt w:val="bullet"/>
      <w:pStyle w:val="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6AB7F71"/>
    <w:multiLevelType w:val="multilevel"/>
    <w:tmpl w:val="D5362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AA51938"/>
    <w:multiLevelType w:val="singleLevel"/>
    <w:tmpl w:val="C3B23ADA"/>
    <w:styleLink w:val="AppendixNumbers"/>
    <w:lvl w:ilvl="0">
      <w:start w:val="1"/>
      <w:numFmt w:val="decimal"/>
      <w:lvlText w:val="%1."/>
      <w:lvlJc w:val="left"/>
      <w:pPr>
        <w:tabs>
          <w:tab w:val="num" w:pos="360"/>
        </w:tabs>
        <w:ind w:left="360" w:hanging="360"/>
      </w:pPr>
    </w:lvl>
  </w:abstractNum>
  <w:abstractNum w:abstractNumId="7" w15:restartNumberingAfterBreak="0">
    <w:nsid w:val="3F166873"/>
    <w:multiLevelType w:val="singleLevel"/>
    <w:tmpl w:val="9C7CAF1C"/>
    <w:styleLink w:val="ListNumbered"/>
    <w:lvl w:ilvl="0">
      <w:start w:val="1"/>
      <w:numFmt w:val="bullet"/>
      <w:lvlText w:val=""/>
      <w:lvlJc w:val="left"/>
      <w:pPr>
        <w:tabs>
          <w:tab w:val="num" w:pos="1209"/>
        </w:tabs>
        <w:ind w:left="1209" w:hanging="360"/>
      </w:pPr>
      <w:rPr>
        <w:rFonts w:ascii="Symbol" w:hAnsi="Symbol" w:hint="default"/>
      </w:rPr>
    </w:lvl>
  </w:abstractNum>
  <w:abstractNum w:abstractNumId="8" w15:restartNumberingAfterBreak="0">
    <w:nsid w:val="59EC026B"/>
    <w:multiLevelType w:val="multilevel"/>
    <w:tmpl w:val="C8168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08F21F8"/>
    <w:multiLevelType w:val="hybridMultilevel"/>
    <w:tmpl w:val="26169718"/>
    <w:styleLink w:val="CurrentList1"/>
    <w:lvl w:ilvl="0" w:tplc="1A7C83C2">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0E7485E"/>
    <w:multiLevelType w:val="multilevel"/>
    <w:tmpl w:val="4A60A6AE"/>
    <w:styleLink w:val="AttachmentNumber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44B5353"/>
    <w:multiLevelType w:val="multilevel"/>
    <w:tmpl w:val="B8DED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51B0D15"/>
    <w:multiLevelType w:val="multilevel"/>
    <w:tmpl w:val="3D5AE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5456429"/>
    <w:multiLevelType w:val="multilevel"/>
    <w:tmpl w:val="F904BBF8"/>
    <w:styleLink w:val="ListLegal"/>
    <w:lvl w:ilvl="0">
      <w:start w:val="1"/>
      <w:numFmt w:val="bullet"/>
      <w:lvlText w:val=""/>
      <w:lvlJc w:val="left"/>
      <w:pPr>
        <w:ind w:left="567" w:hanging="283"/>
      </w:pPr>
      <w:rPr>
        <w:rFonts w:ascii="Symbol" w:hAnsi="Symbol" w:hint="default"/>
        <w:color w:val="auto"/>
      </w:rPr>
    </w:lvl>
    <w:lvl w:ilvl="1">
      <w:start w:val="1"/>
      <w:numFmt w:val="decimal"/>
      <w:pStyle w:val="Box3Number"/>
      <w:lvlText w:val="%2."/>
      <w:lvlJc w:val="left"/>
      <w:pPr>
        <w:ind w:left="567" w:hanging="283"/>
      </w:pPr>
      <w:rPr>
        <w:rFonts w:hint="default"/>
        <w:b/>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72531A6E"/>
    <w:multiLevelType w:val="multilevel"/>
    <w:tmpl w:val="4C92F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E554E84"/>
    <w:multiLevelType w:val="multilevel"/>
    <w:tmpl w:val="8FCE6D18"/>
    <w:styleLink w:val="Bullets"/>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1067336622">
    <w:abstractNumId w:val="15"/>
  </w:num>
  <w:num w:numId="2" w16cid:durableId="491793569">
    <w:abstractNumId w:val="7"/>
  </w:num>
  <w:num w:numId="3" w16cid:durableId="2134712409">
    <w:abstractNumId w:val="1"/>
  </w:num>
  <w:num w:numId="4" w16cid:durableId="1292437204">
    <w:abstractNumId w:val="6"/>
  </w:num>
  <w:num w:numId="5" w16cid:durableId="1266156410">
    <w:abstractNumId w:val="10"/>
  </w:num>
  <w:num w:numId="6" w16cid:durableId="1406952896">
    <w:abstractNumId w:val="0"/>
  </w:num>
  <w:num w:numId="7" w16cid:durableId="1561482872">
    <w:abstractNumId w:val="13"/>
  </w:num>
  <w:num w:numId="8" w16cid:durableId="1694453779">
    <w:abstractNumId w:val="9"/>
  </w:num>
  <w:num w:numId="9" w16cid:durableId="495419328">
    <w:abstractNumId w:val="4"/>
  </w:num>
  <w:num w:numId="10" w16cid:durableId="1232764707">
    <w:abstractNumId w:val="14"/>
  </w:num>
  <w:num w:numId="11" w16cid:durableId="1713767747">
    <w:abstractNumId w:val="3"/>
  </w:num>
  <w:num w:numId="12" w16cid:durableId="1116867859">
    <w:abstractNumId w:val="8"/>
  </w:num>
  <w:num w:numId="13" w16cid:durableId="243994427">
    <w:abstractNumId w:val="11"/>
  </w:num>
  <w:num w:numId="14" w16cid:durableId="1783256600">
    <w:abstractNumId w:val="2"/>
  </w:num>
  <w:num w:numId="15" w16cid:durableId="1859192602">
    <w:abstractNumId w:val="12"/>
  </w:num>
  <w:num w:numId="16" w16cid:durableId="1066605504">
    <w:abstractNumId w:val="2"/>
  </w:num>
  <w:num w:numId="17" w16cid:durableId="1285388753">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4"/>
  <w:documentProtection w:edit="readOnly" w:enforcement="1" w:cryptProviderType="rsaAES" w:cryptAlgorithmClass="hash" w:cryptAlgorithmType="typeAny" w:cryptAlgorithmSid="14" w:cryptSpinCount="100000" w:hash="lolqFPlFaEDqvY1Ku5203PX+aiBaEmLXmTOPZVGqGveE9oFozGpLWLEOVL+Gz8b+l7PGT+W+j1rAlrE0Fikf6Q==" w:salt="IyLyg+O+IBFaYohtXt2q4Q=="/>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D36"/>
    <w:rsid w:val="000004BD"/>
    <w:rsid w:val="000009AD"/>
    <w:rsid w:val="00000A8E"/>
    <w:rsid w:val="00000BB2"/>
    <w:rsid w:val="00000C05"/>
    <w:rsid w:val="00000E2A"/>
    <w:rsid w:val="00000EA0"/>
    <w:rsid w:val="00000FF0"/>
    <w:rsid w:val="0000119D"/>
    <w:rsid w:val="00001412"/>
    <w:rsid w:val="000014C8"/>
    <w:rsid w:val="00001574"/>
    <w:rsid w:val="00001A08"/>
    <w:rsid w:val="00001ADF"/>
    <w:rsid w:val="00001DAD"/>
    <w:rsid w:val="00002997"/>
    <w:rsid w:val="000031FF"/>
    <w:rsid w:val="000035D6"/>
    <w:rsid w:val="00004092"/>
    <w:rsid w:val="00004186"/>
    <w:rsid w:val="0000460D"/>
    <w:rsid w:val="0000479C"/>
    <w:rsid w:val="000047D8"/>
    <w:rsid w:val="000049BB"/>
    <w:rsid w:val="00004AF6"/>
    <w:rsid w:val="00004C44"/>
    <w:rsid w:val="00004D66"/>
    <w:rsid w:val="000050EE"/>
    <w:rsid w:val="0000524C"/>
    <w:rsid w:val="00005296"/>
    <w:rsid w:val="00005762"/>
    <w:rsid w:val="00005834"/>
    <w:rsid w:val="000059DB"/>
    <w:rsid w:val="00005B6F"/>
    <w:rsid w:val="00005CC6"/>
    <w:rsid w:val="00006226"/>
    <w:rsid w:val="00006420"/>
    <w:rsid w:val="000067B4"/>
    <w:rsid w:val="0000687F"/>
    <w:rsid w:val="000070CD"/>
    <w:rsid w:val="00007900"/>
    <w:rsid w:val="00007A3A"/>
    <w:rsid w:val="0001057A"/>
    <w:rsid w:val="00010AE7"/>
    <w:rsid w:val="00010D10"/>
    <w:rsid w:val="00010D32"/>
    <w:rsid w:val="00011125"/>
    <w:rsid w:val="00011190"/>
    <w:rsid w:val="000111F1"/>
    <w:rsid w:val="0001169B"/>
    <w:rsid w:val="000116DB"/>
    <w:rsid w:val="000118A0"/>
    <w:rsid w:val="00011B7E"/>
    <w:rsid w:val="00011FD6"/>
    <w:rsid w:val="0001240C"/>
    <w:rsid w:val="000127E4"/>
    <w:rsid w:val="00012D91"/>
    <w:rsid w:val="0001309F"/>
    <w:rsid w:val="000135E1"/>
    <w:rsid w:val="00013DFE"/>
    <w:rsid w:val="00014095"/>
    <w:rsid w:val="000140FE"/>
    <w:rsid w:val="00014118"/>
    <w:rsid w:val="0001430B"/>
    <w:rsid w:val="000145D0"/>
    <w:rsid w:val="0001462C"/>
    <w:rsid w:val="00014725"/>
    <w:rsid w:val="00014846"/>
    <w:rsid w:val="00015057"/>
    <w:rsid w:val="000153E6"/>
    <w:rsid w:val="0001573F"/>
    <w:rsid w:val="000157C3"/>
    <w:rsid w:val="00015B9B"/>
    <w:rsid w:val="00015C97"/>
    <w:rsid w:val="00015CC5"/>
    <w:rsid w:val="00015F38"/>
    <w:rsid w:val="000165D4"/>
    <w:rsid w:val="00016F7D"/>
    <w:rsid w:val="00016F99"/>
    <w:rsid w:val="0001707B"/>
    <w:rsid w:val="000172E1"/>
    <w:rsid w:val="00017F30"/>
    <w:rsid w:val="00020912"/>
    <w:rsid w:val="0002094E"/>
    <w:rsid w:val="00020C65"/>
    <w:rsid w:val="00020FCA"/>
    <w:rsid w:val="000214D3"/>
    <w:rsid w:val="00021515"/>
    <w:rsid w:val="00021DB1"/>
    <w:rsid w:val="000221F9"/>
    <w:rsid w:val="00022BA4"/>
    <w:rsid w:val="00022D37"/>
    <w:rsid w:val="00022E83"/>
    <w:rsid w:val="00023CB6"/>
    <w:rsid w:val="00023E57"/>
    <w:rsid w:val="00023EF0"/>
    <w:rsid w:val="00024117"/>
    <w:rsid w:val="0002422D"/>
    <w:rsid w:val="0002426C"/>
    <w:rsid w:val="000242B5"/>
    <w:rsid w:val="000242EF"/>
    <w:rsid w:val="000244F4"/>
    <w:rsid w:val="00024631"/>
    <w:rsid w:val="000247DC"/>
    <w:rsid w:val="00024834"/>
    <w:rsid w:val="000248F6"/>
    <w:rsid w:val="0002491F"/>
    <w:rsid w:val="0002495F"/>
    <w:rsid w:val="000254A3"/>
    <w:rsid w:val="00025606"/>
    <w:rsid w:val="00025A3F"/>
    <w:rsid w:val="00025CBA"/>
    <w:rsid w:val="00025CBB"/>
    <w:rsid w:val="00025E13"/>
    <w:rsid w:val="000263BF"/>
    <w:rsid w:val="00026ABC"/>
    <w:rsid w:val="00026F3F"/>
    <w:rsid w:val="00027425"/>
    <w:rsid w:val="000274B6"/>
    <w:rsid w:val="00027604"/>
    <w:rsid w:val="00027828"/>
    <w:rsid w:val="00027982"/>
    <w:rsid w:val="00027D70"/>
    <w:rsid w:val="00030132"/>
    <w:rsid w:val="0003013A"/>
    <w:rsid w:val="000304E0"/>
    <w:rsid w:val="00030547"/>
    <w:rsid w:val="00030A9B"/>
    <w:rsid w:val="00030DBC"/>
    <w:rsid w:val="000310AA"/>
    <w:rsid w:val="000311A7"/>
    <w:rsid w:val="00031684"/>
    <w:rsid w:val="0003191A"/>
    <w:rsid w:val="00031CA1"/>
    <w:rsid w:val="000321F8"/>
    <w:rsid w:val="00032F70"/>
    <w:rsid w:val="00033276"/>
    <w:rsid w:val="00033544"/>
    <w:rsid w:val="000335A8"/>
    <w:rsid w:val="0003398C"/>
    <w:rsid w:val="00033BDD"/>
    <w:rsid w:val="00033FEB"/>
    <w:rsid w:val="000342B7"/>
    <w:rsid w:val="000342CA"/>
    <w:rsid w:val="00034E47"/>
    <w:rsid w:val="00034F13"/>
    <w:rsid w:val="00034F6C"/>
    <w:rsid w:val="00035524"/>
    <w:rsid w:val="00035C4E"/>
    <w:rsid w:val="00035E78"/>
    <w:rsid w:val="00035FD9"/>
    <w:rsid w:val="000364E6"/>
    <w:rsid w:val="00036A4B"/>
    <w:rsid w:val="00036D9C"/>
    <w:rsid w:val="000371CB"/>
    <w:rsid w:val="000371E8"/>
    <w:rsid w:val="00037234"/>
    <w:rsid w:val="00037ED9"/>
    <w:rsid w:val="00037F13"/>
    <w:rsid w:val="00040308"/>
    <w:rsid w:val="00040C3B"/>
    <w:rsid w:val="00040F65"/>
    <w:rsid w:val="00041240"/>
    <w:rsid w:val="00041303"/>
    <w:rsid w:val="0004140C"/>
    <w:rsid w:val="00041608"/>
    <w:rsid w:val="00041617"/>
    <w:rsid w:val="00041BA8"/>
    <w:rsid w:val="00041E0F"/>
    <w:rsid w:val="00041E2D"/>
    <w:rsid w:val="00041E46"/>
    <w:rsid w:val="00041F58"/>
    <w:rsid w:val="000423A3"/>
    <w:rsid w:val="000424A4"/>
    <w:rsid w:val="00042799"/>
    <w:rsid w:val="00042A1E"/>
    <w:rsid w:val="00042D37"/>
    <w:rsid w:val="00042EA7"/>
    <w:rsid w:val="00043142"/>
    <w:rsid w:val="00043803"/>
    <w:rsid w:val="00043F89"/>
    <w:rsid w:val="000440F3"/>
    <w:rsid w:val="000446AE"/>
    <w:rsid w:val="0004487B"/>
    <w:rsid w:val="00044F45"/>
    <w:rsid w:val="00044F4B"/>
    <w:rsid w:val="000454A3"/>
    <w:rsid w:val="000456DE"/>
    <w:rsid w:val="000457FC"/>
    <w:rsid w:val="00045B14"/>
    <w:rsid w:val="00045C53"/>
    <w:rsid w:val="00045CF4"/>
    <w:rsid w:val="00045ECB"/>
    <w:rsid w:val="00046796"/>
    <w:rsid w:val="0004685D"/>
    <w:rsid w:val="00046977"/>
    <w:rsid w:val="00047056"/>
    <w:rsid w:val="0004726E"/>
    <w:rsid w:val="00047364"/>
    <w:rsid w:val="0004748C"/>
    <w:rsid w:val="00047585"/>
    <w:rsid w:val="000475A0"/>
    <w:rsid w:val="00047600"/>
    <w:rsid w:val="000476D2"/>
    <w:rsid w:val="000479AB"/>
    <w:rsid w:val="00047AA5"/>
    <w:rsid w:val="00047B75"/>
    <w:rsid w:val="00047F89"/>
    <w:rsid w:val="000500FA"/>
    <w:rsid w:val="00050161"/>
    <w:rsid w:val="000504B0"/>
    <w:rsid w:val="0005065B"/>
    <w:rsid w:val="00050663"/>
    <w:rsid w:val="00050B2D"/>
    <w:rsid w:val="0005118E"/>
    <w:rsid w:val="000515FC"/>
    <w:rsid w:val="000517ED"/>
    <w:rsid w:val="00051E75"/>
    <w:rsid w:val="00051F42"/>
    <w:rsid w:val="0005214F"/>
    <w:rsid w:val="000522F8"/>
    <w:rsid w:val="00052333"/>
    <w:rsid w:val="0005277B"/>
    <w:rsid w:val="000527B2"/>
    <w:rsid w:val="00052A74"/>
    <w:rsid w:val="00052A8E"/>
    <w:rsid w:val="00052BF1"/>
    <w:rsid w:val="00052C32"/>
    <w:rsid w:val="00052C96"/>
    <w:rsid w:val="000530E2"/>
    <w:rsid w:val="00053375"/>
    <w:rsid w:val="00053E9C"/>
    <w:rsid w:val="00053FDA"/>
    <w:rsid w:val="00054353"/>
    <w:rsid w:val="0005481B"/>
    <w:rsid w:val="000548E6"/>
    <w:rsid w:val="00054A84"/>
    <w:rsid w:val="00054B20"/>
    <w:rsid w:val="000551E5"/>
    <w:rsid w:val="00055A48"/>
    <w:rsid w:val="00055F38"/>
    <w:rsid w:val="00055FBD"/>
    <w:rsid w:val="000567EE"/>
    <w:rsid w:val="00056A86"/>
    <w:rsid w:val="00056D73"/>
    <w:rsid w:val="00056FA8"/>
    <w:rsid w:val="000570D4"/>
    <w:rsid w:val="000570E3"/>
    <w:rsid w:val="00057373"/>
    <w:rsid w:val="00057422"/>
    <w:rsid w:val="000574F6"/>
    <w:rsid w:val="00057A25"/>
    <w:rsid w:val="00057F2F"/>
    <w:rsid w:val="0006013A"/>
    <w:rsid w:val="00060306"/>
    <w:rsid w:val="000604CA"/>
    <w:rsid w:val="00060545"/>
    <w:rsid w:val="00060571"/>
    <w:rsid w:val="00060685"/>
    <w:rsid w:val="00060DF8"/>
    <w:rsid w:val="00060F73"/>
    <w:rsid w:val="00060FAB"/>
    <w:rsid w:val="000611E7"/>
    <w:rsid w:val="0006160F"/>
    <w:rsid w:val="00061B27"/>
    <w:rsid w:val="00061C0B"/>
    <w:rsid w:val="00062220"/>
    <w:rsid w:val="0006226D"/>
    <w:rsid w:val="0006250E"/>
    <w:rsid w:val="000627B3"/>
    <w:rsid w:val="00062A2E"/>
    <w:rsid w:val="0006307B"/>
    <w:rsid w:val="00063405"/>
    <w:rsid w:val="00063A2B"/>
    <w:rsid w:val="00063A67"/>
    <w:rsid w:val="00064366"/>
    <w:rsid w:val="00064449"/>
    <w:rsid w:val="000645FF"/>
    <w:rsid w:val="00064753"/>
    <w:rsid w:val="00064BEE"/>
    <w:rsid w:val="00064BF3"/>
    <w:rsid w:val="00064C25"/>
    <w:rsid w:val="00064CA4"/>
    <w:rsid w:val="00064DB0"/>
    <w:rsid w:val="00064FCA"/>
    <w:rsid w:val="0006552C"/>
    <w:rsid w:val="00065530"/>
    <w:rsid w:val="00065551"/>
    <w:rsid w:val="0006571B"/>
    <w:rsid w:val="00065FED"/>
    <w:rsid w:val="00066171"/>
    <w:rsid w:val="00066259"/>
    <w:rsid w:val="0006668C"/>
    <w:rsid w:val="00066B8F"/>
    <w:rsid w:val="0006706A"/>
    <w:rsid w:val="000670A9"/>
    <w:rsid w:val="00067477"/>
    <w:rsid w:val="00067628"/>
    <w:rsid w:val="000678C7"/>
    <w:rsid w:val="00067CC7"/>
    <w:rsid w:val="00067F61"/>
    <w:rsid w:val="000700AB"/>
    <w:rsid w:val="0007026A"/>
    <w:rsid w:val="0007034F"/>
    <w:rsid w:val="000706C0"/>
    <w:rsid w:val="00070BE1"/>
    <w:rsid w:val="00070CD4"/>
    <w:rsid w:val="000716B8"/>
    <w:rsid w:val="00071722"/>
    <w:rsid w:val="00071F43"/>
    <w:rsid w:val="0007245C"/>
    <w:rsid w:val="00072720"/>
    <w:rsid w:val="00073043"/>
    <w:rsid w:val="0007318D"/>
    <w:rsid w:val="000731B3"/>
    <w:rsid w:val="0007348D"/>
    <w:rsid w:val="00073CCD"/>
    <w:rsid w:val="00073F4B"/>
    <w:rsid w:val="00073FF3"/>
    <w:rsid w:val="000743F1"/>
    <w:rsid w:val="000745A9"/>
    <w:rsid w:val="0007499A"/>
    <w:rsid w:val="000749C1"/>
    <w:rsid w:val="00074B42"/>
    <w:rsid w:val="00074DA0"/>
    <w:rsid w:val="00074E02"/>
    <w:rsid w:val="00074F81"/>
    <w:rsid w:val="000756AE"/>
    <w:rsid w:val="00075968"/>
    <w:rsid w:val="000759E2"/>
    <w:rsid w:val="00075CF8"/>
    <w:rsid w:val="00075EAF"/>
    <w:rsid w:val="00075F5A"/>
    <w:rsid w:val="0007603B"/>
    <w:rsid w:val="00076503"/>
    <w:rsid w:val="00076768"/>
    <w:rsid w:val="00076A6B"/>
    <w:rsid w:val="00076AF9"/>
    <w:rsid w:val="00076B5E"/>
    <w:rsid w:val="0007707B"/>
    <w:rsid w:val="00077154"/>
    <w:rsid w:val="00077305"/>
    <w:rsid w:val="00077717"/>
    <w:rsid w:val="00077A8F"/>
    <w:rsid w:val="00080178"/>
    <w:rsid w:val="000802C6"/>
    <w:rsid w:val="00080315"/>
    <w:rsid w:val="0008063E"/>
    <w:rsid w:val="00080B2C"/>
    <w:rsid w:val="00080F0F"/>
    <w:rsid w:val="00081319"/>
    <w:rsid w:val="00081599"/>
    <w:rsid w:val="00081C9A"/>
    <w:rsid w:val="00081CB1"/>
    <w:rsid w:val="000821DB"/>
    <w:rsid w:val="0008229F"/>
    <w:rsid w:val="00082421"/>
    <w:rsid w:val="000827FA"/>
    <w:rsid w:val="00082C48"/>
    <w:rsid w:val="00082C98"/>
    <w:rsid w:val="00082CB8"/>
    <w:rsid w:val="00082D43"/>
    <w:rsid w:val="00082DB5"/>
    <w:rsid w:val="00082E69"/>
    <w:rsid w:val="0008318D"/>
    <w:rsid w:val="0008364B"/>
    <w:rsid w:val="000836B6"/>
    <w:rsid w:val="0008389F"/>
    <w:rsid w:val="00083C3D"/>
    <w:rsid w:val="00083EC0"/>
    <w:rsid w:val="00083F78"/>
    <w:rsid w:val="00083F99"/>
    <w:rsid w:val="00084034"/>
    <w:rsid w:val="000845BA"/>
    <w:rsid w:val="000849DE"/>
    <w:rsid w:val="00085136"/>
    <w:rsid w:val="00085298"/>
    <w:rsid w:val="00085622"/>
    <w:rsid w:val="0008569B"/>
    <w:rsid w:val="0008574D"/>
    <w:rsid w:val="00086378"/>
    <w:rsid w:val="000863C4"/>
    <w:rsid w:val="000864E1"/>
    <w:rsid w:val="000864F3"/>
    <w:rsid w:val="0008651C"/>
    <w:rsid w:val="000867C3"/>
    <w:rsid w:val="000868A6"/>
    <w:rsid w:val="0008694F"/>
    <w:rsid w:val="00086C0B"/>
    <w:rsid w:val="00086D0A"/>
    <w:rsid w:val="00087DF2"/>
    <w:rsid w:val="00090149"/>
    <w:rsid w:val="00090781"/>
    <w:rsid w:val="0009094E"/>
    <w:rsid w:val="00090975"/>
    <w:rsid w:val="00090E72"/>
    <w:rsid w:val="00091E63"/>
    <w:rsid w:val="00092073"/>
    <w:rsid w:val="00092516"/>
    <w:rsid w:val="00092626"/>
    <w:rsid w:val="00092693"/>
    <w:rsid w:val="000928BA"/>
    <w:rsid w:val="00092ADF"/>
    <w:rsid w:val="00092B56"/>
    <w:rsid w:val="000932EF"/>
    <w:rsid w:val="0009333F"/>
    <w:rsid w:val="00093533"/>
    <w:rsid w:val="00093681"/>
    <w:rsid w:val="000936A5"/>
    <w:rsid w:val="00093816"/>
    <w:rsid w:val="00093C79"/>
    <w:rsid w:val="0009412E"/>
    <w:rsid w:val="00094142"/>
    <w:rsid w:val="0009448E"/>
    <w:rsid w:val="00094B2B"/>
    <w:rsid w:val="00094C0A"/>
    <w:rsid w:val="00094E27"/>
    <w:rsid w:val="0009558C"/>
    <w:rsid w:val="00095773"/>
    <w:rsid w:val="000957D2"/>
    <w:rsid w:val="00095AAF"/>
    <w:rsid w:val="00095CD6"/>
    <w:rsid w:val="00095E7D"/>
    <w:rsid w:val="00095ED4"/>
    <w:rsid w:val="00096664"/>
    <w:rsid w:val="00096C43"/>
    <w:rsid w:val="00096C87"/>
    <w:rsid w:val="00096FB4"/>
    <w:rsid w:val="00097114"/>
    <w:rsid w:val="00097322"/>
    <w:rsid w:val="00097375"/>
    <w:rsid w:val="00097414"/>
    <w:rsid w:val="000976DD"/>
    <w:rsid w:val="000976E8"/>
    <w:rsid w:val="000979FA"/>
    <w:rsid w:val="00097C5F"/>
    <w:rsid w:val="00097C7C"/>
    <w:rsid w:val="000A00DC"/>
    <w:rsid w:val="000A0554"/>
    <w:rsid w:val="000A0802"/>
    <w:rsid w:val="000A085C"/>
    <w:rsid w:val="000A0DB6"/>
    <w:rsid w:val="000A0E14"/>
    <w:rsid w:val="000A10BE"/>
    <w:rsid w:val="000A124E"/>
    <w:rsid w:val="000A181E"/>
    <w:rsid w:val="000A18BF"/>
    <w:rsid w:val="000A19B6"/>
    <w:rsid w:val="000A1B6B"/>
    <w:rsid w:val="000A21C4"/>
    <w:rsid w:val="000A2785"/>
    <w:rsid w:val="000A3315"/>
    <w:rsid w:val="000A352F"/>
    <w:rsid w:val="000A3879"/>
    <w:rsid w:val="000A388C"/>
    <w:rsid w:val="000A4133"/>
    <w:rsid w:val="000A41C7"/>
    <w:rsid w:val="000A47C5"/>
    <w:rsid w:val="000A4A8B"/>
    <w:rsid w:val="000A5051"/>
    <w:rsid w:val="000A52BE"/>
    <w:rsid w:val="000A541D"/>
    <w:rsid w:val="000A5424"/>
    <w:rsid w:val="000A5493"/>
    <w:rsid w:val="000A5A6A"/>
    <w:rsid w:val="000A5A8A"/>
    <w:rsid w:val="000A5DC5"/>
    <w:rsid w:val="000A5F52"/>
    <w:rsid w:val="000A60A6"/>
    <w:rsid w:val="000A61AF"/>
    <w:rsid w:val="000A6820"/>
    <w:rsid w:val="000A6C61"/>
    <w:rsid w:val="000A6DB4"/>
    <w:rsid w:val="000A6DCD"/>
    <w:rsid w:val="000A70B9"/>
    <w:rsid w:val="000A77DA"/>
    <w:rsid w:val="000A7A0D"/>
    <w:rsid w:val="000A7ACC"/>
    <w:rsid w:val="000B08DE"/>
    <w:rsid w:val="000B0CEE"/>
    <w:rsid w:val="000B0D82"/>
    <w:rsid w:val="000B0DF0"/>
    <w:rsid w:val="000B0E86"/>
    <w:rsid w:val="000B0F88"/>
    <w:rsid w:val="000B116A"/>
    <w:rsid w:val="000B13E1"/>
    <w:rsid w:val="000B171C"/>
    <w:rsid w:val="000B1922"/>
    <w:rsid w:val="000B1CCD"/>
    <w:rsid w:val="000B1E21"/>
    <w:rsid w:val="000B1E69"/>
    <w:rsid w:val="000B20B5"/>
    <w:rsid w:val="000B2E70"/>
    <w:rsid w:val="000B31CA"/>
    <w:rsid w:val="000B3368"/>
    <w:rsid w:val="000B351A"/>
    <w:rsid w:val="000B353C"/>
    <w:rsid w:val="000B3811"/>
    <w:rsid w:val="000B3A51"/>
    <w:rsid w:val="000B414F"/>
    <w:rsid w:val="000B43E3"/>
    <w:rsid w:val="000B4770"/>
    <w:rsid w:val="000B47C5"/>
    <w:rsid w:val="000B48F9"/>
    <w:rsid w:val="000B4982"/>
    <w:rsid w:val="000B4BDE"/>
    <w:rsid w:val="000B4D4D"/>
    <w:rsid w:val="000B5292"/>
    <w:rsid w:val="000B5BA9"/>
    <w:rsid w:val="000B5C4C"/>
    <w:rsid w:val="000B5C69"/>
    <w:rsid w:val="000B5DB6"/>
    <w:rsid w:val="000B621F"/>
    <w:rsid w:val="000B62AA"/>
    <w:rsid w:val="000B62D3"/>
    <w:rsid w:val="000B63FD"/>
    <w:rsid w:val="000B6496"/>
    <w:rsid w:val="000B731A"/>
    <w:rsid w:val="000B74AA"/>
    <w:rsid w:val="000B7A61"/>
    <w:rsid w:val="000B7BEF"/>
    <w:rsid w:val="000B7C7C"/>
    <w:rsid w:val="000B7DEE"/>
    <w:rsid w:val="000C0318"/>
    <w:rsid w:val="000C03D9"/>
    <w:rsid w:val="000C0497"/>
    <w:rsid w:val="000C05B5"/>
    <w:rsid w:val="000C073E"/>
    <w:rsid w:val="000C0B84"/>
    <w:rsid w:val="000C0DAE"/>
    <w:rsid w:val="000C0E02"/>
    <w:rsid w:val="000C10C4"/>
    <w:rsid w:val="000C132A"/>
    <w:rsid w:val="000C13DC"/>
    <w:rsid w:val="000C154D"/>
    <w:rsid w:val="000C162A"/>
    <w:rsid w:val="000C19DF"/>
    <w:rsid w:val="000C1A42"/>
    <w:rsid w:val="000C20D7"/>
    <w:rsid w:val="000C20E7"/>
    <w:rsid w:val="000C21C2"/>
    <w:rsid w:val="000C24D0"/>
    <w:rsid w:val="000C26E0"/>
    <w:rsid w:val="000C2B4E"/>
    <w:rsid w:val="000C2E6B"/>
    <w:rsid w:val="000C2EC1"/>
    <w:rsid w:val="000C2F7B"/>
    <w:rsid w:val="000C3740"/>
    <w:rsid w:val="000C3B05"/>
    <w:rsid w:val="000C46B5"/>
    <w:rsid w:val="000C47A9"/>
    <w:rsid w:val="000C4893"/>
    <w:rsid w:val="000C492C"/>
    <w:rsid w:val="000C4A6B"/>
    <w:rsid w:val="000C4AA0"/>
    <w:rsid w:val="000C4B32"/>
    <w:rsid w:val="000C4BA0"/>
    <w:rsid w:val="000C50AA"/>
    <w:rsid w:val="000C51AD"/>
    <w:rsid w:val="000C5482"/>
    <w:rsid w:val="000C597A"/>
    <w:rsid w:val="000C5C50"/>
    <w:rsid w:val="000C65A5"/>
    <w:rsid w:val="000C67DE"/>
    <w:rsid w:val="000C6C45"/>
    <w:rsid w:val="000C6E08"/>
    <w:rsid w:val="000C7138"/>
    <w:rsid w:val="000C77E1"/>
    <w:rsid w:val="000C7F6F"/>
    <w:rsid w:val="000C7F89"/>
    <w:rsid w:val="000D00AB"/>
    <w:rsid w:val="000D00DC"/>
    <w:rsid w:val="000D04B4"/>
    <w:rsid w:val="000D05AB"/>
    <w:rsid w:val="000D079F"/>
    <w:rsid w:val="000D07AA"/>
    <w:rsid w:val="000D0972"/>
    <w:rsid w:val="000D1096"/>
    <w:rsid w:val="000D12B4"/>
    <w:rsid w:val="000D1ACA"/>
    <w:rsid w:val="000D1D03"/>
    <w:rsid w:val="000D2146"/>
    <w:rsid w:val="000D24C0"/>
    <w:rsid w:val="000D253F"/>
    <w:rsid w:val="000D2A12"/>
    <w:rsid w:val="000D334D"/>
    <w:rsid w:val="000D37C3"/>
    <w:rsid w:val="000D37D4"/>
    <w:rsid w:val="000D3B76"/>
    <w:rsid w:val="000D3BCB"/>
    <w:rsid w:val="000D3C07"/>
    <w:rsid w:val="000D3D77"/>
    <w:rsid w:val="000D45BA"/>
    <w:rsid w:val="000D48E0"/>
    <w:rsid w:val="000D4942"/>
    <w:rsid w:val="000D497D"/>
    <w:rsid w:val="000D4C95"/>
    <w:rsid w:val="000D591D"/>
    <w:rsid w:val="000D5923"/>
    <w:rsid w:val="000D5AB6"/>
    <w:rsid w:val="000D611C"/>
    <w:rsid w:val="000D6179"/>
    <w:rsid w:val="000D62AC"/>
    <w:rsid w:val="000D68AA"/>
    <w:rsid w:val="000D6B99"/>
    <w:rsid w:val="000D6D1F"/>
    <w:rsid w:val="000D6DB1"/>
    <w:rsid w:val="000D6F06"/>
    <w:rsid w:val="000D73BC"/>
    <w:rsid w:val="000D7AAF"/>
    <w:rsid w:val="000D7B22"/>
    <w:rsid w:val="000D7C5A"/>
    <w:rsid w:val="000D7CA9"/>
    <w:rsid w:val="000D7D9C"/>
    <w:rsid w:val="000E0121"/>
    <w:rsid w:val="000E018C"/>
    <w:rsid w:val="000E0405"/>
    <w:rsid w:val="000E0426"/>
    <w:rsid w:val="000E0A1F"/>
    <w:rsid w:val="000E0AD5"/>
    <w:rsid w:val="000E0C51"/>
    <w:rsid w:val="000E0D58"/>
    <w:rsid w:val="000E0F39"/>
    <w:rsid w:val="000E1431"/>
    <w:rsid w:val="000E1708"/>
    <w:rsid w:val="000E1A8D"/>
    <w:rsid w:val="000E1ADD"/>
    <w:rsid w:val="000E233A"/>
    <w:rsid w:val="000E24BA"/>
    <w:rsid w:val="000E2CB3"/>
    <w:rsid w:val="000E2D72"/>
    <w:rsid w:val="000E2DFA"/>
    <w:rsid w:val="000E2E85"/>
    <w:rsid w:val="000E2EA2"/>
    <w:rsid w:val="000E31F2"/>
    <w:rsid w:val="000E328B"/>
    <w:rsid w:val="000E36AD"/>
    <w:rsid w:val="000E380F"/>
    <w:rsid w:val="000E3B44"/>
    <w:rsid w:val="000E3EDC"/>
    <w:rsid w:val="000E411A"/>
    <w:rsid w:val="000E44D8"/>
    <w:rsid w:val="000E4635"/>
    <w:rsid w:val="000E46C1"/>
    <w:rsid w:val="000E4752"/>
    <w:rsid w:val="000E478C"/>
    <w:rsid w:val="000E49E9"/>
    <w:rsid w:val="000E50BB"/>
    <w:rsid w:val="000E5364"/>
    <w:rsid w:val="000E544C"/>
    <w:rsid w:val="000E5542"/>
    <w:rsid w:val="000E5674"/>
    <w:rsid w:val="000E666C"/>
    <w:rsid w:val="000E67A3"/>
    <w:rsid w:val="000E67D2"/>
    <w:rsid w:val="000E6818"/>
    <w:rsid w:val="000E6B93"/>
    <w:rsid w:val="000E6BF1"/>
    <w:rsid w:val="000E6CF5"/>
    <w:rsid w:val="000E6F58"/>
    <w:rsid w:val="000E7192"/>
    <w:rsid w:val="000E7553"/>
    <w:rsid w:val="000E76F3"/>
    <w:rsid w:val="000E7CB5"/>
    <w:rsid w:val="000E7DE2"/>
    <w:rsid w:val="000F05E5"/>
    <w:rsid w:val="000F06AD"/>
    <w:rsid w:val="000F09F8"/>
    <w:rsid w:val="000F0C01"/>
    <w:rsid w:val="000F0C4E"/>
    <w:rsid w:val="000F11D3"/>
    <w:rsid w:val="000F16B6"/>
    <w:rsid w:val="000F1C64"/>
    <w:rsid w:val="000F2105"/>
    <w:rsid w:val="000F2430"/>
    <w:rsid w:val="000F29F0"/>
    <w:rsid w:val="000F2C25"/>
    <w:rsid w:val="000F2F6E"/>
    <w:rsid w:val="000F34EC"/>
    <w:rsid w:val="000F35A6"/>
    <w:rsid w:val="000F38A2"/>
    <w:rsid w:val="000F3DA2"/>
    <w:rsid w:val="000F45AD"/>
    <w:rsid w:val="000F48BF"/>
    <w:rsid w:val="000F49D1"/>
    <w:rsid w:val="000F4C8B"/>
    <w:rsid w:val="000F4DB2"/>
    <w:rsid w:val="000F4FDF"/>
    <w:rsid w:val="000F52E2"/>
    <w:rsid w:val="000F561E"/>
    <w:rsid w:val="000F6064"/>
    <w:rsid w:val="000F6187"/>
    <w:rsid w:val="000F67F5"/>
    <w:rsid w:val="000F6888"/>
    <w:rsid w:val="000F6A6E"/>
    <w:rsid w:val="000F6D5B"/>
    <w:rsid w:val="000F742E"/>
    <w:rsid w:val="000F7651"/>
    <w:rsid w:val="000F7AB5"/>
    <w:rsid w:val="000F7BCF"/>
    <w:rsid w:val="000F7E77"/>
    <w:rsid w:val="001002EE"/>
    <w:rsid w:val="001005B6"/>
    <w:rsid w:val="0010071A"/>
    <w:rsid w:val="00100882"/>
    <w:rsid w:val="00100C09"/>
    <w:rsid w:val="00100C36"/>
    <w:rsid w:val="00100D05"/>
    <w:rsid w:val="00101864"/>
    <w:rsid w:val="001018B4"/>
    <w:rsid w:val="00101ACA"/>
    <w:rsid w:val="00101B32"/>
    <w:rsid w:val="00101EEC"/>
    <w:rsid w:val="001021D7"/>
    <w:rsid w:val="00102219"/>
    <w:rsid w:val="0010222C"/>
    <w:rsid w:val="001024B9"/>
    <w:rsid w:val="001025DE"/>
    <w:rsid w:val="00102605"/>
    <w:rsid w:val="001032B6"/>
    <w:rsid w:val="001035B5"/>
    <w:rsid w:val="001035F5"/>
    <w:rsid w:val="00103977"/>
    <w:rsid w:val="001039DC"/>
    <w:rsid w:val="00103CE6"/>
    <w:rsid w:val="00103E79"/>
    <w:rsid w:val="001041F2"/>
    <w:rsid w:val="001044FF"/>
    <w:rsid w:val="00104571"/>
    <w:rsid w:val="001049E3"/>
    <w:rsid w:val="00104BEB"/>
    <w:rsid w:val="00105156"/>
    <w:rsid w:val="00105364"/>
    <w:rsid w:val="001056D1"/>
    <w:rsid w:val="00105984"/>
    <w:rsid w:val="00105B44"/>
    <w:rsid w:val="00105D80"/>
    <w:rsid w:val="00106594"/>
    <w:rsid w:val="00106840"/>
    <w:rsid w:val="00106900"/>
    <w:rsid w:val="00106BBC"/>
    <w:rsid w:val="00106D0A"/>
    <w:rsid w:val="001070F1"/>
    <w:rsid w:val="0010713D"/>
    <w:rsid w:val="0010744E"/>
    <w:rsid w:val="00107454"/>
    <w:rsid w:val="00107557"/>
    <w:rsid w:val="001075F3"/>
    <w:rsid w:val="00107EB1"/>
    <w:rsid w:val="00110206"/>
    <w:rsid w:val="00110BF2"/>
    <w:rsid w:val="00110D5B"/>
    <w:rsid w:val="00110DF9"/>
    <w:rsid w:val="00110E4B"/>
    <w:rsid w:val="00110E4F"/>
    <w:rsid w:val="00111510"/>
    <w:rsid w:val="0011187A"/>
    <w:rsid w:val="001126BF"/>
    <w:rsid w:val="00112B9B"/>
    <w:rsid w:val="00112F32"/>
    <w:rsid w:val="0011304B"/>
    <w:rsid w:val="00113251"/>
    <w:rsid w:val="001132D9"/>
    <w:rsid w:val="00113499"/>
    <w:rsid w:val="00113979"/>
    <w:rsid w:val="00114078"/>
    <w:rsid w:val="00114CDC"/>
    <w:rsid w:val="0011505D"/>
    <w:rsid w:val="0011607E"/>
    <w:rsid w:val="001160C5"/>
    <w:rsid w:val="0011667E"/>
    <w:rsid w:val="0011692D"/>
    <w:rsid w:val="00116EC8"/>
    <w:rsid w:val="00117159"/>
    <w:rsid w:val="0011794F"/>
    <w:rsid w:val="00117DDF"/>
    <w:rsid w:val="001205FF"/>
    <w:rsid w:val="001207B8"/>
    <w:rsid w:val="00120CDE"/>
    <w:rsid w:val="00120E0E"/>
    <w:rsid w:val="00120E85"/>
    <w:rsid w:val="001210AF"/>
    <w:rsid w:val="00121161"/>
    <w:rsid w:val="001214FC"/>
    <w:rsid w:val="001215BF"/>
    <w:rsid w:val="001215DA"/>
    <w:rsid w:val="0012183A"/>
    <w:rsid w:val="00121C0B"/>
    <w:rsid w:val="00121FE3"/>
    <w:rsid w:val="00122CF3"/>
    <w:rsid w:val="00122E02"/>
    <w:rsid w:val="0012363F"/>
    <w:rsid w:val="00123CEE"/>
    <w:rsid w:val="00123D37"/>
    <w:rsid w:val="00124251"/>
    <w:rsid w:val="001246B3"/>
    <w:rsid w:val="00124AD6"/>
    <w:rsid w:val="00124ADD"/>
    <w:rsid w:val="0012517B"/>
    <w:rsid w:val="001251B9"/>
    <w:rsid w:val="0012532F"/>
    <w:rsid w:val="00125404"/>
    <w:rsid w:val="00125453"/>
    <w:rsid w:val="001256CE"/>
    <w:rsid w:val="00125B3E"/>
    <w:rsid w:val="00125E3E"/>
    <w:rsid w:val="00126102"/>
    <w:rsid w:val="001263EF"/>
    <w:rsid w:val="001267AE"/>
    <w:rsid w:val="001270DA"/>
    <w:rsid w:val="0012721B"/>
    <w:rsid w:val="00127D15"/>
    <w:rsid w:val="00127E24"/>
    <w:rsid w:val="00130056"/>
    <w:rsid w:val="001300D1"/>
    <w:rsid w:val="001304E0"/>
    <w:rsid w:val="00130D8E"/>
    <w:rsid w:val="001310BE"/>
    <w:rsid w:val="00131202"/>
    <w:rsid w:val="00131698"/>
    <w:rsid w:val="001318BA"/>
    <w:rsid w:val="00131DBA"/>
    <w:rsid w:val="00131E43"/>
    <w:rsid w:val="00131F24"/>
    <w:rsid w:val="0013233A"/>
    <w:rsid w:val="0013276A"/>
    <w:rsid w:val="001328D2"/>
    <w:rsid w:val="00133158"/>
    <w:rsid w:val="001331EA"/>
    <w:rsid w:val="00133228"/>
    <w:rsid w:val="001333A0"/>
    <w:rsid w:val="00133533"/>
    <w:rsid w:val="00133BF6"/>
    <w:rsid w:val="0013425F"/>
    <w:rsid w:val="00134564"/>
    <w:rsid w:val="00134760"/>
    <w:rsid w:val="001349C6"/>
    <w:rsid w:val="00135317"/>
    <w:rsid w:val="001354F6"/>
    <w:rsid w:val="0013552D"/>
    <w:rsid w:val="001359EA"/>
    <w:rsid w:val="00135EBE"/>
    <w:rsid w:val="001362F6"/>
    <w:rsid w:val="00136353"/>
    <w:rsid w:val="00136B21"/>
    <w:rsid w:val="00136BB0"/>
    <w:rsid w:val="001375C2"/>
    <w:rsid w:val="00137F19"/>
    <w:rsid w:val="00137F6B"/>
    <w:rsid w:val="00140156"/>
    <w:rsid w:val="001402E6"/>
    <w:rsid w:val="0014076D"/>
    <w:rsid w:val="001409EB"/>
    <w:rsid w:val="00140B3E"/>
    <w:rsid w:val="00140C69"/>
    <w:rsid w:val="00140FE0"/>
    <w:rsid w:val="0014136F"/>
    <w:rsid w:val="00141508"/>
    <w:rsid w:val="001424A6"/>
    <w:rsid w:val="0014258D"/>
    <w:rsid w:val="00142850"/>
    <w:rsid w:val="00142C85"/>
    <w:rsid w:val="001437A8"/>
    <w:rsid w:val="00143AE7"/>
    <w:rsid w:val="00143B06"/>
    <w:rsid w:val="00143CEB"/>
    <w:rsid w:val="00143F9F"/>
    <w:rsid w:val="00143FA5"/>
    <w:rsid w:val="0014447D"/>
    <w:rsid w:val="001444B6"/>
    <w:rsid w:val="00144950"/>
    <w:rsid w:val="00144AE7"/>
    <w:rsid w:val="00144C73"/>
    <w:rsid w:val="0014574A"/>
    <w:rsid w:val="0014577D"/>
    <w:rsid w:val="001461CB"/>
    <w:rsid w:val="0014647A"/>
    <w:rsid w:val="00146580"/>
    <w:rsid w:val="0014674D"/>
    <w:rsid w:val="00146760"/>
    <w:rsid w:val="001468CF"/>
    <w:rsid w:val="00146BD8"/>
    <w:rsid w:val="00146DB5"/>
    <w:rsid w:val="00147135"/>
    <w:rsid w:val="00147213"/>
    <w:rsid w:val="0014761F"/>
    <w:rsid w:val="0014785C"/>
    <w:rsid w:val="0014787F"/>
    <w:rsid w:val="00147C68"/>
    <w:rsid w:val="00150324"/>
    <w:rsid w:val="00150B93"/>
    <w:rsid w:val="001510ED"/>
    <w:rsid w:val="00151651"/>
    <w:rsid w:val="00151AC6"/>
    <w:rsid w:val="001523B1"/>
    <w:rsid w:val="00152887"/>
    <w:rsid w:val="001529C5"/>
    <w:rsid w:val="00152B2F"/>
    <w:rsid w:val="00152DF4"/>
    <w:rsid w:val="00152E6C"/>
    <w:rsid w:val="0015315F"/>
    <w:rsid w:val="001531A3"/>
    <w:rsid w:val="001532EB"/>
    <w:rsid w:val="001535B6"/>
    <w:rsid w:val="001535CD"/>
    <w:rsid w:val="00153986"/>
    <w:rsid w:val="00153BF2"/>
    <w:rsid w:val="00153C8F"/>
    <w:rsid w:val="00153D64"/>
    <w:rsid w:val="00153F64"/>
    <w:rsid w:val="00154BEA"/>
    <w:rsid w:val="00154ED8"/>
    <w:rsid w:val="00155045"/>
    <w:rsid w:val="00155459"/>
    <w:rsid w:val="00155528"/>
    <w:rsid w:val="00155819"/>
    <w:rsid w:val="00155A88"/>
    <w:rsid w:val="00155D0C"/>
    <w:rsid w:val="00155ECE"/>
    <w:rsid w:val="00156211"/>
    <w:rsid w:val="0015641E"/>
    <w:rsid w:val="00156516"/>
    <w:rsid w:val="00156593"/>
    <w:rsid w:val="001567EC"/>
    <w:rsid w:val="00156943"/>
    <w:rsid w:val="00156DA2"/>
    <w:rsid w:val="00157535"/>
    <w:rsid w:val="00157701"/>
    <w:rsid w:val="0015793A"/>
    <w:rsid w:val="00157AAE"/>
    <w:rsid w:val="00157B83"/>
    <w:rsid w:val="00157E43"/>
    <w:rsid w:val="00160690"/>
    <w:rsid w:val="001606A1"/>
    <w:rsid w:val="0016114C"/>
    <w:rsid w:val="00161411"/>
    <w:rsid w:val="00161932"/>
    <w:rsid w:val="00161A2A"/>
    <w:rsid w:val="00161A5F"/>
    <w:rsid w:val="0016265A"/>
    <w:rsid w:val="001628C9"/>
    <w:rsid w:val="00162CDC"/>
    <w:rsid w:val="0016307E"/>
    <w:rsid w:val="0016337D"/>
    <w:rsid w:val="0016345B"/>
    <w:rsid w:val="001639BA"/>
    <w:rsid w:val="00163A70"/>
    <w:rsid w:val="00163ADD"/>
    <w:rsid w:val="00163FBF"/>
    <w:rsid w:val="0016412B"/>
    <w:rsid w:val="00164612"/>
    <w:rsid w:val="0016537C"/>
    <w:rsid w:val="001653FF"/>
    <w:rsid w:val="001657DA"/>
    <w:rsid w:val="0016596F"/>
    <w:rsid w:val="001664A0"/>
    <w:rsid w:val="00166AEF"/>
    <w:rsid w:val="00166DF0"/>
    <w:rsid w:val="00166F93"/>
    <w:rsid w:val="001671FA"/>
    <w:rsid w:val="0016793B"/>
    <w:rsid w:val="0016797E"/>
    <w:rsid w:val="00167C37"/>
    <w:rsid w:val="00167D0A"/>
    <w:rsid w:val="00170127"/>
    <w:rsid w:val="0017027C"/>
    <w:rsid w:val="001703A7"/>
    <w:rsid w:val="00170495"/>
    <w:rsid w:val="00170610"/>
    <w:rsid w:val="00170834"/>
    <w:rsid w:val="00170A9A"/>
    <w:rsid w:val="00171302"/>
    <w:rsid w:val="00171979"/>
    <w:rsid w:val="00171AD8"/>
    <w:rsid w:val="00171C1D"/>
    <w:rsid w:val="00171E98"/>
    <w:rsid w:val="00171F22"/>
    <w:rsid w:val="00172A34"/>
    <w:rsid w:val="00172A9C"/>
    <w:rsid w:val="00172E2E"/>
    <w:rsid w:val="00173559"/>
    <w:rsid w:val="00173572"/>
    <w:rsid w:val="00173E82"/>
    <w:rsid w:val="0017423F"/>
    <w:rsid w:val="001748FF"/>
    <w:rsid w:val="00174A08"/>
    <w:rsid w:val="00174D18"/>
    <w:rsid w:val="00174D7D"/>
    <w:rsid w:val="00174E45"/>
    <w:rsid w:val="00174FE8"/>
    <w:rsid w:val="0017548D"/>
    <w:rsid w:val="0017573A"/>
    <w:rsid w:val="00175A36"/>
    <w:rsid w:val="00176066"/>
    <w:rsid w:val="0017638E"/>
    <w:rsid w:val="00176512"/>
    <w:rsid w:val="00176750"/>
    <w:rsid w:val="001768B8"/>
    <w:rsid w:val="001769BE"/>
    <w:rsid w:val="001771E0"/>
    <w:rsid w:val="001773B7"/>
    <w:rsid w:val="0017773C"/>
    <w:rsid w:val="001777E8"/>
    <w:rsid w:val="00177C9A"/>
    <w:rsid w:val="00180063"/>
    <w:rsid w:val="001802BC"/>
    <w:rsid w:val="001803E3"/>
    <w:rsid w:val="00180448"/>
    <w:rsid w:val="001811D6"/>
    <w:rsid w:val="00181250"/>
    <w:rsid w:val="00181916"/>
    <w:rsid w:val="0018287A"/>
    <w:rsid w:val="00182AD1"/>
    <w:rsid w:val="00182B73"/>
    <w:rsid w:val="00182D09"/>
    <w:rsid w:val="00182D83"/>
    <w:rsid w:val="0018305D"/>
    <w:rsid w:val="001832D5"/>
    <w:rsid w:val="00183BB5"/>
    <w:rsid w:val="00183C85"/>
    <w:rsid w:val="00183F83"/>
    <w:rsid w:val="00184AD8"/>
    <w:rsid w:val="00184B46"/>
    <w:rsid w:val="00184C41"/>
    <w:rsid w:val="00184E12"/>
    <w:rsid w:val="00184EB2"/>
    <w:rsid w:val="001857E4"/>
    <w:rsid w:val="00185F1A"/>
    <w:rsid w:val="00185F90"/>
    <w:rsid w:val="00185FDB"/>
    <w:rsid w:val="0018612D"/>
    <w:rsid w:val="0018620A"/>
    <w:rsid w:val="00186288"/>
    <w:rsid w:val="00186430"/>
    <w:rsid w:val="0018646F"/>
    <w:rsid w:val="00186CEE"/>
    <w:rsid w:val="00186D7C"/>
    <w:rsid w:val="00187013"/>
    <w:rsid w:val="00187023"/>
    <w:rsid w:val="00187989"/>
    <w:rsid w:val="00187F10"/>
    <w:rsid w:val="0018FEDC"/>
    <w:rsid w:val="00190A59"/>
    <w:rsid w:val="00190B6B"/>
    <w:rsid w:val="00190BE8"/>
    <w:rsid w:val="00190D76"/>
    <w:rsid w:val="001914D5"/>
    <w:rsid w:val="00191605"/>
    <w:rsid w:val="00191713"/>
    <w:rsid w:val="0019171B"/>
    <w:rsid w:val="001918F5"/>
    <w:rsid w:val="00191985"/>
    <w:rsid w:val="00191D45"/>
    <w:rsid w:val="00191EEF"/>
    <w:rsid w:val="00192155"/>
    <w:rsid w:val="001924F4"/>
    <w:rsid w:val="0019273D"/>
    <w:rsid w:val="0019297F"/>
    <w:rsid w:val="00192993"/>
    <w:rsid w:val="00192C08"/>
    <w:rsid w:val="00192EB3"/>
    <w:rsid w:val="0019393D"/>
    <w:rsid w:val="00193BD4"/>
    <w:rsid w:val="00193EA6"/>
    <w:rsid w:val="00194002"/>
    <w:rsid w:val="00194215"/>
    <w:rsid w:val="00194AF9"/>
    <w:rsid w:val="00194E31"/>
    <w:rsid w:val="0019516D"/>
    <w:rsid w:val="0019573C"/>
    <w:rsid w:val="00196052"/>
    <w:rsid w:val="0019607C"/>
    <w:rsid w:val="001964E7"/>
    <w:rsid w:val="00196786"/>
    <w:rsid w:val="0019697D"/>
    <w:rsid w:val="00196C66"/>
    <w:rsid w:val="00196D54"/>
    <w:rsid w:val="001971BF"/>
    <w:rsid w:val="0019741E"/>
    <w:rsid w:val="001977E0"/>
    <w:rsid w:val="00197B56"/>
    <w:rsid w:val="00197ED8"/>
    <w:rsid w:val="001A02E3"/>
    <w:rsid w:val="001A052F"/>
    <w:rsid w:val="001A09A2"/>
    <w:rsid w:val="001A107C"/>
    <w:rsid w:val="001A11BB"/>
    <w:rsid w:val="001A1693"/>
    <w:rsid w:val="001A18B7"/>
    <w:rsid w:val="001A1E40"/>
    <w:rsid w:val="001A25FB"/>
    <w:rsid w:val="001A2E2A"/>
    <w:rsid w:val="001A3CD8"/>
    <w:rsid w:val="001A3E6C"/>
    <w:rsid w:val="001A4129"/>
    <w:rsid w:val="001A46B5"/>
    <w:rsid w:val="001A48EA"/>
    <w:rsid w:val="001A5035"/>
    <w:rsid w:val="001A504B"/>
    <w:rsid w:val="001A518B"/>
    <w:rsid w:val="001A54FB"/>
    <w:rsid w:val="001A55AF"/>
    <w:rsid w:val="001A55F3"/>
    <w:rsid w:val="001A5D21"/>
    <w:rsid w:val="001A6028"/>
    <w:rsid w:val="001A6249"/>
    <w:rsid w:val="001A63BE"/>
    <w:rsid w:val="001A664F"/>
    <w:rsid w:val="001A666C"/>
    <w:rsid w:val="001A6A4C"/>
    <w:rsid w:val="001A6ABC"/>
    <w:rsid w:val="001A6CA6"/>
    <w:rsid w:val="001A6D7D"/>
    <w:rsid w:val="001A6E35"/>
    <w:rsid w:val="001A7437"/>
    <w:rsid w:val="001A74F8"/>
    <w:rsid w:val="001A77F4"/>
    <w:rsid w:val="001A78B3"/>
    <w:rsid w:val="001A7A93"/>
    <w:rsid w:val="001A7AF4"/>
    <w:rsid w:val="001A7C00"/>
    <w:rsid w:val="001B01AD"/>
    <w:rsid w:val="001B06E4"/>
    <w:rsid w:val="001B0B5E"/>
    <w:rsid w:val="001B0D15"/>
    <w:rsid w:val="001B0D20"/>
    <w:rsid w:val="001B0EB5"/>
    <w:rsid w:val="001B102E"/>
    <w:rsid w:val="001B103B"/>
    <w:rsid w:val="001B121E"/>
    <w:rsid w:val="001B16AC"/>
    <w:rsid w:val="001B1757"/>
    <w:rsid w:val="001B1902"/>
    <w:rsid w:val="001B1BAE"/>
    <w:rsid w:val="001B1DB7"/>
    <w:rsid w:val="001B1FA6"/>
    <w:rsid w:val="001B20D6"/>
    <w:rsid w:val="001B2352"/>
    <w:rsid w:val="001B2D09"/>
    <w:rsid w:val="001B2E66"/>
    <w:rsid w:val="001B301C"/>
    <w:rsid w:val="001B3310"/>
    <w:rsid w:val="001B369F"/>
    <w:rsid w:val="001B36D8"/>
    <w:rsid w:val="001B3896"/>
    <w:rsid w:val="001B39BB"/>
    <w:rsid w:val="001B3D36"/>
    <w:rsid w:val="001B3F38"/>
    <w:rsid w:val="001B3F95"/>
    <w:rsid w:val="001B3FAD"/>
    <w:rsid w:val="001B42A3"/>
    <w:rsid w:val="001B460E"/>
    <w:rsid w:val="001B4950"/>
    <w:rsid w:val="001B4AB0"/>
    <w:rsid w:val="001B5037"/>
    <w:rsid w:val="001B5415"/>
    <w:rsid w:val="001B6081"/>
    <w:rsid w:val="001B6533"/>
    <w:rsid w:val="001B6DA5"/>
    <w:rsid w:val="001B6E24"/>
    <w:rsid w:val="001B7509"/>
    <w:rsid w:val="001B7CF0"/>
    <w:rsid w:val="001B7EB6"/>
    <w:rsid w:val="001C03FB"/>
    <w:rsid w:val="001C07DD"/>
    <w:rsid w:val="001C0DC8"/>
    <w:rsid w:val="001C1275"/>
    <w:rsid w:val="001C1300"/>
    <w:rsid w:val="001C1428"/>
    <w:rsid w:val="001C17C1"/>
    <w:rsid w:val="001C1887"/>
    <w:rsid w:val="001C1A5C"/>
    <w:rsid w:val="001C1D61"/>
    <w:rsid w:val="001C211D"/>
    <w:rsid w:val="001C2276"/>
    <w:rsid w:val="001C2294"/>
    <w:rsid w:val="001C2668"/>
    <w:rsid w:val="001C2857"/>
    <w:rsid w:val="001C2DC6"/>
    <w:rsid w:val="001C2F22"/>
    <w:rsid w:val="001C2FCB"/>
    <w:rsid w:val="001C33D7"/>
    <w:rsid w:val="001C381B"/>
    <w:rsid w:val="001C38EF"/>
    <w:rsid w:val="001C3B1A"/>
    <w:rsid w:val="001C3DCE"/>
    <w:rsid w:val="001C4500"/>
    <w:rsid w:val="001C453E"/>
    <w:rsid w:val="001C465C"/>
    <w:rsid w:val="001C47D0"/>
    <w:rsid w:val="001C49AF"/>
    <w:rsid w:val="001C4C46"/>
    <w:rsid w:val="001C4D80"/>
    <w:rsid w:val="001C5012"/>
    <w:rsid w:val="001C5641"/>
    <w:rsid w:val="001C56A7"/>
    <w:rsid w:val="001C5C03"/>
    <w:rsid w:val="001C5C14"/>
    <w:rsid w:val="001C6053"/>
    <w:rsid w:val="001C65EE"/>
    <w:rsid w:val="001C6783"/>
    <w:rsid w:val="001C684C"/>
    <w:rsid w:val="001C68CC"/>
    <w:rsid w:val="001C6B95"/>
    <w:rsid w:val="001C7383"/>
    <w:rsid w:val="001C7918"/>
    <w:rsid w:val="001C79E8"/>
    <w:rsid w:val="001C7AE6"/>
    <w:rsid w:val="001C7DF4"/>
    <w:rsid w:val="001C7FBA"/>
    <w:rsid w:val="001D001F"/>
    <w:rsid w:val="001D017D"/>
    <w:rsid w:val="001D05C1"/>
    <w:rsid w:val="001D0A93"/>
    <w:rsid w:val="001D0ACE"/>
    <w:rsid w:val="001D186F"/>
    <w:rsid w:val="001D1A39"/>
    <w:rsid w:val="001D1F88"/>
    <w:rsid w:val="001D2066"/>
    <w:rsid w:val="001D210E"/>
    <w:rsid w:val="001D21AD"/>
    <w:rsid w:val="001D22C8"/>
    <w:rsid w:val="001D32A1"/>
    <w:rsid w:val="001D356B"/>
    <w:rsid w:val="001D3BC8"/>
    <w:rsid w:val="001D3F14"/>
    <w:rsid w:val="001D4154"/>
    <w:rsid w:val="001D44EC"/>
    <w:rsid w:val="001D4591"/>
    <w:rsid w:val="001D45E8"/>
    <w:rsid w:val="001D4627"/>
    <w:rsid w:val="001D48ED"/>
    <w:rsid w:val="001D492F"/>
    <w:rsid w:val="001D5476"/>
    <w:rsid w:val="001D5549"/>
    <w:rsid w:val="001D5A74"/>
    <w:rsid w:val="001D6A50"/>
    <w:rsid w:val="001D6C24"/>
    <w:rsid w:val="001D751A"/>
    <w:rsid w:val="001D77D2"/>
    <w:rsid w:val="001D7ADD"/>
    <w:rsid w:val="001D7B96"/>
    <w:rsid w:val="001D7CC2"/>
    <w:rsid w:val="001D7EB5"/>
    <w:rsid w:val="001D7EE7"/>
    <w:rsid w:val="001E0180"/>
    <w:rsid w:val="001E02B3"/>
    <w:rsid w:val="001E07A8"/>
    <w:rsid w:val="001E0F00"/>
    <w:rsid w:val="001E1501"/>
    <w:rsid w:val="001E16F7"/>
    <w:rsid w:val="001E1CC7"/>
    <w:rsid w:val="001E1F0F"/>
    <w:rsid w:val="001E2412"/>
    <w:rsid w:val="001E2A2D"/>
    <w:rsid w:val="001E3362"/>
    <w:rsid w:val="001E34CC"/>
    <w:rsid w:val="001E34CD"/>
    <w:rsid w:val="001E3774"/>
    <w:rsid w:val="001E447C"/>
    <w:rsid w:val="001E491A"/>
    <w:rsid w:val="001E4C67"/>
    <w:rsid w:val="001E4CC7"/>
    <w:rsid w:val="001E53ED"/>
    <w:rsid w:val="001E5CE2"/>
    <w:rsid w:val="001E5DA4"/>
    <w:rsid w:val="001E5DF6"/>
    <w:rsid w:val="001E629B"/>
    <w:rsid w:val="001E68A3"/>
    <w:rsid w:val="001E6BBE"/>
    <w:rsid w:val="001E71F1"/>
    <w:rsid w:val="001E7578"/>
    <w:rsid w:val="001E75BF"/>
    <w:rsid w:val="001E7634"/>
    <w:rsid w:val="001E788D"/>
    <w:rsid w:val="001E79DE"/>
    <w:rsid w:val="001E7A60"/>
    <w:rsid w:val="001E7BDC"/>
    <w:rsid w:val="001E7D1B"/>
    <w:rsid w:val="001F03B0"/>
    <w:rsid w:val="001F040C"/>
    <w:rsid w:val="001F0708"/>
    <w:rsid w:val="001F09A2"/>
    <w:rsid w:val="001F0A81"/>
    <w:rsid w:val="001F0C62"/>
    <w:rsid w:val="001F0D03"/>
    <w:rsid w:val="001F0D93"/>
    <w:rsid w:val="001F1123"/>
    <w:rsid w:val="001F12FD"/>
    <w:rsid w:val="001F14B2"/>
    <w:rsid w:val="001F1770"/>
    <w:rsid w:val="001F19FC"/>
    <w:rsid w:val="001F1AA9"/>
    <w:rsid w:val="001F1BC0"/>
    <w:rsid w:val="001F1D5F"/>
    <w:rsid w:val="001F1D63"/>
    <w:rsid w:val="001F2346"/>
    <w:rsid w:val="001F2A8A"/>
    <w:rsid w:val="001F2DA6"/>
    <w:rsid w:val="001F34AA"/>
    <w:rsid w:val="001F355A"/>
    <w:rsid w:val="001F385F"/>
    <w:rsid w:val="001F3FEF"/>
    <w:rsid w:val="001F4326"/>
    <w:rsid w:val="001F46F5"/>
    <w:rsid w:val="001F4B36"/>
    <w:rsid w:val="001F4D39"/>
    <w:rsid w:val="001F5203"/>
    <w:rsid w:val="001F5662"/>
    <w:rsid w:val="001F5DF3"/>
    <w:rsid w:val="001F5EDD"/>
    <w:rsid w:val="001F6D1E"/>
    <w:rsid w:val="001F6DE5"/>
    <w:rsid w:val="001F747C"/>
    <w:rsid w:val="001F7F3F"/>
    <w:rsid w:val="00200115"/>
    <w:rsid w:val="00200431"/>
    <w:rsid w:val="00200BB0"/>
    <w:rsid w:val="00200F7E"/>
    <w:rsid w:val="002013CB"/>
    <w:rsid w:val="002017F2"/>
    <w:rsid w:val="00201A6D"/>
    <w:rsid w:val="00201B11"/>
    <w:rsid w:val="00201C37"/>
    <w:rsid w:val="00202496"/>
    <w:rsid w:val="00202A53"/>
    <w:rsid w:val="00202AAF"/>
    <w:rsid w:val="00202C9E"/>
    <w:rsid w:val="00202DB6"/>
    <w:rsid w:val="0020343E"/>
    <w:rsid w:val="0020370E"/>
    <w:rsid w:val="0020375A"/>
    <w:rsid w:val="002038B0"/>
    <w:rsid w:val="00203B1C"/>
    <w:rsid w:val="00203E68"/>
    <w:rsid w:val="002040C7"/>
    <w:rsid w:val="002042CA"/>
    <w:rsid w:val="002048B8"/>
    <w:rsid w:val="002049DE"/>
    <w:rsid w:val="00204D48"/>
    <w:rsid w:val="00204ECC"/>
    <w:rsid w:val="00205B7C"/>
    <w:rsid w:val="00205BD3"/>
    <w:rsid w:val="00206386"/>
    <w:rsid w:val="00206A50"/>
    <w:rsid w:val="00206C72"/>
    <w:rsid w:val="00206D21"/>
    <w:rsid w:val="00206DF0"/>
    <w:rsid w:val="00206F06"/>
    <w:rsid w:val="002075F8"/>
    <w:rsid w:val="0020761B"/>
    <w:rsid w:val="00207703"/>
    <w:rsid w:val="0021019B"/>
    <w:rsid w:val="002107EE"/>
    <w:rsid w:val="00210ED5"/>
    <w:rsid w:val="002113B2"/>
    <w:rsid w:val="002118BF"/>
    <w:rsid w:val="00211CD1"/>
    <w:rsid w:val="00212121"/>
    <w:rsid w:val="0021269A"/>
    <w:rsid w:val="00212A82"/>
    <w:rsid w:val="00212B49"/>
    <w:rsid w:val="00213328"/>
    <w:rsid w:val="00213A8D"/>
    <w:rsid w:val="002141A1"/>
    <w:rsid w:val="00214478"/>
    <w:rsid w:val="002145D2"/>
    <w:rsid w:val="00214A29"/>
    <w:rsid w:val="00214ED9"/>
    <w:rsid w:val="00214FE0"/>
    <w:rsid w:val="002154FD"/>
    <w:rsid w:val="0021559E"/>
    <w:rsid w:val="002159DB"/>
    <w:rsid w:val="00215EA6"/>
    <w:rsid w:val="00216267"/>
    <w:rsid w:val="002164D3"/>
    <w:rsid w:val="0021685A"/>
    <w:rsid w:val="002168AE"/>
    <w:rsid w:val="00216AED"/>
    <w:rsid w:val="002170B8"/>
    <w:rsid w:val="00217257"/>
    <w:rsid w:val="002175A0"/>
    <w:rsid w:val="00217DE8"/>
    <w:rsid w:val="002200BB"/>
    <w:rsid w:val="002201AB"/>
    <w:rsid w:val="002201D9"/>
    <w:rsid w:val="002202B4"/>
    <w:rsid w:val="002203B7"/>
    <w:rsid w:val="00220A2D"/>
    <w:rsid w:val="00221372"/>
    <w:rsid w:val="002213DA"/>
    <w:rsid w:val="002218FF"/>
    <w:rsid w:val="00221906"/>
    <w:rsid w:val="002219B8"/>
    <w:rsid w:val="002222A0"/>
    <w:rsid w:val="002224AC"/>
    <w:rsid w:val="00223299"/>
    <w:rsid w:val="00223B5F"/>
    <w:rsid w:val="00223CC9"/>
    <w:rsid w:val="00224837"/>
    <w:rsid w:val="00224B54"/>
    <w:rsid w:val="00224D70"/>
    <w:rsid w:val="00224EEB"/>
    <w:rsid w:val="002251C7"/>
    <w:rsid w:val="002254D5"/>
    <w:rsid w:val="00225A64"/>
    <w:rsid w:val="00225AB0"/>
    <w:rsid w:val="00225D83"/>
    <w:rsid w:val="00225E9E"/>
    <w:rsid w:val="0022611D"/>
    <w:rsid w:val="002268F3"/>
    <w:rsid w:val="00226B6C"/>
    <w:rsid w:val="00227110"/>
    <w:rsid w:val="00227118"/>
    <w:rsid w:val="0022711A"/>
    <w:rsid w:val="00227224"/>
    <w:rsid w:val="0022743B"/>
    <w:rsid w:val="0022763F"/>
    <w:rsid w:val="002277B6"/>
    <w:rsid w:val="00227B30"/>
    <w:rsid w:val="002300B4"/>
    <w:rsid w:val="002302DD"/>
    <w:rsid w:val="00230429"/>
    <w:rsid w:val="00230500"/>
    <w:rsid w:val="0023060F"/>
    <w:rsid w:val="00230B9A"/>
    <w:rsid w:val="00230D66"/>
    <w:rsid w:val="00230D9D"/>
    <w:rsid w:val="00230DF0"/>
    <w:rsid w:val="002310F9"/>
    <w:rsid w:val="00231996"/>
    <w:rsid w:val="002321DB"/>
    <w:rsid w:val="002323E1"/>
    <w:rsid w:val="00232723"/>
    <w:rsid w:val="002327E9"/>
    <w:rsid w:val="00232C26"/>
    <w:rsid w:val="00232CBE"/>
    <w:rsid w:val="0023313C"/>
    <w:rsid w:val="002333FE"/>
    <w:rsid w:val="0023359C"/>
    <w:rsid w:val="002336EB"/>
    <w:rsid w:val="00233841"/>
    <w:rsid w:val="002338C1"/>
    <w:rsid w:val="00233971"/>
    <w:rsid w:val="00233EFE"/>
    <w:rsid w:val="00233FA3"/>
    <w:rsid w:val="00234A3E"/>
    <w:rsid w:val="00234A69"/>
    <w:rsid w:val="00234BCB"/>
    <w:rsid w:val="00234E42"/>
    <w:rsid w:val="002356D1"/>
    <w:rsid w:val="002356D8"/>
    <w:rsid w:val="00235744"/>
    <w:rsid w:val="00235AD0"/>
    <w:rsid w:val="00235D29"/>
    <w:rsid w:val="0023618B"/>
    <w:rsid w:val="002362F5"/>
    <w:rsid w:val="0023644B"/>
    <w:rsid w:val="0023648A"/>
    <w:rsid w:val="00236530"/>
    <w:rsid w:val="00236BEB"/>
    <w:rsid w:val="00236CE4"/>
    <w:rsid w:val="00236EAF"/>
    <w:rsid w:val="00237075"/>
    <w:rsid w:val="00237937"/>
    <w:rsid w:val="00237CA6"/>
    <w:rsid w:val="00237E1D"/>
    <w:rsid w:val="00237E72"/>
    <w:rsid w:val="00240251"/>
    <w:rsid w:val="00240A2B"/>
    <w:rsid w:val="00240CFB"/>
    <w:rsid w:val="00240F42"/>
    <w:rsid w:val="002418D3"/>
    <w:rsid w:val="00241A31"/>
    <w:rsid w:val="00241E00"/>
    <w:rsid w:val="00242223"/>
    <w:rsid w:val="00243025"/>
    <w:rsid w:val="002433E0"/>
    <w:rsid w:val="00243ABA"/>
    <w:rsid w:val="00243DE6"/>
    <w:rsid w:val="002440D6"/>
    <w:rsid w:val="00244235"/>
    <w:rsid w:val="0024489A"/>
    <w:rsid w:val="00244C65"/>
    <w:rsid w:val="00244F7D"/>
    <w:rsid w:val="00244FF5"/>
    <w:rsid w:val="002461F5"/>
    <w:rsid w:val="0024652E"/>
    <w:rsid w:val="002465AD"/>
    <w:rsid w:val="00246BC7"/>
    <w:rsid w:val="0024760B"/>
    <w:rsid w:val="00247D30"/>
    <w:rsid w:val="0025028E"/>
    <w:rsid w:val="002502C6"/>
    <w:rsid w:val="00250AB2"/>
    <w:rsid w:val="00251152"/>
    <w:rsid w:val="002511EC"/>
    <w:rsid w:val="00251687"/>
    <w:rsid w:val="002516A3"/>
    <w:rsid w:val="0025174A"/>
    <w:rsid w:val="0025179A"/>
    <w:rsid w:val="00251AB1"/>
    <w:rsid w:val="00252218"/>
    <w:rsid w:val="00252A70"/>
    <w:rsid w:val="00252C4E"/>
    <w:rsid w:val="00253703"/>
    <w:rsid w:val="00253841"/>
    <w:rsid w:val="00253972"/>
    <w:rsid w:val="002539BD"/>
    <w:rsid w:val="00253D70"/>
    <w:rsid w:val="002541A8"/>
    <w:rsid w:val="002541DB"/>
    <w:rsid w:val="0025447F"/>
    <w:rsid w:val="00254542"/>
    <w:rsid w:val="00254C04"/>
    <w:rsid w:val="00255496"/>
    <w:rsid w:val="0025549E"/>
    <w:rsid w:val="0025553C"/>
    <w:rsid w:val="00255576"/>
    <w:rsid w:val="00255A4A"/>
    <w:rsid w:val="00255C94"/>
    <w:rsid w:val="00255F57"/>
    <w:rsid w:val="00256382"/>
    <w:rsid w:val="002566A1"/>
    <w:rsid w:val="00257065"/>
    <w:rsid w:val="002572A2"/>
    <w:rsid w:val="002576A8"/>
    <w:rsid w:val="00257DB4"/>
    <w:rsid w:val="002603AC"/>
    <w:rsid w:val="00260920"/>
    <w:rsid w:val="00260983"/>
    <w:rsid w:val="00260DB9"/>
    <w:rsid w:val="00260F32"/>
    <w:rsid w:val="00260FA3"/>
    <w:rsid w:val="00260FA9"/>
    <w:rsid w:val="002610B9"/>
    <w:rsid w:val="00261647"/>
    <w:rsid w:val="002616A8"/>
    <w:rsid w:val="00261B08"/>
    <w:rsid w:val="00261E43"/>
    <w:rsid w:val="002624E8"/>
    <w:rsid w:val="00262566"/>
    <w:rsid w:val="002626CE"/>
    <w:rsid w:val="00263028"/>
    <w:rsid w:val="002639C2"/>
    <w:rsid w:val="00263B7D"/>
    <w:rsid w:val="00263B92"/>
    <w:rsid w:val="00263D9E"/>
    <w:rsid w:val="00263EE0"/>
    <w:rsid w:val="00264197"/>
    <w:rsid w:val="002645D2"/>
    <w:rsid w:val="002645FC"/>
    <w:rsid w:val="00264DF7"/>
    <w:rsid w:val="00264FC9"/>
    <w:rsid w:val="00265A1E"/>
    <w:rsid w:val="00265B00"/>
    <w:rsid w:val="00265D6C"/>
    <w:rsid w:val="00265FD2"/>
    <w:rsid w:val="00265FD9"/>
    <w:rsid w:val="00266371"/>
    <w:rsid w:val="00266558"/>
    <w:rsid w:val="002668C7"/>
    <w:rsid w:val="00266C4B"/>
    <w:rsid w:val="0026720D"/>
    <w:rsid w:val="002672CC"/>
    <w:rsid w:val="002675FD"/>
    <w:rsid w:val="002679C0"/>
    <w:rsid w:val="00267C7F"/>
    <w:rsid w:val="00270A23"/>
    <w:rsid w:val="00270EED"/>
    <w:rsid w:val="002715AA"/>
    <w:rsid w:val="002719B4"/>
    <w:rsid w:val="00272349"/>
    <w:rsid w:val="002723B2"/>
    <w:rsid w:val="0027298F"/>
    <w:rsid w:val="00272C68"/>
    <w:rsid w:val="00273101"/>
    <w:rsid w:val="002737FD"/>
    <w:rsid w:val="00273942"/>
    <w:rsid w:val="00273C65"/>
    <w:rsid w:val="002747C3"/>
    <w:rsid w:val="00274AC5"/>
    <w:rsid w:val="00274B2A"/>
    <w:rsid w:val="00274D9F"/>
    <w:rsid w:val="00274E32"/>
    <w:rsid w:val="0027537A"/>
    <w:rsid w:val="002754DC"/>
    <w:rsid w:val="002758F6"/>
    <w:rsid w:val="00275B6C"/>
    <w:rsid w:val="00275C2B"/>
    <w:rsid w:val="002760CC"/>
    <w:rsid w:val="002764DD"/>
    <w:rsid w:val="00276F4E"/>
    <w:rsid w:val="0027707A"/>
    <w:rsid w:val="0027715C"/>
    <w:rsid w:val="00277B15"/>
    <w:rsid w:val="00280445"/>
    <w:rsid w:val="00280D2F"/>
    <w:rsid w:val="00280DAA"/>
    <w:rsid w:val="00281597"/>
    <w:rsid w:val="002816C6"/>
    <w:rsid w:val="00281739"/>
    <w:rsid w:val="002817C0"/>
    <w:rsid w:val="00281CAA"/>
    <w:rsid w:val="00281D1C"/>
    <w:rsid w:val="00282592"/>
    <w:rsid w:val="002827BD"/>
    <w:rsid w:val="00282804"/>
    <w:rsid w:val="00282938"/>
    <w:rsid w:val="00282C39"/>
    <w:rsid w:val="00282F77"/>
    <w:rsid w:val="00283242"/>
    <w:rsid w:val="00283969"/>
    <w:rsid w:val="00283FB4"/>
    <w:rsid w:val="002840EB"/>
    <w:rsid w:val="0028414A"/>
    <w:rsid w:val="0028414D"/>
    <w:rsid w:val="00284164"/>
    <w:rsid w:val="00284377"/>
    <w:rsid w:val="00284501"/>
    <w:rsid w:val="00284528"/>
    <w:rsid w:val="002846E2"/>
    <w:rsid w:val="0028470D"/>
    <w:rsid w:val="0028476D"/>
    <w:rsid w:val="00284836"/>
    <w:rsid w:val="00284AB3"/>
    <w:rsid w:val="00284B89"/>
    <w:rsid w:val="00284D42"/>
    <w:rsid w:val="00284E3B"/>
    <w:rsid w:val="00284F6F"/>
    <w:rsid w:val="00285382"/>
    <w:rsid w:val="0028573E"/>
    <w:rsid w:val="00285C33"/>
    <w:rsid w:val="002861D6"/>
    <w:rsid w:val="00286B13"/>
    <w:rsid w:val="00286CD3"/>
    <w:rsid w:val="00286FD0"/>
    <w:rsid w:val="0028744A"/>
    <w:rsid w:val="00287988"/>
    <w:rsid w:val="00287D55"/>
    <w:rsid w:val="00287E12"/>
    <w:rsid w:val="00290B2A"/>
    <w:rsid w:val="00290B3E"/>
    <w:rsid w:val="00290D3B"/>
    <w:rsid w:val="00290F20"/>
    <w:rsid w:val="00291050"/>
    <w:rsid w:val="0029109B"/>
    <w:rsid w:val="002910BA"/>
    <w:rsid w:val="00291121"/>
    <w:rsid w:val="0029144F"/>
    <w:rsid w:val="0029194F"/>
    <w:rsid w:val="00291DF8"/>
    <w:rsid w:val="002920F5"/>
    <w:rsid w:val="00292141"/>
    <w:rsid w:val="00292280"/>
    <w:rsid w:val="002924F8"/>
    <w:rsid w:val="002926EB"/>
    <w:rsid w:val="00292A27"/>
    <w:rsid w:val="00292C45"/>
    <w:rsid w:val="00292C80"/>
    <w:rsid w:val="00292FEA"/>
    <w:rsid w:val="002931A9"/>
    <w:rsid w:val="0029366C"/>
    <w:rsid w:val="002937BA"/>
    <w:rsid w:val="0029385E"/>
    <w:rsid w:val="00293C88"/>
    <w:rsid w:val="0029408F"/>
    <w:rsid w:val="0029460A"/>
    <w:rsid w:val="00294F9C"/>
    <w:rsid w:val="00295335"/>
    <w:rsid w:val="00295415"/>
    <w:rsid w:val="002954CF"/>
    <w:rsid w:val="00296DE1"/>
    <w:rsid w:val="002972E7"/>
    <w:rsid w:val="00297761"/>
    <w:rsid w:val="0029785E"/>
    <w:rsid w:val="0029787B"/>
    <w:rsid w:val="00297ED8"/>
    <w:rsid w:val="002A047F"/>
    <w:rsid w:val="002A0496"/>
    <w:rsid w:val="002A05EB"/>
    <w:rsid w:val="002A0870"/>
    <w:rsid w:val="002A0914"/>
    <w:rsid w:val="002A0AD0"/>
    <w:rsid w:val="002A0B3B"/>
    <w:rsid w:val="002A0BE5"/>
    <w:rsid w:val="002A0C34"/>
    <w:rsid w:val="002A0E16"/>
    <w:rsid w:val="002A1043"/>
    <w:rsid w:val="002A12DA"/>
    <w:rsid w:val="002A12E5"/>
    <w:rsid w:val="002A176D"/>
    <w:rsid w:val="002A1D79"/>
    <w:rsid w:val="002A1E96"/>
    <w:rsid w:val="002A1F46"/>
    <w:rsid w:val="002A1FA9"/>
    <w:rsid w:val="002A204A"/>
    <w:rsid w:val="002A2053"/>
    <w:rsid w:val="002A21EF"/>
    <w:rsid w:val="002A231B"/>
    <w:rsid w:val="002A2418"/>
    <w:rsid w:val="002A24E9"/>
    <w:rsid w:val="002A29CB"/>
    <w:rsid w:val="002A2A32"/>
    <w:rsid w:val="002A2FD7"/>
    <w:rsid w:val="002A3BCA"/>
    <w:rsid w:val="002A4358"/>
    <w:rsid w:val="002A4B18"/>
    <w:rsid w:val="002A503A"/>
    <w:rsid w:val="002A5489"/>
    <w:rsid w:val="002A5991"/>
    <w:rsid w:val="002A5F56"/>
    <w:rsid w:val="002A6931"/>
    <w:rsid w:val="002A69BF"/>
    <w:rsid w:val="002A6EE4"/>
    <w:rsid w:val="002A7286"/>
    <w:rsid w:val="002A72D7"/>
    <w:rsid w:val="002A7A09"/>
    <w:rsid w:val="002A7CDA"/>
    <w:rsid w:val="002A7DCD"/>
    <w:rsid w:val="002B00B0"/>
    <w:rsid w:val="002B016F"/>
    <w:rsid w:val="002B0425"/>
    <w:rsid w:val="002B0E69"/>
    <w:rsid w:val="002B106C"/>
    <w:rsid w:val="002B12E6"/>
    <w:rsid w:val="002B1308"/>
    <w:rsid w:val="002B15DE"/>
    <w:rsid w:val="002B17C0"/>
    <w:rsid w:val="002B17D1"/>
    <w:rsid w:val="002B1B52"/>
    <w:rsid w:val="002B1C62"/>
    <w:rsid w:val="002B1F62"/>
    <w:rsid w:val="002B2007"/>
    <w:rsid w:val="002B203F"/>
    <w:rsid w:val="002B21FE"/>
    <w:rsid w:val="002B2BC1"/>
    <w:rsid w:val="002B2E8D"/>
    <w:rsid w:val="002B32C6"/>
    <w:rsid w:val="002B3392"/>
    <w:rsid w:val="002B3569"/>
    <w:rsid w:val="002B3579"/>
    <w:rsid w:val="002B4065"/>
    <w:rsid w:val="002B40F1"/>
    <w:rsid w:val="002B4178"/>
    <w:rsid w:val="002B4339"/>
    <w:rsid w:val="002B4453"/>
    <w:rsid w:val="002B48C0"/>
    <w:rsid w:val="002B49BD"/>
    <w:rsid w:val="002B49C9"/>
    <w:rsid w:val="002B49F5"/>
    <w:rsid w:val="002B4F83"/>
    <w:rsid w:val="002B5AED"/>
    <w:rsid w:val="002B61C1"/>
    <w:rsid w:val="002B6564"/>
    <w:rsid w:val="002B6570"/>
    <w:rsid w:val="002B6CA6"/>
    <w:rsid w:val="002B6E42"/>
    <w:rsid w:val="002B7197"/>
    <w:rsid w:val="002B71A6"/>
    <w:rsid w:val="002B72B7"/>
    <w:rsid w:val="002B73F4"/>
    <w:rsid w:val="002B7820"/>
    <w:rsid w:val="002B7CC4"/>
    <w:rsid w:val="002B7D64"/>
    <w:rsid w:val="002C043C"/>
    <w:rsid w:val="002C0A80"/>
    <w:rsid w:val="002C0EB2"/>
    <w:rsid w:val="002C1054"/>
    <w:rsid w:val="002C1087"/>
    <w:rsid w:val="002C138A"/>
    <w:rsid w:val="002C13BF"/>
    <w:rsid w:val="002C1437"/>
    <w:rsid w:val="002C1444"/>
    <w:rsid w:val="002C14B4"/>
    <w:rsid w:val="002C15AF"/>
    <w:rsid w:val="002C16EA"/>
    <w:rsid w:val="002C19E0"/>
    <w:rsid w:val="002C253D"/>
    <w:rsid w:val="002C25B2"/>
    <w:rsid w:val="002C27E6"/>
    <w:rsid w:val="002C2C05"/>
    <w:rsid w:val="002C2D26"/>
    <w:rsid w:val="002C32D4"/>
    <w:rsid w:val="002C34BE"/>
    <w:rsid w:val="002C3E8B"/>
    <w:rsid w:val="002C4195"/>
    <w:rsid w:val="002C440A"/>
    <w:rsid w:val="002C49C5"/>
    <w:rsid w:val="002C4A33"/>
    <w:rsid w:val="002C4A77"/>
    <w:rsid w:val="002C5087"/>
    <w:rsid w:val="002C58E9"/>
    <w:rsid w:val="002C5A7E"/>
    <w:rsid w:val="002C5E0D"/>
    <w:rsid w:val="002C5E2C"/>
    <w:rsid w:val="002C6457"/>
    <w:rsid w:val="002C649D"/>
    <w:rsid w:val="002C65D1"/>
    <w:rsid w:val="002C69BA"/>
    <w:rsid w:val="002C6EFC"/>
    <w:rsid w:val="002C78A3"/>
    <w:rsid w:val="002C78E4"/>
    <w:rsid w:val="002D01AA"/>
    <w:rsid w:val="002D01E5"/>
    <w:rsid w:val="002D0D19"/>
    <w:rsid w:val="002D0DA6"/>
    <w:rsid w:val="002D0DCF"/>
    <w:rsid w:val="002D1337"/>
    <w:rsid w:val="002D18B0"/>
    <w:rsid w:val="002D3421"/>
    <w:rsid w:val="002D34CA"/>
    <w:rsid w:val="002D3B9F"/>
    <w:rsid w:val="002D3C9A"/>
    <w:rsid w:val="002D3F1D"/>
    <w:rsid w:val="002D3F9B"/>
    <w:rsid w:val="002D408A"/>
    <w:rsid w:val="002D4A4A"/>
    <w:rsid w:val="002D5163"/>
    <w:rsid w:val="002D51DB"/>
    <w:rsid w:val="002D5360"/>
    <w:rsid w:val="002D53C9"/>
    <w:rsid w:val="002D5973"/>
    <w:rsid w:val="002D5CFF"/>
    <w:rsid w:val="002D5E0B"/>
    <w:rsid w:val="002D6123"/>
    <w:rsid w:val="002D61F8"/>
    <w:rsid w:val="002D62FE"/>
    <w:rsid w:val="002D6B4E"/>
    <w:rsid w:val="002D6ECE"/>
    <w:rsid w:val="002D7340"/>
    <w:rsid w:val="002D73C9"/>
    <w:rsid w:val="002D7F03"/>
    <w:rsid w:val="002E0FD4"/>
    <w:rsid w:val="002E11DB"/>
    <w:rsid w:val="002E1A16"/>
    <w:rsid w:val="002E1ADA"/>
    <w:rsid w:val="002E1DBE"/>
    <w:rsid w:val="002E1EC0"/>
    <w:rsid w:val="002E20CA"/>
    <w:rsid w:val="002E2A90"/>
    <w:rsid w:val="002E2A97"/>
    <w:rsid w:val="002E2DF9"/>
    <w:rsid w:val="002E3260"/>
    <w:rsid w:val="002E3413"/>
    <w:rsid w:val="002E3632"/>
    <w:rsid w:val="002E3714"/>
    <w:rsid w:val="002E3A2C"/>
    <w:rsid w:val="002E413B"/>
    <w:rsid w:val="002E41B7"/>
    <w:rsid w:val="002E49EB"/>
    <w:rsid w:val="002E49F5"/>
    <w:rsid w:val="002E4ABC"/>
    <w:rsid w:val="002E4B13"/>
    <w:rsid w:val="002E4BA0"/>
    <w:rsid w:val="002E4F5E"/>
    <w:rsid w:val="002E51B6"/>
    <w:rsid w:val="002E5239"/>
    <w:rsid w:val="002E54E0"/>
    <w:rsid w:val="002E578D"/>
    <w:rsid w:val="002E5C3E"/>
    <w:rsid w:val="002E6365"/>
    <w:rsid w:val="002E6458"/>
    <w:rsid w:val="002E6728"/>
    <w:rsid w:val="002E68CA"/>
    <w:rsid w:val="002E79CC"/>
    <w:rsid w:val="002F023D"/>
    <w:rsid w:val="002F0468"/>
    <w:rsid w:val="002F07A9"/>
    <w:rsid w:val="002F0A40"/>
    <w:rsid w:val="002F0DA4"/>
    <w:rsid w:val="002F19F7"/>
    <w:rsid w:val="002F1ACF"/>
    <w:rsid w:val="002F1BB2"/>
    <w:rsid w:val="002F1D93"/>
    <w:rsid w:val="002F1E36"/>
    <w:rsid w:val="002F21D0"/>
    <w:rsid w:val="002F23D6"/>
    <w:rsid w:val="002F25D8"/>
    <w:rsid w:val="002F293D"/>
    <w:rsid w:val="002F2B27"/>
    <w:rsid w:val="002F2C1C"/>
    <w:rsid w:val="002F320E"/>
    <w:rsid w:val="002F34B6"/>
    <w:rsid w:val="002F385D"/>
    <w:rsid w:val="002F3A4F"/>
    <w:rsid w:val="002F3DB1"/>
    <w:rsid w:val="002F3DEA"/>
    <w:rsid w:val="002F3E38"/>
    <w:rsid w:val="002F4715"/>
    <w:rsid w:val="002F4CFA"/>
    <w:rsid w:val="002F4E9A"/>
    <w:rsid w:val="002F4F49"/>
    <w:rsid w:val="002F51C0"/>
    <w:rsid w:val="002F557A"/>
    <w:rsid w:val="002F56C9"/>
    <w:rsid w:val="002F581F"/>
    <w:rsid w:val="002F585B"/>
    <w:rsid w:val="002F5BB6"/>
    <w:rsid w:val="002F5ECF"/>
    <w:rsid w:val="002F60CF"/>
    <w:rsid w:val="002F616C"/>
    <w:rsid w:val="002F6E95"/>
    <w:rsid w:val="002F765D"/>
    <w:rsid w:val="002F7A17"/>
    <w:rsid w:val="002F7BCF"/>
    <w:rsid w:val="002F7BFD"/>
    <w:rsid w:val="002F7EAB"/>
    <w:rsid w:val="002F7F1D"/>
    <w:rsid w:val="002F7FA6"/>
    <w:rsid w:val="003000AC"/>
    <w:rsid w:val="003000B8"/>
    <w:rsid w:val="003002F0"/>
    <w:rsid w:val="0030055E"/>
    <w:rsid w:val="003005C7"/>
    <w:rsid w:val="0030086F"/>
    <w:rsid w:val="00300B58"/>
    <w:rsid w:val="00300E12"/>
    <w:rsid w:val="00301141"/>
    <w:rsid w:val="003018CB"/>
    <w:rsid w:val="00301926"/>
    <w:rsid w:val="00301B7A"/>
    <w:rsid w:val="003020D2"/>
    <w:rsid w:val="00302183"/>
    <w:rsid w:val="00302189"/>
    <w:rsid w:val="00302359"/>
    <w:rsid w:val="0030264B"/>
    <w:rsid w:val="00302ABC"/>
    <w:rsid w:val="00302E93"/>
    <w:rsid w:val="00302EF0"/>
    <w:rsid w:val="00302F1F"/>
    <w:rsid w:val="00303312"/>
    <w:rsid w:val="003037B5"/>
    <w:rsid w:val="00303917"/>
    <w:rsid w:val="00303DA6"/>
    <w:rsid w:val="003044DD"/>
    <w:rsid w:val="00304537"/>
    <w:rsid w:val="00304886"/>
    <w:rsid w:val="00304938"/>
    <w:rsid w:val="00304B5A"/>
    <w:rsid w:val="00304BB6"/>
    <w:rsid w:val="00304FCF"/>
    <w:rsid w:val="003053DE"/>
    <w:rsid w:val="00306A13"/>
    <w:rsid w:val="00306B0A"/>
    <w:rsid w:val="0030702F"/>
    <w:rsid w:val="00307196"/>
    <w:rsid w:val="00307267"/>
    <w:rsid w:val="003074F5"/>
    <w:rsid w:val="00307915"/>
    <w:rsid w:val="00307D58"/>
    <w:rsid w:val="00307DA8"/>
    <w:rsid w:val="00307E2D"/>
    <w:rsid w:val="003109CB"/>
    <w:rsid w:val="00310D36"/>
    <w:rsid w:val="003111FA"/>
    <w:rsid w:val="0031168E"/>
    <w:rsid w:val="003119CB"/>
    <w:rsid w:val="00311CF1"/>
    <w:rsid w:val="00311EC8"/>
    <w:rsid w:val="003121BF"/>
    <w:rsid w:val="003122D3"/>
    <w:rsid w:val="00312CAC"/>
    <w:rsid w:val="00312E2B"/>
    <w:rsid w:val="00312FF4"/>
    <w:rsid w:val="0031350C"/>
    <w:rsid w:val="003137C1"/>
    <w:rsid w:val="00313D96"/>
    <w:rsid w:val="0031401B"/>
    <w:rsid w:val="003142AE"/>
    <w:rsid w:val="0031458A"/>
    <w:rsid w:val="0031480E"/>
    <w:rsid w:val="00314829"/>
    <w:rsid w:val="003148B3"/>
    <w:rsid w:val="003148BF"/>
    <w:rsid w:val="00314DE1"/>
    <w:rsid w:val="00315767"/>
    <w:rsid w:val="00315798"/>
    <w:rsid w:val="0031582C"/>
    <w:rsid w:val="00315840"/>
    <w:rsid w:val="00315A67"/>
    <w:rsid w:val="00315DA7"/>
    <w:rsid w:val="0031617F"/>
    <w:rsid w:val="003161DA"/>
    <w:rsid w:val="00316297"/>
    <w:rsid w:val="00316581"/>
    <w:rsid w:val="0031685D"/>
    <w:rsid w:val="00316B8E"/>
    <w:rsid w:val="00316EF1"/>
    <w:rsid w:val="00320896"/>
    <w:rsid w:val="00320C44"/>
    <w:rsid w:val="00320EA6"/>
    <w:rsid w:val="0032144C"/>
    <w:rsid w:val="003215F9"/>
    <w:rsid w:val="00321666"/>
    <w:rsid w:val="003217F3"/>
    <w:rsid w:val="00321AFB"/>
    <w:rsid w:val="00321B3E"/>
    <w:rsid w:val="00321FFD"/>
    <w:rsid w:val="00322280"/>
    <w:rsid w:val="00322303"/>
    <w:rsid w:val="00322350"/>
    <w:rsid w:val="0032249D"/>
    <w:rsid w:val="00322A21"/>
    <w:rsid w:val="003234BF"/>
    <w:rsid w:val="00323A50"/>
    <w:rsid w:val="00323B5D"/>
    <w:rsid w:val="0032425B"/>
    <w:rsid w:val="003248B1"/>
    <w:rsid w:val="003249CE"/>
    <w:rsid w:val="00324B9D"/>
    <w:rsid w:val="003250A5"/>
    <w:rsid w:val="003250C9"/>
    <w:rsid w:val="00325295"/>
    <w:rsid w:val="003254E4"/>
    <w:rsid w:val="00325654"/>
    <w:rsid w:val="0032565F"/>
    <w:rsid w:val="00325A06"/>
    <w:rsid w:val="00325EC3"/>
    <w:rsid w:val="003261CF"/>
    <w:rsid w:val="003261D0"/>
    <w:rsid w:val="003262F4"/>
    <w:rsid w:val="00326304"/>
    <w:rsid w:val="00326309"/>
    <w:rsid w:val="0032698B"/>
    <w:rsid w:val="00326CAC"/>
    <w:rsid w:val="003271C3"/>
    <w:rsid w:val="0032737D"/>
    <w:rsid w:val="003273E6"/>
    <w:rsid w:val="00327567"/>
    <w:rsid w:val="00327732"/>
    <w:rsid w:val="003279D6"/>
    <w:rsid w:val="00327FA5"/>
    <w:rsid w:val="0033037D"/>
    <w:rsid w:val="00330623"/>
    <w:rsid w:val="003309D6"/>
    <w:rsid w:val="00330A7A"/>
    <w:rsid w:val="00330E8D"/>
    <w:rsid w:val="0033158F"/>
    <w:rsid w:val="00331800"/>
    <w:rsid w:val="00331DB0"/>
    <w:rsid w:val="003321D0"/>
    <w:rsid w:val="00332562"/>
    <w:rsid w:val="00332A69"/>
    <w:rsid w:val="00332CDE"/>
    <w:rsid w:val="003332E5"/>
    <w:rsid w:val="00333307"/>
    <w:rsid w:val="003333E5"/>
    <w:rsid w:val="003335C4"/>
    <w:rsid w:val="0033363A"/>
    <w:rsid w:val="003338F6"/>
    <w:rsid w:val="00333985"/>
    <w:rsid w:val="003345AC"/>
    <w:rsid w:val="003345D8"/>
    <w:rsid w:val="00334B42"/>
    <w:rsid w:val="003352F5"/>
    <w:rsid w:val="00335951"/>
    <w:rsid w:val="00335B97"/>
    <w:rsid w:val="00335F2D"/>
    <w:rsid w:val="00336712"/>
    <w:rsid w:val="00337235"/>
    <w:rsid w:val="003373B2"/>
    <w:rsid w:val="003373CD"/>
    <w:rsid w:val="00337A9D"/>
    <w:rsid w:val="00337C92"/>
    <w:rsid w:val="00337F36"/>
    <w:rsid w:val="0034063F"/>
    <w:rsid w:val="003406B2"/>
    <w:rsid w:val="00340837"/>
    <w:rsid w:val="003408D6"/>
    <w:rsid w:val="00340A0E"/>
    <w:rsid w:val="00340AF7"/>
    <w:rsid w:val="0034118E"/>
    <w:rsid w:val="003416E0"/>
    <w:rsid w:val="00341A8D"/>
    <w:rsid w:val="003432FA"/>
    <w:rsid w:val="003443DC"/>
    <w:rsid w:val="0034449B"/>
    <w:rsid w:val="00344582"/>
    <w:rsid w:val="00344708"/>
    <w:rsid w:val="003450F7"/>
    <w:rsid w:val="0034563C"/>
    <w:rsid w:val="003456E7"/>
    <w:rsid w:val="00345ABC"/>
    <w:rsid w:val="003463E1"/>
    <w:rsid w:val="003466D0"/>
    <w:rsid w:val="0034680B"/>
    <w:rsid w:val="003468F0"/>
    <w:rsid w:val="00346C8E"/>
    <w:rsid w:val="00346CC6"/>
    <w:rsid w:val="00346E28"/>
    <w:rsid w:val="00346E8C"/>
    <w:rsid w:val="00347DF6"/>
    <w:rsid w:val="00347FDE"/>
    <w:rsid w:val="00350083"/>
    <w:rsid w:val="003503D5"/>
    <w:rsid w:val="00350541"/>
    <w:rsid w:val="003508B7"/>
    <w:rsid w:val="003509DD"/>
    <w:rsid w:val="00350AB7"/>
    <w:rsid w:val="00350BF1"/>
    <w:rsid w:val="00350CDD"/>
    <w:rsid w:val="003513E9"/>
    <w:rsid w:val="0035158E"/>
    <w:rsid w:val="00351B4E"/>
    <w:rsid w:val="00351BE1"/>
    <w:rsid w:val="00352A13"/>
    <w:rsid w:val="00352C8B"/>
    <w:rsid w:val="0035382B"/>
    <w:rsid w:val="00353B25"/>
    <w:rsid w:val="00353DEC"/>
    <w:rsid w:val="00353E4D"/>
    <w:rsid w:val="00353EC3"/>
    <w:rsid w:val="00354644"/>
    <w:rsid w:val="00354AD8"/>
    <w:rsid w:val="00354CEE"/>
    <w:rsid w:val="00354F5D"/>
    <w:rsid w:val="00355469"/>
    <w:rsid w:val="003558B2"/>
    <w:rsid w:val="003558FF"/>
    <w:rsid w:val="00355E23"/>
    <w:rsid w:val="003563FC"/>
    <w:rsid w:val="003565C5"/>
    <w:rsid w:val="003565C9"/>
    <w:rsid w:val="00357188"/>
    <w:rsid w:val="003575EB"/>
    <w:rsid w:val="00357C19"/>
    <w:rsid w:val="00357E3D"/>
    <w:rsid w:val="00357EB0"/>
    <w:rsid w:val="003600B0"/>
    <w:rsid w:val="003604F4"/>
    <w:rsid w:val="0036098A"/>
    <w:rsid w:val="00360999"/>
    <w:rsid w:val="003609D7"/>
    <w:rsid w:val="00361424"/>
    <w:rsid w:val="003616C8"/>
    <w:rsid w:val="00361899"/>
    <w:rsid w:val="00362382"/>
    <w:rsid w:val="00362817"/>
    <w:rsid w:val="00362872"/>
    <w:rsid w:val="00362D94"/>
    <w:rsid w:val="0036331F"/>
    <w:rsid w:val="00363C0F"/>
    <w:rsid w:val="00363CA2"/>
    <w:rsid w:val="00363D83"/>
    <w:rsid w:val="003645D5"/>
    <w:rsid w:val="00364AA9"/>
    <w:rsid w:val="00364B49"/>
    <w:rsid w:val="00365185"/>
    <w:rsid w:val="003653B4"/>
    <w:rsid w:val="00365C8E"/>
    <w:rsid w:val="003660F8"/>
    <w:rsid w:val="00366592"/>
    <w:rsid w:val="003666FA"/>
    <w:rsid w:val="003668C8"/>
    <w:rsid w:val="00366931"/>
    <w:rsid w:val="003672B6"/>
    <w:rsid w:val="003676C3"/>
    <w:rsid w:val="00367E1A"/>
    <w:rsid w:val="00367EDC"/>
    <w:rsid w:val="00370DBE"/>
    <w:rsid w:val="00371B4E"/>
    <w:rsid w:val="00371D1D"/>
    <w:rsid w:val="00371DCE"/>
    <w:rsid w:val="00371E8A"/>
    <w:rsid w:val="003720B0"/>
    <w:rsid w:val="003720E9"/>
    <w:rsid w:val="00372261"/>
    <w:rsid w:val="0037251B"/>
    <w:rsid w:val="00372B0E"/>
    <w:rsid w:val="0037300B"/>
    <w:rsid w:val="00373488"/>
    <w:rsid w:val="00373871"/>
    <w:rsid w:val="00373C51"/>
    <w:rsid w:val="00373D7C"/>
    <w:rsid w:val="00373E20"/>
    <w:rsid w:val="0037406D"/>
    <w:rsid w:val="0037438F"/>
    <w:rsid w:val="003745D1"/>
    <w:rsid w:val="003747F1"/>
    <w:rsid w:val="00374CE5"/>
    <w:rsid w:val="003750C3"/>
    <w:rsid w:val="00375398"/>
    <w:rsid w:val="003753C6"/>
    <w:rsid w:val="00375645"/>
    <w:rsid w:val="003758A0"/>
    <w:rsid w:val="00375E1B"/>
    <w:rsid w:val="00376011"/>
    <w:rsid w:val="0037618F"/>
    <w:rsid w:val="00376832"/>
    <w:rsid w:val="00376A0E"/>
    <w:rsid w:val="00376A79"/>
    <w:rsid w:val="00376A9E"/>
    <w:rsid w:val="00376AF0"/>
    <w:rsid w:val="00376B3E"/>
    <w:rsid w:val="003770C3"/>
    <w:rsid w:val="0037776A"/>
    <w:rsid w:val="003779D2"/>
    <w:rsid w:val="00377EBB"/>
    <w:rsid w:val="003805D6"/>
    <w:rsid w:val="003807B1"/>
    <w:rsid w:val="00380B82"/>
    <w:rsid w:val="00380C0A"/>
    <w:rsid w:val="003814FF"/>
    <w:rsid w:val="003817E8"/>
    <w:rsid w:val="003819B7"/>
    <w:rsid w:val="00381A70"/>
    <w:rsid w:val="00381B41"/>
    <w:rsid w:val="00381D01"/>
    <w:rsid w:val="0038212A"/>
    <w:rsid w:val="0038218A"/>
    <w:rsid w:val="0038249C"/>
    <w:rsid w:val="003826B9"/>
    <w:rsid w:val="003826BF"/>
    <w:rsid w:val="00382BC5"/>
    <w:rsid w:val="00382C4C"/>
    <w:rsid w:val="00382FBB"/>
    <w:rsid w:val="003830DC"/>
    <w:rsid w:val="00383230"/>
    <w:rsid w:val="003836A2"/>
    <w:rsid w:val="00384204"/>
    <w:rsid w:val="00384310"/>
    <w:rsid w:val="00384750"/>
    <w:rsid w:val="00384764"/>
    <w:rsid w:val="003848FD"/>
    <w:rsid w:val="00384985"/>
    <w:rsid w:val="00384C07"/>
    <w:rsid w:val="00384DDA"/>
    <w:rsid w:val="00384E6C"/>
    <w:rsid w:val="003851F6"/>
    <w:rsid w:val="0038543C"/>
    <w:rsid w:val="00385442"/>
    <w:rsid w:val="0038567E"/>
    <w:rsid w:val="00385892"/>
    <w:rsid w:val="00385E6C"/>
    <w:rsid w:val="00385E87"/>
    <w:rsid w:val="003860E5"/>
    <w:rsid w:val="00386210"/>
    <w:rsid w:val="0038622A"/>
    <w:rsid w:val="003863B9"/>
    <w:rsid w:val="003865AB"/>
    <w:rsid w:val="00386610"/>
    <w:rsid w:val="003867F5"/>
    <w:rsid w:val="00386FC6"/>
    <w:rsid w:val="0038713F"/>
    <w:rsid w:val="00387370"/>
    <w:rsid w:val="00387545"/>
    <w:rsid w:val="00387678"/>
    <w:rsid w:val="003877B4"/>
    <w:rsid w:val="0038784E"/>
    <w:rsid w:val="003879C4"/>
    <w:rsid w:val="003900D2"/>
    <w:rsid w:val="003900DA"/>
    <w:rsid w:val="003904C1"/>
    <w:rsid w:val="003907A5"/>
    <w:rsid w:val="0039085B"/>
    <w:rsid w:val="00390B76"/>
    <w:rsid w:val="00390BCD"/>
    <w:rsid w:val="00390C3C"/>
    <w:rsid w:val="00390FD5"/>
    <w:rsid w:val="00391274"/>
    <w:rsid w:val="0039141E"/>
    <w:rsid w:val="00391699"/>
    <w:rsid w:val="00391918"/>
    <w:rsid w:val="0039261C"/>
    <w:rsid w:val="0039378B"/>
    <w:rsid w:val="00393925"/>
    <w:rsid w:val="003939DC"/>
    <w:rsid w:val="00393B05"/>
    <w:rsid w:val="00393CAD"/>
    <w:rsid w:val="00393CE8"/>
    <w:rsid w:val="00393DA1"/>
    <w:rsid w:val="00394374"/>
    <w:rsid w:val="00394451"/>
    <w:rsid w:val="0039461A"/>
    <w:rsid w:val="00394B34"/>
    <w:rsid w:val="00395711"/>
    <w:rsid w:val="003957E5"/>
    <w:rsid w:val="00395B36"/>
    <w:rsid w:val="00395C46"/>
    <w:rsid w:val="00395CAF"/>
    <w:rsid w:val="00395D99"/>
    <w:rsid w:val="00395E57"/>
    <w:rsid w:val="00395F7E"/>
    <w:rsid w:val="003960AE"/>
    <w:rsid w:val="00396495"/>
    <w:rsid w:val="00396893"/>
    <w:rsid w:val="00396899"/>
    <w:rsid w:val="00396DC7"/>
    <w:rsid w:val="003971ED"/>
    <w:rsid w:val="00397248"/>
    <w:rsid w:val="003977BC"/>
    <w:rsid w:val="00397A57"/>
    <w:rsid w:val="00397EE8"/>
    <w:rsid w:val="003A03BE"/>
    <w:rsid w:val="003A04CE"/>
    <w:rsid w:val="003A09F2"/>
    <w:rsid w:val="003A0C24"/>
    <w:rsid w:val="003A0E28"/>
    <w:rsid w:val="003A1027"/>
    <w:rsid w:val="003A1158"/>
    <w:rsid w:val="003A175F"/>
    <w:rsid w:val="003A1AFF"/>
    <w:rsid w:val="003A1BD3"/>
    <w:rsid w:val="003A1E80"/>
    <w:rsid w:val="003A24F4"/>
    <w:rsid w:val="003A2862"/>
    <w:rsid w:val="003A29AF"/>
    <w:rsid w:val="003A2FF5"/>
    <w:rsid w:val="003A320B"/>
    <w:rsid w:val="003A3537"/>
    <w:rsid w:val="003A3828"/>
    <w:rsid w:val="003A3BF0"/>
    <w:rsid w:val="003A3F58"/>
    <w:rsid w:val="003A404E"/>
    <w:rsid w:val="003A40A0"/>
    <w:rsid w:val="003A43A3"/>
    <w:rsid w:val="003A4492"/>
    <w:rsid w:val="003A4774"/>
    <w:rsid w:val="003A495F"/>
    <w:rsid w:val="003A52A3"/>
    <w:rsid w:val="003A54D8"/>
    <w:rsid w:val="003A5B84"/>
    <w:rsid w:val="003A5FE8"/>
    <w:rsid w:val="003A6157"/>
    <w:rsid w:val="003A6988"/>
    <w:rsid w:val="003A7420"/>
    <w:rsid w:val="003A75A9"/>
    <w:rsid w:val="003A7615"/>
    <w:rsid w:val="003A780E"/>
    <w:rsid w:val="003A7942"/>
    <w:rsid w:val="003B00A2"/>
    <w:rsid w:val="003B0961"/>
    <w:rsid w:val="003B11E5"/>
    <w:rsid w:val="003B1249"/>
    <w:rsid w:val="003B143D"/>
    <w:rsid w:val="003B147C"/>
    <w:rsid w:val="003B1886"/>
    <w:rsid w:val="003B21F0"/>
    <w:rsid w:val="003B2A5E"/>
    <w:rsid w:val="003B2C29"/>
    <w:rsid w:val="003B2E0E"/>
    <w:rsid w:val="003B2E3B"/>
    <w:rsid w:val="003B2F80"/>
    <w:rsid w:val="003B3054"/>
    <w:rsid w:val="003B30EB"/>
    <w:rsid w:val="003B3474"/>
    <w:rsid w:val="003B353A"/>
    <w:rsid w:val="003B3BC4"/>
    <w:rsid w:val="003B3DFD"/>
    <w:rsid w:val="003B4333"/>
    <w:rsid w:val="003B49C0"/>
    <w:rsid w:val="003B4DC0"/>
    <w:rsid w:val="003B503D"/>
    <w:rsid w:val="003B54A1"/>
    <w:rsid w:val="003B569D"/>
    <w:rsid w:val="003B5FA8"/>
    <w:rsid w:val="003B667B"/>
    <w:rsid w:val="003B6BC2"/>
    <w:rsid w:val="003B6DC6"/>
    <w:rsid w:val="003B6E69"/>
    <w:rsid w:val="003B6FB1"/>
    <w:rsid w:val="003B70D6"/>
    <w:rsid w:val="003B717D"/>
    <w:rsid w:val="003B7194"/>
    <w:rsid w:val="003B7407"/>
    <w:rsid w:val="003B75D2"/>
    <w:rsid w:val="003B765B"/>
    <w:rsid w:val="003B77AB"/>
    <w:rsid w:val="003B7A0A"/>
    <w:rsid w:val="003B7D56"/>
    <w:rsid w:val="003B7E84"/>
    <w:rsid w:val="003B7FC9"/>
    <w:rsid w:val="003C0397"/>
    <w:rsid w:val="003C04B9"/>
    <w:rsid w:val="003C07B1"/>
    <w:rsid w:val="003C08D9"/>
    <w:rsid w:val="003C0B24"/>
    <w:rsid w:val="003C1057"/>
    <w:rsid w:val="003C1173"/>
    <w:rsid w:val="003C1192"/>
    <w:rsid w:val="003C13F6"/>
    <w:rsid w:val="003C1552"/>
    <w:rsid w:val="003C15F8"/>
    <w:rsid w:val="003C1791"/>
    <w:rsid w:val="003C1C9E"/>
    <w:rsid w:val="003C1E4D"/>
    <w:rsid w:val="003C24EA"/>
    <w:rsid w:val="003C2855"/>
    <w:rsid w:val="003C2DAF"/>
    <w:rsid w:val="003C39BF"/>
    <w:rsid w:val="003C4157"/>
    <w:rsid w:val="003C493B"/>
    <w:rsid w:val="003C4BFF"/>
    <w:rsid w:val="003C4C46"/>
    <w:rsid w:val="003C4DC3"/>
    <w:rsid w:val="003C5D62"/>
    <w:rsid w:val="003C625A"/>
    <w:rsid w:val="003C67D0"/>
    <w:rsid w:val="003C6985"/>
    <w:rsid w:val="003C6E42"/>
    <w:rsid w:val="003C6FC7"/>
    <w:rsid w:val="003C7218"/>
    <w:rsid w:val="003C72BA"/>
    <w:rsid w:val="003C748A"/>
    <w:rsid w:val="003C75BD"/>
    <w:rsid w:val="003C79BC"/>
    <w:rsid w:val="003C7E9C"/>
    <w:rsid w:val="003D00A4"/>
    <w:rsid w:val="003D0762"/>
    <w:rsid w:val="003D08ED"/>
    <w:rsid w:val="003D107E"/>
    <w:rsid w:val="003D12B0"/>
    <w:rsid w:val="003D12F8"/>
    <w:rsid w:val="003D179F"/>
    <w:rsid w:val="003D1F2D"/>
    <w:rsid w:val="003D1FD3"/>
    <w:rsid w:val="003D222B"/>
    <w:rsid w:val="003D2372"/>
    <w:rsid w:val="003D25CC"/>
    <w:rsid w:val="003D26D3"/>
    <w:rsid w:val="003D2A0B"/>
    <w:rsid w:val="003D2D17"/>
    <w:rsid w:val="003D2D3F"/>
    <w:rsid w:val="003D2D80"/>
    <w:rsid w:val="003D34D1"/>
    <w:rsid w:val="003D3662"/>
    <w:rsid w:val="003D3961"/>
    <w:rsid w:val="003D4306"/>
    <w:rsid w:val="003D466C"/>
    <w:rsid w:val="003D48D4"/>
    <w:rsid w:val="003D4A59"/>
    <w:rsid w:val="003D4AA3"/>
    <w:rsid w:val="003D4F5E"/>
    <w:rsid w:val="003D4FB0"/>
    <w:rsid w:val="003D5962"/>
    <w:rsid w:val="003D5B99"/>
    <w:rsid w:val="003D6096"/>
    <w:rsid w:val="003D60AA"/>
    <w:rsid w:val="003D6BA0"/>
    <w:rsid w:val="003D6C2E"/>
    <w:rsid w:val="003D6D45"/>
    <w:rsid w:val="003D71F6"/>
    <w:rsid w:val="003D7263"/>
    <w:rsid w:val="003D7608"/>
    <w:rsid w:val="003D7661"/>
    <w:rsid w:val="003D7B15"/>
    <w:rsid w:val="003D7BDE"/>
    <w:rsid w:val="003E03C0"/>
    <w:rsid w:val="003E04FF"/>
    <w:rsid w:val="003E0666"/>
    <w:rsid w:val="003E0771"/>
    <w:rsid w:val="003E0B32"/>
    <w:rsid w:val="003E1174"/>
    <w:rsid w:val="003E1674"/>
    <w:rsid w:val="003E205A"/>
    <w:rsid w:val="003E2ADA"/>
    <w:rsid w:val="003E3036"/>
    <w:rsid w:val="003E3201"/>
    <w:rsid w:val="003E331B"/>
    <w:rsid w:val="003E3553"/>
    <w:rsid w:val="003E3737"/>
    <w:rsid w:val="003E37B9"/>
    <w:rsid w:val="003E37EE"/>
    <w:rsid w:val="003E3865"/>
    <w:rsid w:val="003E39F1"/>
    <w:rsid w:val="003E3A37"/>
    <w:rsid w:val="003E3FD2"/>
    <w:rsid w:val="003E412C"/>
    <w:rsid w:val="003E478E"/>
    <w:rsid w:val="003E4835"/>
    <w:rsid w:val="003E4E23"/>
    <w:rsid w:val="003E5069"/>
    <w:rsid w:val="003E54CA"/>
    <w:rsid w:val="003E5CB0"/>
    <w:rsid w:val="003E6259"/>
    <w:rsid w:val="003E64FD"/>
    <w:rsid w:val="003E68EE"/>
    <w:rsid w:val="003E6B02"/>
    <w:rsid w:val="003E6BCE"/>
    <w:rsid w:val="003E728F"/>
    <w:rsid w:val="003E762E"/>
    <w:rsid w:val="003E76ED"/>
    <w:rsid w:val="003E777F"/>
    <w:rsid w:val="003E77EF"/>
    <w:rsid w:val="003E7881"/>
    <w:rsid w:val="003E7C78"/>
    <w:rsid w:val="003E7D48"/>
    <w:rsid w:val="003F0455"/>
    <w:rsid w:val="003F05E1"/>
    <w:rsid w:val="003F0D58"/>
    <w:rsid w:val="003F0E36"/>
    <w:rsid w:val="003F1124"/>
    <w:rsid w:val="003F133E"/>
    <w:rsid w:val="003F16FB"/>
    <w:rsid w:val="003F1B44"/>
    <w:rsid w:val="003F1C8E"/>
    <w:rsid w:val="003F1F0E"/>
    <w:rsid w:val="003F20AB"/>
    <w:rsid w:val="003F212D"/>
    <w:rsid w:val="003F23A8"/>
    <w:rsid w:val="003F2A19"/>
    <w:rsid w:val="003F2AD8"/>
    <w:rsid w:val="003F2F28"/>
    <w:rsid w:val="003F2F45"/>
    <w:rsid w:val="003F308E"/>
    <w:rsid w:val="003F36A0"/>
    <w:rsid w:val="003F36E4"/>
    <w:rsid w:val="003F385F"/>
    <w:rsid w:val="003F3A12"/>
    <w:rsid w:val="003F3AF5"/>
    <w:rsid w:val="003F3FC9"/>
    <w:rsid w:val="003F418F"/>
    <w:rsid w:val="003F41F3"/>
    <w:rsid w:val="003F4312"/>
    <w:rsid w:val="003F4F6A"/>
    <w:rsid w:val="003F513C"/>
    <w:rsid w:val="003F5439"/>
    <w:rsid w:val="003F546D"/>
    <w:rsid w:val="003F5970"/>
    <w:rsid w:val="003F5E67"/>
    <w:rsid w:val="003F6681"/>
    <w:rsid w:val="003F6AD1"/>
    <w:rsid w:val="003F71CB"/>
    <w:rsid w:val="003F775D"/>
    <w:rsid w:val="00400026"/>
    <w:rsid w:val="0040017C"/>
    <w:rsid w:val="004002D8"/>
    <w:rsid w:val="00400337"/>
    <w:rsid w:val="00400502"/>
    <w:rsid w:val="00400779"/>
    <w:rsid w:val="004007A3"/>
    <w:rsid w:val="00400935"/>
    <w:rsid w:val="00400BDF"/>
    <w:rsid w:val="0040161C"/>
    <w:rsid w:val="00401650"/>
    <w:rsid w:val="00401F0B"/>
    <w:rsid w:val="004020F6"/>
    <w:rsid w:val="004029C4"/>
    <w:rsid w:val="00403108"/>
    <w:rsid w:val="004033EF"/>
    <w:rsid w:val="00403594"/>
    <w:rsid w:val="00403A64"/>
    <w:rsid w:val="00403A89"/>
    <w:rsid w:val="0040410A"/>
    <w:rsid w:val="00404884"/>
    <w:rsid w:val="004048E6"/>
    <w:rsid w:val="00404903"/>
    <w:rsid w:val="00404FC8"/>
    <w:rsid w:val="004053B3"/>
    <w:rsid w:val="00405CE6"/>
    <w:rsid w:val="00405EC2"/>
    <w:rsid w:val="004063DE"/>
    <w:rsid w:val="00406A11"/>
    <w:rsid w:val="00406BC7"/>
    <w:rsid w:val="00406F34"/>
    <w:rsid w:val="004070D3"/>
    <w:rsid w:val="00407311"/>
    <w:rsid w:val="00407F1D"/>
    <w:rsid w:val="00410069"/>
    <w:rsid w:val="00410284"/>
    <w:rsid w:val="004107BB"/>
    <w:rsid w:val="00411C44"/>
    <w:rsid w:val="004129DB"/>
    <w:rsid w:val="00412A88"/>
    <w:rsid w:val="004136DD"/>
    <w:rsid w:val="00413939"/>
    <w:rsid w:val="0041396A"/>
    <w:rsid w:val="00413AB6"/>
    <w:rsid w:val="00413D37"/>
    <w:rsid w:val="00414059"/>
    <w:rsid w:val="004142B7"/>
    <w:rsid w:val="004147E5"/>
    <w:rsid w:val="004149A5"/>
    <w:rsid w:val="00414AF9"/>
    <w:rsid w:val="004151AE"/>
    <w:rsid w:val="00415419"/>
    <w:rsid w:val="004155DC"/>
    <w:rsid w:val="00415780"/>
    <w:rsid w:val="004158A6"/>
    <w:rsid w:val="00415A0C"/>
    <w:rsid w:val="00415A2B"/>
    <w:rsid w:val="00415ABF"/>
    <w:rsid w:val="00415B03"/>
    <w:rsid w:val="0041615C"/>
    <w:rsid w:val="004164CA"/>
    <w:rsid w:val="00416703"/>
    <w:rsid w:val="00416729"/>
    <w:rsid w:val="004168B1"/>
    <w:rsid w:val="004168C3"/>
    <w:rsid w:val="00416945"/>
    <w:rsid w:val="004174AC"/>
    <w:rsid w:val="00417FD6"/>
    <w:rsid w:val="00420351"/>
    <w:rsid w:val="004203FC"/>
    <w:rsid w:val="00420AB5"/>
    <w:rsid w:val="00420E74"/>
    <w:rsid w:val="00420F04"/>
    <w:rsid w:val="0042136A"/>
    <w:rsid w:val="00421617"/>
    <w:rsid w:val="00421C67"/>
    <w:rsid w:val="00421EA1"/>
    <w:rsid w:val="00421FD8"/>
    <w:rsid w:val="00422749"/>
    <w:rsid w:val="0042283E"/>
    <w:rsid w:val="00422BC1"/>
    <w:rsid w:val="00422C28"/>
    <w:rsid w:val="00422F2E"/>
    <w:rsid w:val="00422F3E"/>
    <w:rsid w:val="004230D5"/>
    <w:rsid w:val="004239FE"/>
    <w:rsid w:val="00423D54"/>
    <w:rsid w:val="00423F45"/>
    <w:rsid w:val="004245AB"/>
    <w:rsid w:val="00424610"/>
    <w:rsid w:val="004248F1"/>
    <w:rsid w:val="00424BDA"/>
    <w:rsid w:val="00424EAD"/>
    <w:rsid w:val="00425192"/>
    <w:rsid w:val="00425631"/>
    <w:rsid w:val="0042580E"/>
    <w:rsid w:val="00425BCC"/>
    <w:rsid w:val="00425DC1"/>
    <w:rsid w:val="00425E5E"/>
    <w:rsid w:val="004260E5"/>
    <w:rsid w:val="004264C7"/>
    <w:rsid w:val="0042654A"/>
    <w:rsid w:val="00426E02"/>
    <w:rsid w:val="00426EBF"/>
    <w:rsid w:val="004271A8"/>
    <w:rsid w:val="0042764F"/>
    <w:rsid w:val="0042766A"/>
    <w:rsid w:val="00427BA2"/>
    <w:rsid w:val="00430000"/>
    <w:rsid w:val="00430226"/>
    <w:rsid w:val="0043023D"/>
    <w:rsid w:val="004303D6"/>
    <w:rsid w:val="004303EC"/>
    <w:rsid w:val="00430B75"/>
    <w:rsid w:val="00431074"/>
    <w:rsid w:val="0043110F"/>
    <w:rsid w:val="00431665"/>
    <w:rsid w:val="00431A33"/>
    <w:rsid w:val="00431D0E"/>
    <w:rsid w:val="004322A2"/>
    <w:rsid w:val="00432399"/>
    <w:rsid w:val="0043269D"/>
    <w:rsid w:val="00432832"/>
    <w:rsid w:val="00432E0F"/>
    <w:rsid w:val="00433105"/>
    <w:rsid w:val="0043392E"/>
    <w:rsid w:val="00433AE3"/>
    <w:rsid w:val="00433EEF"/>
    <w:rsid w:val="004341A6"/>
    <w:rsid w:val="00434461"/>
    <w:rsid w:val="004345C8"/>
    <w:rsid w:val="00434AD5"/>
    <w:rsid w:val="00434D43"/>
    <w:rsid w:val="00434F4B"/>
    <w:rsid w:val="00434F7A"/>
    <w:rsid w:val="00434FC1"/>
    <w:rsid w:val="004353BD"/>
    <w:rsid w:val="00435457"/>
    <w:rsid w:val="004355A8"/>
    <w:rsid w:val="004355D5"/>
    <w:rsid w:val="004359B5"/>
    <w:rsid w:val="00435DBA"/>
    <w:rsid w:val="00435E33"/>
    <w:rsid w:val="004360CA"/>
    <w:rsid w:val="004368DC"/>
    <w:rsid w:val="0043727B"/>
    <w:rsid w:val="0043728E"/>
    <w:rsid w:val="00437803"/>
    <w:rsid w:val="004378A0"/>
    <w:rsid w:val="00437AB9"/>
    <w:rsid w:val="00437DA9"/>
    <w:rsid w:val="00437FBB"/>
    <w:rsid w:val="004401C3"/>
    <w:rsid w:val="00440234"/>
    <w:rsid w:val="00440617"/>
    <w:rsid w:val="00440676"/>
    <w:rsid w:val="0044090B"/>
    <w:rsid w:val="00440B02"/>
    <w:rsid w:val="00440C20"/>
    <w:rsid w:val="00440D6D"/>
    <w:rsid w:val="004410F2"/>
    <w:rsid w:val="0044154D"/>
    <w:rsid w:val="004416BD"/>
    <w:rsid w:val="004418E4"/>
    <w:rsid w:val="004419B9"/>
    <w:rsid w:val="00441A25"/>
    <w:rsid w:val="00441BF2"/>
    <w:rsid w:val="004420EA"/>
    <w:rsid w:val="0044228A"/>
    <w:rsid w:val="004433E4"/>
    <w:rsid w:val="004441DB"/>
    <w:rsid w:val="004445BD"/>
    <w:rsid w:val="00444652"/>
    <w:rsid w:val="00444778"/>
    <w:rsid w:val="00444820"/>
    <w:rsid w:val="0044509C"/>
    <w:rsid w:val="0044540B"/>
    <w:rsid w:val="00445876"/>
    <w:rsid w:val="00445CDC"/>
    <w:rsid w:val="00445E15"/>
    <w:rsid w:val="00445EF2"/>
    <w:rsid w:val="004460F7"/>
    <w:rsid w:val="004466A6"/>
    <w:rsid w:val="00446BF0"/>
    <w:rsid w:val="00446BF7"/>
    <w:rsid w:val="00446F4D"/>
    <w:rsid w:val="0044731F"/>
    <w:rsid w:val="0044799A"/>
    <w:rsid w:val="00447B22"/>
    <w:rsid w:val="00447EFB"/>
    <w:rsid w:val="00450103"/>
    <w:rsid w:val="0045027F"/>
    <w:rsid w:val="004503B8"/>
    <w:rsid w:val="00450508"/>
    <w:rsid w:val="0045069D"/>
    <w:rsid w:val="0045077C"/>
    <w:rsid w:val="00450AEB"/>
    <w:rsid w:val="00450F99"/>
    <w:rsid w:val="0045113B"/>
    <w:rsid w:val="00451172"/>
    <w:rsid w:val="004511AD"/>
    <w:rsid w:val="00451260"/>
    <w:rsid w:val="004514A9"/>
    <w:rsid w:val="004514E9"/>
    <w:rsid w:val="0045179F"/>
    <w:rsid w:val="00451988"/>
    <w:rsid w:val="00451AD7"/>
    <w:rsid w:val="00451BA3"/>
    <w:rsid w:val="00451C7E"/>
    <w:rsid w:val="00451D77"/>
    <w:rsid w:val="00451E36"/>
    <w:rsid w:val="0045220D"/>
    <w:rsid w:val="00452373"/>
    <w:rsid w:val="00452641"/>
    <w:rsid w:val="004526E4"/>
    <w:rsid w:val="004529B9"/>
    <w:rsid w:val="00452FBC"/>
    <w:rsid w:val="004533D8"/>
    <w:rsid w:val="004537D8"/>
    <w:rsid w:val="00453B2B"/>
    <w:rsid w:val="00453BFE"/>
    <w:rsid w:val="00454101"/>
    <w:rsid w:val="00454204"/>
    <w:rsid w:val="00454370"/>
    <w:rsid w:val="004544C3"/>
    <w:rsid w:val="004547C0"/>
    <w:rsid w:val="004547C4"/>
    <w:rsid w:val="00454BD3"/>
    <w:rsid w:val="00455F24"/>
    <w:rsid w:val="004564BB"/>
    <w:rsid w:val="00456B0F"/>
    <w:rsid w:val="00456B91"/>
    <w:rsid w:val="00456C9B"/>
    <w:rsid w:val="00456F5C"/>
    <w:rsid w:val="00457407"/>
    <w:rsid w:val="004604F4"/>
    <w:rsid w:val="00460C89"/>
    <w:rsid w:val="00460EDC"/>
    <w:rsid w:val="0046141B"/>
    <w:rsid w:val="00461D00"/>
    <w:rsid w:val="00462531"/>
    <w:rsid w:val="004626AC"/>
    <w:rsid w:val="004629EC"/>
    <w:rsid w:val="00462A2F"/>
    <w:rsid w:val="00462B0C"/>
    <w:rsid w:val="00462EA8"/>
    <w:rsid w:val="004632D4"/>
    <w:rsid w:val="00463622"/>
    <w:rsid w:val="00463ADF"/>
    <w:rsid w:val="00463B05"/>
    <w:rsid w:val="00463B52"/>
    <w:rsid w:val="00463DF8"/>
    <w:rsid w:val="004640EC"/>
    <w:rsid w:val="0046459B"/>
    <w:rsid w:val="004647AA"/>
    <w:rsid w:val="004649BA"/>
    <w:rsid w:val="0046540E"/>
    <w:rsid w:val="00465707"/>
    <w:rsid w:val="00465AAF"/>
    <w:rsid w:val="00465BFF"/>
    <w:rsid w:val="00465C77"/>
    <w:rsid w:val="00465DCD"/>
    <w:rsid w:val="00466CEB"/>
    <w:rsid w:val="004670E5"/>
    <w:rsid w:val="00467975"/>
    <w:rsid w:val="00467F4B"/>
    <w:rsid w:val="00470022"/>
    <w:rsid w:val="004700A1"/>
    <w:rsid w:val="004700D0"/>
    <w:rsid w:val="00470108"/>
    <w:rsid w:val="00470250"/>
    <w:rsid w:val="00471271"/>
    <w:rsid w:val="00471308"/>
    <w:rsid w:val="004715E9"/>
    <w:rsid w:val="004716C2"/>
    <w:rsid w:val="00471D63"/>
    <w:rsid w:val="00471E7B"/>
    <w:rsid w:val="00472224"/>
    <w:rsid w:val="004723E8"/>
    <w:rsid w:val="00472724"/>
    <w:rsid w:val="00472B9B"/>
    <w:rsid w:val="00472ED0"/>
    <w:rsid w:val="00473188"/>
    <w:rsid w:val="0047318A"/>
    <w:rsid w:val="004737D0"/>
    <w:rsid w:val="0047456A"/>
    <w:rsid w:val="0047465D"/>
    <w:rsid w:val="004747B3"/>
    <w:rsid w:val="00474A24"/>
    <w:rsid w:val="00474CC9"/>
    <w:rsid w:val="00474CFD"/>
    <w:rsid w:val="00474EFF"/>
    <w:rsid w:val="0047501E"/>
    <w:rsid w:val="004751BC"/>
    <w:rsid w:val="004752E3"/>
    <w:rsid w:val="004752F3"/>
    <w:rsid w:val="00475760"/>
    <w:rsid w:val="0047592E"/>
    <w:rsid w:val="00475D8A"/>
    <w:rsid w:val="0047635B"/>
    <w:rsid w:val="00476639"/>
    <w:rsid w:val="00476649"/>
    <w:rsid w:val="00476DD2"/>
    <w:rsid w:val="00477042"/>
    <w:rsid w:val="00477E08"/>
    <w:rsid w:val="00477E77"/>
    <w:rsid w:val="0048099C"/>
    <w:rsid w:val="00481086"/>
    <w:rsid w:val="004812FF"/>
    <w:rsid w:val="00481880"/>
    <w:rsid w:val="00481B2E"/>
    <w:rsid w:val="00481B87"/>
    <w:rsid w:val="00481C34"/>
    <w:rsid w:val="0048204B"/>
    <w:rsid w:val="004825D0"/>
    <w:rsid w:val="00482792"/>
    <w:rsid w:val="0048287E"/>
    <w:rsid w:val="00482DE7"/>
    <w:rsid w:val="00482EEC"/>
    <w:rsid w:val="00482F59"/>
    <w:rsid w:val="00483167"/>
    <w:rsid w:val="00483485"/>
    <w:rsid w:val="00483704"/>
    <w:rsid w:val="00483AED"/>
    <w:rsid w:val="00483C2B"/>
    <w:rsid w:val="00483C76"/>
    <w:rsid w:val="00483F27"/>
    <w:rsid w:val="00483F6C"/>
    <w:rsid w:val="00484444"/>
    <w:rsid w:val="004847F6"/>
    <w:rsid w:val="00484845"/>
    <w:rsid w:val="00484890"/>
    <w:rsid w:val="00484BBF"/>
    <w:rsid w:val="00484CA9"/>
    <w:rsid w:val="00485302"/>
    <w:rsid w:val="00485583"/>
    <w:rsid w:val="004859FB"/>
    <w:rsid w:val="00485ABB"/>
    <w:rsid w:val="00485CB7"/>
    <w:rsid w:val="004860F2"/>
    <w:rsid w:val="00486297"/>
    <w:rsid w:val="00486323"/>
    <w:rsid w:val="004863BB"/>
    <w:rsid w:val="00486925"/>
    <w:rsid w:val="00486987"/>
    <w:rsid w:val="00486CD5"/>
    <w:rsid w:val="00487216"/>
    <w:rsid w:val="004875FE"/>
    <w:rsid w:val="004877DD"/>
    <w:rsid w:val="0048788C"/>
    <w:rsid w:val="00487E7A"/>
    <w:rsid w:val="00487ED9"/>
    <w:rsid w:val="0049029B"/>
    <w:rsid w:val="00490594"/>
    <w:rsid w:val="004909FB"/>
    <w:rsid w:val="00490C80"/>
    <w:rsid w:val="00490F95"/>
    <w:rsid w:val="00491424"/>
    <w:rsid w:val="0049176F"/>
    <w:rsid w:val="00491B14"/>
    <w:rsid w:val="00491FF0"/>
    <w:rsid w:val="0049205C"/>
    <w:rsid w:val="004920E4"/>
    <w:rsid w:val="00492164"/>
    <w:rsid w:val="004924AB"/>
    <w:rsid w:val="00492527"/>
    <w:rsid w:val="004925F7"/>
    <w:rsid w:val="00492BC2"/>
    <w:rsid w:val="00492EA9"/>
    <w:rsid w:val="004931A9"/>
    <w:rsid w:val="00493487"/>
    <w:rsid w:val="004937FE"/>
    <w:rsid w:val="00493AB5"/>
    <w:rsid w:val="00494980"/>
    <w:rsid w:val="00494C48"/>
    <w:rsid w:val="00495A80"/>
    <w:rsid w:val="00496E24"/>
    <w:rsid w:val="0049750E"/>
    <w:rsid w:val="00497677"/>
    <w:rsid w:val="004976AD"/>
    <w:rsid w:val="00497CBE"/>
    <w:rsid w:val="00497F84"/>
    <w:rsid w:val="004A03AC"/>
    <w:rsid w:val="004A04DA"/>
    <w:rsid w:val="004A04EE"/>
    <w:rsid w:val="004A06DF"/>
    <w:rsid w:val="004A08E9"/>
    <w:rsid w:val="004A09D1"/>
    <w:rsid w:val="004A0B6E"/>
    <w:rsid w:val="004A0BCE"/>
    <w:rsid w:val="004A1143"/>
    <w:rsid w:val="004A13CB"/>
    <w:rsid w:val="004A144A"/>
    <w:rsid w:val="004A18BB"/>
    <w:rsid w:val="004A19A7"/>
    <w:rsid w:val="004A19B7"/>
    <w:rsid w:val="004A1BEE"/>
    <w:rsid w:val="004A1E94"/>
    <w:rsid w:val="004A278F"/>
    <w:rsid w:val="004A2963"/>
    <w:rsid w:val="004A2A7F"/>
    <w:rsid w:val="004A3454"/>
    <w:rsid w:val="004A35C2"/>
    <w:rsid w:val="004A3726"/>
    <w:rsid w:val="004A37F5"/>
    <w:rsid w:val="004A3DD1"/>
    <w:rsid w:val="004A3F5F"/>
    <w:rsid w:val="004A4395"/>
    <w:rsid w:val="004A4C3F"/>
    <w:rsid w:val="004A5B21"/>
    <w:rsid w:val="004A5FE2"/>
    <w:rsid w:val="004A649C"/>
    <w:rsid w:val="004A6E49"/>
    <w:rsid w:val="004A6FBE"/>
    <w:rsid w:val="004A7107"/>
    <w:rsid w:val="004A777D"/>
    <w:rsid w:val="004A7C34"/>
    <w:rsid w:val="004A7C56"/>
    <w:rsid w:val="004A7F4F"/>
    <w:rsid w:val="004B0128"/>
    <w:rsid w:val="004B0399"/>
    <w:rsid w:val="004B04AF"/>
    <w:rsid w:val="004B04CC"/>
    <w:rsid w:val="004B0629"/>
    <w:rsid w:val="004B0B1D"/>
    <w:rsid w:val="004B0CA7"/>
    <w:rsid w:val="004B0FD3"/>
    <w:rsid w:val="004B1361"/>
    <w:rsid w:val="004B14C6"/>
    <w:rsid w:val="004B14C7"/>
    <w:rsid w:val="004B1842"/>
    <w:rsid w:val="004B1B67"/>
    <w:rsid w:val="004B1E87"/>
    <w:rsid w:val="004B2025"/>
    <w:rsid w:val="004B2079"/>
    <w:rsid w:val="004B2112"/>
    <w:rsid w:val="004B24AA"/>
    <w:rsid w:val="004B273C"/>
    <w:rsid w:val="004B2767"/>
    <w:rsid w:val="004B2A43"/>
    <w:rsid w:val="004B34DC"/>
    <w:rsid w:val="004B35C3"/>
    <w:rsid w:val="004B3689"/>
    <w:rsid w:val="004B3D91"/>
    <w:rsid w:val="004B3E8B"/>
    <w:rsid w:val="004B3F65"/>
    <w:rsid w:val="004B4700"/>
    <w:rsid w:val="004B4D90"/>
    <w:rsid w:val="004B4F9F"/>
    <w:rsid w:val="004B5031"/>
    <w:rsid w:val="004B5207"/>
    <w:rsid w:val="004B531C"/>
    <w:rsid w:val="004B556B"/>
    <w:rsid w:val="004B5962"/>
    <w:rsid w:val="004B5FDD"/>
    <w:rsid w:val="004B65E2"/>
    <w:rsid w:val="004B67AB"/>
    <w:rsid w:val="004B6A22"/>
    <w:rsid w:val="004B7283"/>
    <w:rsid w:val="004B7A6C"/>
    <w:rsid w:val="004B7B15"/>
    <w:rsid w:val="004B7D4E"/>
    <w:rsid w:val="004C002F"/>
    <w:rsid w:val="004C0035"/>
    <w:rsid w:val="004C01C6"/>
    <w:rsid w:val="004C032C"/>
    <w:rsid w:val="004C037B"/>
    <w:rsid w:val="004C0641"/>
    <w:rsid w:val="004C06C1"/>
    <w:rsid w:val="004C0857"/>
    <w:rsid w:val="004C0B4B"/>
    <w:rsid w:val="004C140A"/>
    <w:rsid w:val="004C1643"/>
    <w:rsid w:val="004C1751"/>
    <w:rsid w:val="004C1B35"/>
    <w:rsid w:val="004C1B4D"/>
    <w:rsid w:val="004C1D90"/>
    <w:rsid w:val="004C2149"/>
    <w:rsid w:val="004C2388"/>
    <w:rsid w:val="004C2612"/>
    <w:rsid w:val="004C2842"/>
    <w:rsid w:val="004C34ED"/>
    <w:rsid w:val="004C3751"/>
    <w:rsid w:val="004C3ABB"/>
    <w:rsid w:val="004C3B67"/>
    <w:rsid w:val="004C3BD5"/>
    <w:rsid w:val="004C4095"/>
    <w:rsid w:val="004C43BB"/>
    <w:rsid w:val="004C45F1"/>
    <w:rsid w:val="004C47BE"/>
    <w:rsid w:val="004C52FE"/>
    <w:rsid w:val="004C5311"/>
    <w:rsid w:val="004C5827"/>
    <w:rsid w:val="004C5A66"/>
    <w:rsid w:val="004C5B64"/>
    <w:rsid w:val="004C5DDF"/>
    <w:rsid w:val="004C61D4"/>
    <w:rsid w:val="004C6313"/>
    <w:rsid w:val="004C6450"/>
    <w:rsid w:val="004C6554"/>
    <w:rsid w:val="004C6730"/>
    <w:rsid w:val="004C6CD5"/>
    <w:rsid w:val="004C7364"/>
    <w:rsid w:val="004C7379"/>
    <w:rsid w:val="004C75C1"/>
    <w:rsid w:val="004C7E4F"/>
    <w:rsid w:val="004D0297"/>
    <w:rsid w:val="004D0871"/>
    <w:rsid w:val="004D09B7"/>
    <w:rsid w:val="004D0E6D"/>
    <w:rsid w:val="004D11DB"/>
    <w:rsid w:val="004D1F53"/>
    <w:rsid w:val="004D22BC"/>
    <w:rsid w:val="004D232E"/>
    <w:rsid w:val="004D2400"/>
    <w:rsid w:val="004D2491"/>
    <w:rsid w:val="004D2839"/>
    <w:rsid w:val="004D2FF7"/>
    <w:rsid w:val="004D3130"/>
    <w:rsid w:val="004D31CB"/>
    <w:rsid w:val="004D33A6"/>
    <w:rsid w:val="004D36B7"/>
    <w:rsid w:val="004D38FA"/>
    <w:rsid w:val="004D39D0"/>
    <w:rsid w:val="004D3AF1"/>
    <w:rsid w:val="004D3C8A"/>
    <w:rsid w:val="004D3DF3"/>
    <w:rsid w:val="004D3FA0"/>
    <w:rsid w:val="004D4048"/>
    <w:rsid w:val="004D40FA"/>
    <w:rsid w:val="004D436D"/>
    <w:rsid w:val="004D4435"/>
    <w:rsid w:val="004D4705"/>
    <w:rsid w:val="004D4A49"/>
    <w:rsid w:val="004D4D07"/>
    <w:rsid w:val="004D4D67"/>
    <w:rsid w:val="004D5A19"/>
    <w:rsid w:val="004D5C59"/>
    <w:rsid w:val="004D5F7E"/>
    <w:rsid w:val="004D6424"/>
    <w:rsid w:val="004D646B"/>
    <w:rsid w:val="004D68D9"/>
    <w:rsid w:val="004D6AEF"/>
    <w:rsid w:val="004D6E45"/>
    <w:rsid w:val="004D6EFB"/>
    <w:rsid w:val="004D7855"/>
    <w:rsid w:val="004D7A95"/>
    <w:rsid w:val="004D7C20"/>
    <w:rsid w:val="004E029E"/>
    <w:rsid w:val="004E0448"/>
    <w:rsid w:val="004E0842"/>
    <w:rsid w:val="004E0990"/>
    <w:rsid w:val="004E1213"/>
    <w:rsid w:val="004E15C4"/>
    <w:rsid w:val="004E1604"/>
    <w:rsid w:val="004E1780"/>
    <w:rsid w:val="004E22AD"/>
    <w:rsid w:val="004E241F"/>
    <w:rsid w:val="004E26EB"/>
    <w:rsid w:val="004E2808"/>
    <w:rsid w:val="004E2A86"/>
    <w:rsid w:val="004E2BDC"/>
    <w:rsid w:val="004E2C8B"/>
    <w:rsid w:val="004E2DA5"/>
    <w:rsid w:val="004E366A"/>
    <w:rsid w:val="004E49AD"/>
    <w:rsid w:val="004E4C2E"/>
    <w:rsid w:val="004E4F0B"/>
    <w:rsid w:val="004E5309"/>
    <w:rsid w:val="004E5B73"/>
    <w:rsid w:val="004E5B76"/>
    <w:rsid w:val="004E6663"/>
    <w:rsid w:val="004E69B2"/>
    <w:rsid w:val="004E6B16"/>
    <w:rsid w:val="004E6B50"/>
    <w:rsid w:val="004E6C31"/>
    <w:rsid w:val="004E6C3E"/>
    <w:rsid w:val="004E6EFA"/>
    <w:rsid w:val="004E6F61"/>
    <w:rsid w:val="004E72C3"/>
    <w:rsid w:val="004E7B89"/>
    <w:rsid w:val="004F03BF"/>
    <w:rsid w:val="004F0AA0"/>
    <w:rsid w:val="004F0BAB"/>
    <w:rsid w:val="004F0BDD"/>
    <w:rsid w:val="004F11DA"/>
    <w:rsid w:val="004F140B"/>
    <w:rsid w:val="004F141F"/>
    <w:rsid w:val="004F198D"/>
    <w:rsid w:val="004F1FDC"/>
    <w:rsid w:val="004F2282"/>
    <w:rsid w:val="004F237E"/>
    <w:rsid w:val="004F36FD"/>
    <w:rsid w:val="004F3F5B"/>
    <w:rsid w:val="004F4253"/>
    <w:rsid w:val="004F42E8"/>
    <w:rsid w:val="004F44F3"/>
    <w:rsid w:val="004F4888"/>
    <w:rsid w:val="004F49B9"/>
    <w:rsid w:val="004F4C8C"/>
    <w:rsid w:val="004F4E6B"/>
    <w:rsid w:val="004F5026"/>
    <w:rsid w:val="004F514C"/>
    <w:rsid w:val="004F54B1"/>
    <w:rsid w:val="004F58A3"/>
    <w:rsid w:val="004F5A13"/>
    <w:rsid w:val="004F5B9F"/>
    <w:rsid w:val="004F5DAC"/>
    <w:rsid w:val="004F5F5D"/>
    <w:rsid w:val="004F6561"/>
    <w:rsid w:val="004F67B9"/>
    <w:rsid w:val="004F6A52"/>
    <w:rsid w:val="004F6BDB"/>
    <w:rsid w:val="004F6D41"/>
    <w:rsid w:val="004F6EDA"/>
    <w:rsid w:val="004F77B5"/>
    <w:rsid w:val="004F7A78"/>
    <w:rsid w:val="0050028D"/>
    <w:rsid w:val="0050036D"/>
    <w:rsid w:val="00500B17"/>
    <w:rsid w:val="00500F08"/>
    <w:rsid w:val="005010CE"/>
    <w:rsid w:val="0050126C"/>
    <w:rsid w:val="005013D9"/>
    <w:rsid w:val="00501412"/>
    <w:rsid w:val="005017D2"/>
    <w:rsid w:val="00501859"/>
    <w:rsid w:val="0050187E"/>
    <w:rsid w:val="005020A3"/>
    <w:rsid w:val="005021BB"/>
    <w:rsid w:val="005021CA"/>
    <w:rsid w:val="00502205"/>
    <w:rsid w:val="0050263B"/>
    <w:rsid w:val="00502A85"/>
    <w:rsid w:val="00502B42"/>
    <w:rsid w:val="00502C07"/>
    <w:rsid w:val="00502D20"/>
    <w:rsid w:val="0050360F"/>
    <w:rsid w:val="0050365F"/>
    <w:rsid w:val="00503A95"/>
    <w:rsid w:val="00504009"/>
    <w:rsid w:val="0050445F"/>
    <w:rsid w:val="005046FE"/>
    <w:rsid w:val="0050474D"/>
    <w:rsid w:val="00504755"/>
    <w:rsid w:val="0050499E"/>
    <w:rsid w:val="0050507F"/>
    <w:rsid w:val="00505220"/>
    <w:rsid w:val="005055B1"/>
    <w:rsid w:val="005057F8"/>
    <w:rsid w:val="00505993"/>
    <w:rsid w:val="005059A3"/>
    <w:rsid w:val="00505E1C"/>
    <w:rsid w:val="0050602C"/>
    <w:rsid w:val="00506A06"/>
    <w:rsid w:val="00506B8C"/>
    <w:rsid w:val="00506E8D"/>
    <w:rsid w:val="00507305"/>
    <w:rsid w:val="0050732F"/>
    <w:rsid w:val="0050748C"/>
    <w:rsid w:val="005077A7"/>
    <w:rsid w:val="0050793E"/>
    <w:rsid w:val="00510071"/>
    <w:rsid w:val="005100CD"/>
    <w:rsid w:val="005101D2"/>
    <w:rsid w:val="0051024A"/>
    <w:rsid w:val="00510276"/>
    <w:rsid w:val="005102CC"/>
    <w:rsid w:val="00510BD7"/>
    <w:rsid w:val="00510D5B"/>
    <w:rsid w:val="005112D9"/>
    <w:rsid w:val="0051159A"/>
    <w:rsid w:val="0051270E"/>
    <w:rsid w:val="00512894"/>
    <w:rsid w:val="005128CB"/>
    <w:rsid w:val="00512BE6"/>
    <w:rsid w:val="00512C81"/>
    <w:rsid w:val="00512D04"/>
    <w:rsid w:val="00512D56"/>
    <w:rsid w:val="00512EBB"/>
    <w:rsid w:val="00512F61"/>
    <w:rsid w:val="005131FA"/>
    <w:rsid w:val="00513293"/>
    <w:rsid w:val="00513647"/>
    <w:rsid w:val="00513808"/>
    <w:rsid w:val="00513BE3"/>
    <w:rsid w:val="00513D3A"/>
    <w:rsid w:val="00513E42"/>
    <w:rsid w:val="00514398"/>
    <w:rsid w:val="0051522C"/>
    <w:rsid w:val="005152BD"/>
    <w:rsid w:val="00515555"/>
    <w:rsid w:val="00516467"/>
    <w:rsid w:val="0051683B"/>
    <w:rsid w:val="00516C7D"/>
    <w:rsid w:val="00516C9F"/>
    <w:rsid w:val="00516E09"/>
    <w:rsid w:val="00516E57"/>
    <w:rsid w:val="00516E7D"/>
    <w:rsid w:val="005171E8"/>
    <w:rsid w:val="005176BF"/>
    <w:rsid w:val="0052007D"/>
    <w:rsid w:val="0052026C"/>
    <w:rsid w:val="00520447"/>
    <w:rsid w:val="00520730"/>
    <w:rsid w:val="00520AD7"/>
    <w:rsid w:val="00520C6B"/>
    <w:rsid w:val="00521249"/>
    <w:rsid w:val="0052173A"/>
    <w:rsid w:val="005221C7"/>
    <w:rsid w:val="005221FF"/>
    <w:rsid w:val="0052241F"/>
    <w:rsid w:val="005226DD"/>
    <w:rsid w:val="00522A66"/>
    <w:rsid w:val="00522CF9"/>
    <w:rsid w:val="00522EDE"/>
    <w:rsid w:val="0052337E"/>
    <w:rsid w:val="0052387F"/>
    <w:rsid w:val="00523EA1"/>
    <w:rsid w:val="00524112"/>
    <w:rsid w:val="005247DD"/>
    <w:rsid w:val="00524F0F"/>
    <w:rsid w:val="0052515A"/>
    <w:rsid w:val="005256D6"/>
    <w:rsid w:val="005259BB"/>
    <w:rsid w:val="00525DB6"/>
    <w:rsid w:val="00525EF5"/>
    <w:rsid w:val="005264CF"/>
    <w:rsid w:val="00526745"/>
    <w:rsid w:val="00526F7D"/>
    <w:rsid w:val="0052722D"/>
    <w:rsid w:val="00527430"/>
    <w:rsid w:val="00527480"/>
    <w:rsid w:val="005275E0"/>
    <w:rsid w:val="00527620"/>
    <w:rsid w:val="005277CD"/>
    <w:rsid w:val="00527EE8"/>
    <w:rsid w:val="00527FDD"/>
    <w:rsid w:val="00530021"/>
    <w:rsid w:val="0053062A"/>
    <w:rsid w:val="0053062B"/>
    <w:rsid w:val="005308C4"/>
    <w:rsid w:val="00530B15"/>
    <w:rsid w:val="00530E92"/>
    <w:rsid w:val="00531569"/>
    <w:rsid w:val="005318B1"/>
    <w:rsid w:val="00531BF2"/>
    <w:rsid w:val="00531F9A"/>
    <w:rsid w:val="00531FCA"/>
    <w:rsid w:val="00532E2C"/>
    <w:rsid w:val="00533006"/>
    <w:rsid w:val="005331E2"/>
    <w:rsid w:val="005332E4"/>
    <w:rsid w:val="005333EB"/>
    <w:rsid w:val="005335A3"/>
    <w:rsid w:val="0053368A"/>
    <w:rsid w:val="0053425B"/>
    <w:rsid w:val="005342EA"/>
    <w:rsid w:val="00534378"/>
    <w:rsid w:val="0053495C"/>
    <w:rsid w:val="00534A31"/>
    <w:rsid w:val="00534E3A"/>
    <w:rsid w:val="005359AE"/>
    <w:rsid w:val="00535B62"/>
    <w:rsid w:val="00535BEF"/>
    <w:rsid w:val="00536976"/>
    <w:rsid w:val="00536C67"/>
    <w:rsid w:val="005375BC"/>
    <w:rsid w:val="00537758"/>
    <w:rsid w:val="00537822"/>
    <w:rsid w:val="00537B72"/>
    <w:rsid w:val="00537D09"/>
    <w:rsid w:val="00537D45"/>
    <w:rsid w:val="0054007F"/>
    <w:rsid w:val="00540702"/>
    <w:rsid w:val="00540E58"/>
    <w:rsid w:val="00540F0B"/>
    <w:rsid w:val="00541213"/>
    <w:rsid w:val="00541309"/>
    <w:rsid w:val="0054142D"/>
    <w:rsid w:val="00541842"/>
    <w:rsid w:val="0054196F"/>
    <w:rsid w:val="00541EF3"/>
    <w:rsid w:val="0054227A"/>
    <w:rsid w:val="005425B1"/>
    <w:rsid w:val="00542655"/>
    <w:rsid w:val="005427BD"/>
    <w:rsid w:val="005430EF"/>
    <w:rsid w:val="005435D9"/>
    <w:rsid w:val="0054376E"/>
    <w:rsid w:val="00544651"/>
    <w:rsid w:val="005453BA"/>
    <w:rsid w:val="005457C5"/>
    <w:rsid w:val="00545814"/>
    <w:rsid w:val="00545A97"/>
    <w:rsid w:val="00545E63"/>
    <w:rsid w:val="00546218"/>
    <w:rsid w:val="005462E3"/>
    <w:rsid w:val="00546971"/>
    <w:rsid w:val="0054716E"/>
    <w:rsid w:val="0054779D"/>
    <w:rsid w:val="00547956"/>
    <w:rsid w:val="0054797F"/>
    <w:rsid w:val="00547A9A"/>
    <w:rsid w:val="00547C85"/>
    <w:rsid w:val="00547CD3"/>
    <w:rsid w:val="00550029"/>
    <w:rsid w:val="00550041"/>
    <w:rsid w:val="0055020E"/>
    <w:rsid w:val="005502E0"/>
    <w:rsid w:val="005508B3"/>
    <w:rsid w:val="00550977"/>
    <w:rsid w:val="00550AD6"/>
    <w:rsid w:val="00550BF8"/>
    <w:rsid w:val="00550EA2"/>
    <w:rsid w:val="00551310"/>
    <w:rsid w:val="0055152B"/>
    <w:rsid w:val="005518B6"/>
    <w:rsid w:val="005519BD"/>
    <w:rsid w:val="00551BDC"/>
    <w:rsid w:val="005528AE"/>
    <w:rsid w:val="00552AC4"/>
    <w:rsid w:val="005532C4"/>
    <w:rsid w:val="00553340"/>
    <w:rsid w:val="00553721"/>
    <w:rsid w:val="00553807"/>
    <w:rsid w:val="00553F05"/>
    <w:rsid w:val="005540B5"/>
    <w:rsid w:val="0055434A"/>
    <w:rsid w:val="0055454A"/>
    <w:rsid w:val="005547F7"/>
    <w:rsid w:val="00554B0D"/>
    <w:rsid w:val="00554FF9"/>
    <w:rsid w:val="00555D03"/>
    <w:rsid w:val="00555E69"/>
    <w:rsid w:val="00556358"/>
    <w:rsid w:val="005566F5"/>
    <w:rsid w:val="00556D2B"/>
    <w:rsid w:val="005574CC"/>
    <w:rsid w:val="00557B62"/>
    <w:rsid w:val="00557CE3"/>
    <w:rsid w:val="0056027E"/>
    <w:rsid w:val="00560404"/>
    <w:rsid w:val="005604F4"/>
    <w:rsid w:val="0056074C"/>
    <w:rsid w:val="00560B1D"/>
    <w:rsid w:val="00560C9D"/>
    <w:rsid w:val="00560DCC"/>
    <w:rsid w:val="00561091"/>
    <w:rsid w:val="00561126"/>
    <w:rsid w:val="0056145F"/>
    <w:rsid w:val="0056161F"/>
    <w:rsid w:val="00561DCB"/>
    <w:rsid w:val="00561E15"/>
    <w:rsid w:val="00561E77"/>
    <w:rsid w:val="00562241"/>
    <w:rsid w:val="00562675"/>
    <w:rsid w:val="00562A61"/>
    <w:rsid w:val="00562F6A"/>
    <w:rsid w:val="00563077"/>
    <w:rsid w:val="00563641"/>
    <w:rsid w:val="00563947"/>
    <w:rsid w:val="00563E4B"/>
    <w:rsid w:val="00563EF1"/>
    <w:rsid w:val="00564495"/>
    <w:rsid w:val="00564896"/>
    <w:rsid w:val="00564D4B"/>
    <w:rsid w:val="00564D67"/>
    <w:rsid w:val="0056548F"/>
    <w:rsid w:val="00565561"/>
    <w:rsid w:val="005658E2"/>
    <w:rsid w:val="00565909"/>
    <w:rsid w:val="00565A8D"/>
    <w:rsid w:val="0056643D"/>
    <w:rsid w:val="005664AB"/>
    <w:rsid w:val="005665EA"/>
    <w:rsid w:val="00566A69"/>
    <w:rsid w:val="00566B26"/>
    <w:rsid w:val="00566BDF"/>
    <w:rsid w:val="00566D07"/>
    <w:rsid w:val="00567106"/>
    <w:rsid w:val="0056731F"/>
    <w:rsid w:val="0056746F"/>
    <w:rsid w:val="00567838"/>
    <w:rsid w:val="00567C4A"/>
    <w:rsid w:val="00567D05"/>
    <w:rsid w:val="00570369"/>
    <w:rsid w:val="005703B4"/>
    <w:rsid w:val="005706CB"/>
    <w:rsid w:val="0057094F"/>
    <w:rsid w:val="00570B55"/>
    <w:rsid w:val="00570CC8"/>
    <w:rsid w:val="00570E77"/>
    <w:rsid w:val="00571047"/>
    <w:rsid w:val="005710BC"/>
    <w:rsid w:val="0057193F"/>
    <w:rsid w:val="0057197D"/>
    <w:rsid w:val="00571A13"/>
    <w:rsid w:val="00571C21"/>
    <w:rsid w:val="00571EE5"/>
    <w:rsid w:val="00571F19"/>
    <w:rsid w:val="0057210D"/>
    <w:rsid w:val="00572288"/>
    <w:rsid w:val="005722C3"/>
    <w:rsid w:val="00572488"/>
    <w:rsid w:val="00572546"/>
    <w:rsid w:val="00572FC4"/>
    <w:rsid w:val="0057357F"/>
    <w:rsid w:val="00573C06"/>
    <w:rsid w:val="00573D44"/>
    <w:rsid w:val="00573ED3"/>
    <w:rsid w:val="0057405E"/>
    <w:rsid w:val="005741DD"/>
    <w:rsid w:val="005743C5"/>
    <w:rsid w:val="00574DA4"/>
    <w:rsid w:val="00574F49"/>
    <w:rsid w:val="005750A2"/>
    <w:rsid w:val="0057538F"/>
    <w:rsid w:val="00575703"/>
    <w:rsid w:val="00575E41"/>
    <w:rsid w:val="00576212"/>
    <w:rsid w:val="00576352"/>
    <w:rsid w:val="00576791"/>
    <w:rsid w:val="0057697D"/>
    <w:rsid w:val="00576D43"/>
    <w:rsid w:val="0057724B"/>
    <w:rsid w:val="00577305"/>
    <w:rsid w:val="00580234"/>
    <w:rsid w:val="00580941"/>
    <w:rsid w:val="00580AFF"/>
    <w:rsid w:val="00580BD3"/>
    <w:rsid w:val="00580BD4"/>
    <w:rsid w:val="005812FD"/>
    <w:rsid w:val="00581A6C"/>
    <w:rsid w:val="00581DC1"/>
    <w:rsid w:val="00581DC2"/>
    <w:rsid w:val="00581FBF"/>
    <w:rsid w:val="005822D5"/>
    <w:rsid w:val="0058297C"/>
    <w:rsid w:val="00583086"/>
    <w:rsid w:val="005834CF"/>
    <w:rsid w:val="005834E3"/>
    <w:rsid w:val="00583B94"/>
    <w:rsid w:val="00583EFE"/>
    <w:rsid w:val="00584256"/>
    <w:rsid w:val="005843D6"/>
    <w:rsid w:val="005844D8"/>
    <w:rsid w:val="005845B6"/>
    <w:rsid w:val="005846C3"/>
    <w:rsid w:val="00584A66"/>
    <w:rsid w:val="00584C20"/>
    <w:rsid w:val="00584ED8"/>
    <w:rsid w:val="00584F3E"/>
    <w:rsid w:val="0058574B"/>
    <w:rsid w:val="00585CEE"/>
    <w:rsid w:val="00586321"/>
    <w:rsid w:val="005863EB"/>
    <w:rsid w:val="00586D92"/>
    <w:rsid w:val="00586E8B"/>
    <w:rsid w:val="00587039"/>
    <w:rsid w:val="00587183"/>
    <w:rsid w:val="00587894"/>
    <w:rsid w:val="00587968"/>
    <w:rsid w:val="00590492"/>
    <w:rsid w:val="005906C9"/>
    <w:rsid w:val="00590782"/>
    <w:rsid w:val="0059091A"/>
    <w:rsid w:val="00590DDF"/>
    <w:rsid w:val="0059128D"/>
    <w:rsid w:val="005912BE"/>
    <w:rsid w:val="005913CA"/>
    <w:rsid w:val="005915CB"/>
    <w:rsid w:val="00591661"/>
    <w:rsid w:val="005917B9"/>
    <w:rsid w:val="00591C54"/>
    <w:rsid w:val="00591F1C"/>
    <w:rsid w:val="00592289"/>
    <w:rsid w:val="005926DF"/>
    <w:rsid w:val="00592751"/>
    <w:rsid w:val="00592BD7"/>
    <w:rsid w:val="00592C18"/>
    <w:rsid w:val="00592D5A"/>
    <w:rsid w:val="00592ED0"/>
    <w:rsid w:val="00593196"/>
    <w:rsid w:val="0059357A"/>
    <w:rsid w:val="00593BD2"/>
    <w:rsid w:val="00594032"/>
    <w:rsid w:val="0059411E"/>
    <w:rsid w:val="00594277"/>
    <w:rsid w:val="005942E8"/>
    <w:rsid w:val="00594C0C"/>
    <w:rsid w:val="00594C65"/>
    <w:rsid w:val="005950E6"/>
    <w:rsid w:val="00595696"/>
    <w:rsid w:val="005957AC"/>
    <w:rsid w:val="00595C23"/>
    <w:rsid w:val="00595C68"/>
    <w:rsid w:val="00595E07"/>
    <w:rsid w:val="00596685"/>
    <w:rsid w:val="00596950"/>
    <w:rsid w:val="00596C83"/>
    <w:rsid w:val="00597656"/>
    <w:rsid w:val="00597698"/>
    <w:rsid w:val="005977C1"/>
    <w:rsid w:val="005978D3"/>
    <w:rsid w:val="00597E11"/>
    <w:rsid w:val="005A0300"/>
    <w:rsid w:val="005A033C"/>
    <w:rsid w:val="005A07D1"/>
    <w:rsid w:val="005A09CE"/>
    <w:rsid w:val="005A0A83"/>
    <w:rsid w:val="005A0D65"/>
    <w:rsid w:val="005A1B39"/>
    <w:rsid w:val="005A1C8F"/>
    <w:rsid w:val="005A228C"/>
    <w:rsid w:val="005A24BD"/>
    <w:rsid w:val="005A269D"/>
    <w:rsid w:val="005A33EA"/>
    <w:rsid w:val="005A370D"/>
    <w:rsid w:val="005A3793"/>
    <w:rsid w:val="005A386C"/>
    <w:rsid w:val="005A388E"/>
    <w:rsid w:val="005A3A0E"/>
    <w:rsid w:val="005A3D15"/>
    <w:rsid w:val="005A40DE"/>
    <w:rsid w:val="005A41EF"/>
    <w:rsid w:val="005A4406"/>
    <w:rsid w:val="005A516D"/>
    <w:rsid w:val="005A516E"/>
    <w:rsid w:val="005A5A2D"/>
    <w:rsid w:val="005A5D9C"/>
    <w:rsid w:val="005A6352"/>
    <w:rsid w:val="005A647C"/>
    <w:rsid w:val="005A6953"/>
    <w:rsid w:val="005A6EA4"/>
    <w:rsid w:val="005A7033"/>
    <w:rsid w:val="005A786D"/>
    <w:rsid w:val="005A7967"/>
    <w:rsid w:val="005A7A8F"/>
    <w:rsid w:val="005A7F0C"/>
    <w:rsid w:val="005B0395"/>
    <w:rsid w:val="005B0C61"/>
    <w:rsid w:val="005B1219"/>
    <w:rsid w:val="005B1374"/>
    <w:rsid w:val="005B140F"/>
    <w:rsid w:val="005B2972"/>
    <w:rsid w:val="005B2D56"/>
    <w:rsid w:val="005B3810"/>
    <w:rsid w:val="005B389A"/>
    <w:rsid w:val="005B3DB9"/>
    <w:rsid w:val="005B3FA8"/>
    <w:rsid w:val="005B40EB"/>
    <w:rsid w:val="005B4173"/>
    <w:rsid w:val="005B45AC"/>
    <w:rsid w:val="005B48B9"/>
    <w:rsid w:val="005B4AF6"/>
    <w:rsid w:val="005B4BD2"/>
    <w:rsid w:val="005B5214"/>
    <w:rsid w:val="005B52A4"/>
    <w:rsid w:val="005B5689"/>
    <w:rsid w:val="005B57B3"/>
    <w:rsid w:val="005B5C1E"/>
    <w:rsid w:val="005B5CA9"/>
    <w:rsid w:val="005B5EF2"/>
    <w:rsid w:val="005B619B"/>
    <w:rsid w:val="005B6618"/>
    <w:rsid w:val="005B670C"/>
    <w:rsid w:val="005B6A01"/>
    <w:rsid w:val="005B6AC6"/>
    <w:rsid w:val="005B6C77"/>
    <w:rsid w:val="005B6E45"/>
    <w:rsid w:val="005B7299"/>
    <w:rsid w:val="005B7BB1"/>
    <w:rsid w:val="005C004D"/>
    <w:rsid w:val="005C00A1"/>
    <w:rsid w:val="005C07EF"/>
    <w:rsid w:val="005C0D26"/>
    <w:rsid w:val="005C0FC5"/>
    <w:rsid w:val="005C125F"/>
    <w:rsid w:val="005C1458"/>
    <w:rsid w:val="005C1556"/>
    <w:rsid w:val="005C1958"/>
    <w:rsid w:val="005C1A05"/>
    <w:rsid w:val="005C1B77"/>
    <w:rsid w:val="005C250B"/>
    <w:rsid w:val="005C2803"/>
    <w:rsid w:val="005C28B9"/>
    <w:rsid w:val="005C2B0A"/>
    <w:rsid w:val="005C2C2B"/>
    <w:rsid w:val="005C2F7B"/>
    <w:rsid w:val="005C342B"/>
    <w:rsid w:val="005C3690"/>
    <w:rsid w:val="005C3865"/>
    <w:rsid w:val="005C38B2"/>
    <w:rsid w:val="005C406D"/>
    <w:rsid w:val="005C43E3"/>
    <w:rsid w:val="005C4416"/>
    <w:rsid w:val="005C4637"/>
    <w:rsid w:val="005C4DBA"/>
    <w:rsid w:val="005C52DF"/>
    <w:rsid w:val="005C58FB"/>
    <w:rsid w:val="005C5AC7"/>
    <w:rsid w:val="005C600A"/>
    <w:rsid w:val="005C601B"/>
    <w:rsid w:val="005C68EB"/>
    <w:rsid w:val="005C69F9"/>
    <w:rsid w:val="005C69FF"/>
    <w:rsid w:val="005C6EE9"/>
    <w:rsid w:val="005C7287"/>
    <w:rsid w:val="005C78BE"/>
    <w:rsid w:val="005C797E"/>
    <w:rsid w:val="005C7C0D"/>
    <w:rsid w:val="005C7CFB"/>
    <w:rsid w:val="005C7D0A"/>
    <w:rsid w:val="005D0762"/>
    <w:rsid w:val="005D0BE8"/>
    <w:rsid w:val="005D0D35"/>
    <w:rsid w:val="005D0E1C"/>
    <w:rsid w:val="005D139E"/>
    <w:rsid w:val="005D158D"/>
    <w:rsid w:val="005D21B5"/>
    <w:rsid w:val="005D21F8"/>
    <w:rsid w:val="005D2A23"/>
    <w:rsid w:val="005D2A27"/>
    <w:rsid w:val="005D2A94"/>
    <w:rsid w:val="005D30A8"/>
    <w:rsid w:val="005D313C"/>
    <w:rsid w:val="005D31E1"/>
    <w:rsid w:val="005D340F"/>
    <w:rsid w:val="005D3C95"/>
    <w:rsid w:val="005D4281"/>
    <w:rsid w:val="005D434E"/>
    <w:rsid w:val="005D43E2"/>
    <w:rsid w:val="005D4DAC"/>
    <w:rsid w:val="005D4E67"/>
    <w:rsid w:val="005D4E6F"/>
    <w:rsid w:val="005D5172"/>
    <w:rsid w:val="005D537A"/>
    <w:rsid w:val="005D5526"/>
    <w:rsid w:val="005D577C"/>
    <w:rsid w:val="005D637A"/>
    <w:rsid w:val="005D67F9"/>
    <w:rsid w:val="005D6AC7"/>
    <w:rsid w:val="005D6D15"/>
    <w:rsid w:val="005D6D81"/>
    <w:rsid w:val="005D6D96"/>
    <w:rsid w:val="005D6E9F"/>
    <w:rsid w:val="005D6F14"/>
    <w:rsid w:val="005D7286"/>
    <w:rsid w:val="005D75AA"/>
    <w:rsid w:val="005E0132"/>
    <w:rsid w:val="005E013C"/>
    <w:rsid w:val="005E018E"/>
    <w:rsid w:val="005E0265"/>
    <w:rsid w:val="005E0384"/>
    <w:rsid w:val="005E07B1"/>
    <w:rsid w:val="005E07F1"/>
    <w:rsid w:val="005E0D24"/>
    <w:rsid w:val="005E0D59"/>
    <w:rsid w:val="005E0EE7"/>
    <w:rsid w:val="005E0FBB"/>
    <w:rsid w:val="005E117C"/>
    <w:rsid w:val="005E11D7"/>
    <w:rsid w:val="005E1411"/>
    <w:rsid w:val="005E1575"/>
    <w:rsid w:val="005E17C0"/>
    <w:rsid w:val="005E2053"/>
    <w:rsid w:val="005E2349"/>
    <w:rsid w:val="005E28E0"/>
    <w:rsid w:val="005E2BA2"/>
    <w:rsid w:val="005E31B0"/>
    <w:rsid w:val="005E324E"/>
    <w:rsid w:val="005E373C"/>
    <w:rsid w:val="005E3906"/>
    <w:rsid w:val="005E390C"/>
    <w:rsid w:val="005E3B2B"/>
    <w:rsid w:val="005E3C4A"/>
    <w:rsid w:val="005E4191"/>
    <w:rsid w:val="005E4728"/>
    <w:rsid w:val="005E4790"/>
    <w:rsid w:val="005E4B48"/>
    <w:rsid w:val="005E4C5A"/>
    <w:rsid w:val="005E4D53"/>
    <w:rsid w:val="005E5936"/>
    <w:rsid w:val="005E5AEB"/>
    <w:rsid w:val="005E5E05"/>
    <w:rsid w:val="005E632B"/>
    <w:rsid w:val="005E64B6"/>
    <w:rsid w:val="005E6615"/>
    <w:rsid w:val="005E6705"/>
    <w:rsid w:val="005E68FD"/>
    <w:rsid w:val="005E706C"/>
    <w:rsid w:val="005E7491"/>
    <w:rsid w:val="005E776C"/>
    <w:rsid w:val="005E781F"/>
    <w:rsid w:val="005E7D92"/>
    <w:rsid w:val="005F0057"/>
    <w:rsid w:val="005F0454"/>
    <w:rsid w:val="005F0756"/>
    <w:rsid w:val="005F0A53"/>
    <w:rsid w:val="005F0D7F"/>
    <w:rsid w:val="005F0FFC"/>
    <w:rsid w:val="005F1295"/>
    <w:rsid w:val="005F12C0"/>
    <w:rsid w:val="005F142A"/>
    <w:rsid w:val="005F1A16"/>
    <w:rsid w:val="005F1AC1"/>
    <w:rsid w:val="005F1C38"/>
    <w:rsid w:val="005F1C92"/>
    <w:rsid w:val="005F29A3"/>
    <w:rsid w:val="005F2DC8"/>
    <w:rsid w:val="005F3029"/>
    <w:rsid w:val="005F30C2"/>
    <w:rsid w:val="005F321C"/>
    <w:rsid w:val="005F36BA"/>
    <w:rsid w:val="005F3CA7"/>
    <w:rsid w:val="005F3DA1"/>
    <w:rsid w:val="005F4550"/>
    <w:rsid w:val="005F461E"/>
    <w:rsid w:val="005F4AD4"/>
    <w:rsid w:val="005F4F32"/>
    <w:rsid w:val="005F5310"/>
    <w:rsid w:val="005F53B8"/>
    <w:rsid w:val="005F5401"/>
    <w:rsid w:val="005F54A5"/>
    <w:rsid w:val="005F5593"/>
    <w:rsid w:val="005F5610"/>
    <w:rsid w:val="005F56B3"/>
    <w:rsid w:val="005F6199"/>
    <w:rsid w:val="005F6204"/>
    <w:rsid w:val="005F6401"/>
    <w:rsid w:val="005F6CFF"/>
    <w:rsid w:val="005F6D1A"/>
    <w:rsid w:val="005F6EBB"/>
    <w:rsid w:val="005F7020"/>
    <w:rsid w:val="005F717E"/>
    <w:rsid w:val="005F73C5"/>
    <w:rsid w:val="005F794B"/>
    <w:rsid w:val="005F7B2E"/>
    <w:rsid w:val="005F7B7F"/>
    <w:rsid w:val="005F7F11"/>
    <w:rsid w:val="00600340"/>
    <w:rsid w:val="00600411"/>
    <w:rsid w:val="0060046B"/>
    <w:rsid w:val="00600AA8"/>
    <w:rsid w:val="00600F90"/>
    <w:rsid w:val="00601013"/>
    <w:rsid w:val="006010FD"/>
    <w:rsid w:val="00601303"/>
    <w:rsid w:val="0060170F"/>
    <w:rsid w:val="0060190E"/>
    <w:rsid w:val="00601A27"/>
    <w:rsid w:val="00601ED3"/>
    <w:rsid w:val="006022E4"/>
    <w:rsid w:val="00602320"/>
    <w:rsid w:val="006023DA"/>
    <w:rsid w:val="00602818"/>
    <w:rsid w:val="00602851"/>
    <w:rsid w:val="00602BD2"/>
    <w:rsid w:val="00602CC0"/>
    <w:rsid w:val="00603103"/>
    <w:rsid w:val="006034BA"/>
    <w:rsid w:val="0060350C"/>
    <w:rsid w:val="00603657"/>
    <w:rsid w:val="00603A6F"/>
    <w:rsid w:val="00603D9F"/>
    <w:rsid w:val="00603F81"/>
    <w:rsid w:val="006041FA"/>
    <w:rsid w:val="0060454C"/>
    <w:rsid w:val="0060491D"/>
    <w:rsid w:val="00605102"/>
    <w:rsid w:val="00605413"/>
    <w:rsid w:val="006054FD"/>
    <w:rsid w:val="00605731"/>
    <w:rsid w:val="006058B1"/>
    <w:rsid w:val="0060615B"/>
    <w:rsid w:val="00606999"/>
    <w:rsid w:val="00606BCA"/>
    <w:rsid w:val="00607311"/>
    <w:rsid w:val="00607905"/>
    <w:rsid w:val="00607BA2"/>
    <w:rsid w:val="00607D1B"/>
    <w:rsid w:val="006100BD"/>
    <w:rsid w:val="006103BD"/>
    <w:rsid w:val="00610859"/>
    <w:rsid w:val="006109D4"/>
    <w:rsid w:val="00610B5B"/>
    <w:rsid w:val="00610BAA"/>
    <w:rsid w:val="00611556"/>
    <w:rsid w:val="00611849"/>
    <w:rsid w:val="00611DD6"/>
    <w:rsid w:val="00611E7B"/>
    <w:rsid w:val="006120D4"/>
    <w:rsid w:val="006121FD"/>
    <w:rsid w:val="00612978"/>
    <w:rsid w:val="00612CDF"/>
    <w:rsid w:val="00612E77"/>
    <w:rsid w:val="006130BE"/>
    <w:rsid w:val="006134BD"/>
    <w:rsid w:val="0061363C"/>
    <w:rsid w:val="0061396B"/>
    <w:rsid w:val="00613AB6"/>
    <w:rsid w:val="00613BF1"/>
    <w:rsid w:val="00613E9B"/>
    <w:rsid w:val="00613F1C"/>
    <w:rsid w:val="00614924"/>
    <w:rsid w:val="00615187"/>
    <w:rsid w:val="006152E4"/>
    <w:rsid w:val="00615564"/>
    <w:rsid w:val="006159B7"/>
    <w:rsid w:val="0061615B"/>
    <w:rsid w:val="006162D0"/>
    <w:rsid w:val="00616D83"/>
    <w:rsid w:val="00616E6B"/>
    <w:rsid w:val="00617013"/>
    <w:rsid w:val="0061701A"/>
    <w:rsid w:val="006177BE"/>
    <w:rsid w:val="006178D0"/>
    <w:rsid w:val="00617ABC"/>
    <w:rsid w:val="00617C31"/>
    <w:rsid w:val="00617D56"/>
    <w:rsid w:val="00617E46"/>
    <w:rsid w:val="00617F5B"/>
    <w:rsid w:val="00620529"/>
    <w:rsid w:val="0062096B"/>
    <w:rsid w:val="00620ACE"/>
    <w:rsid w:val="00620B30"/>
    <w:rsid w:val="00621085"/>
    <w:rsid w:val="006217CF"/>
    <w:rsid w:val="006219CA"/>
    <w:rsid w:val="00621A75"/>
    <w:rsid w:val="00621BA2"/>
    <w:rsid w:val="00621DDC"/>
    <w:rsid w:val="00622175"/>
    <w:rsid w:val="0062220D"/>
    <w:rsid w:val="006231DD"/>
    <w:rsid w:val="00623615"/>
    <w:rsid w:val="006243F4"/>
    <w:rsid w:val="00624624"/>
    <w:rsid w:val="00624CD3"/>
    <w:rsid w:val="006251C2"/>
    <w:rsid w:val="006252C7"/>
    <w:rsid w:val="00625336"/>
    <w:rsid w:val="00625340"/>
    <w:rsid w:val="0062537A"/>
    <w:rsid w:val="0062545F"/>
    <w:rsid w:val="00625463"/>
    <w:rsid w:val="006255C6"/>
    <w:rsid w:val="006258F1"/>
    <w:rsid w:val="0062591B"/>
    <w:rsid w:val="0062629D"/>
    <w:rsid w:val="0062655B"/>
    <w:rsid w:val="00626AB3"/>
    <w:rsid w:val="00626CD9"/>
    <w:rsid w:val="006278C1"/>
    <w:rsid w:val="00627962"/>
    <w:rsid w:val="00627B20"/>
    <w:rsid w:val="00627C0D"/>
    <w:rsid w:val="00627DE2"/>
    <w:rsid w:val="00627E36"/>
    <w:rsid w:val="00630063"/>
    <w:rsid w:val="00630228"/>
    <w:rsid w:val="00630AEB"/>
    <w:rsid w:val="00630C7F"/>
    <w:rsid w:val="0063178A"/>
    <w:rsid w:val="00631E2F"/>
    <w:rsid w:val="006320EE"/>
    <w:rsid w:val="006325D9"/>
    <w:rsid w:val="00632608"/>
    <w:rsid w:val="00632D7F"/>
    <w:rsid w:val="00632E97"/>
    <w:rsid w:val="006330F5"/>
    <w:rsid w:val="006333CE"/>
    <w:rsid w:val="0063356B"/>
    <w:rsid w:val="00633AD6"/>
    <w:rsid w:val="00633F17"/>
    <w:rsid w:val="00634308"/>
    <w:rsid w:val="006345A1"/>
    <w:rsid w:val="006348C7"/>
    <w:rsid w:val="006351F5"/>
    <w:rsid w:val="006356A9"/>
    <w:rsid w:val="00636370"/>
    <w:rsid w:val="00636679"/>
    <w:rsid w:val="00636AF4"/>
    <w:rsid w:val="0063710B"/>
    <w:rsid w:val="006375EC"/>
    <w:rsid w:val="00637840"/>
    <w:rsid w:val="00637A4C"/>
    <w:rsid w:val="00637ACC"/>
    <w:rsid w:val="00637B07"/>
    <w:rsid w:val="00637EFC"/>
    <w:rsid w:val="00640035"/>
    <w:rsid w:val="0064003F"/>
    <w:rsid w:val="006401EC"/>
    <w:rsid w:val="00640223"/>
    <w:rsid w:val="00640709"/>
    <w:rsid w:val="0064095A"/>
    <w:rsid w:val="00640B8F"/>
    <w:rsid w:val="0064130A"/>
    <w:rsid w:val="006413BD"/>
    <w:rsid w:val="00641D53"/>
    <w:rsid w:val="00641E1A"/>
    <w:rsid w:val="00642462"/>
    <w:rsid w:val="00642DA2"/>
    <w:rsid w:val="00643306"/>
    <w:rsid w:val="00643552"/>
    <w:rsid w:val="00643650"/>
    <w:rsid w:val="00643810"/>
    <w:rsid w:val="00643866"/>
    <w:rsid w:val="006438EE"/>
    <w:rsid w:val="00643C19"/>
    <w:rsid w:val="006440C7"/>
    <w:rsid w:val="006440E5"/>
    <w:rsid w:val="00644221"/>
    <w:rsid w:val="00644429"/>
    <w:rsid w:val="0064443B"/>
    <w:rsid w:val="00644520"/>
    <w:rsid w:val="00644AD0"/>
    <w:rsid w:val="00644D72"/>
    <w:rsid w:val="00644E00"/>
    <w:rsid w:val="006451B9"/>
    <w:rsid w:val="00645954"/>
    <w:rsid w:val="00646118"/>
    <w:rsid w:val="006461DE"/>
    <w:rsid w:val="00646420"/>
    <w:rsid w:val="0064642F"/>
    <w:rsid w:val="006469AC"/>
    <w:rsid w:val="00646C85"/>
    <w:rsid w:val="006476ED"/>
    <w:rsid w:val="00647A27"/>
    <w:rsid w:val="00647CA4"/>
    <w:rsid w:val="00647E9A"/>
    <w:rsid w:val="006500D2"/>
    <w:rsid w:val="0065070D"/>
    <w:rsid w:val="00650B53"/>
    <w:rsid w:val="00650D79"/>
    <w:rsid w:val="00650DBA"/>
    <w:rsid w:val="00650FE5"/>
    <w:rsid w:val="00651139"/>
    <w:rsid w:val="0065121E"/>
    <w:rsid w:val="00651280"/>
    <w:rsid w:val="00651450"/>
    <w:rsid w:val="00651858"/>
    <w:rsid w:val="00651A2A"/>
    <w:rsid w:val="00651BD7"/>
    <w:rsid w:val="00651F0E"/>
    <w:rsid w:val="0065233D"/>
    <w:rsid w:val="00652527"/>
    <w:rsid w:val="00652A05"/>
    <w:rsid w:val="00652E68"/>
    <w:rsid w:val="00653731"/>
    <w:rsid w:val="00653A00"/>
    <w:rsid w:val="006542CD"/>
    <w:rsid w:val="00654327"/>
    <w:rsid w:val="00654648"/>
    <w:rsid w:val="0065468E"/>
    <w:rsid w:val="006546DB"/>
    <w:rsid w:val="0065536A"/>
    <w:rsid w:val="0065543F"/>
    <w:rsid w:val="00655566"/>
    <w:rsid w:val="00655694"/>
    <w:rsid w:val="006559CA"/>
    <w:rsid w:val="00655DAF"/>
    <w:rsid w:val="00655E3D"/>
    <w:rsid w:val="00655E87"/>
    <w:rsid w:val="006560B9"/>
    <w:rsid w:val="006561F8"/>
    <w:rsid w:val="006562EF"/>
    <w:rsid w:val="0065634A"/>
    <w:rsid w:val="00656459"/>
    <w:rsid w:val="0065646C"/>
    <w:rsid w:val="00656813"/>
    <w:rsid w:val="00656D46"/>
    <w:rsid w:val="0065768B"/>
    <w:rsid w:val="00657A40"/>
    <w:rsid w:val="006609F7"/>
    <w:rsid w:val="00660A86"/>
    <w:rsid w:val="00660D54"/>
    <w:rsid w:val="00661102"/>
    <w:rsid w:val="00661270"/>
    <w:rsid w:val="0066175D"/>
    <w:rsid w:val="00661828"/>
    <w:rsid w:val="0066186A"/>
    <w:rsid w:val="006618DF"/>
    <w:rsid w:val="00661FCF"/>
    <w:rsid w:val="006622F5"/>
    <w:rsid w:val="0066248E"/>
    <w:rsid w:val="00662553"/>
    <w:rsid w:val="00662C88"/>
    <w:rsid w:val="00662DB6"/>
    <w:rsid w:val="00662E13"/>
    <w:rsid w:val="00662F50"/>
    <w:rsid w:val="0066313F"/>
    <w:rsid w:val="0066355B"/>
    <w:rsid w:val="00663971"/>
    <w:rsid w:val="006639EB"/>
    <w:rsid w:val="00663F03"/>
    <w:rsid w:val="0066480A"/>
    <w:rsid w:val="00665018"/>
    <w:rsid w:val="0066507D"/>
    <w:rsid w:val="006654C4"/>
    <w:rsid w:val="00665A16"/>
    <w:rsid w:val="00665DCB"/>
    <w:rsid w:val="00665DE8"/>
    <w:rsid w:val="00666275"/>
    <w:rsid w:val="00666308"/>
    <w:rsid w:val="0066653D"/>
    <w:rsid w:val="006666D0"/>
    <w:rsid w:val="0066674D"/>
    <w:rsid w:val="006669EE"/>
    <w:rsid w:val="00666BAD"/>
    <w:rsid w:val="00666D51"/>
    <w:rsid w:val="00666D8F"/>
    <w:rsid w:val="00667033"/>
    <w:rsid w:val="006678C7"/>
    <w:rsid w:val="00667D71"/>
    <w:rsid w:val="00667DCF"/>
    <w:rsid w:val="00667DD7"/>
    <w:rsid w:val="00670467"/>
    <w:rsid w:val="006704FA"/>
    <w:rsid w:val="00670ACE"/>
    <w:rsid w:val="00670B37"/>
    <w:rsid w:val="00670E3E"/>
    <w:rsid w:val="0067134B"/>
    <w:rsid w:val="00671AD0"/>
    <w:rsid w:val="00671D03"/>
    <w:rsid w:val="00673804"/>
    <w:rsid w:val="006738F8"/>
    <w:rsid w:val="00673DC6"/>
    <w:rsid w:val="00673E48"/>
    <w:rsid w:val="00673F13"/>
    <w:rsid w:val="00673F8E"/>
    <w:rsid w:val="006743C6"/>
    <w:rsid w:val="0067451B"/>
    <w:rsid w:val="00674547"/>
    <w:rsid w:val="00674638"/>
    <w:rsid w:val="0067499B"/>
    <w:rsid w:val="00675827"/>
    <w:rsid w:val="00675914"/>
    <w:rsid w:val="006762A0"/>
    <w:rsid w:val="00676337"/>
    <w:rsid w:val="0067719B"/>
    <w:rsid w:val="00677418"/>
    <w:rsid w:val="006776B6"/>
    <w:rsid w:val="00677C59"/>
    <w:rsid w:val="00677F4C"/>
    <w:rsid w:val="00680134"/>
    <w:rsid w:val="0068077C"/>
    <w:rsid w:val="00680A67"/>
    <w:rsid w:val="00680B07"/>
    <w:rsid w:val="00680D31"/>
    <w:rsid w:val="00680E4D"/>
    <w:rsid w:val="00681131"/>
    <w:rsid w:val="00681152"/>
    <w:rsid w:val="00681609"/>
    <w:rsid w:val="00681C9F"/>
    <w:rsid w:val="00681D9F"/>
    <w:rsid w:val="006820F6"/>
    <w:rsid w:val="0068242C"/>
    <w:rsid w:val="00682457"/>
    <w:rsid w:val="006824D3"/>
    <w:rsid w:val="006827E5"/>
    <w:rsid w:val="00683612"/>
    <w:rsid w:val="0068365B"/>
    <w:rsid w:val="0068381C"/>
    <w:rsid w:val="00683AC2"/>
    <w:rsid w:val="00683E24"/>
    <w:rsid w:val="00684A7E"/>
    <w:rsid w:val="00684D78"/>
    <w:rsid w:val="006852DC"/>
    <w:rsid w:val="00685546"/>
    <w:rsid w:val="006858A9"/>
    <w:rsid w:val="00685AFC"/>
    <w:rsid w:val="00685CDA"/>
    <w:rsid w:val="00685EAA"/>
    <w:rsid w:val="0068608C"/>
    <w:rsid w:val="00686503"/>
    <w:rsid w:val="006868A1"/>
    <w:rsid w:val="00686D4A"/>
    <w:rsid w:val="0068D807"/>
    <w:rsid w:val="0069001A"/>
    <w:rsid w:val="006900EE"/>
    <w:rsid w:val="00690240"/>
    <w:rsid w:val="00690845"/>
    <w:rsid w:val="00690A77"/>
    <w:rsid w:val="00691994"/>
    <w:rsid w:val="00691B44"/>
    <w:rsid w:val="00691C6F"/>
    <w:rsid w:val="00692189"/>
    <w:rsid w:val="0069274B"/>
    <w:rsid w:val="00692960"/>
    <w:rsid w:val="00692A08"/>
    <w:rsid w:val="00692A89"/>
    <w:rsid w:val="0069354B"/>
    <w:rsid w:val="0069410B"/>
    <w:rsid w:val="00694757"/>
    <w:rsid w:val="0069497A"/>
    <w:rsid w:val="00694A86"/>
    <w:rsid w:val="00694B99"/>
    <w:rsid w:val="00694BC8"/>
    <w:rsid w:val="00694D7C"/>
    <w:rsid w:val="00694ED5"/>
    <w:rsid w:val="00694F5A"/>
    <w:rsid w:val="006952B4"/>
    <w:rsid w:val="00695430"/>
    <w:rsid w:val="00695554"/>
    <w:rsid w:val="00695BCF"/>
    <w:rsid w:val="006960FD"/>
    <w:rsid w:val="0069661E"/>
    <w:rsid w:val="006968A6"/>
    <w:rsid w:val="006968DF"/>
    <w:rsid w:val="0069699C"/>
    <w:rsid w:val="00696E00"/>
    <w:rsid w:val="00696F90"/>
    <w:rsid w:val="00697474"/>
    <w:rsid w:val="00697543"/>
    <w:rsid w:val="006977F1"/>
    <w:rsid w:val="00697EC8"/>
    <w:rsid w:val="006A06E6"/>
    <w:rsid w:val="006A0AD4"/>
    <w:rsid w:val="006A0C5D"/>
    <w:rsid w:val="006A10C8"/>
    <w:rsid w:val="006A1459"/>
    <w:rsid w:val="006A1613"/>
    <w:rsid w:val="006A1716"/>
    <w:rsid w:val="006A1748"/>
    <w:rsid w:val="006A179B"/>
    <w:rsid w:val="006A189B"/>
    <w:rsid w:val="006A18F4"/>
    <w:rsid w:val="006A198D"/>
    <w:rsid w:val="006A1CA4"/>
    <w:rsid w:val="006A1CB1"/>
    <w:rsid w:val="006A1DE9"/>
    <w:rsid w:val="006A1F55"/>
    <w:rsid w:val="006A239C"/>
    <w:rsid w:val="006A2533"/>
    <w:rsid w:val="006A262B"/>
    <w:rsid w:val="006A2D1F"/>
    <w:rsid w:val="006A2DB8"/>
    <w:rsid w:val="006A473E"/>
    <w:rsid w:val="006A4E2B"/>
    <w:rsid w:val="006A5227"/>
    <w:rsid w:val="006A5B3C"/>
    <w:rsid w:val="006A5E36"/>
    <w:rsid w:val="006A6B7B"/>
    <w:rsid w:val="006A6CD7"/>
    <w:rsid w:val="006A6CF8"/>
    <w:rsid w:val="006A6D51"/>
    <w:rsid w:val="006A6E7A"/>
    <w:rsid w:val="006A70C4"/>
    <w:rsid w:val="006A730A"/>
    <w:rsid w:val="006A7908"/>
    <w:rsid w:val="006A7E0C"/>
    <w:rsid w:val="006A7ED2"/>
    <w:rsid w:val="006B001F"/>
    <w:rsid w:val="006B010E"/>
    <w:rsid w:val="006B0160"/>
    <w:rsid w:val="006B03D7"/>
    <w:rsid w:val="006B04BF"/>
    <w:rsid w:val="006B050D"/>
    <w:rsid w:val="006B0906"/>
    <w:rsid w:val="006B0945"/>
    <w:rsid w:val="006B0AFA"/>
    <w:rsid w:val="006B0B86"/>
    <w:rsid w:val="006B0BE8"/>
    <w:rsid w:val="006B1467"/>
    <w:rsid w:val="006B1501"/>
    <w:rsid w:val="006B15F2"/>
    <w:rsid w:val="006B16ED"/>
    <w:rsid w:val="006B1766"/>
    <w:rsid w:val="006B1C9E"/>
    <w:rsid w:val="006B1E8C"/>
    <w:rsid w:val="006B244F"/>
    <w:rsid w:val="006B27F8"/>
    <w:rsid w:val="006B2B53"/>
    <w:rsid w:val="006B3041"/>
    <w:rsid w:val="006B3498"/>
    <w:rsid w:val="006B363E"/>
    <w:rsid w:val="006B4293"/>
    <w:rsid w:val="006B4610"/>
    <w:rsid w:val="006B4A4F"/>
    <w:rsid w:val="006B4E51"/>
    <w:rsid w:val="006B51A5"/>
    <w:rsid w:val="006B591B"/>
    <w:rsid w:val="006B5A0D"/>
    <w:rsid w:val="006B5D89"/>
    <w:rsid w:val="006B619E"/>
    <w:rsid w:val="006B65BE"/>
    <w:rsid w:val="006B6611"/>
    <w:rsid w:val="006B6981"/>
    <w:rsid w:val="006B6E04"/>
    <w:rsid w:val="006B702D"/>
    <w:rsid w:val="006B7C2D"/>
    <w:rsid w:val="006C11DE"/>
    <w:rsid w:val="006C1252"/>
    <w:rsid w:val="006C14C2"/>
    <w:rsid w:val="006C19AA"/>
    <w:rsid w:val="006C1D32"/>
    <w:rsid w:val="006C2049"/>
    <w:rsid w:val="006C2192"/>
    <w:rsid w:val="006C260F"/>
    <w:rsid w:val="006C2713"/>
    <w:rsid w:val="006C274E"/>
    <w:rsid w:val="006C2859"/>
    <w:rsid w:val="006C2B24"/>
    <w:rsid w:val="006C2E8D"/>
    <w:rsid w:val="006C2EF8"/>
    <w:rsid w:val="006C30BA"/>
    <w:rsid w:val="006C33AE"/>
    <w:rsid w:val="006C3712"/>
    <w:rsid w:val="006C38F6"/>
    <w:rsid w:val="006C3AFC"/>
    <w:rsid w:val="006C4503"/>
    <w:rsid w:val="006C4BA9"/>
    <w:rsid w:val="006C4EEF"/>
    <w:rsid w:val="006C4F6B"/>
    <w:rsid w:val="006C4F7E"/>
    <w:rsid w:val="006C5204"/>
    <w:rsid w:val="006C52E3"/>
    <w:rsid w:val="006C5444"/>
    <w:rsid w:val="006C57FB"/>
    <w:rsid w:val="006C5B95"/>
    <w:rsid w:val="006C5BC2"/>
    <w:rsid w:val="006C5DBA"/>
    <w:rsid w:val="006C60CA"/>
    <w:rsid w:val="006C6140"/>
    <w:rsid w:val="006C6568"/>
    <w:rsid w:val="006C6665"/>
    <w:rsid w:val="006C67EE"/>
    <w:rsid w:val="006C7C59"/>
    <w:rsid w:val="006D052E"/>
    <w:rsid w:val="006D06A0"/>
    <w:rsid w:val="006D115C"/>
    <w:rsid w:val="006D116A"/>
    <w:rsid w:val="006D1467"/>
    <w:rsid w:val="006D1487"/>
    <w:rsid w:val="006D15F2"/>
    <w:rsid w:val="006D18D5"/>
    <w:rsid w:val="006D1A79"/>
    <w:rsid w:val="006D1AB5"/>
    <w:rsid w:val="006D2479"/>
    <w:rsid w:val="006D2513"/>
    <w:rsid w:val="006D2E59"/>
    <w:rsid w:val="006D2E66"/>
    <w:rsid w:val="006D2F6B"/>
    <w:rsid w:val="006D30AB"/>
    <w:rsid w:val="006D3160"/>
    <w:rsid w:val="006D333B"/>
    <w:rsid w:val="006D3B8A"/>
    <w:rsid w:val="006D3D9E"/>
    <w:rsid w:val="006D4324"/>
    <w:rsid w:val="006D442E"/>
    <w:rsid w:val="006D443E"/>
    <w:rsid w:val="006D451C"/>
    <w:rsid w:val="006D4F21"/>
    <w:rsid w:val="006D5092"/>
    <w:rsid w:val="006D52B6"/>
    <w:rsid w:val="006D52D4"/>
    <w:rsid w:val="006D56CF"/>
    <w:rsid w:val="006D5B76"/>
    <w:rsid w:val="006D5BA5"/>
    <w:rsid w:val="006D5D30"/>
    <w:rsid w:val="006D6120"/>
    <w:rsid w:val="006D6914"/>
    <w:rsid w:val="006D70F3"/>
    <w:rsid w:val="006D780E"/>
    <w:rsid w:val="006E0127"/>
    <w:rsid w:val="006E02FA"/>
    <w:rsid w:val="006E043F"/>
    <w:rsid w:val="006E0705"/>
    <w:rsid w:val="006E0792"/>
    <w:rsid w:val="006E0B1A"/>
    <w:rsid w:val="006E0C23"/>
    <w:rsid w:val="006E0F23"/>
    <w:rsid w:val="006E1124"/>
    <w:rsid w:val="006E1B49"/>
    <w:rsid w:val="006E1BE3"/>
    <w:rsid w:val="006E1ECA"/>
    <w:rsid w:val="006E2229"/>
    <w:rsid w:val="006E22FD"/>
    <w:rsid w:val="006E27CB"/>
    <w:rsid w:val="006E2832"/>
    <w:rsid w:val="006E2A4D"/>
    <w:rsid w:val="006E2D92"/>
    <w:rsid w:val="006E3E88"/>
    <w:rsid w:val="006E3EB9"/>
    <w:rsid w:val="006E3ED5"/>
    <w:rsid w:val="006E3F4C"/>
    <w:rsid w:val="006E40EC"/>
    <w:rsid w:val="006E44B9"/>
    <w:rsid w:val="006E46F2"/>
    <w:rsid w:val="006E494F"/>
    <w:rsid w:val="006E4E74"/>
    <w:rsid w:val="006E51DA"/>
    <w:rsid w:val="006E5F0D"/>
    <w:rsid w:val="006E6147"/>
    <w:rsid w:val="006E63B1"/>
    <w:rsid w:val="006E6479"/>
    <w:rsid w:val="006E6A92"/>
    <w:rsid w:val="006E6FB7"/>
    <w:rsid w:val="006E7128"/>
    <w:rsid w:val="006E7149"/>
    <w:rsid w:val="006E75CB"/>
    <w:rsid w:val="006E7ECC"/>
    <w:rsid w:val="006F0034"/>
    <w:rsid w:val="006F00FE"/>
    <w:rsid w:val="006F0288"/>
    <w:rsid w:val="006F04A6"/>
    <w:rsid w:val="006F0609"/>
    <w:rsid w:val="006F069E"/>
    <w:rsid w:val="006F09F0"/>
    <w:rsid w:val="006F0A1D"/>
    <w:rsid w:val="006F0B2D"/>
    <w:rsid w:val="006F0F22"/>
    <w:rsid w:val="006F122E"/>
    <w:rsid w:val="006F1B84"/>
    <w:rsid w:val="006F1BCC"/>
    <w:rsid w:val="006F1EE1"/>
    <w:rsid w:val="006F1FA8"/>
    <w:rsid w:val="006F273C"/>
    <w:rsid w:val="006F323C"/>
    <w:rsid w:val="006F333E"/>
    <w:rsid w:val="006F34B1"/>
    <w:rsid w:val="006F36D4"/>
    <w:rsid w:val="006F3842"/>
    <w:rsid w:val="006F3CFF"/>
    <w:rsid w:val="006F4399"/>
    <w:rsid w:val="006F47FF"/>
    <w:rsid w:val="006F4BDC"/>
    <w:rsid w:val="006F4CF8"/>
    <w:rsid w:val="006F4F63"/>
    <w:rsid w:val="006F5307"/>
    <w:rsid w:val="006F53AC"/>
    <w:rsid w:val="006F5BB7"/>
    <w:rsid w:val="006F6C3F"/>
    <w:rsid w:val="006F6C86"/>
    <w:rsid w:val="006F6D97"/>
    <w:rsid w:val="006F7120"/>
    <w:rsid w:val="006F7173"/>
    <w:rsid w:val="006F7A7C"/>
    <w:rsid w:val="00700139"/>
    <w:rsid w:val="007008A5"/>
    <w:rsid w:val="00700AA8"/>
    <w:rsid w:val="00700ABF"/>
    <w:rsid w:val="00700C74"/>
    <w:rsid w:val="00701BF7"/>
    <w:rsid w:val="007026F8"/>
    <w:rsid w:val="0070295B"/>
    <w:rsid w:val="00702D8F"/>
    <w:rsid w:val="00702F52"/>
    <w:rsid w:val="007036B5"/>
    <w:rsid w:val="007036C3"/>
    <w:rsid w:val="0070372B"/>
    <w:rsid w:val="007037A0"/>
    <w:rsid w:val="00703DAE"/>
    <w:rsid w:val="00703EAB"/>
    <w:rsid w:val="00703ED1"/>
    <w:rsid w:val="007049F4"/>
    <w:rsid w:val="00704BB2"/>
    <w:rsid w:val="00704C87"/>
    <w:rsid w:val="00704D54"/>
    <w:rsid w:val="00705489"/>
    <w:rsid w:val="0070594C"/>
    <w:rsid w:val="00705C0A"/>
    <w:rsid w:val="00706001"/>
    <w:rsid w:val="0070672F"/>
    <w:rsid w:val="007068DB"/>
    <w:rsid w:val="00706AA7"/>
    <w:rsid w:val="00706ECC"/>
    <w:rsid w:val="00707111"/>
    <w:rsid w:val="00707362"/>
    <w:rsid w:val="00707745"/>
    <w:rsid w:val="0070796B"/>
    <w:rsid w:val="00707C3E"/>
    <w:rsid w:val="00710122"/>
    <w:rsid w:val="0071020D"/>
    <w:rsid w:val="0071058B"/>
    <w:rsid w:val="007107A2"/>
    <w:rsid w:val="00710AA2"/>
    <w:rsid w:val="00710B03"/>
    <w:rsid w:val="00710B7D"/>
    <w:rsid w:val="00710EA7"/>
    <w:rsid w:val="00710F19"/>
    <w:rsid w:val="00710F69"/>
    <w:rsid w:val="00711225"/>
    <w:rsid w:val="00711EAB"/>
    <w:rsid w:val="00712512"/>
    <w:rsid w:val="007125AF"/>
    <w:rsid w:val="00712A97"/>
    <w:rsid w:val="00712BBE"/>
    <w:rsid w:val="0071350F"/>
    <w:rsid w:val="00713A2E"/>
    <w:rsid w:val="00713B8D"/>
    <w:rsid w:val="0071424F"/>
    <w:rsid w:val="0071443C"/>
    <w:rsid w:val="007145F9"/>
    <w:rsid w:val="00714B95"/>
    <w:rsid w:val="00714C32"/>
    <w:rsid w:val="00714C68"/>
    <w:rsid w:val="00714E9D"/>
    <w:rsid w:val="00715027"/>
    <w:rsid w:val="007151C8"/>
    <w:rsid w:val="0071617D"/>
    <w:rsid w:val="00716BE0"/>
    <w:rsid w:val="00716EB0"/>
    <w:rsid w:val="00717211"/>
    <w:rsid w:val="007173C5"/>
    <w:rsid w:val="00717810"/>
    <w:rsid w:val="007178C2"/>
    <w:rsid w:val="00717AE8"/>
    <w:rsid w:val="00717DA5"/>
    <w:rsid w:val="00717DB0"/>
    <w:rsid w:val="00717DF9"/>
    <w:rsid w:val="00720166"/>
    <w:rsid w:val="007203D0"/>
    <w:rsid w:val="0072049A"/>
    <w:rsid w:val="007205CA"/>
    <w:rsid w:val="0072086C"/>
    <w:rsid w:val="007209F9"/>
    <w:rsid w:val="007209FC"/>
    <w:rsid w:val="00720E61"/>
    <w:rsid w:val="00720FB8"/>
    <w:rsid w:val="0072100B"/>
    <w:rsid w:val="007217A6"/>
    <w:rsid w:val="00721C61"/>
    <w:rsid w:val="00721E77"/>
    <w:rsid w:val="00721EF6"/>
    <w:rsid w:val="00721FCF"/>
    <w:rsid w:val="007221DF"/>
    <w:rsid w:val="007227FC"/>
    <w:rsid w:val="007228B4"/>
    <w:rsid w:val="007229DF"/>
    <w:rsid w:val="00722CB8"/>
    <w:rsid w:val="0072327D"/>
    <w:rsid w:val="007238F1"/>
    <w:rsid w:val="00723AA7"/>
    <w:rsid w:val="00723B72"/>
    <w:rsid w:val="00723DEE"/>
    <w:rsid w:val="00723ECA"/>
    <w:rsid w:val="00723F44"/>
    <w:rsid w:val="007245F8"/>
    <w:rsid w:val="00724ED0"/>
    <w:rsid w:val="00724F53"/>
    <w:rsid w:val="007251F7"/>
    <w:rsid w:val="00725202"/>
    <w:rsid w:val="00725280"/>
    <w:rsid w:val="0072555B"/>
    <w:rsid w:val="007256A3"/>
    <w:rsid w:val="0072584A"/>
    <w:rsid w:val="00725C1E"/>
    <w:rsid w:val="00725C8F"/>
    <w:rsid w:val="007265A5"/>
    <w:rsid w:val="007265D8"/>
    <w:rsid w:val="0072667F"/>
    <w:rsid w:val="007266D4"/>
    <w:rsid w:val="00726F70"/>
    <w:rsid w:val="00727065"/>
    <w:rsid w:val="007276B6"/>
    <w:rsid w:val="00727793"/>
    <w:rsid w:val="00727ACF"/>
    <w:rsid w:val="00727D37"/>
    <w:rsid w:val="00727FA5"/>
    <w:rsid w:val="00727FD5"/>
    <w:rsid w:val="00730091"/>
    <w:rsid w:val="0073054D"/>
    <w:rsid w:val="00730F57"/>
    <w:rsid w:val="00731171"/>
    <w:rsid w:val="00731228"/>
    <w:rsid w:val="007316D0"/>
    <w:rsid w:val="00731FA1"/>
    <w:rsid w:val="007322BE"/>
    <w:rsid w:val="00732921"/>
    <w:rsid w:val="00733192"/>
    <w:rsid w:val="007331B6"/>
    <w:rsid w:val="007332B2"/>
    <w:rsid w:val="007334D4"/>
    <w:rsid w:val="0073380E"/>
    <w:rsid w:val="00733ACF"/>
    <w:rsid w:val="00733DEA"/>
    <w:rsid w:val="00733E40"/>
    <w:rsid w:val="00734142"/>
    <w:rsid w:val="00734675"/>
    <w:rsid w:val="00734A51"/>
    <w:rsid w:val="00735185"/>
    <w:rsid w:val="0073532A"/>
    <w:rsid w:val="007353D4"/>
    <w:rsid w:val="0073547E"/>
    <w:rsid w:val="0073585B"/>
    <w:rsid w:val="00735B39"/>
    <w:rsid w:val="007374F4"/>
    <w:rsid w:val="0073785F"/>
    <w:rsid w:val="00737C60"/>
    <w:rsid w:val="0074004B"/>
    <w:rsid w:val="00740289"/>
    <w:rsid w:val="0074063F"/>
    <w:rsid w:val="00740A05"/>
    <w:rsid w:val="00740B4F"/>
    <w:rsid w:val="00740DFC"/>
    <w:rsid w:val="00740E49"/>
    <w:rsid w:val="00740EC7"/>
    <w:rsid w:val="007411BE"/>
    <w:rsid w:val="00741415"/>
    <w:rsid w:val="007416AD"/>
    <w:rsid w:val="00741ADD"/>
    <w:rsid w:val="00741EC6"/>
    <w:rsid w:val="00741F7A"/>
    <w:rsid w:val="00742393"/>
    <w:rsid w:val="0074243E"/>
    <w:rsid w:val="007425C0"/>
    <w:rsid w:val="007425F4"/>
    <w:rsid w:val="0074284C"/>
    <w:rsid w:val="00742B63"/>
    <w:rsid w:val="00743590"/>
    <w:rsid w:val="0074374D"/>
    <w:rsid w:val="007437A8"/>
    <w:rsid w:val="00743A7B"/>
    <w:rsid w:val="0074412C"/>
    <w:rsid w:val="007443E6"/>
    <w:rsid w:val="00744446"/>
    <w:rsid w:val="00744594"/>
    <w:rsid w:val="00744787"/>
    <w:rsid w:val="00744F75"/>
    <w:rsid w:val="0074599B"/>
    <w:rsid w:val="00745E9D"/>
    <w:rsid w:val="00745EF0"/>
    <w:rsid w:val="00746066"/>
    <w:rsid w:val="0074625B"/>
    <w:rsid w:val="007463A0"/>
    <w:rsid w:val="00746987"/>
    <w:rsid w:val="007469DC"/>
    <w:rsid w:val="00746C90"/>
    <w:rsid w:val="00746E4A"/>
    <w:rsid w:val="00747316"/>
    <w:rsid w:val="00747359"/>
    <w:rsid w:val="007478BA"/>
    <w:rsid w:val="00750071"/>
    <w:rsid w:val="00750291"/>
    <w:rsid w:val="00750446"/>
    <w:rsid w:val="00750A05"/>
    <w:rsid w:val="00750C16"/>
    <w:rsid w:val="007510FB"/>
    <w:rsid w:val="00751252"/>
    <w:rsid w:val="00751829"/>
    <w:rsid w:val="00751CE6"/>
    <w:rsid w:val="00751E7D"/>
    <w:rsid w:val="007521C7"/>
    <w:rsid w:val="00752432"/>
    <w:rsid w:val="00752441"/>
    <w:rsid w:val="007527DC"/>
    <w:rsid w:val="00752858"/>
    <w:rsid w:val="0075296D"/>
    <w:rsid w:val="007535A2"/>
    <w:rsid w:val="007537D7"/>
    <w:rsid w:val="007538E4"/>
    <w:rsid w:val="00753B45"/>
    <w:rsid w:val="00753C2F"/>
    <w:rsid w:val="00753D06"/>
    <w:rsid w:val="00753F18"/>
    <w:rsid w:val="00753F9B"/>
    <w:rsid w:val="00754665"/>
    <w:rsid w:val="007549C6"/>
    <w:rsid w:val="00755407"/>
    <w:rsid w:val="00755AA0"/>
    <w:rsid w:val="00755C72"/>
    <w:rsid w:val="00755CCD"/>
    <w:rsid w:val="00755FFD"/>
    <w:rsid w:val="007564DC"/>
    <w:rsid w:val="00756B2B"/>
    <w:rsid w:val="00756B41"/>
    <w:rsid w:val="00756E95"/>
    <w:rsid w:val="00756EE5"/>
    <w:rsid w:val="00756FC2"/>
    <w:rsid w:val="007572A4"/>
    <w:rsid w:val="007575B8"/>
    <w:rsid w:val="00757705"/>
    <w:rsid w:val="00757831"/>
    <w:rsid w:val="00757839"/>
    <w:rsid w:val="0075786A"/>
    <w:rsid w:val="00757F70"/>
    <w:rsid w:val="0076003A"/>
    <w:rsid w:val="00760261"/>
    <w:rsid w:val="007602AE"/>
    <w:rsid w:val="00760629"/>
    <w:rsid w:val="00760883"/>
    <w:rsid w:val="007608EA"/>
    <w:rsid w:val="0076090A"/>
    <w:rsid w:val="00760B36"/>
    <w:rsid w:val="00760B7C"/>
    <w:rsid w:val="00760C18"/>
    <w:rsid w:val="00760D2E"/>
    <w:rsid w:val="00760F6D"/>
    <w:rsid w:val="00761585"/>
    <w:rsid w:val="007615A2"/>
    <w:rsid w:val="007619CF"/>
    <w:rsid w:val="00761B1B"/>
    <w:rsid w:val="00761BC6"/>
    <w:rsid w:val="00761E07"/>
    <w:rsid w:val="00761E41"/>
    <w:rsid w:val="007622A4"/>
    <w:rsid w:val="0076244C"/>
    <w:rsid w:val="007624D8"/>
    <w:rsid w:val="00762559"/>
    <w:rsid w:val="0076273A"/>
    <w:rsid w:val="00762A09"/>
    <w:rsid w:val="00762AAF"/>
    <w:rsid w:val="007638FA"/>
    <w:rsid w:val="0076416B"/>
    <w:rsid w:val="007642F1"/>
    <w:rsid w:val="0076447E"/>
    <w:rsid w:val="0076468A"/>
    <w:rsid w:val="007646C2"/>
    <w:rsid w:val="00764A93"/>
    <w:rsid w:val="00764B19"/>
    <w:rsid w:val="00764F9D"/>
    <w:rsid w:val="007650DC"/>
    <w:rsid w:val="0076549F"/>
    <w:rsid w:val="007655D9"/>
    <w:rsid w:val="0076565F"/>
    <w:rsid w:val="007659A4"/>
    <w:rsid w:val="007659BF"/>
    <w:rsid w:val="00765C66"/>
    <w:rsid w:val="00765F13"/>
    <w:rsid w:val="00766420"/>
    <w:rsid w:val="00767097"/>
    <w:rsid w:val="007670B9"/>
    <w:rsid w:val="00767208"/>
    <w:rsid w:val="0076754C"/>
    <w:rsid w:val="007675BB"/>
    <w:rsid w:val="00767736"/>
    <w:rsid w:val="00767890"/>
    <w:rsid w:val="00767904"/>
    <w:rsid w:val="00767A10"/>
    <w:rsid w:val="00767B94"/>
    <w:rsid w:val="00767C86"/>
    <w:rsid w:val="00767D76"/>
    <w:rsid w:val="00767DCD"/>
    <w:rsid w:val="00767EFE"/>
    <w:rsid w:val="00770115"/>
    <w:rsid w:val="0077012E"/>
    <w:rsid w:val="00770542"/>
    <w:rsid w:val="00770663"/>
    <w:rsid w:val="007709FA"/>
    <w:rsid w:val="00770CD5"/>
    <w:rsid w:val="00770DA9"/>
    <w:rsid w:val="0077169B"/>
    <w:rsid w:val="007717F1"/>
    <w:rsid w:val="00771CAE"/>
    <w:rsid w:val="00772149"/>
    <w:rsid w:val="00772227"/>
    <w:rsid w:val="00772887"/>
    <w:rsid w:val="007729F0"/>
    <w:rsid w:val="00772CD9"/>
    <w:rsid w:val="007736D9"/>
    <w:rsid w:val="00773BAF"/>
    <w:rsid w:val="00773DBD"/>
    <w:rsid w:val="00773F8C"/>
    <w:rsid w:val="00774290"/>
    <w:rsid w:val="007742B1"/>
    <w:rsid w:val="00774302"/>
    <w:rsid w:val="007747EB"/>
    <w:rsid w:val="0077510A"/>
    <w:rsid w:val="00775474"/>
    <w:rsid w:val="00776600"/>
    <w:rsid w:val="007766DA"/>
    <w:rsid w:val="0077742C"/>
    <w:rsid w:val="0078079A"/>
    <w:rsid w:val="00780A55"/>
    <w:rsid w:val="0078140E"/>
    <w:rsid w:val="00781423"/>
    <w:rsid w:val="0078153A"/>
    <w:rsid w:val="00781D5A"/>
    <w:rsid w:val="007824E9"/>
    <w:rsid w:val="00782591"/>
    <w:rsid w:val="00782854"/>
    <w:rsid w:val="00782A4B"/>
    <w:rsid w:val="00782B04"/>
    <w:rsid w:val="0078311F"/>
    <w:rsid w:val="0078315C"/>
    <w:rsid w:val="0078342D"/>
    <w:rsid w:val="00783829"/>
    <w:rsid w:val="00783E51"/>
    <w:rsid w:val="00783F95"/>
    <w:rsid w:val="00784115"/>
    <w:rsid w:val="00784238"/>
    <w:rsid w:val="007845B5"/>
    <w:rsid w:val="0078473A"/>
    <w:rsid w:val="0078500C"/>
    <w:rsid w:val="0078548C"/>
    <w:rsid w:val="007854FD"/>
    <w:rsid w:val="00785B41"/>
    <w:rsid w:val="00785B69"/>
    <w:rsid w:val="00785CB9"/>
    <w:rsid w:val="00785E1D"/>
    <w:rsid w:val="00785F5B"/>
    <w:rsid w:val="0078623F"/>
    <w:rsid w:val="00786335"/>
    <w:rsid w:val="00786A76"/>
    <w:rsid w:val="00786AB8"/>
    <w:rsid w:val="00786C83"/>
    <w:rsid w:val="00786D46"/>
    <w:rsid w:val="007871C1"/>
    <w:rsid w:val="00787473"/>
    <w:rsid w:val="00787479"/>
    <w:rsid w:val="00787590"/>
    <w:rsid w:val="007877A1"/>
    <w:rsid w:val="00787816"/>
    <w:rsid w:val="00790594"/>
    <w:rsid w:val="007905A4"/>
    <w:rsid w:val="0079061C"/>
    <w:rsid w:val="00790C5B"/>
    <w:rsid w:val="00790EC1"/>
    <w:rsid w:val="00790F2E"/>
    <w:rsid w:val="0079106C"/>
    <w:rsid w:val="007913A1"/>
    <w:rsid w:val="00791476"/>
    <w:rsid w:val="007917BF"/>
    <w:rsid w:val="00791AAC"/>
    <w:rsid w:val="00791C16"/>
    <w:rsid w:val="0079210F"/>
    <w:rsid w:val="007924C2"/>
    <w:rsid w:val="007929AA"/>
    <w:rsid w:val="007929CA"/>
    <w:rsid w:val="00792ADD"/>
    <w:rsid w:val="00792B60"/>
    <w:rsid w:val="00792BC4"/>
    <w:rsid w:val="00793344"/>
    <w:rsid w:val="0079339F"/>
    <w:rsid w:val="00793A5B"/>
    <w:rsid w:val="00793D42"/>
    <w:rsid w:val="00794345"/>
    <w:rsid w:val="00794582"/>
    <w:rsid w:val="007948AC"/>
    <w:rsid w:val="00794D66"/>
    <w:rsid w:val="00794F92"/>
    <w:rsid w:val="007952A6"/>
    <w:rsid w:val="0079533A"/>
    <w:rsid w:val="007953FD"/>
    <w:rsid w:val="00795572"/>
    <w:rsid w:val="007956C5"/>
    <w:rsid w:val="00795835"/>
    <w:rsid w:val="00795A11"/>
    <w:rsid w:val="007965CF"/>
    <w:rsid w:val="0079793A"/>
    <w:rsid w:val="00797C33"/>
    <w:rsid w:val="0079D6E6"/>
    <w:rsid w:val="007A00CB"/>
    <w:rsid w:val="007A01E2"/>
    <w:rsid w:val="007A0360"/>
    <w:rsid w:val="007A046E"/>
    <w:rsid w:val="007A05BE"/>
    <w:rsid w:val="007A0687"/>
    <w:rsid w:val="007A0A62"/>
    <w:rsid w:val="007A0BFB"/>
    <w:rsid w:val="007A146A"/>
    <w:rsid w:val="007A196D"/>
    <w:rsid w:val="007A1A78"/>
    <w:rsid w:val="007A1B3D"/>
    <w:rsid w:val="007A23C1"/>
    <w:rsid w:val="007A29E6"/>
    <w:rsid w:val="007A2BC1"/>
    <w:rsid w:val="007A2C1F"/>
    <w:rsid w:val="007A2E6F"/>
    <w:rsid w:val="007A30ED"/>
    <w:rsid w:val="007A3194"/>
    <w:rsid w:val="007A321C"/>
    <w:rsid w:val="007A339C"/>
    <w:rsid w:val="007A3796"/>
    <w:rsid w:val="007A3980"/>
    <w:rsid w:val="007A40CC"/>
    <w:rsid w:val="007A4280"/>
    <w:rsid w:val="007A4386"/>
    <w:rsid w:val="007A43B7"/>
    <w:rsid w:val="007A4412"/>
    <w:rsid w:val="007A4541"/>
    <w:rsid w:val="007A47D2"/>
    <w:rsid w:val="007A4B4B"/>
    <w:rsid w:val="007A5070"/>
    <w:rsid w:val="007A50B7"/>
    <w:rsid w:val="007A55AE"/>
    <w:rsid w:val="007A5D10"/>
    <w:rsid w:val="007A5E53"/>
    <w:rsid w:val="007A5F58"/>
    <w:rsid w:val="007A61A3"/>
    <w:rsid w:val="007A64CF"/>
    <w:rsid w:val="007A65A7"/>
    <w:rsid w:val="007A68FA"/>
    <w:rsid w:val="007A7389"/>
    <w:rsid w:val="007A773F"/>
    <w:rsid w:val="007A777A"/>
    <w:rsid w:val="007A77F6"/>
    <w:rsid w:val="007A77FD"/>
    <w:rsid w:val="007A78D9"/>
    <w:rsid w:val="007A7BE4"/>
    <w:rsid w:val="007A7E1D"/>
    <w:rsid w:val="007B0158"/>
    <w:rsid w:val="007B0323"/>
    <w:rsid w:val="007B06D2"/>
    <w:rsid w:val="007B09D7"/>
    <w:rsid w:val="007B0AB5"/>
    <w:rsid w:val="007B1198"/>
    <w:rsid w:val="007B1467"/>
    <w:rsid w:val="007B153F"/>
    <w:rsid w:val="007B1E7B"/>
    <w:rsid w:val="007B2135"/>
    <w:rsid w:val="007B216A"/>
    <w:rsid w:val="007B2664"/>
    <w:rsid w:val="007B275C"/>
    <w:rsid w:val="007B281D"/>
    <w:rsid w:val="007B2D31"/>
    <w:rsid w:val="007B2DC5"/>
    <w:rsid w:val="007B2DEF"/>
    <w:rsid w:val="007B30B8"/>
    <w:rsid w:val="007B31FC"/>
    <w:rsid w:val="007B3324"/>
    <w:rsid w:val="007B345B"/>
    <w:rsid w:val="007B3DEB"/>
    <w:rsid w:val="007B4103"/>
    <w:rsid w:val="007B4536"/>
    <w:rsid w:val="007B4646"/>
    <w:rsid w:val="007B467A"/>
    <w:rsid w:val="007B4744"/>
    <w:rsid w:val="007B47C9"/>
    <w:rsid w:val="007B4A0E"/>
    <w:rsid w:val="007B56C8"/>
    <w:rsid w:val="007B5839"/>
    <w:rsid w:val="007B59DE"/>
    <w:rsid w:val="007B5B42"/>
    <w:rsid w:val="007B5E21"/>
    <w:rsid w:val="007B5EF5"/>
    <w:rsid w:val="007B60CA"/>
    <w:rsid w:val="007B6BCD"/>
    <w:rsid w:val="007B6C07"/>
    <w:rsid w:val="007B6E0A"/>
    <w:rsid w:val="007B6EB2"/>
    <w:rsid w:val="007B70EB"/>
    <w:rsid w:val="007B71AD"/>
    <w:rsid w:val="007B71E6"/>
    <w:rsid w:val="007B7E58"/>
    <w:rsid w:val="007C00EE"/>
    <w:rsid w:val="007C0183"/>
    <w:rsid w:val="007C0339"/>
    <w:rsid w:val="007C043A"/>
    <w:rsid w:val="007C0A40"/>
    <w:rsid w:val="007C0ABF"/>
    <w:rsid w:val="007C0F08"/>
    <w:rsid w:val="007C0F2B"/>
    <w:rsid w:val="007C113E"/>
    <w:rsid w:val="007C15FC"/>
    <w:rsid w:val="007C1876"/>
    <w:rsid w:val="007C1BE8"/>
    <w:rsid w:val="007C1C13"/>
    <w:rsid w:val="007C2627"/>
    <w:rsid w:val="007C270F"/>
    <w:rsid w:val="007C2B38"/>
    <w:rsid w:val="007C35F2"/>
    <w:rsid w:val="007C36BE"/>
    <w:rsid w:val="007C3727"/>
    <w:rsid w:val="007C3BE8"/>
    <w:rsid w:val="007C4259"/>
    <w:rsid w:val="007C4362"/>
    <w:rsid w:val="007C46E3"/>
    <w:rsid w:val="007C4B80"/>
    <w:rsid w:val="007C4EBE"/>
    <w:rsid w:val="007C5719"/>
    <w:rsid w:val="007C5758"/>
    <w:rsid w:val="007C5817"/>
    <w:rsid w:val="007C59BC"/>
    <w:rsid w:val="007C5AC3"/>
    <w:rsid w:val="007C5AD3"/>
    <w:rsid w:val="007C5B0A"/>
    <w:rsid w:val="007C5F52"/>
    <w:rsid w:val="007C5F72"/>
    <w:rsid w:val="007C6062"/>
    <w:rsid w:val="007C629C"/>
    <w:rsid w:val="007C63E4"/>
    <w:rsid w:val="007C654F"/>
    <w:rsid w:val="007C6870"/>
    <w:rsid w:val="007C68F0"/>
    <w:rsid w:val="007C6E1F"/>
    <w:rsid w:val="007C73FE"/>
    <w:rsid w:val="007C7A3C"/>
    <w:rsid w:val="007D005E"/>
    <w:rsid w:val="007D01A8"/>
    <w:rsid w:val="007D0AB1"/>
    <w:rsid w:val="007D1185"/>
    <w:rsid w:val="007D1386"/>
    <w:rsid w:val="007D1506"/>
    <w:rsid w:val="007D17A8"/>
    <w:rsid w:val="007D1C33"/>
    <w:rsid w:val="007D1D29"/>
    <w:rsid w:val="007D20AB"/>
    <w:rsid w:val="007D21CB"/>
    <w:rsid w:val="007D225C"/>
    <w:rsid w:val="007D2D31"/>
    <w:rsid w:val="007D2EF4"/>
    <w:rsid w:val="007D343C"/>
    <w:rsid w:val="007D370D"/>
    <w:rsid w:val="007D3755"/>
    <w:rsid w:val="007D3909"/>
    <w:rsid w:val="007D3CD2"/>
    <w:rsid w:val="007D3FE2"/>
    <w:rsid w:val="007D3FF1"/>
    <w:rsid w:val="007D4534"/>
    <w:rsid w:val="007D48A9"/>
    <w:rsid w:val="007D4AD9"/>
    <w:rsid w:val="007D4BCA"/>
    <w:rsid w:val="007D4F7D"/>
    <w:rsid w:val="007D54AC"/>
    <w:rsid w:val="007D572E"/>
    <w:rsid w:val="007D5B62"/>
    <w:rsid w:val="007D5FAC"/>
    <w:rsid w:val="007D63CF"/>
    <w:rsid w:val="007D6677"/>
    <w:rsid w:val="007D6BB1"/>
    <w:rsid w:val="007D6E39"/>
    <w:rsid w:val="007D6F1B"/>
    <w:rsid w:val="007D787C"/>
    <w:rsid w:val="007E0047"/>
    <w:rsid w:val="007E079D"/>
    <w:rsid w:val="007E096B"/>
    <w:rsid w:val="007E0EAF"/>
    <w:rsid w:val="007E1342"/>
    <w:rsid w:val="007E149F"/>
    <w:rsid w:val="007E1766"/>
    <w:rsid w:val="007E223C"/>
    <w:rsid w:val="007E2797"/>
    <w:rsid w:val="007E282A"/>
    <w:rsid w:val="007E29CF"/>
    <w:rsid w:val="007E2CAF"/>
    <w:rsid w:val="007E322B"/>
    <w:rsid w:val="007E37C0"/>
    <w:rsid w:val="007E3888"/>
    <w:rsid w:val="007E3A1C"/>
    <w:rsid w:val="007E3E78"/>
    <w:rsid w:val="007E417C"/>
    <w:rsid w:val="007E42C9"/>
    <w:rsid w:val="007E448D"/>
    <w:rsid w:val="007E460D"/>
    <w:rsid w:val="007E4640"/>
    <w:rsid w:val="007E46F8"/>
    <w:rsid w:val="007E4E2C"/>
    <w:rsid w:val="007E56F8"/>
    <w:rsid w:val="007E57AB"/>
    <w:rsid w:val="007E5CD5"/>
    <w:rsid w:val="007E5DFC"/>
    <w:rsid w:val="007E6306"/>
    <w:rsid w:val="007E63B3"/>
    <w:rsid w:val="007E640E"/>
    <w:rsid w:val="007E6934"/>
    <w:rsid w:val="007E6E04"/>
    <w:rsid w:val="007E74FC"/>
    <w:rsid w:val="007E7520"/>
    <w:rsid w:val="007E7537"/>
    <w:rsid w:val="007E76E9"/>
    <w:rsid w:val="007E793C"/>
    <w:rsid w:val="007E7EA1"/>
    <w:rsid w:val="007F0126"/>
    <w:rsid w:val="007F03CB"/>
    <w:rsid w:val="007F0434"/>
    <w:rsid w:val="007F0660"/>
    <w:rsid w:val="007F0AD3"/>
    <w:rsid w:val="007F0BAC"/>
    <w:rsid w:val="007F0E24"/>
    <w:rsid w:val="007F0E30"/>
    <w:rsid w:val="007F16A3"/>
    <w:rsid w:val="007F1C57"/>
    <w:rsid w:val="007F23EF"/>
    <w:rsid w:val="007F2401"/>
    <w:rsid w:val="007F27D0"/>
    <w:rsid w:val="007F29E7"/>
    <w:rsid w:val="007F2D3F"/>
    <w:rsid w:val="007F3CAF"/>
    <w:rsid w:val="007F402D"/>
    <w:rsid w:val="007F4750"/>
    <w:rsid w:val="007F4E69"/>
    <w:rsid w:val="007F52AC"/>
    <w:rsid w:val="007F5567"/>
    <w:rsid w:val="007F5689"/>
    <w:rsid w:val="007F58F1"/>
    <w:rsid w:val="007F5BB9"/>
    <w:rsid w:val="007F627D"/>
    <w:rsid w:val="007F62A5"/>
    <w:rsid w:val="007F62AB"/>
    <w:rsid w:val="007F64D2"/>
    <w:rsid w:val="007F64F2"/>
    <w:rsid w:val="007F66FA"/>
    <w:rsid w:val="007F6C47"/>
    <w:rsid w:val="007F6E0A"/>
    <w:rsid w:val="007F6EA4"/>
    <w:rsid w:val="007F6F65"/>
    <w:rsid w:val="007F7457"/>
    <w:rsid w:val="007F7615"/>
    <w:rsid w:val="007F7AAD"/>
    <w:rsid w:val="007F7F61"/>
    <w:rsid w:val="00800503"/>
    <w:rsid w:val="008009AC"/>
    <w:rsid w:val="00800AD8"/>
    <w:rsid w:val="00801201"/>
    <w:rsid w:val="00801894"/>
    <w:rsid w:val="00801913"/>
    <w:rsid w:val="00801EDF"/>
    <w:rsid w:val="008022EA"/>
    <w:rsid w:val="008025EF"/>
    <w:rsid w:val="00802B83"/>
    <w:rsid w:val="00802EEA"/>
    <w:rsid w:val="00803363"/>
    <w:rsid w:val="008034D4"/>
    <w:rsid w:val="0080353A"/>
    <w:rsid w:val="008039E8"/>
    <w:rsid w:val="00804009"/>
    <w:rsid w:val="00804050"/>
    <w:rsid w:val="008041B7"/>
    <w:rsid w:val="0080425A"/>
    <w:rsid w:val="008043F4"/>
    <w:rsid w:val="008044EF"/>
    <w:rsid w:val="00804AF6"/>
    <w:rsid w:val="008055B4"/>
    <w:rsid w:val="0080578E"/>
    <w:rsid w:val="00805F36"/>
    <w:rsid w:val="00806178"/>
    <w:rsid w:val="008063D3"/>
    <w:rsid w:val="0080679C"/>
    <w:rsid w:val="008067A1"/>
    <w:rsid w:val="00806B1B"/>
    <w:rsid w:val="00806BF2"/>
    <w:rsid w:val="00807091"/>
    <w:rsid w:val="0080788D"/>
    <w:rsid w:val="00807B48"/>
    <w:rsid w:val="008100F5"/>
    <w:rsid w:val="0081052E"/>
    <w:rsid w:val="008105B5"/>
    <w:rsid w:val="008106AB"/>
    <w:rsid w:val="008106DB"/>
    <w:rsid w:val="0081090A"/>
    <w:rsid w:val="00810FDB"/>
    <w:rsid w:val="0081166B"/>
    <w:rsid w:val="00811E5C"/>
    <w:rsid w:val="008122A5"/>
    <w:rsid w:val="008122F3"/>
    <w:rsid w:val="00812638"/>
    <w:rsid w:val="008127CD"/>
    <w:rsid w:val="008129A6"/>
    <w:rsid w:val="00812CB5"/>
    <w:rsid w:val="00812D0E"/>
    <w:rsid w:val="00813018"/>
    <w:rsid w:val="00813034"/>
    <w:rsid w:val="008134CB"/>
    <w:rsid w:val="0081375B"/>
    <w:rsid w:val="00813ACF"/>
    <w:rsid w:val="00813AD2"/>
    <w:rsid w:val="00813E32"/>
    <w:rsid w:val="00814561"/>
    <w:rsid w:val="00814D9B"/>
    <w:rsid w:val="008151CC"/>
    <w:rsid w:val="00815F80"/>
    <w:rsid w:val="008167CA"/>
    <w:rsid w:val="00816A80"/>
    <w:rsid w:val="00817334"/>
    <w:rsid w:val="008174BD"/>
    <w:rsid w:val="00817BF4"/>
    <w:rsid w:val="00817FFC"/>
    <w:rsid w:val="008201AB"/>
    <w:rsid w:val="008201E9"/>
    <w:rsid w:val="0082035B"/>
    <w:rsid w:val="00820D97"/>
    <w:rsid w:val="00820FC7"/>
    <w:rsid w:val="00821415"/>
    <w:rsid w:val="008214D7"/>
    <w:rsid w:val="0082159D"/>
    <w:rsid w:val="00821601"/>
    <w:rsid w:val="008217EF"/>
    <w:rsid w:val="00821BA4"/>
    <w:rsid w:val="00821C23"/>
    <w:rsid w:val="00821D70"/>
    <w:rsid w:val="0082215E"/>
    <w:rsid w:val="00822571"/>
    <w:rsid w:val="008228C1"/>
    <w:rsid w:val="00822B63"/>
    <w:rsid w:val="00822CCD"/>
    <w:rsid w:val="0082331C"/>
    <w:rsid w:val="008233C8"/>
    <w:rsid w:val="0082363C"/>
    <w:rsid w:val="00823997"/>
    <w:rsid w:val="00823B61"/>
    <w:rsid w:val="00823D17"/>
    <w:rsid w:val="00823DA2"/>
    <w:rsid w:val="0082435E"/>
    <w:rsid w:val="00824553"/>
    <w:rsid w:val="008245BD"/>
    <w:rsid w:val="008257CF"/>
    <w:rsid w:val="00825A02"/>
    <w:rsid w:val="00825B5E"/>
    <w:rsid w:val="00825BCB"/>
    <w:rsid w:val="00826437"/>
    <w:rsid w:val="0082660F"/>
    <w:rsid w:val="00826D7A"/>
    <w:rsid w:val="00826F3E"/>
    <w:rsid w:val="00827013"/>
    <w:rsid w:val="00827492"/>
    <w:rsid w:val="008276FF"/>
    <w:rsid w:val="0082789B"/>
    <w:rsid w:val="00827973"/>
    <w:rsid w:val="008279A4"/>
    <w:rsid w:val="00827A37"/>
    <w:rsid w:val="00827B0C"/>
    <w:rsid w:val="00827CEB"/>
    <w:rsid w:val="00827EDB"/>
    <w:rsid w:val="008300F2"/>
    <w:rsid w:val="0083087F"/>
    <w:rsid w:val="0083094E"/>
    <w:rsid w:val="00830E2F"/>
    <w:rsid w:val="00830E46"/>
    <w:rsid w:val="00830F37"/>
    <w:rsid w:val="00831119"/>
    <w:rsid w:val="0083112B"/>
    <w:rsid w:val="00831AC5"/>
    <w:rsid w:val="00831C94"/>
    <w:rsid w:val="00831E7B"/>
    <w:rsid w:val="00831FC8"/>
    <w:rsid w:val="00832232"/>
    <w:rsid w:val="0083223F"/>
    <w:rsid w:val="00832528"/>
    <w:rsid w:val="00832739"/>
    <w:rsid w:val="00832881"/>
    <w:rsid w:val="00832907"/>
    <w:rsid w:val="00832F9D"/>
    <w:rsid w:val="00833171"/>
    <w:rsid w:val="00833313"/>
    <w:rsid w:val="00834009"/>
    <w:rsid w:val="00834472"/>
    <w:rsid w:val="00834EF6"/>
    <w:rsid w:val="008356B7"/>
    <w:rsid w:val="00835949"/>
    <w:rsid w:val="00835A68"/>
    <w:rsid w:val="00835D09"/>
    <w:rsid w:val="008367ED"/>
    <w:rsid w:val="0083698D"/>
    <w:rsid w:val="0083699D"/>
    <w:rsid w:val="008375D6"/>
    <w:rsid w:val="008377B9"/>
    <w:rsid w:val="00837929"/>
    <w:rsid w:val="008404D8"/>
    <w:rsid w:val="008407E4"/>
    <w:rsid w:val="008407E7"/>
    <w:rsid w:val="00840A62"/>
    <w:rsid w:val="00840BE2"/>
    <w:rsid w:val="00840C1C"/>
    <w:rsid w:val="00840CFE"/>
    <w:rsid w:val="008413CA"/>
    <w:rsid w:val="0084160B"/>
    <w:rsid w:val="0084196A"/>
    <w:rsid w:val="00841BA3"/>
    <w:rsid w:val="00841C3E"/>
    <w:rsid w:val="00842037"/>
    <w:rsid w:val="008420EE"/>
    <w:rsid w:val="00842169"/>
    <w:rsid w:val="008421FC"/>
    <w:rsid w:val="00842C58"/>
    <w:rsid w:val="008435EB"/>
    <w:rsid w:val="00843651"/>
    <w:rsid w:val="00843A13"/>
    <w:rsid w:val="00843BA9"/>
    <w:rsid w:val="00843C22"/>
    <w:rsid w:val="00843FF3"/>
    <w:rsid w:val="008442F0"/>
    <w:rsid w:val="00844580"/>
    <w:rsid w:val="00844624"/>
    <w:rsid w:val="00844EE1"/>
    <w:rsid w:val="00844FE0"/>
    <w:rsid w:val="008456D5"/>
    <w:rsid w:val="008457C9"/>
    <w:rsid w:val="008459CA"/>
    <w:rsid w:val="00845C59"/>
    <w:rsid w:val="008460B6"/>
    <w:rsid w:val="0084634B"/>
    <w:rsid w:val="0084636C"/>
    <w:rsid w:val="00846582"/>
    <w:rsid w:val="00846637"/>
    <w:rsid w:val="00846BEA"/>
    <w:rsid w:val="00846EDA"/>
    <w:rsid w:val="00846EFC"/>
    <w:rsid w:val="0084779C"/>
    <w:rsid w:val="00847B47"/>
    <w:rsid w:val="00847B68"/>
    <w:rsid w:val="00847EC9"/>
    <w:rsid w:val="008501D6"/>
    <w:rsid w:val="00850296"/>
    <w:rsid w:val="008502F5"/>
    <w:rsid w:val="008502FD"/>
    <w:rsid w:val="00850754"/>
    <w:rsid w:val="008508DC"/>
    <w:rsid w:val="00850EEE"/>
    <w:rsid w:val="0085183D"/>
    <w:rsid w:val="0085196A"/>
    <w:rsid w:val="00851CEB"/>
    <w:rsid w:val="00851D3A"/>
    <w:rsid w:val="00851EFB"/>
    <w:rsid w:val="00851F5F"/>
    <w:rsid w:val="008523F1"/>
    <w:rsid w:val="008525E2"/>
    <w:rsid w:val="0085286B"/>
    <w:rsid w:val="00852B9D"/>
    <w:rsid w:val="00853807"/>
    <w:rsid w:val="00853FE4"/>
    <w:rsid w:val="0085407A"/>
    <w:rsid w:val="008540F6"/>
    <w:rsid w:val="008544C4"/>
    <w:rsid w:val="00854711"/>
    <w:rsid w:val="00854832"/>
    <w:rsid w:val="00854948"/>
    <w:rsid w:val="00854B41"/>
    <w:rsid w:val="00855057"/>
    <w:rsid w:val="00855D71"/>
    <w:rsid w:val="00855EE8"/>
    <w:rsid w:val="00856520"/>
    <w:rsid w:val="00856DFD"/>
    <w:rsid w:val="0085711A"/>
    <w:rsid w:val="00857540"/>
    <w:rsid w:val="00857A83"/>
    <w:rsid w:val="00857CD1"/>
    <w:rsid w:val="008606B4"/>
    <w:rsid w:val="008609DE"/>
    <w:rsid w:val="00860BD5"/>
    <w:rsid w:val="00861203"/>
    <w:rsid w:val="008615D0"/>
    <w:rsid w:val="00861685"/>
    <w:rsid w:val="008617A9"/>
    <w:rsid w:val="00861B1B"/>
    <w:rsid w:val="00861D3A"/>
    <w:rsid w:val="00861ECE"/>
    <w:rsid w:val="008626FA"/>
    <w:rsid w:val="0086278C"/>
    <w:rsid w:val="00862BE7"/>
    <w:rsid w:val="00862E6D"/>
    <w:rsid w:val="008630AB"/>
    <w:rsid w:val="008630EE"/>
    <w:rsid w:val="00863B46"/>
    <w:rsid w:val="00863B9A"/>
    <w:rsid w:val="00863BBD"/>
    <w:rsid w:val="00863C27"/>
    <w:rsid w:val="00863F21"/>
    <w:rsid w:val="00864228"/>
    <w:rsid w:val="0086454D"/>
    <w:rsid w:val="008647EA"/>
    <w:rsid w:val="00864E60"/>
    <w:rsid w:val="00865522"/>
    <w:rsid w:val="008655AF"/>
    <w:rsid w:val="008656C5"/>
    <w:rsid w:val="00865864"/>
    <w:rsid w:val="0086597C"/>
    <w:rsid w:val="00865E39"/>
    <w:rsid w:val="0086605F"/>
    <w:rsid w:val="00866896"/>
    <w:rsid w:val="00866C6C"/>
    <w:rsid w:val="00866CD1"/>
    <w:rsid w:val="00866F94"/>
    <w:rsid w:val="00867345"/>
    <w:rsid w:val="00867B96"/>
    <w:rsid w:val="0087013C"/>
    <w:rsid w:val="00870851"/>
    <w:rsid w:val="00870973"/>
    <w:rsid w:val="00870C76"/>
    <w:rsid w:val="00870FF3"/>
    <w:rsid w:val="008710FD"/>
    <w:rsid w:val="008714EB"/>
    <w:rsid w:val="008716F3"/>
    <w:rsid w:val="008717F9"/>
    <w:rsid w:val="008718F0"/>
    <w:rsid w:val="00871B88"/>
    <w:rsid w:val="00871DF7"/>
    <w:rsid w:val="008720B5"/>
    <w:rsid w:val="008727FA"/>
    <w:rsid w:val="00872911"/>
    <w:rsid w:val="00873180"/>
    <w:rsid w:val="0087322F"/>
    <w:rsid w:val="00873494"/>
    <w:rsid w:val="00873511"/>
    <w:rsid w:val="00873F8C"/>
    <w:rsid w:val="008742FF"/>
    <w:rsid w:val="00874E33"/>
    <w:rsid w:val="00874EC5"/>
    <w:rsid w:val="00874F67"/>
    <w:rsid w:val="00874FD1"/>
    <w:rsid w:val="0087501B"/>
    <w:rsid w:val="008753A5"/>
    <w:rsid w:val="008758D2"/>
    <w:rsid w:val="00875A07"/>
    <w:rsid w:val="00875C85"/>
    <w:rsid w:val="00875E4A"/>
    <w:rsid w:val="00875F1A"/>
    <w:rsid w:val="008762BB"/>
    <w:rsid w:val="008765D7"/>
    <w:rsid w:val="008767E2"/>
    <w:rsid w:val="00876991"/>
    <w:rsid w:val="00877200"/>
    <w:rsid w:val="00877687"/>
    <w:rsid w:val="00877756"/>
    <w:rsid w:val="008779F9"/>
    <w:rsid w:val="00877A44"/>
    <w:rsid w:val="00881072"/>
    <w:rsid w:val="00881551"/>
    <w:rsid w:val="008823F7"/>
    <w:rsid w:val="00882510"/>
    <w:rsid w:val="008826A5"/>
    <w:rsid w:val="00882DC2"/>
    <w:rsid w:val="008832CB"/>
    <w:rsid w:val="00883BEE"/>
    <w:rsid w:val="00883D02"/>
    <w:rsid w:val="0088427F"/>
    <w:rsid w:val="0088442D"/>
    <w:rsid w:val="00884918"/>
    <w:rsid w:val="00884CCC"/>
    <w:rsid w:val="00884CEB"/>
    <w:rsid w:val="008851CE"/>
    <w:rsid w:val="008857ED"/>
    <w:rsid w:val="0088589D"/>
    <w:rsid w:val="00885912"/>
    <w:rsid w:val="00886551"/>
    <w:rsid w:val="00886D7F"/>
    <w:rsid w:val="00887472"/>
    <w:rsid w:val="008874FD"/>
    <w:rsid w:val="0088765B"/>
    <w:rsid w:val="008876E1"/>
    <w:rsid w:val="00887D22"/>
    <w:rsid w:val="008903A2"/>
    <w:rsid w:val="00890D78"/>
    <w:rsid w:val="00890FEC"/>
    <w:rsid w:val="0089104C"/>
    <w:rsid w:val="008910F4"/>
    <w:rsid w:val="0089110B"/>
    <w:rsid w:val="008911A2"/>
    <w:rsid w:val="00891681"/>
    <w:rsid w:val="00891A03"/>
    <w:rsid w:val="008922C5"/>
    <w:rsid w:val="00892EE6"/>
    <w:rsid w:val="0089301F"/>
    <w:rsid w:val="0089365E"/>
    <w:rsid w:val="00893972"/>
    <w:rsid w:val="00893C2C"/>
    <w:rsid w:val="0089480C"/>
    <w:rsid w:val="00894B1F"/>
    <w:rsid w:val="00894E49"/>
    <w:rsid w:val="00894FBE"/>
    <w:rsid w:val="008956BE"/>
    <w:rsid w:val="00895DA3"/>
    <w:rsid w:val="00895F70"/>
    <w:rsid w:val="00895F7A"/>
    <w:rsid w:val="008963EC"/>
    <w:rsid w:val="00896B00"/>
    <w:rsid w:val="00897B57"/>
    <w:rsid w:val="00897CB5"/>
    <w:rsid w:val="008A0094"/>
    <w:rsid w:val="008A017A"/>
    <w:rsid w:val="008A06F5"/>
    <w:rsid w:val="008A0784"/>
    <w:rsid w:val="008A0798"/>
    <w:rsid w:val="008A0EA6"/>
    <w:rsid w:val="008A163E"/>
    <w:rsid w:val="008A1836"/>
    <w:rsid w:val="008A1887"/>
    <w:rsid w:val="008A1B88"/>
    <w:rsid w:val="008A1BED"/>
    <w:rsid w:val="008A1D7D"/>
    <w:rsid w:val="008A2011"/>
    <w:rsid w:val="008A22C3"/>
    <w:rsid w:val="008A258E"/>
    <w:rsid w:val="008A278D"/>
    <w:rsid w:val="008A27AC"/>
    <w:rsid w:val="008A27CE"/>
    <w:rsid w:val="008A2BD3"/>
    <w:rsid w:val="008A2C90"/>
    <w:rsid w:val="008A2E14"/>
    <w:rsid w:val="008A31C8"/>
    <w:rsid w:val="008A31D1"/>
    <w:rsid w:val="008A3352"/>
    <w:rsid w:val="008A367D"/>
    <w:rsid w:val="008A395B"/>
    <w:rsid w:val="008A39D7"/>
    <w:rsid w:val="008A3C7D"/>
    <w:rsid w:val="008A3E36"/>
    <w:rsid w:val="008A3F3E"/>
    <w:rsid w:val="008A4009"/>
    <w:rsid w:val="008A4187"/>
    <w:rsid w:val="008A46E2"/>
    <w:rsid w:val="008A47D8"/>
    <w:rsid w:val="008A48E7"/>
    <w:rsid w:val="008A509E"/>
    <w:rsid w:val="008A511A"/>
    <w:rsid w:val="008A5193"/>
    <w:rsid w:val="008A5439"/>
    <w:rsid w:val="008A680B"/>
    <w:rsid w:val="008A6A4B"/>
    <w:rsid w:val="008A6BA5"/>
    <w:rsid w:val="008A7022"/>
    <w:rsid w:val="008A710C"/>
    <w:rsid w:val="008A71E0"/>
    <w:rsid w:val="008A799F"/>
    <w:rsid w:val="008B0135"/>
    <w:rsid w:val="008B0196"/>
    <w:rsid w:val="008B0516"/>
    <w:rsid w:val="008B07E2"/>
    <w:rsid w:val="008B0977"/>
    <w:rsid w:val="008B11AC"/>
    <w:rsid w:val="008B1436"/>
    <w:rsid w:val="008B1493"/>
    <w:rsid w:val="008B1C0B"/>
    <w:rsid w:val="008B1C63"/>
    <w:rsid w:val="008B25D3"/>
    <w:rsid w:val="008B2705"/>
    <w:rsid w:val="008B289C"/>
    <w:rsid w:val="008B2984"/>
    <w:rsid w:val="008B2C1E"/>
    <w:rsid w:val="008B3067"/>
    <w:rsid w:val="008B313B"/>
    <w:rsid w:val="008B3415"/>
    <w:rsid w:val="008B3C77"/>
    <w:rsid w:val="008B3D6B"/>
    <w:rsid w:val="008B3D72"/>
    <w:rsid w:val="008B3FE9"/>
    <w:rsid w:val="008B418F"/>
    <w:rsid w:val="008B4926"/>
    <w:rsid w:val="008B4BC5"/>
    <w:rsid w:val="008B4DEB"/>
    <w:rsid w:val="008B4E9D"/>
    <w:rsid w:val="008B5556"/>
    <w:rsid w:val="008B5598"/>
    <w:rsid w:val="008B57C8"/>
    <w:rsid w:val="008B57D4"/>
    <w:rsid w:val="008B5A1F"/>
    <w:rsid w:val="008B5EFB"/>
    <w:rsid w:val="008B6817"/>
    <w:rsid w:val="008B6A78"/>
    <w:rsid w:val="008B6A81"/>
    <w:rsid w:val="008B6E92"/>
    <w:rsid w:val="008B6EC9"/>
    <w:rsid w:val="008B7584"/>
    <w:rsid w:val="008B77B3"/>
    <w:rsid w:val="008B77FE"/>
    <w:rsid w:val="008B783A"/>
    <w:rsid w:val="008B7CA2"/>
    <w:rsid w:val="008C007E"/>
    <w:rsid w:val="008C04D1"/>
    <w:rsid w:val="008C0717"/>
    <w:rsid w:val="008C07B4"/>
    <w:rsid w:val="008C0D60"/>
    <w:rsid w:val="008C0F26"/>
    <w:rsid w:val="008C14AE"/>
    <w:rsid w:val="008C1FB8"/>
    <w:rsid w:val="008C2232"/>
    <w:rsid w:val="008C26E5"/>
    <w:rsid w:val="008C2D0B"/>
    <w:rsid w:val="008C3839"/>
    <w:rsid w:val="008C39EE"/>
    <w:rsid w:val="008C39FE"/>
    <w:rsid w:val="008C3F43"/>
    <w:rsid w:val="008C4126"/>
    <w:rsid w:val="008C43AA"/>
    <w:rsid w:val="008C4C01"/>
    <w:rsid w:val="008C4C60"/>
    <w:rsid w:val="008C4CA5"/>
    <w:rsid w:val="008C4D59"/>
    <w:rsid w:val="008C521B"/>
    <w:rsid w:val="008C537B"/>
    <w:rsid w:val="008C56E0"/>
    <w:rsid w:val="008C5700"/>
    <w:rsid w:val="008C5B2B"/>
    <w:rsid w:val="008C5DEA"/>
    <w:rsid w:val="008C5E13"/>
    <w:rsid w:val="008C5F55"/>
    <w:rsid w:val="008C61CE"/>
    <w:rsid w:val="008C622B"/>
    <w:rsid w:val="008C622C"/>
    <w:rsid w:val="008C66CF"/>
    <w:rsid w:val="008C6A92"/>
    <w:rsid w:val="008C6ABF"/>
    <w:rsid w:val="008C6C9D"/>
    <w:rsid w:val="008C6DF3"/>
    <w:rsid w:val="008C7363"/>
    <w:rsid w:val="008C7684"/>
    <w:rsid w:val="008C7A76"/>
    <w:rsid w:val="008C7D7F"/>
    <w:rsid w:val="008D0014"/>
    <w:rsid w:val="008D02E2"/>
    <w:rsid w:val="008D06DD"/>
    <w:rsid w:val="008D0979"/>
    <w:rsid w:val="008D0A80"/>
    <w:rsid w:val="008D0A99"/>
    <w:rsid w:val="008D0AE8"/>
    <w:rsid w:val="008D104D"/>
    <w:rsid w:val="008D1164"/>
    <w:rsid w:val="008D187D"/>
    <w:rsid w:val="008D1BFD"/>
    <w:rsid w:val="008D2473"/>
    <w:rsid w:val="008D2783"/>
    <w:rsid w:val="008D284A"/>
    <w:rsid w:val="008D28E2"/>
    <w:rsid w:val="008D2D41"/>
    <w:rsid w:val="008D2EE2"/>
    <w:rsid w:val="008D34E2"/>
    <w:rsid w:val="008D34ED"/>
    <w:rsid w:val="008D387B"/>
    <w:rsid w:val="008D3A7F"/>
    <w:rsid w:val="008D4169"/>
    <w:rsid w:val="008D4A5F"/>
    <w:rsid w:val="008D4EEE"/>
    <w:rsid w:val="008D52CA"/>
    <w:rsid w:val="008D577F"/>
    <w:rsid w:val="008D5DC7"/>
    <w:rsid w:val="008D6183"/>
    <w:rsid w:val="008D68B6"/>
    <w:rsid w:val="008D6932"/>
    <w:rsid w:val="008D6C71"/>
    <w:rsid w:val="008D71F2"/>
    <w:rsid w:val="008D771E"/>
    <w:rsid w:val="008D79B2"/>
    <w:rsid w:val="008D7A20"/>
    <w:rsid w:val="008D7B0B"/>
    <w:rsid w:val="008D7F11"/>
    <w:rsid w:val="008E005B"/>
    <w:rsid w:val="008E0214"/>
    <w:rsid w:val="008E0A2D"/>
    <w:rsid w:val="008E0B84"/>
    <w:rsid w:val="008E0EEE"/>
    <w:rsid w:val="008E0F4C"/>
    <w:rsid w:val="008E1D5A"/>
    <w:rsid w:val="008E20BA"/>
    <w:rsid w:val="008E29B1"/>
    <w:rsid w:val="008E2A0D"/>
    <w:rsid w:val="008E2FD1"/>
    <w:rsid w:val="008E3144"/>
    <w:rsid w:val="008E3C86"/>
    <w:rsid w:val="008E4059"/>
    <w:rsid w:val="008E44D8"/>
    <w:rsid w:val="008E469A"/>
    <w:rsid w:val="008E512D"/>
    <w:rsid w:val="008E536C"/>
    <w:rsid w:val="008E548D"/>
    <w:rsid w:val="008E58DA"/>
    <w:rsid w:val="008E596F"/>
    <w:rsid w:val="008E5ECD"/>
    <w:rsid w:val="008E5FAA"/>
    <w:rsid w:val="008E610D"/>
    <w:rsid w:val="008E627D"/>
    <w:rsid w:val="008E6481"/>
    <w:rsid w:val="008E66A4"/>
    <w:rsid w:val="008E71C2"/>
    <w:rsid w:val="008E73B4"/>
    <w:rsid w:val="008E751E"/>
    <w:rsid w:val="008E7561"/>
    <w:rsid w:val="008E7A94"/>
    <w:rsid w:val="008E7BBB"/>
    <w:rsid w:val="008E7C81"/>
    <w:rsid w:val="008E7D96"/>
    <w:rsid w:val="008E7E17"/>
    <w:rsid w:val="008F054E"/>
    <w:rsid w:val="008F07C7"/>
    <w:rsid w:val="008F0D1B"/>
    <w:rsid w:val="008F0DB7"/>
    <w:rsid w:val="008F17E9"/>
    <w:rsid w:val="008F1C26"/>
    <w:rsid w:val="008F20CC"/>
    <w:rsid w:val="008F2227"/>
    <w:rsid w:val="008F24FA"/>
    <w:rsid w:val="008F2A76"/>
    <w:rsid w:val="008F2CC6"/>
    <w:rsid w:val="008F2E23"/>
    <w:rsid w:val="008F3087"/>
    <w:rsid w:val="008F3248"/>
    <w:rsid w:val="008F38D7"/>
    <w:rsid w:val="008F415B"/>
    <w:rsid w:val="008F4423"/>
    <w:rsid w:val="008F45E9"/>
    <w:rsid w:val="008F4EAB"/>
    <w:rsid w:val="008F54BD"/>
    <w:rsid w:val="008F5BC0"/>
    <w:rsid w:val="008F60F0"/>
    <w:rsid w:val="008F6265"/>
    <w:rsid w:val="008F63EE"/>
    <w:rsid w:val="008F655C"/>
    <w:rsid w:val="008F6822"/>
    <w:rsid w:val="008F684C"/>
    <w:rsid w:val="008F693A"/>
    <w:rsid w:val="008F6DFA"/>
    <w:rsid w:val="008F7170"/>
    <w:rsid w:val="008F71DF"/>
    <w:rsid w:val="008F731F"/>
    <w:rsid w:val="008F7566"/>
    <w:rsid w:val="008F75EE"/>
    <w:rsid w:val="008F76CC"/>
    <w:rsid w:val="008F77D1"/>
    <w:rsid w:val="00900012"/>
    <w:rsid w:val="0090040C"/>
    <w:rsid w:val="00900554"/>
    <w:rsid w:val="0090059D"/>
    <w:rsid w:val="00900A5C"/>
    <w:rsid w:val="00900C0F"/>
    <w:rsid w:val="0090120C"/>
    <w:rsid w:val="009012CF"/>
    <w:rsid w:val="00901326"/>
    <w:rsid w:val="0090164C"/>
    <w:rsid w:val="00901B1F"/>
    <w:rsid w:val="00901B94"/>
    <w:rsid w:val="00901D0C"/>
    <w:rsid w:val="00901D6A"/>
    <w:rsid w:val="0090233F"/>
    <w:rsid w:val="0090261B"/>
    <w:rsid w:val="0090284F"/>
    <w:rsid w:val="00902D99"/>
    <w:rsid w:val="009035CF"/>
    <w:rsid w:val="00903611"/>
    <w:rsid w:val="00903A21"/>
    <w:rsid w:val="00903D97"/>
    <w:rsid w:val="009040FF"/>
    <w:rsid w:val="0090446A"/>
    <w:rsid w:val="009044D4"/>
    <w:rsid w:val="00904841"/>
    <w:rsid w:val="00904C91"/>
    <w:rsid w:val="00904CD5"/>
    <w:rsid w:val="00904FBA"/>
    <w:rsid w:val="00905042"/>
    <w:rsid w:val="00905758"/>
    <w:rsid w:val="00905B43"/>
    <w:rsid w:val="00905B85"/>
    <w:rsid w:val="00905BE7"/>
    <w:rsid w:val="00905C47"/>
    <w:rsid w:val="00905C6C"/>
    <w:rsid w:val="0090638A"/>
    <w:rsid w:val="009065D1"/>
    <w:rsid w:val="009066C1"/>
    <w:rsid w:val="00906AC8"/>
    <w:rsid w:val="00906DB7"/>
    <w:rsid w:val="00906E3E"/>
    <w:rsid w:val="00906E55"/>
    <w:rsid w:val="009070B3"/>
    <w:rsid w:val="0090757A"/>
    <w:rsid w:val="00907A85"/>
    <w:rsid w:val="00907BC7"/>
    <w:rsid w:val="00910072"/>
    <w:rsid w:val="0091058D"/>
    <w:rsid w:val="009108A3"/>
    <w:rsid w:val="00911A1F"/>
    <w:rsid w:val="00911D01"/>
    <w:rsid w:val="00911D1C"/>
    <w:rsid w:val="00911E15"/>
    <w:rsid w:val="0091222C"/>
    <w:rsid w:val="00912579"/>
    <w:rsid w:val="00912982"/>
    <w:rsid w:val="00912E64"/>
    <w:rsid w:val="0091339F"/>
    <w:rsid w:val="00913BFB"/>
    <w:rsid w:val="00913E02"/>
    <w:rsid w:val="00913E68"/>
    <w:rsid w:val="0091404D"/>
    <w:rsid w:val="009143A9"/>
    <w:rsid w:val="00914C35"/>
    <w:rsid w:val="00914E57"/>
    <w:rsid w:val="00914FBE"/>
    <w:rsid w:val="00915064"/>
    <w:rsid w:val="00915A52"/>
    <w:rsid w:val="00915E14"/>
    <w:rsid w:val="009160A2"/>
    <w:rsid w:val="009162AB"/>
    <w:rsid w:val="00916307"/>
    <w:rsid w:val="00916349"/>
    <w:rsid w:val="009163D0"/>
    <w:rsid w:val="009168A2"/>
    <w:rsid w:val="00916DAE"/>
    <w:rsid w:val="00917758"/>
    <w:rsid w:val="0092050F"/>
    <w:rsid w:val="00920B89"/>
    <w:rsid w:val="00920CDB"/>
    <w:rsid w:val="00920ED8"/>
    <w:rsid w:val="00921284"/>
    <w:rsid w:val="009214EB"/>
    <w:rsid w:val="009218C5"/>
    <w:rsid w:val="0092205D"/>
    <w:rsid w:val="00922259"/>
    <w:rsid w:val="009222B9"/>
    <w:rsid w:val="0092251F"/>
    <w:rsid w:val="009226CC"/>
    <w:rsid w:val="009229D3"/>
    <w:rsid w:val="00922A3C"/>
    <w:rsid w:val="00922BF3"/>
    <w:rsid w:val="00923074"/>
    <w:rsid w:val="00923A64"/>
    <w:rsid w:val="009245A9"/>
    <w:rsid w:val="0092467B"/>
    <w:rsid w:val="009246F0"/>
    <w:rsid w:val="009247B1"/>
    <w:rsid w:val="00924A48"/>
    <w:rsid w:val="00924BD5"/>
    <w:rsid w:val="0092520D"/>
    <w:rsid w:val="00925349"/>
    <w:rsid w:val="00925706"/>
    <w:rsid w:val="00925D14"/>
    <w:rsid w:val="00926152"/>
    <w:rsid w:val="009261A7"/>
    <w:rsid w:val="00926325"/>
    <w:rsid w:val="009263AA"/>
    <w:rsid w:val="00926AC0"/>
    <w:rsid w:val="00926F17"/>
    <w:rsid w:val="009272FE"/>
    <w:rsid w:val="009276E5"/>
    <w:rsid w:val="00927791"/>
    <w:rsid w:val="00927CA6"/>
    <w:rsid w:val="00929982"/>
    <w:rsid w:val="00930400"/>
    <w:rsid w:val="00930411"/>
    <w:rsid w:val="0093046B"/>
    <w:rsid w:val="00930E70"/>
    <w:rsid w:val="00931185"/>
    <w:rsid w:val="00931344"/>
    <w:rsid w:val="009315C3"/>
    <w:rsid w:val="00931615"/>
    <w:rsid w:val="00931BAE"/>
    <w:rsid w:val="00931FBA"/>
    <w:rsid w:val="00931FED"/>
    <w:rsid w:val="00932261"/>
    <w:rsid w:val="00932316"/>
    <w:rsid w:val="00932BD3"/>
    <w:rsid w:val="00932CFB"/>
    <w:rsid w:val="00932D91"/>
    <w:rsid w:val="0093302E"/>
    <w:rsid w:val="00933082"/>
    <w:rsid w:val="00933181"/>
    <w:rsid w:val="0093359E"/>
    <w:rsid w:val="00933AC6"/>
    <w:rsid w:val="00933AF2"/>
    <w:rsid w:val="00933C9B"/>
    <w:rsid w:val="00933D47"/>
    <w:rsid w:val="00934046"/>
    <w:rsid w:val="00934A39"/>
    <w:rsid w:val="00934B92"/>
    <w:rsid w:val="009350C7"/>
    <w:rsid w:val="009356CC"/>
    <w:rsid w:val="0093599F"/>
    <w:rsid w:val="00935E08"/>
    <w:rsid w:val="00935F0A"/>
    <w:rsid w:val="00935F4B"/>
    <w:rsid w:val="00936365"/>
    <w:rsid w:val="009367A9"/>
    <w:rsid w:val="00936D38"/>
    <w:rsid w:val="009372D5"/>
    <w:rsid w:val="0093754C"/>
    <w:rsid w:val="009376BF"/>
    <w:rsid w:val="00937A8F"/>
    <w:rsid w:val="00937DEB"/>
    <w:rsid w:val="0094095C"/>
    <w:rsid w:val="00940F16"/>
    <w:rsid w:val="0094103F"/>
    <w:rsid w:val="00941287"/>
    <w:rsid w:val="00941605"/>
    <w:rsid w:val="009419F8"/>
    <w:rsid w:val="009419FB"/>
    <w:rsid w:val="00941A60"/>
    <w:rsid w:val="00941D34"/>
    <w:rsid w:val="00941D36"/>
    <w:rsid w:val="00942040"/>
    <w:rsid w:val="009421C8"/>
    <w:rsid w:val="0094280C"/>
    <w:rsid w:val="009429D2"/>
    <w:rsid w:val="00942F74"/>
    <w:rsid w:val="009432FA"/>
    <w:rsid w:val="009434CF"/>
    <w:rsid w:val="0094365A"/>
    <w:rsid w:val="00943691"/>
    <w:rsid w:val="00943733"/>
    <w:rsid w:val="00943794"/>
    <w:rsid w:val="0094471A"/>
    <w:rsid w:val="00944B56"/>
    <w:rsid w:val="0094583D"/>
    <w:rsid w:val="00945D3F"/>
    <w:rsid w:val="0094613E"/>
    <w:rsid w:val="009462D2"/>
    <w:rsid w:val="00946894"/>
    <w:rsid w:val="00946BA7"/>
    <w:rsid w:val="00946D7E"/>
    <w:rsid w:val="00946DA1"/>
    <w:rsid w:val="0094704E"/>
    <w:rsid w:val="009471B6"/>
    <w:rsid w:val="009471EA"/>
    <w:rsid w:val="0094789D"/>
    <w:rsid w:val="00947A07"/>
    <w:rsid w:val="00947C69"/>
    <w:rsid w:val="00947CE3"/>
    <w:rsid w:val="00947D5C"/>
    <w:rsid w:val="0095018B"/>
    <w:rsid w:val="009503B2"/>
    <w:rsid w:val="009506B7"/>
    <w:rsid w:val="00950757"/>
    <w:rsid w:val="009508ED"/>
    <w:rsid w:val="0095107B"/>
    <w:rsid w:val="0095143E"/>
    <w:rsid w:val="00951A63"/>
    <w:rsid w:val="00951BC1"/>
    <w:rsid w:val="009521C6"/>
    <w:rsid w:val="0095235F"/>
    <w:rsid w:val="009523A5"/>
    <w:rsid w:val="00952483"/>
    <w:rsid w:val="00952760"/>
    <w:rsid w:val="00952ADE"/>
    <w:rsid w:val="00952B48"/>
    <w:rsid w:val="009530F2"/>
    <w:rsid w:val="00953663"/>
    <w:rsid w:val="00953971"/>
    <w:rsid w:val="00953A48"/>
    <w:rsid w:val="00953C8B"/>
    <w:rsid w:val="00954101"/>
    <w:rsid w:val="0095423E"/>
    <w:rsid w:val="009542DE"/>
    <w:rsid w:val="00954DFC"/>
    <w:rsid w:val="00955676"/>
    <w:rsid w:val="00955849"/>
    <w:rsid w:val="00955B33"/>
    <w:rsid w:val="00956081"/>
    <w:rsid w:val="009561EA"/>
    <w:rsid w:val="00956743"/>
    <w:rsid w:val="009567B1"/>
    <w:rsid w:val="00956907"/>
    <w:rsid w:val="009572F4"/>
    <w:rsid w:val="009573F4"/>
    <w:rsid w:val="0095750B"/>
    <w:rsid w:val="0096002B"/>
    <w:rsid w:val="009609E0"/>
    <w:rsid w:val="00960B34"/>
    <w:rsid w:val="009611F0"/>
    <w:rsid w:val="009615AF"/>
    <w:rsid w:val="009616E0"/>
    <w:rsid w:val="00961BE5"/>
    <w:rsid w:val="00961C54"/>
    <w:rsid w:val="00961CDC"/>
    <w:rsid w:val="00961DB7"/>
    <w:rsid w:val="009622FD"/>
    <w:rsid w:val="00962350"/>
    <w:rsid w:val="009623A2"/>
    <w:rsid w:val="009627C4"/>
    <w:rsid w:val="00962B77"/>
    <w:rsid w:val="009632AF"/>
    <w:rsid w:val="0096372A"/>
    <w:rsid w:val="009638B2"/>
    <w:rsid w:val="00963B3D"/>
    <w:rsid w:val="009646C0"/>
    <w:rsid w:val="009649DD"/>
    <w:rsid w:val="009649E0"/>
    <w:rsid w:val="00964C4B"/>
    <w:rsid w:val="00964D5C"/>
    <w:rsid w:val="009651EA"/>
    <w:rsid w:val="00965250"/>
    <w:rsid w:val="009652DE"/>
    <w:rsid w:val="009653FD"/>
    <w:rsid w:val="00965483"/>
    <w:rsid w:val="0096562A"/>
    <w:rsid w:val="00965A03"/>
    <w:rsid w:val="00965BD3"/>
    <w:rsid w:val="00965DB2"/>
    <w:rsid w:val="009660D6"/>
    <w:rsid w:val="00966366"/>
    <w:rsid w:val="009665E2"/>
    <w:rsid w:val="0096661D"/>
    <w:rsid w:val="00966938"/>
    <w:rsid w:val="00966AA9"/>
    <w:rsid w:val="00966F4D"/>
    <w:rsid w:val="00967185"/>
    <w:rsid w:val="00967507"/>
    <w:rsid w:val="00967A29"/>
    <w:rsid w:val="0097011D"/>
    <w:rsid w:val="0097039D"/>
    <w:rsid w:val="0097052A"/>
    <w:rsid w:val="0097057A"/>
    <w:rsid w:val="009705A4"/>
    <w:rsid w:val="009706AF"/>
    <w:rsid w:val="00970A04"/>
    <w:rsid w:val="0097115C"/>
    <w:rsid w:val="009712C3"/>
    <w:rsid w:val="00971658"/>
    <w:rsid w:val="00971BB4"/>
    <w:rsid w:val="00971EC4"/>
    <w:rsid w:val="009729F9"/>
    <w:rsid w:val="00972ACC"/>
    <w:rsid w:val="00972FC2"/>
    <w:rsid w:val="009730BB"/>
    <w:rsid w:val="00973582"/>
    <w:rsid w:val="009735E5"/>
    <w:rsid w:val="00973900"/>
    <w:rsid w:val="00973BAC"/>
    <w:rsid w:val="00973BB9"/>
    <w:rsid w:val="0097403D"/>
    <w:rsid w:val="00974719"/>
    <w:rsid w:val="009748EF"/>
    <w:rsid w:val="0097516C"/>
    <w:rsid w:val="009760F3"/>
    <w:rsid w:val="00976AC6"/>
    <w:rsid w:val="00976B42"/>
    <w:rsid w:val="00976C9F"/>
    <w:rsid w:val="00976D54"/>
    <w:rsid w:val="00976FBB"/>
    <w:rsid w:val="009776CC"/>
    <w:rsid w:val="00977828"/>
    <w:rsid w:val="00977B41"/>
    <w:rsid w:val="00977E5E"/>
    <w:rsid w:val="00977EE2"/>
    <w:rsid w:val="00980413"/>
    <w:rsid w:val="00980B76"/>
    <w:rsid w:val="00980B80"/>
    <w:rsid w:val="00980CCB"/>
    <w:rsid w:val="00980DE3"/>
    <w:rsid w:val="00980E7C"/>
    <w:rsid w:val="009814AE"/>
    <w:rsid w:val="00981869"/>
    <w:rsid w:val="00981BDD"/>
    <w:rsid w:val="00981C05"/>
    <w:rsid w:val="00981DDA"/>
    <w:rsid w:val="00981F9B"/>
    <w:rsid w:val="00982439"/>
    <w:rsid w:val="0098271E"/>
    <w:rsid w:val="00983006"/>
    <w:rsid w:val="009834F3"/>
    <w:rsid w:val="00983779"/>
    <w:rsid w:val="009839F6"/>
    <w:rsid w:val="00983C72"/>
    <w:rsid w:val="00983DED"/>
    <w:rsid w:val="00984C3C"/>
    <w:rsid w:val="00984E91"/>
    <w:rsid w:val="00985408"/>
    <w:rsid w:val="00985E04"/>
    <w:rsid w:val="0098600B"/>
    <w:rsid w:val="0098680F"/>
    <w:rsid w:val="009868BA"/>
    <w:rsid w:val="00986C78"/>
    <w:rsid w:val="00986D73"/>
    <w:rsid w:val="00986DA0"/>
    <w:rsid w:val="00986FE5"/>
    <w:rsid w:val="009871B7"/>
    <w:rsid w:val="00987999"/>
    <w:rsid w:val="00987A4B"/>
    <w:rsid w:val="00987C00"/>
    <w:rsid w:val="00987C43"/>
    <w:rsid w:val="009904E7"/>
    <w:rsid w:val="0099077C"/>
    <w:rsid w:val="00990A23"/>
    <w:rsid w:val="00990FAE"/>
    <w:rsid w:val="0099139A"/>
    <w:rsid w:val="009917C9"/>
    <w:rsid w:val="0099219C"/>
    <w:rsid w:val="00992711"/>
    <w:rsid w:val="00992AFA"/>
    <w:rsid w:val="00992C22"/>
    <w:rsid w:val="009932D1"/>
    <w:rsid w:val="00993423"/>
    <w:rsid w:val="00993425"/>
    <w:rsid w:val="009935E2"/>
    <w:rsid w:val="00993625"/>
    <w:rsid w:val="009937BD"/>
    <w:rsid w:val="00993891"/>
    <w:rsid w:val="00993A4A"/>
    <w:rsid w:val="00993BFF"/>
    <w:rsid w:val="0099465D"/>
    <w:rsid w:val="009946B8"/>
    <w:rsid w:val="00994996"/>
    <w:rsid w:val="00994F4D"/>
    <w:rsid w:val="00994F69"/>
    <w:rsid w:val="00995159"/>
    <w:rsid w:val="00995BAC"/>
    <w:rsid w:val="00995D93"/>
    <w:rsid w:val="00995E8E"/>
    <w:rsid w:val="00995FDE"/>
    <w:rsid w:val="009961C7"/>
    <w:rsid w:val="00996251"/>
    <w:rsid w:val="0099632D"/>
    <w:rsid w:val="0099642C"/>
    <w:rsid w:val="00996691"/>
    <w:rsid w:val="00996AFC"/>
    <w:rsid w:val="00996C79"/>
    <w:rsid w:val="00996FA0"/>
    <w:rsid w:val="00997021"/>
    <w:rsid w:val="00997311"/>
    <w:rsid w:val="00997386"/>
    <w:rsid w:val="00997423"/>
    <w:rsid w:val="009974EE"/>
    <w:rsid w:val="00997BD7"/>
    <w:rsid w:val="00997FBE"/>
    <w:rsid w:val="00997FF8"/>
    <w:rsid w:val="009A030B"/>
    <w:rsid w:val="009A0314"/>
    <w:rsid w:val="009A0890"/>
    <w:rsid w:val="009A0B06"/>
    <w:rsid w:val="009A0BB3"/>
    <w:rsid w:val="009A0CAA"/>
    <w:rsid w:val="009A1898"/>
    <w:rsid w:val="009A1920"/>
    <w:rsid w:val="009A1A71"/>
    <w:rsid w:val="009A1CA1"/>
    <w:rsid w:val="009A1F07"/>
    <w:rsid w:val="009A1F56"/>
    <w:rsid w:val="009A2328"/>
    <w:rsid w:val="009A2409"/>
    <w:rsid w:val="009A24EE"/>
    <w:rsid w:val="009A28A4"/>
    <w:rsid w:val="009A2A09"/>
    <w:rsid w:val="009A2F51"/>
    <w:rsid w:val="009A38CA"/>
    <w:rsid w:val="009A3C02"/>
    <w:rsid w:val="009A3ED9"/>
    <w:rsid w:val="009A495F"/>
    <w:rsid w:val="009A4DE1"/>
    <w:rsid w:val="009A4E97"/>
    <w:rsid w:val="009A5C03"/>
    <w:rsid w:val="009A5D10"/>
    <w:rsid w:val="009A5FDF"/>
    <w:rsid w:val="009A62F8"/>
    <w:rsid w:val="009A633C"/>
    <w:rsid w:val="009A6A1D"/>
    <w:rsid w:val="009A6A52"/>
    <w:rsid w:val="009A7002"/>
    <w:rsid w:val="009A71E1"/>
    <w:rsid w:val="009A7CAC"/>
    <w:rsid w:val="009A7EFD"/>
    <w:rsid w:val="009B0037"/>
    <w:rsid w:val="009B00F2"/>
    <w:rsid w:val="009B00F7"/>
    <w:rsid w:val="009B0754"/>
    <w:rsid w:val="009B0AF9"/>
    <w:rsid w:val="009B0E11"/>
    <w:rsid w:val="009B1369"/>
    <w:rsid w:val="009B1972"/>
    <w:rsid w:val="009B1E44"/>
    <w:rsid w:val="009B240C"/>
    <w:rsid w:val="009B2AB6"/>
    <w:rsid w:val="009B327A"/>
    <w:rsid w:val="009B3489"/>
    <w:rsid w:val="009B3BE1"/>
    <w:rsid w:val="009B3C4F"/>
    <w:rsid w:val="009B3C84"/>
    <w:rsid w:val="009B3F2D"/>
    <w:rsid w:val="009B4485"/>
    <w:rsid w:val="009B4EE9"/>
    <w:rsid w:val="009B54DC"/>
    <w:rsid w:val="009B5538"/>
    <w:rsid w:val="009B564A"/>
    <w:rsid w:val="009B5798"/>
    <w:rsid w:val="009B59FE"/>
    <w:rsid w:val="009B5C20"/>
    <w:rsid w:val="009B5DD2"/>
    <w:rsid w:val="009B5E3C"/>
    <w:rsid w:val="009B5E94"/>
    <w:rsid w:val="009B5EF6"/>
    <w:rsid w:val="009B62A5"/>
    <w:rsid w:val="009B64F7"/>
    <w:rsid w:val="009B6777"/>
    <w:rsid w:val="009B6C22"/>
    <w:rsid w:val="009B6E07"/>
    <w:rsid w:val="009B6E45"/>
    <w:rsid w:val="009B7094"/>
    <w:rsid w:val="009B7688"/>
    <w:rsid w:val="009B7788"/>
    <w:rsid w:val="009B790C"/>
    <w:rsid w:val="009B7B31"/>
    <w:rsid w:val="009C0262"/>
    <w:rsid w:val="009C06B6"/>
    <w:rsid w:val="009C0CA3"/>
    <w:rsid w:val="009C0CD3"/>
    <w:rsid w:val="009C0E92"/>
    <w:rsid w:val="009C119A"/>
    <w:rsid w:val="009C1F29"/>
    <w:rsid w:val="009C23AC"/>
    <w:rsid w:val="009C255F"/>
    <w:rsid w:val="009C25C0"/>
    <w:rsid w:val="009C28C6"/>
    <w:rsid w:val="009C2C6A"/>
    <w:rsid w:val="009C2DE7"/>
    <w:rsid w:val="009C375B"/>
    <w:rsid w:val="009C438F"/>
    <w:rsid w:val="009C47AC"/>
    <w:rsid w:val="009C4B64"/>
    <w:rsid w:val="009C4B88"/>
    <w:rsid w:val="009C4BB3"/>
    <w:rsid w:val="009C4E72"/>
    <w:rsid w:val="009C4F30"/>
    <w:rsid w:val="009C537C"/>
    <w:rsid w:val="009C5C2D"/>
    <w:rsid w:val="009C5CC8"/>
    <w:rsid w:val="009C638C"/>
    <w:rsid w:val="009C67E9"/>
    <w:rsid w:val="009C6819"/>
    <w:rsid w:val="009C6AE4"/>
    <w:rsid w:val="009C6D03"/>
    <w:rsid w:val="009C6D2B"/>
    <w:rsid w:val="009C6D9D"/>
    <w:rsid w:val="009C72CD"/>
    <w:rsid w:val="009C7321"/>
    <w:rsid w:val="009C7438"/>
    <w:rsid w:val="009C74EB"/>
    <w:rsid w:val="009C74F4"/>
    <w:rsid w:val="009C7975"/>
    <w:rsid w:val="009D00C7"/>
    <w:rsid w:val="009D097B"/>
    <w:rsid w:val="009D0C93"/>
    <w:rsid w:val="009D0DCE"/>
    <w:rsid w:val="009D0FAB"/>
    <w:rsid w:val="009D0FF9"/>
    <w:rsid w:val="009D1000"/>
    <w:rsid w:val="009D110C"/>
    <w:rsid w:val="009D1521"/>
    <w:rsid w:val="009D1571"/>
    <w:rsid w:val="009D1599"/>
    <w:rsid w:val="009D1849"/>
    <w:rsid w:val="009D1DC8"/>
    <w:rsid w:val="009D258D"/>
    <w:rsid w:val="009D29FB"/>
    <w:rsid w:val="009D2BF6"/>
    <w:rsid w:val="009D31CE"/>
    <w:rsid w:val="009D31ED"/>
    <w:rsid w:val="009D351F"/>
    <w:rsid w:val="009D3BF7"/>
    <w:rsid w:val="009D3EB4"/>
    <w:rsid w:val="009D3FD5"/>
    <w:rsid w:val="009D4630"/>
    <w:rsid w:val="009D4A95"/>
    <w:rsid w:val="009D4BB2"/>
    <w:rsid w:val="009D4DE3"/>
    <w:rsid w:val="009D4E14"/>
    <w:rsid w:val="009D50A4"/>
    <w:rsid w:val="009D536B"/>
    <w:rsid w:val="009D537B"/>
    <w:rsid w:val="009D538A"/>
    <w:rsid w:val="009D5489"/>
    <w:rsid w:val="009D5745"/>
    <w:rsid w:val="009D5AEB"/>
    <w:rsid w:val="009D643E"/>
    <w:rsid w:val="009D661D"/>
    <w:rsid w:val="009D6756"/>
    <w:rsid w:val="009D67BA"/>
    <w:rsid w:val="009D68CB"/>
    <w:rsid w:val="009D6A2C"/>
    <w:rsid w:val="009D6AE4"/>
    <w:rsid w:val="009D6B17"/>
    <w:rsid w:val="009D6C87"/>
    <w:rsid w:val="009D6DE5"/>
    <w:rsid w:val="009D72FC"/>
    <w:rsid w:val="009D74E3"/>
    <w:rsid w:val="009D7CCE"/>
    <w:rsid w:val="009D7D2E"/>
    <w:rsid w:val="009D7E67"/>
    <w:rsid w:val="009D7EA3"/>
    <w:rsid w:val="009E0715"/>
    <w:rsid w:val="009E0792"/>
    <w:rsid w:val="009E0811"/>
    <w:rsid w:val="009E0A24"/>
    <w:rsid w:val="009E0C88"/>
    <w:rsid w:val="009E0D53"/>
    <w:rsid w:val="009E0DAC"/>
    <w:rsid w:val="009E13C7"/>
    <w:rsid w:val="009E1441"/>
    <w:rsid w:val="009E1FF0"/>
    <w:rsid w:val="009E26ED"/>
    <w:rsid w:val="009E2823"/>
    <w:rsid w:val="009E2E91"/>
    <w:rsid w:val="009E2FC1"/>
    <w:rsid w:val="009E3058"/>
    <w:rsid w:val="009E311A"/>
    <w:rsid w:val="009E33A2"/>
    <w:rsid w:val="009E3444"/>
    <w:rsid w:val="009E368A"/>
    <w:rsid w:val="009E3A21"/>
    <w:rsid w:val="009E3C76"/>
    <w:rsid w:val="009E420E"/>
    <w:rsid w:val="009E4214"/>
    <w:rsid w:val="009E4F12"/>
    <w:rsid w:val="009E5104"/>
    <w:rsid w:val="009E6526"/>
    <w:rsid w:val="009E65F5"/>
    <w:rsid w:val="009E6656"/>
    <w:rsid w:val="009E6998"/>
    <w:rsid w:val="009E6D1C"/>
    <w:rsid w:val="009E74F1"/>
    <w:rsid w:val="009E7A89"/>
    <w:rsid w:val="009F0A49"/>
    <w:rsid w:val="009F0B4C"/>
    <w:rsid w:val="009F0C10"/>
    <w:rsid w:val="009F1124"/>
    <w:rsid w:val="009F1170"/>
    <w:rsid w:val="009F1737"/>
    <w:rsid w:val="009F174F"/>
    <w:rsid w:val="009F1D4B"/>
    <w:rsid w:val="009F22A4"/>
    <w:rsid w:val="009F2476"/>
    <w:rsid w:val="009F2B56"/>
    <w:rsid w:val="009F2DE0"/>
    <w:rsid w:val="009F2F2E"/>
    <w:rsid w:val="009F316A"/>
    <w:rsid w:val="009F3408"/>
    <w:rsid w:val="009F3577"/>
    <w:rsid w:val="009F35C0"/>
    <w:rsid w:val="009F3776"/>
    <w:rsid w:val="009F378B"/>
    <w:rsid w:val="009F386F"/>
    <w:rsid w:val="009F39DE"/>
    <w:rsid w:val="009F3AFF"/>
    <w:rsid w:val="009F3DE0"/>
    <w:rsid w:val="009F406E"/>
    <w:rsid w:val="009F43BF"/>
    <w:rsid w:val="009F4A4E"/>
    <w:rsid w:val="009F4A70"/>
    <w:rsid w:val="009F4F7C"/>
    <w:rsid w:val="009F51D1"/>
    <w:rsid w:val="009F5423"/>
    <w:rsid w:val="009F55F9"/>
    <w:rsid w:val="009F564E"/>
    <w:rsid w:val="009F579E"/>
    <w:rsid w:val="009F59E7"/>
    <w:rsid w:val="009F5ACB"/>
    <w:rsid w:val="009F5D71"/>
    <w:rsid w:val="009F6075"/>
    <w:rsid w:val="009F663F"/>
    <w:rsid w:val="009F6AA7"/>
    <w:rsid w:val="009F6EC4"/>
    <w:rsid w:val="009F6EE8"/>
    <w:rsid w:val="009F738F"/>
    <w:rsid w:val="009F73E9"/>
    <w:rsid w:val="009F7755"/>
    <w:rsid w:val="009F7B55"/>
    <w:rsid w:val="00A0073B"/>
    <w:rsid w:val="00A00924"/>
    <w:rsid w:val="00A00A61"/>
    <w:rsid w:val="00A00F9E"/>
    <w:rsid w:val="00A01328"/>
    <w:rsid w:val="00A0145A"/>
    <w:rsid w:val="00A0191B"/>
    <w:rsid w:val="00A01BE9"/>
    <w:rsid w:val="00A01BF4"/>
    <w:rsid w:val="00A01C20"/>
    <w:rsid w:val="00A027E4"/>
    <w:rsid w:val="00A02954"/>
    <w:rsid w:val="00A03132"/>
    <w:rsid w:val="00A03A86"/>
    <w:rsid w:val="00A03C20"/>
    <w:rsid w:val="00A03C67"/>
    <w:rsid w:val="00A03F14"/>
    <w:rsid w:val="00A04011"/>
    <w:rsid w:val="00A04035"/>
    <w:rsid w:val="00A042D0"/>
    <w:rsid w:val="00A0441A"/>
    <w:rsid w:val="00A0475E"/>
    <w:rsid w:val="00A047B0"/>
    <w:rsid w:val="00A04F9C"/>
    <w:rsid w:val="00A04FCA"/>
    <w:rsid w:val="00A058D6"/>
    <w:rsid w:val="00A06120"/>
    <w:rsid w:val="00A062F2"/>
    <w:rsid w:val="00A065DF"/>
    <w:rsid w:val="00A06830"/>
    <w:rsid w:val="00A06A58"/>
    <w:rsid w:val="00A070A2"/>
    <w:rsid w:val="00A072B3"/>
    <w:rsid w:val="00A072EC"/>
    <w:rsid w:val="00A07594"/>
    <w:rsid w:val="00A07768"/>
    <w:rsid w:val="00A07D7B"/>
    <w:rsid w:val="00A103E6"/>
    <w:rsid w:val="00A103FC"/>
    <w:rsid w:val="00A108DD"/>
    <w:rsid w:val="00A10A75"/>
    <w:rsid w:val="00A10E8F"/>
    <w:rsid w:val="00A110E9"/>
    <w:rsid w:val="00A11150"/>
    <w:rsid w:val="00A11B3D"/>
    <w:rsid w:val="00A11D29"/>
    <w:rsid w:val="00A11F3E"/>
    <w:rsid w:val="00A121F2"/>
    <w:rsid w:val="00A12262"/>
    <w:rsid w:val="00A12423"/>
    <w:rsid w:val="00A124D3"/>
    <w:rsid w:val="00A125EB"/>
    <w:rsid w:val="00A12832"/>
    <w:rsid w:val="00A12FF2"/>
    <w:rsid w:val="00A134A8"/>
    <w:rsid w:val="00A134F7"/>
    <w:rsid w:val="00A1356E"/>
    <w:rsid w:val="00A139ED"/>
    <w:rsid w:val="00A14186"/>
    <w:rsid w:val="00A1427C"/>
    <w:rsid w:val="00A14415"/>
    <w:rsid w:val="00A1449C"/>
    <w:rsid w:val="00A146C5"/>
    <w:rsid w:val="00A14F2E"/>
    <w:rsid w:val="00A14FE5"/>
    <w:rsid w:val="00A15047"/>
    <w:rsid w:val="00A15150"/>
    <w:rsid w:val="00A15D16"/>
    <w:rsid w:val="00A15D98"/>
    <w:rsid w:val="00A16077"/>
    <w:rsid w:val="00A16FB7"/>
    <w:rsid w:val="00A17236"/>
    <w:rsid w:val="00A17339"/>
    <w:rsid w:val="00A173F4"/>
    <w:rsid w:val="00A176E3"/>
    <w:rsid w:val="00A1786F"/>
    <w:rsid w:val="00A17A54"/>
    <w:rsid w:val="00A201CB"/>
    <w:rsid w:val="00A2027C"/>
    <w:rsid w:val="00A20484"/>
    <w:rsid w:val="00A20540"/>
    <w:rsid w:val="00A20A1B"/>
    <w:rsid w:val="00A20E4C"/>
    <w:rsid w:val="00A2113E"/>
    <w:rsid w:val="00A217EE"/>
    <w:rsid w:val="00A218DD"/>
    <w:rsid w:val="00A21DFB"/>
    <w:rsid w:val="00A22020"/>
    <w:rsid w:val="00A22039"/>
    <w:rsid w:val="00A220FE"/>
    <w:rsid w:val="00A22282"/>
    <w:rsid w:val="00A22483"/>
    <w:rsid w:val="00A23052"/>
    <w:rsid w:val="00A2308A"/>
    <w:rsid w:val="00A2314A"/>
    <w:rsid w:val="00A23290"/>
    <w:rsid w:val="00A239E3"/>
    <w:rsid w:val="00A23A91"/>
    <w:rsid w:val="00A23DB3"/>
    <w:rsid w:val="00A24198"/>
    <w:rsid w:val="00A244BD"/>
    <w:rsid w:val="00A24860"/>
    <w:rsid w:val="00A2498F"/>
    <w:rsid w:val="00A24C56"/>
    <w:rsid w:val="00A24F0A"/>
    <w:rsid w:val="00A2543B"/>
    <w:rsid w:val="00A255E5"/>
    <w:rsid w:val="00A25F35"/>
    <w:rsid w:val="00A263AE"/>
    <w:rsid w:val="00A2652B"/>
    <w:rsid w:val="00A26E13"/>
    <w:rsid w:val="00A26FCE"/>
    <w:rsid w:val="00A27FCE"/>
    <w:rsid w:val="00A30B7A"/>
    <w:rsid w:val="00A31005"/>
    <w:rsid w:val="00A31274"/>
    <w:rsid w:val="00A31B7F"/>
    <w:rsid w:val="00A31CB2"/>
    <w:rsid w:val="00A31CD7"/>
    <w:rsid w:val="00A32086"/>
    <w:rsid w:val="00A323D6"/>
    <w:rsid w:val="00A324D8"/>
    <w:rsid w:val="00A328D2"/>
    <w:rsid w:val="00A32997"/>
    <w:rsid w:val="00A32B2C"/>
    <w:rsid w:val="00A332B2"/>
    <w:rsid w:val="00A33711"/>
    <w:rsid w:val="00A33966"/>
    <w:rsid w:val="00A339F9"/>
    <w:rsid w:val="00A33B69"/>
    <w:rsid w:val="00A33BF2"/>
    <w:rsid w:val="00A33E56"/>
    <w:rsid w:val="00A33E93"/>
    <w:rsid w:val="00A345D0"/>
    <w:rsid w:val="00A34DF1"/>
    <w:rsid w:val="00A35525"/>
    <w:rsid w:val="00A35ADE"/>
    <w:rsid w:val="00A35B19"/>
    <w:rsid w:val="00A35BD2"/>
    <w:rsid w:val="00A361C5"/>
    <w:rsid w:val="00A362EB"/>
    <w:rsid w:val="00A3640A"/>
    <w:rsid w:val="00A36B2B"/>
    <w:rsid w:val="00A36C88"/>
    <w:rsid w:val="00A371D6"/>
    <w:rsid w:val="00A372A9"/>
    <w:rsid w:val="00A37441"/>
    <w:rsid w:val="00A378B3"/>
    <w:rsid w:val="00A378D9"/>
    <w:rsid w:val="00A37A94"/>
    <w:rsid w:val="00A37AFA"/>
    <w:rsid w:val="00A37C6C"/>
    <w:rsid w:val="00A4017B"/>
    <w:rsid w:val="00A40BEB"/>
    <w:rsid w:val="00A410C4"/>
    <w:rsid w:val="00A4138F"/>
    <w:rsid w:val="00A416D1"/>
    <w:rsid w:val="00A41948"/>
    <w:rsid w:val="00A41C56"/>
    <w:rsid w:val="00A42142"/>
    <w:rsid w:val="00A42390"/>
    <w:rsid w:val="00A423A8"/>
    <w:rsid w:val="00A42483"/>
    <w:rsid w:val="00A427EF"/>
    <w:rsid w:val="00A4295F"/>
    <w:rsid w:val="00A42C54"/>
    <w:rsid w:val="00A4320F"/>
    <w:rsid w:val="00A43661"/>
    <w:rsid w:val="00A43B0C"/>
    <w:rsid w:val="00A4460E"/>
    <w:rsid w:val="00A4478B"/>
    <w:rsid w:val="00A44834"/>
    <w:rsid w:val="00A449F8"/>
    <w:rsid w:val="00A45A9F"/>
    <w:rsid w:val="00A462D7"/>
    <w:rsid w:val="00A4670C"/>
    <w:rsid w:val="00A46CD9"/>
    <w:rsid w:val="00A46F05"/>
    <w:rsid w:val="00A46F43"/>
    <w:rsid w:val="00A471BA"/>
    <w:rsid w:val="00A4758D"/>
    <w:rsid w:val="00A475DB"/>
    <w:rsid w:val="00A47879"/>
    <w:rsid w:val="00A478E1"/>
    <w:rsid w:val="00A47ABF"/>
    <w:rsid w:val="00A47D94"/>
    <w:rsid w:val="00A501AD"/>
    <w:rsid w:val="00A504CF"/>
    <w:rsid w:val="00A50804"/>
    <w:rsid w:val="00A50F11"/>
    <w:rsid w:val="00A50F29"/>
    <w:rsid w:val="00A51728"/>
    <w:rsid w:val="00A51762"/>
    <w:rsid w:val="00A51E24"/>
    <w:rsid w:val="00A51F1E"/>
    <w:rsid w:val="00A52085"/>
    <w:rsid w:val="00A522E1"/>
    <w:rsid w:val="00A525F4"/>
    <w:rsid w:val="00A528C8"/>
    <w:rsid w:val="00A528F8"/>
    <w:rsid w:val="00A52AB3"/>
    <w:rsid w:val="00A52BC6"/>
    <w:rsid w:val="00A52EC5"/>
    <w:rsid w:val="00A52F96"/>
    <w:rsid w:val="00A530D3"/>
    <w:rsid w:val="00A53194"/>
    <w:rsid w:val="00A53467"/>
    <w:rsid w:val="00A5364F"/>
    <w:rsid w:val="00A53A63"/>
    <w:rsid w:val="00A53D52"/>
    <w:rsid w:val="00A53F3C"/>
    <w:rsid w:val="00A54547"/>
    <w:rsid w:val="00A547E2"/>
    <w:rsid w:val="00A54974"/>
    <w:rsid w:val="00A54B05"/>
    <w:rsid w:val="00A54BBB"/>
    <w:rsid w:val="00A54D39"/>
    <w:rsid w:val="00A54D3C"/>
    <w:rsid w:val="00A550BE"/>
    <w:rsid w:val="00A5525B"/>
    <w:rsid w:val="00A55356"/>
    <w:rsid w:val="00A55371"/>
    <w:rsid w:val="00A553BC"/>
    <w:rsid w:val="00A556A6"/>
    <w:rsid w:val="00A559C3"/>
    <w:rsid w:val="00A55B85"/>
    <w:rsid w:val="00A55CD6"/>
    <w:rsid w:val="00A5610F"/>
    <w:rsid w:val="00A562B7"/>
    <w:rsid w:val="00A568F6"/>
    <w:rsid w:val="00A56C41"/>
    <w:rsid w:val="00A56E73"/>
    <w:rsid w:val="00A57116"/>
    <w:rsid w:val="00A57207"/>
    <w:rsid w:val="00A57B16"/>
    <w:rsid w:val="00A57B82"/>
    <w:rsid w:val="00A60454"/>
    <w:rsid w:val="00A61052"/>
    <w:rsid w:val="00A6117D"/>
    <w:rsid w:val="00A61662"/>
    <w:rsid w:val="00A6181E"/>
    <w:rsid w:val="00A61C39"/>
    <w:rsid w:val="00A62CE8"/>
    <w:rsid w:val="00A62D48"/>
    <w:rsid w:val="00A62E53"/>
    <w:rsid w:val="00A636DD"/>
    <w:rsid w:val="00A636EE"/>
    <w:rsid w:val="00A638DB"/>
    <w:rsid w:val="00A63E68"/>
    <w:rsid w:val="00A640D7"/>
    <w:rsid w:val="00A64122"/>
    <w:rsid w:val="00A643A2"/>
    <w:rsid w:val="00A6452F"/>
    <w:rsid w:val="00A645EF"/>
    <w:rsid w:val="00A645F8"/>
    <w:rsid w:val="00A64C42"/>
    <w:rsid w:val="00A64E14"/>
    <w:rsid w:val="00A64E74"/>
    <w:rsid w:val="00A6521F"/>
    <w:rsid w:val="00A65530"/>
    <w:rsid w:val="00A659DF"/>
    <w:rsid w:val="00A65B93"/>
    <w:rsid w:val="00A65D6B"/>
    <w:rsid w:val="00A663ED"/>
    <w:rsid w:val="00A66594"/>
    <w:rsid w:val="00A665D8"/>
    <w:rsid w:val="00A66F2A"/>
    <w:rsid w:val="00A6703B"/>
    <w:rsid w:val="00A6745D"/>
    <w:rsid w:val="00A6762A"/>
    <w:rsid w:val="00A67921"/>
    <w:rsid w:val="00A67C1F"/>
    <w:rsid w:val="00A67D6B"/>
    <w:rsid w:val="00A7009E"/>
    <w:rsid w:val="00A70AD4"/>
    <w:rsid w:val="00A71090"/>
    <w:rsid w:val="00A7112E"/>
    <w:rsid w:val="00A71817"/>
    <w:rsid w:val="00A719B1"/>
    <w:rsid w:val="00A72114"/>
    <w:rsid w:val="00A728B4"/>
    <w:rsid w:val="00A7290B"/>
    <w:rsid w:val="00A72ACC"/>
    <w:rsid w:val="00A72BE3"/>
    <w:rsid w:val="00A72BF4"/>
    <w:rsid w:val="00A72BF9"/>
    <w:rsid w:val="00A72E58"/>
    <w:rsid w:val="00A72EB1"/>
    <w:rsid w:val="00A731F0"/>
    <w:rsid w:val="00A73939"/>
    <w:rsid w:val="00A73977"/>
    <w:rsid w:val="00A73FB3"/>
    <w:rsid w:val="00A7428A"/>
    <w:rsid w:val="00A74413"/>
    <w:rsid w:val="00A748AC"/>
    <w:rsid w:val="00A7515D"/>
    <w:rsid w:val="00A7539C"/>
    <w:rsid w:val="00A7539D"/>
    <w:rsid w:val="00A7541F"/>
    <w:rsid w:val="00A75798"/>
    <w:rsid w:val="00A758C6"/>
    <w:rsid w:val="00A75B48"/>
    <w:rsid w:val="00A75C77"/>
    <w:rsid w:val="00A76040"/>
    <w:rsid w:val="00A76233"/>
    <w:rsid w:val="00A77438"/>
    <w:rsid w:val="00A77512"/>
    <w:rsid w:val="00A77706"/>
    <w:rsid w:val="00A77D1A"/>
    <w:rsid w:val="00A77F9C"/>
    <w:rsid w:val="00A808FB"/>
    <w:rsid w:val="00A81585"/>
    <w:rsid w:val="00A815FE"/>
    <w:rsid w:val="00A81833"/>
    <w:rsid w:val="00A81AAF"/>
    <w:rsid w:val="00A81AF1"/>
    <w:rsid w:val="00A81E0B"/>
    <w:rsid w:val="00A81EAD"/>
    <w:rsid w:val="00A82017"/>
    <w:rsid w:val="00A820D1"/>
    <w:rsid w:val="00A822BF"/>
    <w:rsid w:val="00A8264B"/>
    <w:rsid w:val="00A826B4"/>
    <w:rsid w:val="00A826CF"/>
    <w:rsid w:val="00A82887"/>
    <w:rsid w:val="00A82ADB"/>
    <w:rsid w:val="00A82CFF"/>
    <w:rsid w:val="00A82E61"/>
    <w:rsid w:val="00A83107"/>
    <w:rsid w:val="00A834AB"/>
    <w:rsid w:val="00A83516"/>
    <w:rsid w:val="00A83696"/>
    <w:rsid w:val="00A8383B"/>
    <w:rsid w:val="00A83A4E"/>
    <w:rsid w:val="00A83B7B"/>
    <w:rsid w:val="00A840DA"/>
    <w:rsid w:val="00A8435E"/>
    <w:rsid w:val="00A850CB"/>
    <w:rsid w:val="00A8603F"/>
    <w:rsid w:val="00A8671D"/>
    <w:rsid w:val="00A87579"/>
    <w:rsid w:val="00A87762"/>
    <w:rsid w:val="00A877DA"/>
    <w:rsid w:val="00A87833"/>
    <w:rsid w:val="00A87A64"/>
    <w:rsid w:val="00A87F8A"/>
    <w:rsid w:val="00A9086D"/>
    <w:rsid w:val="00A910A2"/>
    <w:rsid w:val="00A911CD"/>
    <w:rsid w:val="00A91543"/>
    <w:rsid w:val="00A91560"/>
    <w:rsid w:val="00A916A3"/>
    <w:rsid w:val="00A9196B"/>
    <w:rsid w:val="00A91A5E"/>
    <w:rsid w:val="00A91E51"/>
    <w:rsid w:val="00A925E7"/>
    <w:rsid w:val="00A92ABB"/>
    <w:rsid w:val="00A92D73"/>
    <w:rsid w:val="00A931E9"/>
    <w:rsid w:val="00A9347C"/>
    <w:rsid w:val="00A935D7"/>
    <w:rsid w:val="00A93793"/>
    <w:rsid w:val="00A939F6"/>
    <w:rsid w:val="00A93D96"/>
    <w:rsid w:val="00A93D9E"/>
    <w:rsid w:val="00A93E67"/>
    <w:rsid w:val="00A945C6"/>
    <w:rsid w:val="00A94741"/>
    <w:rsid w:val="00A94A4F"/>
    <w:rsid w:val="00A94ECA"/>
    <w:rsid w:val="00A95882"/>
    <w:rsid w:val="00A95970"/>
    <w:rsid w:val="00A959E3"/>
    <w:rsid w:val="00A95A2B"/>
    <w:rsid w:val="00A95B13"/>
    <w:rsid w:val="00A95E91"/>
    <w:rsid w:val="00A9606B"/>
    <w:rsid w:val="00A96511"/>
    <w:rsid w:val="00A96B27"/>
    <w:rsid w:val="00A96FC9"/>
    <w:rsid w:val="00A96FCD"/>
    <w:rsid w:val="00A97288"/>
    <w:rsid w:val="00A97584"/>
    <w:rsid w:val="00A979F6"/>
    <w:rsid w:val="00A97AC3"/>
    <w:rsid w:val="00AA0215"/>
    <w:rsid w:val="00AA029E"/>
    <w:rsid w:val="00AA0315"/>
    <w:rsid w:val="00AA03FF"/>
    <w:rsid w:val="00AA0902"/>
    <w:rsid w:val="00AA1207"/>
    <w:rsid w:val="00AA1258"/>
    <w:rsid w:val="00AA1477"/>
    <w:rsid w:val="00AA1FE4"/>
    <w:rsid w:val="00AA1FF5"/>
    <w:rsid w:val="00AA233D"/>
    <w:rsid w:val="00AA291A"/>
    <w:rsid w:val="00AA3366"/>
    <w:rsid w:val="00AA3E3D"/>
    <w:rsid w:val="00AA3F8A"/>
    <w:rsid w:val="00AA4001"/>
    <w:rsid w:val="00AA4138"/>
    <w:rsid w:val="00AA4358"/>
    <w:rsid w:val="00AA46B0"/>
    <w:rsid w:val="00AA47A9"/>
    <w:rsid w:val="00AA4BB4"/>
    <w:rsid w:val="00AA5189"/>
    <w:rsid w:val="00AA567A"/>
    <w:rsid w:val="00AA5739"/>
    <w:rsid w:val="00AA581A"/>
    <w:rsid w:val="00AA582C"/>
    <w:rsid w:val="00AA59AC"/>
    <w:rsid w:val="00AA5E47"/>
    <w:rsid w:val="00AA5F89"/>
    <w:rsid w:val="00AA6AEF"/>
    <w:rsid w:val="00AA6B17"/>
    <w:rsid w:val="00AA6D15"/>
    <w:rsid w:val="00AA6E47"/>
    <w:rsid w:val="00AA6EA8"/>
    <w:rsid w:val="00AA6F17"/>
    <w:rsid w:val="00AA70E3"/>
    <w:rsid w:val="00AA7142"/>
    <w:rsid w:val="00AA75C2"/>
    <w:rsid w:val="00AA7986"/>
    <w:rsid w:val="00AA7C8D"/>
    <w:rsid w:val="00AA7DAF"/>
    <w:rsid w:val="00AB039F"/>
    <w:rsid w:val="00AB05DB"/>
    <w:rsid w:val="00AB0762"/>
    <w:rsid w:val="00AB07F8"/>
    <w:rsid w:val="00AB08FB"/>
    <w:rsid w:val="00AB0A82"/>
    <w:rsid w:val="00AB0C55"/>
    <w:rsid w:val="00AB0F68"/>
    <w:rsid w:val="00AB1182"/>
    <w:rsid w:val="00AB188E"/>
    <w:rsid w:val="00AB18BF"/>
    <w:rsid w:val="00AB1A24"/>
    <w:rsid w:val="00AB24D6"/>
    <w:rsid w:val="00AB2734"/>
    <w:rsid w:val="00AB27C9"/>
    <w:rsid w:val="00AB2968"/>
    <w:rsid w:val="00AB2BE2"/>
    <w:rsid w:val="00AB309A"/>
    <w:rsid w:val="00AB31C7"/>
    <w:rsid w:val="00AB3617"/>
    <w:rsid w:val="00AB3833"/>
    <w:rsid w:val="00AB3B33"/>
    <w:rsid w:val="00AB4D84"/>
    <w:rsid w:val="00AB4E3A"/>
    <w:rsid w:val="00AB5471"/>
    <w:rsid w:val="00AB5D54"/>
    <w:rsid w:val="00AB6072"/>
    <w:rsid w:val="00AB623C"/>
    <w:rsid w:val="00AB690C"/>
    <w:rsid w:val="00AB6BBC"/>
    <w:rsid w:val="00AB6F44"/>
    <w:rsid w:val="00AB6F84"/>
    <w:rsid w:val="00AB716A"/>
    <w:rsid w:val="00AB7395"/>
    <w:rsid w:val="00AB78B5"/>
    <w:rsid w:val="00AB7AF0"/>
    <w:rsid w:val="00AC02C2"/>
    <w:rsid w:val="00AC1302"/>
    <w:rsid w:val="00AC13A6"/>
    <w:rsid w:val="00AC327C"/>
    <w:rsid w:val="00AC333D"/>
    <w:rsid w:val="00AC3596"/>
    <w:rsid w:val="00AC3ECD"/>
    <w:rsid w:val="00AC42B4"/>
    <w:rsid w:val="00AC435E"/>
    <w:rsid w:val="00AC43AC"/>
    <w:rsid w:val="00AC4486"/>
    <w:rsid w:val="00AC49BE"/>
    <w:rsid w:val="00AC4CFA"/>
    <w:rsid w:val="00AC4FEA"/>
    <w:rsid w:val="00AC5028"/>
    <w:rsid w:val="00AC6315"/>
    <w:rsid w:val="00AC67A0"/>
    <w:rsid w:val="00AC6E9C"/>
    <w:rsid w:val="00AC710D"/>
    <w:rsid w:val="00AC758D"/>
    <w:rsid w:val="00AC77B3"/>
    <w:rsid w:val="00AC7B8B"/>
    <w:rsid w:val="00AC7BE9"/>
    <w:rsid w:val="00AC7CCF"/>
    <w:rsid w:val="00AC7DBF"/>
    <w:rsid w:val="00AD023E"/>
    <w:rsid w:val="00AD0294"/>
    <w:rsid w:val="00AD05EE"/>
    <w:rsid w:val="00AD08DF"/>
    <w:rsid w:val="00AD1043"/>
    <w:rsid w:val="00AD10E5"/>
    <w:rsid w:val="00AD15D3"/>
    <w:rsid w:val="00AD1B58"/>
    <w:rsid w:val="00AD1F66"/>
    <w:rsid w:val="00AD218E"/>
    <w:rsid w:val="00AD23A4"/>
    <w:rsid w:val="00AD2506"/>
    <w:rsid w:val="00AD2691"/>
    <w:rsid w:val="00AD2D07"/>
    <w:rsid w:val="00AD2DD2"/>
    <w:rsid w:val="00AD2F00"/>
    <w:rsid w:val="00AD34A8"/>
    <w:rsid w:val="00AD3655"/>
    <w:rsid w:val="00AD3F9D"/>
    <w:rsid w:val="00AD40DD"/>
    <w:rsid w:val="00AD45B0"/>
    <w:rsid w:val="00AD461B"/>
    <w:rsid w:val="00AD4E33"/>
    <w:rsid w:val="00AD5425"/>
    <w:rsid w:val="00AD5D37"/>
    <w:rsid w:val="00AD61BF"/>
    <w:rsid w:val="00AD73C2"/>
    <w:rsid w:val="00AD74DD"/>
    <w:rsid w:val="00AD7703"/>
    <w:rsid w:val="00AD78E9"/>
    <w:rsid w:val="00AD7DB8"/>
    <w:rsid w:val="00AE0000"/>
    <w:rsid w:val="00AE00E5"/>
    <w:rsid w:val="00AE0146"/>
    <w:rsid w:val="00AE03E3"/>
    <w:rsid w:val="00AE09EA"/>
    <w:rsid w:val="00AE0BAF"/>
    <w:rsid w:val="00AE124D"/>
    <w:rsid w:val="00AE1A33"/>
    <w:rsid w:val="00AE1AFB"/>
    <w:rsid w:val="00AE1CE3"/>
    <w:rsid w:val="00AE1EAD"/>
    <w:rsid w:val="00AE209E"/>
    <w:rsid w:val="00AE269E"/>
    <w:rsid w:val="00AE28E0"/>
    <w:rsid w:val="00AE2ABE"/>
    <w:rsid w:val="00AE2C71"/>
    <w:rsid w:val="00AE31A0"/>
    <w:rsid w:val="00AE3661"/>
    <w:rsid w:val="00AE3B41"/>
    <w:rsid w:val="00AE3CD2"/>
    <w:rsid w:val="00AE3DE8"/>
    <w:rsid w:val="00AE42C1"/>
    <w:rsid w:val="00AE4717"/>
    <w:rsid w:val="00AE5152"/>
    <w:rsid w:val="00AE5467"/>
    <w:rsid w:val="00AE5778"/>
    <w:rsid w:val="00AE5C7B"/>
    <w:rsid w:val="00AE5FE8"/>
    <w:rsid w:val="00AE62B2"/>
    <w:rsid w:val="00AE6CC1"/>
    <w:rsid w:val="00AE6F1C"/>
    <w:rsid w:val="00AE7058"/>
    <w:rsid w:val="00AE7395"/>
    <w:rsid w:val="00AE7A21"/>
    <w:rsid w:val="00AE7C33"/>
    <w:rsid w:val="00AE7CF0"/>
    <w:rsid w:val="00AF0309"/>
    <w:rsid w:val="00AF0520"/>
    <w:rsid w:val="00AF0643"/>
    <w:rsid w:val="00AF067B"/>
    <w:rsid w:val="00AF0D95"/>
    <w:rsid w:val="00AF0EE9"/>
    <w:rsid w:val="00AF0F71"/>
    <w:rsid w:val="00AF1581"/>
    <w:rsid w:val="00AF1983"/>
    <w:rsid w:val="00AF1A48"/>
    <w:rsid w:val="00AF1BA5"/>
    <w:rsid w:val="00AF1C8B"/>
    <w:rsid w:val="00AF3512"/>
    <w:rsid w:val="00AF37B4"/>
    <w:rsid w:val="00AF3853"/>
    <w:rsid w:val="00AF3C69"/>
    <w:rsid w:val="00AF4531"/>
    <w:rsid w:val="00AF46C7"/>
    <w:rsid w:val="00AF4B86"/>
    <w:rsid w:val="00AF4D94"/>
    <w:rsid w:val="00AF51F1"/>
    <w:rsid w:val="00AF560A"/>
    <w:rsid w:val="00AF5667"/>
    <w:rsid w:val="00AF570C"/>
    <w:rsid w:val="00AF5915"/>
    <w:rsid w:val="00AF5DB6"/>
    <w:rsid w:val="00AF5EC0"/>
    <w:rsid w:val="00AF5F4F"/>
    <w:rsid w:val="00AF5FE0"/>
    <w:rsid w:val="00AF629F"/>
    <w:rsid w:val="00AF62AA"/>
    <w:rsid w:val="00AF6438"/>
    <w:rsid w:val="00AF6C5A"/>
    <w:rsid w:val="00AF6D8E"/>
    <w:rsid w:val="00AF7057"/>
    <w:rsid w:val="00AF71A2"/>
    <w:rsid w:val="00AF78DE"/>
    <w:rsid w:val="00AF7A70"/>
    <w:rsid w:val="00AF7A71"/>
    <w:rsid w:val="00AF7D4E"/>
    <w:rsid w:val="00AF7F4B"/>
    <w:rsid w:val="00B000ED"/>
    <w:rsid w:val="00B001A0"/>
    <w:rsid w:val="00B001A4"/>
    <w:rsid w:val="00B0074B"/>
    <w:rsid w:val="00B0099F"/>
    <w:rsid w:val="00B00B40"/>
    <w:rsid w:val="00B01556"/>
    <w:rsid w:val="00B01781"/>
    <w:rsid w:val="00B01FEB"/>
    <w:rsid w:val="00B022AD"/>
    <w:rsid w:val="00B02548"/>
    <w:rsid w:val="00B02BBD"/>
    <w:rsid w:val="00B02CEC"/>
    <w:rsid w:val="00B0303C"/>
    <w:rsid w:val="00B030D6"/>
    <w:rsid w:val="00B0343D"/>
    <w:rsid w:val="00B036C8"/>
    <w:rsid w:val="00B03A71"/>
    <w:rsid w:val="00B0450E"/>
    <w:rsid w:val="00B045D4"/>
    <w:rsid w:val="00B04923"/>
    <w:rsid w:val="00B04BF4"/>
    <w:rsid w:val="00B04FEC"/>
    <w:rsid w:val="00B0538B"/>
    <w:rsid w:val="00B053FA"/>
    <w:rsid w:val="00B05B0C"/>
    <w:rsid w:val="00B05C62"/>
    <w:rsid w:val="00B06248"/>
    <w:rsid w:val="00B063CC"/>
    <w:rsid w:val="00B06D96"/>
    <w:rsid w:val="00B070FD"/>
    <w:rsid w:val="00B071D2"/>
    <w:rsid w:val="00B0745E"/>
    <w:rsid w:val="00B07E9E"/>
    <w:rsid w:val="00B1006F"/>
    <w:rsid w:val="00B102C4"/>
    <w:rsid w:val="00B103C8"/>
    <w:rsid w:val="00B104BE"/>
    <w:rsid w:val="00B1060B"/>
    <w:rsid w:val="00B10722"/>
    <w:rsid w:val="00B10A9E"/>
    <w:rsid w:val="00B10B41"/>
    <w:rsid w:val="00B10C2A"/>
    <w:rsid w:val="00B10FBF"/>
    <w:rsid w:val="00B110FD"/>
    <w:rsid w:val="00B11776"/>
    <w:rsid w:val="00B11F34"/>
    <w:rsid w:val="00B11F7F"/>
    <w:rsid w:val="00B11F85"/>
    <w:rsid w:val="00B12129"/>
    <w:rsid w:val="00B12355"/>
    <w:rsid w:val="00B1254C"/>
    <w:rsid w:val="00B129C0"/>
    <w:rsid w:val="00B12A2D"/>
    <w:rsid w:val="00B12ED6"/>
    <w:rsid w:val="00B12FA8"/>
    <w:rsid w:val="00B1302D"/>
    <w:rsid w:val="00B13DB4"/>
    <w:rsid w:val="00B13EE8"/>
    <w:rsid w:val="00B13FAC"/>
    <w:rsid w:val="00B1417A"/>
    <w:rsid w:val="00B14255"/>
    <w:rsid w:val="00B1451E"/>
    <w:rsid w:val="00B14657"/>
    <w:rsid w:val="00B14B1F"/>
    <w:rsid w:val="00B14C5B"/>
    <w:rsid w:val="00B14D4E"/>
    <w:rsid w:val="00B14DE9"/>
    <w:rsid w:val="00B15516"/>
    <w:rsid w:val="00B157C5"/>
    <w:rsid w:val="00B157CF"/>
    <w:rsid w:val="00B157E0"/>
    <w:rsid w:val="00B15A52"/>
    <w:rsid w:val="00B15C5F"/>
    <w:rsid w:val="00B1623F"/>
    <w:rsid w:val="00B16586"/>
    <w:rsid w:val="00B16736"/>
    <w:rsid w:val="00B16BB5"/>
    <w:rsid w:val="00B16DDC"/>
    <w:rsid w:val="00B16DF5"/>
    <w:rsid w:val="00B17292"/>
    <w:rsid w:val="00B1743E"/>
    <w:rsid w:val="00B17980"/>
    <w:rsid w:val="00B17B40"/>
    <w:rsid w:val="00B17C61"/>
    <w:rsid w:val="00B17CBD"/>
    <w:rsid w:val="00B17E19"/>
    <w:rsid w:val="00B17F8D"/>
    <w:rsid w:val="00B201DC"/>
    <w:rsid w:val="00B20251"/>
    <w:rsid w:val="00B203FF"/>
    <w:rsid w:val="00B20492"/>
    <w:rsid w:val="00B20515"/>
    <w:rsid w:val="00B20571"/>
    <w:rsid w:val="00B20766"/>
    <w:rsid w:val="00B20B6E"/>
    <w:rsid w:val="00B20DA2"/>
    <w:rsid w:val="00B214E2"/>
    <w:rsid w:val="00B21919"/>
    <w:rsid w:val="00B2193C"/>
    <w:rsid w:val="00B21961"/>
    <w:rsid w:val="00B219E8"/>
    <w:rsid w:val="00B224DD"/>
    <w:rsid w:val="00B2261C"/>
    <w:rsid w:val="00B2275C"/>
    <w:rsid w:val="00B22763"/>
    <w:rsid w:val="00B2293E"/>
    <w:rsid w:val="00B22A94"/>
    <w:rsid w:val="00B22CAC"/>
    <w:rsid w:val="00B23035"/>
    <w:rsid w:val="00B231A6"/>
    <w:rsid w:val="00B234FD"/>
    <w:rsid w:val="00B238A8"/>
    <w:rsid w:val="00B23E4E"/>
    <w:rsid w:val="00B2433C"/>
    <w:rsid w:val="00B2454C"/>
    <w:rsid w:val="00B24653"/>
    <w:rsid w:val="00B24947"/>
    <w:rsid w:val="00B24D4F"/>
    <w:rsid w:val="00B24DFE"/>
    <w:rsid w:val="00B250F1"/>
    <w:rsid w:val="00B25335"/>
    <w:rsid w:val="00B253C3"/>
    <w:rsid w:val="00B2541D"/>
    <w:rsid w:val="00B2553D"/>
    <w:rsid w:val="00B2565F"/>
    <w:rsid w:val="00B256E0"/>
    <w:rsid w:val="00B25A51"/>
    <w:rsid w:val="00B26240"/>
    <w:rsid w:val="00B2643E"/>
    <w:rsid w:val="00B268C4"/>
    <w:rsid w:val="00B26E1D"/>
    <w:rsid w:val="00B2747C"/>
    <w:rsid w:val="00B3015D"/>
    <w:rsid w:val="00B30356"/>
    <w:rsid w:val="00B30818"/>
    <w:rsid w:val="00B30A83"/>
    <w:rsid w:val="00B30BC1"/>
    <w:rsid w:val="00B30EDB"/>
    <w:rsid w:val="00B31B86"/>
    <w:rsid w:val="00B31E4F"/>
    <w:rsid w:val="00B32415"/>
    <w:rsid w:val="00B3294E"/>
    <w:rsid w:val="00B333ED"/>
    <w:rsid w:val="00B34431"/>
    <w:rsid w:val="00B344BF"/>
    <w:rsid w:val="00B34878"/>
    <w:rsid w:val="00B34AB1"/>
    <w:rsid w:val="00B34AB8"/>
    <w:rsid w:val="00B34BEB"/>
    <w:rsid w:val="00B34FE4"/>
    <w:rsid w:val="00B35768"/>
    <w:rsid w:val="00B359B0"/>
    <w:rsid w:val="00B35D94"/>
    <w:rsid w:val="00B3618A"/>
    <w:rsid w:val="00B36548"/>
    <w:rsid w:val="00B37072"/>
    <w:rsid w:val="00B3731C"/>
    <w:rsid w:val="00B37422"/>
    <w:rsid w:val="00B375E0"/>
    <w:rsid w:val="00B37719"/>
    <w:rsid w:val="00B37A29"/>
    <w:rsid w:val="00B37C16"/>
    <w:rsid w:val="00B4001D"/>
    <w:rsid w:val="00B401FF"/>
    <w:rsid w:val="00B40571"/>
    <w:rsid w:val="00B417CB"/>
    <w:rsid w:val="00B41C7B"/>
    <w:rsid w:val="00B41D67"/>
    <w:rsid w:val="00B421D0"/>
    <w:rsid w:val="00B424AC"/>
    <w:rsid w:val="00B42706"/>
    <w:rsid w:val="00B428FF"/>
    <w:rsid w:val="00B42AA9"/>
    <w:rsid w:val="00B42AC2"/>
    <w:rsid w:val="00B42C15"/>
    <w:rsid w:val="00B43465"/>
    <w:rsid w:val="00B4386A"/>
    <w:rsid w:val="00B43A9E"/>
    <w:rsid w:val="00B43D7B"/>
    <w:rsid w:val="00B43F15"/>
    <w:rsid w:val="00B43F7A"/>
    <w:rsid w:val="00B43F7E"/>
    <w:rsid w:val="00B43FF9"/>
    <w:rsid w:val="00B4417E"/>
    <w:rsid w:val="00B44247"/>
    <w:rsid w:val="00B44D77"/>
    <w:rsid w:val="00B44EEE"/>
    <w:rsid w:val="00B45386"/>
    <w:rsid w:val="00B453DB"/>
    <w:rsid w:val="00B453E9"/>
    <w:rsid w:val="00B45EC0"/>
    <w:rsid w:val="00B465D0"/>
    <w:rsid w:val="00B46A2E"/>
    <w:rsid w:val="00B4740E"/>
    <w:rsid w:val="00B4794A"/>
    <w:rsid w:val="00B47B1E"/>
    <w:rsid w:val="00B47C7D"/>
    <w:rsid w:val="00B50295"/>
    <w:rsid w:val="00B505AE"/>
    <w:rsid w:val="00B5098F"/>
    <w:rsid w:val="00B509A7"/>
    <w:rsid w:val="00B50AF1"/>
    <w:rsid w:val="00B50BC5"/>
    <w:rsid w:val="00B50D8B"/>
    <w:rsid w:val="00B51174"/>
    <w:rsid w:val="00B513F8"/>
    <w:rsid w:val="00B514D5"/>
    <w:rsid w:val="00B518AE"/>
    <w:rsid w:val="00B51D5F"/>
    <w:rsid w:val="00B51D77"/>
    <w:rsid w:val="00B52258"/>
    <w:rsid w:val="00B5225C"/>
    <w:rsid w:val="00B522D8"/>
    <w:rsid w:val="00B52377"/>
    <w:rsid w:val="00B5247E"/>
    <w:rsid w:val="00B527E9"/>
    <w:rsid w:val="00B52DCE"/>
    <w:rsid w:val="00B52F83"/>
    <w:rsid w:val="00B5335E"/>
    <w:rsid w:val="00B5396B"/>
    <w:rsid w:val="00B53D41"/>
    <w:rsid w:val="00B53E65"/>
    <w:rsid w:val="00B54090"/>
    <w:rsid w:val="00B54314"/>
    <w:rsid w:val="00B54DE0"/>
    <w:rsid w:val="00B54E13"/>
    <w:rsid w:val="00B54EA6"/>
    <w:rsid w:val="00B55046"/>
    <w:rsid w:val="00B5520A"/>
    <w:rsid w:val="00B553CA"/>
    <w:rsid w:val="00B558DD"/>
    <w:rsid w:val="00B55902"/>
    <w:rsid w:val="00B55CF3"/>
    <w:rsid w:val="00B55D9C"/>
    <w:rsid w:val="00B55F50"/>
    <w:rsid w:val="00B5644F"/>
    <w:rsid w:val="00B565DF"/>
    <w:rsid w:val="00B567BC"/>
    <w:rsid w:val="00B5682F"/>
    <w:rsid w:val="00B56C42"/>
    <w:rsid w:val="00B57095"/>
    <w:rsid w:val="00B57847"/>
    <w:rsid w:val="00B57865"/>
    <w:rsid w:val="00B57B36"/>
    <w:rsid w:val="00B57D40"/>
    <w:rsid w:val="00B57DDF"/>
    <w:rsid w:val="00B607E3"/>
    <w:rsid w:val="00B61078"/>
    <w:rsid w:val="00B61583"/>
    <w:rsid w:val="00B61744"/>
    <w:rsid w:val="00B619E6"/>
    <w:rsid w:val="00B61C93"/>
    <w:rsid w:val="00B6274E"/>
    <w:rsid w:val="00B627DE"/>
    <w:rsid w:val="00B629EA"/>
    <w:rsid w:val="00B62AA7"/>
    <w:rsid w:val="00B62B06"/>
    <w:rsid w:val="00B63209"/>
    <w:rsid w:val="00B6363A"/>
    <w:rsid w:val="00B640D5"/>
    <w:rsid w:val="00B64148"/>
    <w:rsid w:val="00B65199"/>
    <w:rsid w:val="00B6550A"/>
    <w:rsid w:val="00B65B99"/>
    <w:rsid w:val="00B65DA6"/>
    <w:rsid w:val="00B66BD1"/>
    <w:rsid w:val="00B66DC6"/>
    <w:rsid w:val="00B66E9F"/>
    <w:rsid w:val="00B67070"/>
    <w:rsid w:val="00B67271"/>
    <w:rsid w:val="00B673A7"/>
    <w:rsid w:val="00B673D7"/>
    <w:rsid w:val="00B6794B"/>
    <w:rsid w:val="00B67AE8"/>
    <w:rsid w:val="00B67E84"/>
    <w:rsid w:val="00B70653"/>
    <w:rsid w:val="00B70993"/>
    <w:rsid w:val="00B70A51"/>
    <w:rsid w:val="00B70AEF"/>
    <w:rsid w:val="00B70C0B"/>
    <w:rsid w:val="00B70CB6"/>
    <w:rsid w:val="00B70E16"/>
    <w:rsid w:val="00B710EA"/>
    <w:rsid w:val="00B711D9"/>
    <w:rsid w:val="00B712DB"/>
    <w:rsid w:val="00B71684"/>
    <w:rsid w:val="00B7193A"/>
    <w:rsid w:val="00B719BB"/>
    <w:rsid w:val="00B71C62"/>
    <w:rsid w:val="00B71EA8"/>
    <w:rsid w:val="00B72A50"/>
    <w:rsid w:val="00B72ADB"/>
    <w:rsid w:val="00B72D4B"/>
    <w:rsid w:val="00B72DD7"/>
    <w:rsid w:val="00B72EB7"/>
    <w:rsid w:val="00B72FA5"/>
    <w:rsid w:val="00B7325A"/>
    <w:rsid w:val="00B7328A"/>
    <w:rsid w:val="00B732E6"/>
    <w:rsid w:val="00B734E1"/>
    <w:rsid w:val="00B735EA"/>
    <w:rsid w:val="00B73632"/>
    <w:rsid w:val="00B7395A"/>
    <w:rsid w:val="00B73EBE"/>
    <w:rsid w:val="00B7428E"/>
    <w:rsid w:val="00B744DB"/>
    <w:rsid w:val="00B74799"/>
    <w:rsid w:val="00B74ABF"/>
    <w:rsid w:val="00B74AE8"/>
    <w:rsid w:val="00B74FBC"/>
    <w:rsid w:val="00B752E7"/>
    <w:rsid w:val="00B753B2"/>
    <w:rsid w:val="00B7541C"/>
    <w:rsid w:val="00B757D7"/>
    <w:rsid w:val="00B757F6"/>
    <w:rsid w:val="00B75B6F"/>
    <w:rsid w:val="00B75E22"/>
    <w:rsid w:val="00B76671"/>
    <w:rsid w:val="00B76B2F"/>
    <w:rsid w:val="00B76D0A"/>
    <w:rsid w:val="00B76F5D"/>
    <w:rsid w:val="00B77457"/>
    <w:rsid w:val="00B77850"/>
    <w:rsid w:val="00B77BD1"/>
    <w:rsid w:val="00B77DC8"/>
    <w:rsid w:val="00B80164"/>
    <w:rsid w:val="00B805C7"/>
    <w:rsid w:val="00B80B21"/>
    <w:rsid w:val="00B81876"/>
    <w:rsid w:val="00B82018"/>
    <w:rsid w:val="00B820DE"/>
    <w:rsid w:val="00B827DC"/>
    <w:rsid w:val="00B82BC1"/>
    <w:rsid w:val="00B82F63"/>
    <w:rsid w:val="00B82F83"/>
    <w:rsid w:val="00B82FA1"/>
    <w:rsid w:val="00B83758"/>
    <w:rsid w:val="00B83DDC"/>
    <w:rsid w:val="00B84080"/>
    <w:rsid w:val="00B84104"/>
    <w:rsid w:val="00B84162"/>
    <w:rsid w:val="00B843F8"/>
    <w:rsid w:val="00B845D7"/>
    <w:rsid w:val="00B84870"/>
    <w:rsid w:val="00B849E3"/>
    <w:rsid w:val="00B84AC9"/>
    <w:rsid w:val="00B84C01"/>
    <w:rsid w:val="00B84DEB"/>
    <w:rsid w:val="00B8514F"/>
    <w:rsid w:val="00B857D5"/>
    <w:rsid w:val="00B85870"/>
    <w:rsid w:val="00B8592D"/>
    <w:rsid w:val="00B85A5A"/>
    <w:rsid w:val="00B86065"/>
    <w:rsid w:val="00B86210"/>
    <w:rsid w:val="00B86320"/>
    <w:rsid w:val="00B86635"/>
    <w:rsid w:val="00B868A4"/>
    <w:rsid w:val="00B86A67"/>
    <w:rsid w:val="00B86F1E"/>
    <w:rsid w:val="00B87552"/>
    <w:rsid w:val="00B877EA"/>
    <w:rsid w:val="00B8784B"/>
    <w:rsid w:val="00B87DFD"/>
    <w:rsid w:val="00B900F4"/>
    <w:rsid w:val="00B905AD"/>
    <w:rsid w:val="00B905DD"/>
    <w:rsid w:val="00B90609"/>
    <w:rsid w:val="00B90907"/>
    <w:rsid w:val="00B90A63"/>
    <w:rsid w:val="00B915AF"/>
    <w:rsid w:val="00B915F6"/>
    <w:rsid w:val="00B91765"/>
    <w:rsid w:val="00B91773"/>
    <w:rsid w:val="00B9191C"/>
    <w:rsid w:val="00B91F6B"/>
    <w:rsid w:val="00B92696"/>
    <w:rsid w:val="00B9280E"/>
    <w:rsid w:val="00B92BDE"/>
    <w:rsid w:val="00B92D22"/>
    <w:rsid w:val="00B92ED2"/>
    <w:rsid w:val="00B930B1"/>
    <w:rsid w:val="00B93819"/>
    <w:rsid w:val="00B9383E"/>
    <w:rsid w:val="00B93A5C"/>
    <w:rsid w:val="00B93C27"/>
    <w:rsid w:val="00B93D9B"/>
    <w:rsid w:val="00B93DF3"/>
    <w:rsid w:val="00B9486A"/>
    <w:rsid w:val="00B94AD8"/>
    <w:rsid w:val="00B94B82"/>
    <w:rsid w:val="00B94FA2"/>
    <w:rsid w:val="00B951B9"/>
    <w:rsid w:val="00B955C0"/>
    <w:rsid w:val="00B958C5"/>
    <w:rsid w:val="00B95BCE"/>
    <w:rsid w:val="00B95C44"/>
    <w:rsid w:val="00B96141"/>
    <w:rsid w:val="00B96BD9"/>
    <w:rsid w:val="00B96C77"/>
    <w:rsid w:val="00B97828"/>
    <w:rsid w:val="00B979A0"/>
    <w:rsid w:val="00B97AAB"/>
    <w:rsid w:val="00B97D88"/>
    <w:rsid w:val="00B97F0F"/>
    <w:rsid w:val="00B97F82"/>
    <w:rsid w:val="00BA08A5"/>
    <w:rsid w:val="00BA0B2E"/>
    <w:rsid w:val="00BA0E47"/>
    <w:rsid w:val="00BA0EEB"/>
    <w:rsid w:val="00BA0FBA"/>
    <w:rsid w:val="00BA1143"/>
    <w:rsid w:val="00BA122A"/>
    <w:rsid w:val="00BA179A"/>
    <w:rsid w:val="00BA17E6"/>
    <w:rsid w:val="00BA1859"/>
    <w:rsid w:val="00BA1C19"/>
    <w:rsid w:val="00BA1E40"/>
    <w:rsid w:val="00BA21AC"/>
    <w:rsid w:val="00BA24FB"/>
    <w:rsid w:val="00BA2828"/>
    <w:rsid w:val="00BA3823"/>
    <w:rsid w:val="00BA3D37"/>
    <w:rsid w:val="00BA4648"/>
    <w:rsid w:val="00BA4F7B"/>
    <w:rsid w:val="00BA52B1"/>
    <w:rsid w:val="00BA5513"/>
    <w:rsid w:val="00BA58EF"/>
    <w:rsid w:val="00BA5DBE"/>
    <w:rsid w:val="00BA5DE4"/>
    <w:rsid w:val="00BA63C8"/>
    <w:rsid w:val="00BA6D53"/>
    <w:rsid w:val="00BA6F39"/>
    <w:rsid w:val="00BA7159"/>
    <w:rsid w:val="00BA761F"/>
    <w:rsid w:val="00BA7A6B"/>
    <w:rsid w:val="00BB01D7"/>
    <w:rsid w:val="00BB05C0"/>
    <w:rsid w:val="00BB05FA"/>
    <w:rsid w:val="00BB082A"/>
    <w:rsid w:val="00BB084F"/>
    <w:rsid w:val="00BB0EEA"/>
    <w:rsid w:val="00BB0F87"/>
    <w:rsid w:val="00BB13E4"/>
    <w:rsid w:val="00BB2ADB"/>
    <w:rsid w:val="00BB2C5C"/>
    <w:rsid w:val="00BB2CAA"/>
    <w:rsid w:val="00BB2EC3"/>
    <w:rsid w:val="00BB321E"/>
    <w:rsid w:val="00BB333B"/>
    <w:rsid w:val="00BB3AAC"/>
    <w:rsid w:val="00BB3AFF"/>
    <w:rsid w:val="00BB3E5C"/>
    <w:rsid w:val="00BB43E5"/>
    <w:rsid w:val="00BB46C8"/>
    <w:rsid w:val="00BB472B"/>
    <w:rsid w:val="00BB4EE5"/>
    <w:rsid w:val="00BB4FB0"/>
    <w:rsid w:val="00BB5204"/>
    <w:rsid w:val="00BB5766"/>
    <w:rsid w:val="00BB599E"/>
    <w:rsid w:val="00BB5B0D"/>
    <w:rsid w:val="00BB5D48"/>
    <w:rsid w:val="00BB6120"/>
    <w:rsid w:val="00BB6565"/>
    <w:rsid w:val="00BB66EF"/>
    <w:rsid w:val="00BB6814"/>
    <w:rsid w:val="00BB6847"/>
    <w:rsid w:val="00BB684D"/>
    <w:rsid w:val="00BB68C8"/>
    <w:rsid w:val="00BB72F2"/>
    <w:rsid w:val="00BB7311"/>
    <w:rsid w:val="00BB7709"/>
    <w:rsid w:val="00BB7BC7"/>
    <w:rsid w:val="00BB7BC9"/>
    <w:rsid w:val="00BB7ECA"/>
    <w:rsid w:val="00BC02BF"/>
    <w:rsid w:val="00BC044E"/>
    <w:rsid w:val="00BC04AB"/>
    <w:rsid w:val="00BC063F"/>
    <w:rsid w:val="00BC06E0"/>
    <w:rsid w:val="00BC121B"/>
    <w:rsid w:val="00BC13D9"/>
    <w:rsid w:val="00BC155E"/>
    <w:rsid w:val="00BC1765"/>
    <w:rsid w:val="00BC178F"/>
    <w:rsid w:val="00BC1861"/>
    <w:rsid w:val="00BC1EBF"/>
    <w:rsid w:val="00BC22AE"/>
    <w:rsid w:val="00BC2664"/>
    <w:rsid w:val="00BC290A"/>
    <w:rsid w:val="00BC2DCC"/>
    <w:rsid w:val="00BC31B0"/>
    <w:rsid w:val="00BC31F4"/>
    <w:rsid w:val="00BC3265"/>
    <w:rsid w:val="00BC3523"/>
    <w:rsid w:val="00BC358A"/>
    <w:rsid w:val="00BC360D"/>
    <w:rsid w:val="00BC3793"/>
    <w:rsid w:val="00BC37F2"/>
    <w:rsid w:val="00BC3A65"/>
    <w:rsid w:val="00BC3AD1"/>
    <w:rsid w:val="00BC3DF4"/>
    <w:rsid w:val="00BC3E1A"/>
    <w:rsid w:val="00BC4073"/>
    <w:rsid w:val="00BC43AD"/>
    <w:rsid w:val="00BC43AE"/>
    <w:rsid w:val="00BC4792"/>
    <w:rsid w:val="00BC491E"/>
    <w:rsid w:val="00BC51D1"/>
    <w:rsid w:val="00BC53E2"/>
    <w:rsid w:val="00BC5790"/>
    <w:rsid w:val="00BC637C"/>
    <w:rsid w:val="00BC6B64"/>
    <w:rsid w:val="00BC6C7B"/>
    <w:rsid w:val="00BC6FDE"/>
    <w:rsid w:val="00BC7507"/>
    <w:rsid w:val="00BC7AB1"/>
    <w:rsid w:val="00BD02EA"/>
    <w:rsid w:val="00BD03F5"/>
    <w:rsid w:val="00BD0857"/>
    <w:rsid w:val="00BD0B09"/>
    <w:rsid w:val="00BD0D44"/>
    <w:rsid w:val="00BD1015"/>
    <w:rsid w:val="00BD1471"/>
    <w:rsid w:val="00BD1886"/>
    <w:rsid w:val="00BD1CA9"/>
    <w:rsid w:val="00BD1CBC"/>
    <w:rsid w:val="00BD1D29"/>
    <w:rsid w:val="00BD1E70"/>
    <w:rsid w:val="00BD20BB"/>
    <w:rsid w:val="00BD23D4"/>
    <w:rsid w:val="00BD266D"/>
    <w:rsid w:val="00BD2758"/>
    <w:rsid w:val="00BD277C"/>
    <w:rsid w:val="00BD279E"/>
    <w:rsid w:val="00BD28E5"/>
    <w:rsid w:val="00BD2AC1"/>
    <w:rsid w:val="00BD2E5E"/>
    <w:rsid w:val="00BD3087"/>
    <w:rsid w:val="00BD32CF"/>
    <w:rsid w:val="00BD3C88"/>
    <w:rsid w:val="00BD3EDE"/>
    <w:rsid w:val="00BD44A5"/>
    <w:rsid w:val="00BD45B0"/>
    <w:rsid w:val="00BD46A9"/>
    <w:rsid w:val="00BD472E"/>
    <w:rsid w:val="00BD4747"/>
    <w:rsid w:val="00BD48ED"/>
    <w:rsid w:val="00BD4EE8"/>
    <w:rsid w:val="00BD51BF"/>
    <w:rsid w:val="00BD5818"/>
    <w:rsid w:val="00BD58B4"/>
    <w:rsid w:val="00BD5EE6"/>
    <w:rsid w:val="00BD600F"/>
    <w:rsid w:val="00BD62A9"/>
    <w:rsid w:val="00BD65EE"/>
    <w:rsid w:val="00BD687F"/>
    <w:rsid w:val="00BD6B6E"/>
    <w:rsid w:val="00BD6E9B"/>
    <w:rsid w:val="00BD6F0A"/>
    <w:rsid w:val="00BD725D"/>
    <w:rsid w:val="00BD76C3"/>
    <w:rsid w:val="00BD77E5"/>
    <w:rsid w:val="00BD7C4E"/>
    <w:rsid w:val="00BD7F0C"/>
    <w:rsid w:val="00BE0587"/>
    <w:rsid w:val="00BE0CBC"/>
    <w:rsid w:val="00BE139E"/>
    <w:rsid w:val="00BE13CD"/>
    <w:rsid w:val="00BE1E8E"/>
    <w:rsid w:val="00BE1F4A"/>
    <w:rsid w:val="00BE246F"/>
    <w:rsid w:val="00BE2564"/>
    <w:rsid w:val="00BE2DD5"/>
    <w:rsid w:val="00BE3035"/>
    <w:rsid w:val="00BE3303"/>
    <w:rsid w:val="00BE3348"/>
    <w:rsid w:val="00BE36AF"/>
    <w:rsid w:val="00BE3763"/>
    <w:rsid w:val="00BE3D00"/>
    <w:rsid w:val="00BE476D"/>
    <w:rsid w:val="00BE4F98"/>
    <w:rsid w:val="00BE5508"/>
    <w:rsid w:val="00BE581C"/>
    <w:rsid w:val="00BE58B4"/>
    <w:rsid w:val="00BE5A94"/>
    <w:rsid w:val="00BE5C35"/>
    <w:rsid w:val="00BE5CAD"/>
    <w:rsid w:val="00BE63C2"/>
    <w:rsid w:val="00BE6AF7"/>
    <w:rsid w:val="00BE6F99"/>
    <w:rsid w:val="00BE7124"/>
    <w:rsid w:val="00BE7530"/>
    <w:rsid w:val="00BE75B9"/>
    <w:rsid w:val="00BE7AAE"/>
    <w:rsid w:val="00BE7F67"/>
    <w:rsid w:val="00BE7FCE"/>
    <w:rsid w:val="00BF025E"/>
    <w:rsid w:val="00BF044D"/>
    <w:rsid w:val="00BF06B1"/>
    <w:rsid w:val="00BF0B1A"/>
    <w:rsid w:val="00BF0E28"/>
    <w:rsid w:val="00BF13D0"/>
    <w:rsid w:val="00BF1518"/>
    <w:rsid w:val="00BF18C9"/>
    <w:rsid w:val="00BF1DB1"/>
    <w:rsid w:val="00BF22C0"/>
    <w:rsid w:val="00BF22DD"/>
    <w:rsid w:val="00BF24CD"/>
    <w:rsid w:val="00BF24F7"/>
    <w:rsid w:val="00BF276E"/>
    <w:rsid w:val="00BF2C9F"/>
    <w:rsid w:val="00BF322E"/>
    <w:rsid w:val="00BF339B"/>
    <w:rsid w:val="00BF356A"/>
    <w:rsid w:val="00BF3911"/>
    <w:rsid w:val="00BF3C53"/>
    <w:rsid w:val="00BF3FA9"/>
    <w:rsid w:val="00BF4342"/>
    <w:rsid w:val="00BF452C"/>
    <w:rsid w:val="00BF4FD4"/>
    <w:rsid w:val="00BF5618"/>
    <w:rsid w:val="00BF5623"/>
    <w:rsid w:val="00BF5FA2"/>
    <w:rsid w:val="00BF6244"/>
    <w:rsid w:val="00BF62D0"/>
    <w:rsid w:val="00BF6496"/>
    <w:rsid w:val="00BF6751"/>
    <w:rsid w:val="00BF6D79"/>
    <w:rsid w:val="00BF7210"/>
    <w:rsid w:val="00BF78AA"/>
    <w:rsid w:val="00BF7B5D"/>
    <w:rsid w:val="00C007F6"/>
    <w:rsid w:val="00C00C26"/>
    <w:rsid w:val="00C00D4E"/>
    <w:rsid w:val="00C011AE"/>
    <w:rsid w:val="00C01596"/>
    <w:rsid w:val="00C020A8"/>
    <w:rsid w:val="00C0255F"/>
    <w:rsid w:val="00C02799"/>
    <w:rsid w:val="00C0284F"/>
    <w:rsid w:val="00C02916"/>
    <w:rsid w:val="00C0294C"/>
    <w:rsid w:val="00C029C1"/>
    <w:rsid w:val="00C02E4B"/>
    <w:rsid w:val="00C030D2"/>
    <w:rsid w:val="00C03444"/>
    <w:rsid w:val="00C03601"/>
    <w:rsid w:val="00C0366B"/>
    <w:rsid w:val="00C03A52"/>
    <w:rsid w:val="00C03A7D"/>
    <w:rsid w:val="00C03C8D"/>
    <w:rsid w:val="00C03E2C"/>
    <w:rsid w:val="00C03E78"/>
    <w:rsid w:val="00C0421B"/>
    <w:rsid w:val="00C04235"/>
    <w:rsid w:val="00C04733"/>
    <w:rsid w:val="00C04A0F"/>
    <w:rsid w:val="00C05050"/>
    <w:rsid w:val="00C0537E"/>
    <w:rsid w:val="00C0559A"/>
    <w:rsid w:val="00C056A8"/>
    <w:rsid w:val="00C05703"/>
    <w:rsid w:val="00C05CA1"/>
    <w:rsid w:val="00C05DEA"/>
    <w:rsid w:val="00C05E28"/>
    <w:rsid w:val="00C06212"/>
    <w:rsid w:val="00C0625E"/>
    <w:rsid w:val="00C06B5E"/>
    <w:rsid w:val="00C0707E"/>
    <w:rsid w:val="00C0730E"/>
    <w:rsid w:val="00C0736E"/>
    <w:rsid w:val="00C076FA"/>
    <w:rsid w:val="00C07FFB"/>
    <w:rsid w:val="00C101E7"/>
    <w:rsid w:val="00C1094D"/>
    <w:rsid w:val="00C10B02"/>
    <w:rsid w:val="00C11036"/>
    <w:rsid w:val="00C112C6"/>
    <w:rsid w:val="00C11552"/>
    <w:rsid w:val="00C11CA1"/>
    <w:rsid w:val="00C1248F"/>
    <w:rsid w:val="00C12955"/>
    <w:rsid w:val="00C13106"/>
    <w:rsid w:val="00C13576"/>
    <w:rsid w:val="00C14051"/>
    <w:rsid w:val="00C140C7"/>
    <w:rsid w:val="00C146D1"/>
    <w:rsid w:val="00C14EAA"/>
    <w:rsid w:val="00C151C5"/>
    <w:rsid w:val="00C151F5"/>
    <w:rsid w:val="00C1568B"/>
    <w:rsid w:val="00C15A42"/>
    <w:rsid w:val="00C16208"/>
    <w:rsid w:val="00C165BB"/>
    <w:rsid w:val="00C17099"/>
    <w:rsid w:val="00C170EF"/>
    <w:rsid w:val="00C172FD"/>
    <w:rsid w:val="00C1749C"/>
    <w:rsid w:val="00C174C4"/>
    <w:rsid w:val="00C17721"/>
    <w:rsid w:val="00C1779B"/>
    <w:rsid w:val="00C177B4"/>
    <w:rsid w:val="00C177E7"/>
    <w:rsid w:val="00C179B1"/>
    <w:rsid w:val="00C17D14"/>
    <w:rsid w:val="00C17E24"/>
    <w:rsid w:val="00C17FCB"/>
    <w:rsid w:val="00C20258"/>
    <w:rsid w:val="00C20298"/>
    <w:rsid w:val="00C208DB"/>
    <w:rsid w:val="00C20B2A"/>
    <w:rsid w:val="00C20D0E"/>
    <w:rsid w:val="00C20EBC"/>
    <w:rsid w:val="00C214E4"/>
    <w:rsid w:val="00C2232C"/>
    <w:rsid w:val="00C22537"/>
    <w:rsid w:val="00C226D1"/>
    <w:rsid w:val="00C2276F"/>
    <w:rsid w:val="00C22934"/>
    <w:rsid w:val="00C22C6A"/>
    <w:rsid w:val="00C22E62"/>
    <w:rsid w:val="00C2327A"/>
    <w:rsid w:val="00C233E0"/>
    <w:rsid w:val="00C237C8"/>
    <w:rsid w:val="00C2386B"/>
    <w:rsid w:val="00C23F55"/>
    <w:rsid w:val="00C24516"/>
    <w:rsid w:val="00C24756"/>
    <w:rsid w:val="00C247AA"/>
    <w:rsid w:val="00C24AD5"/>
    <w:rsid w:val="00C24DED"/>
    <w:rsid w:val="00C252C6"/>
    <w:rsid w:val="00C25579"/>
    <w:rsid w:val="00C25A70"/>
    <w:rsid w:val="00C25D12"/>
    <w:rsid w:val="00C25F72"/>
    <w:rsid w:val="00C25FC9"/>
    <w:rsid w:val="00C260A5"/>
    <w:rsid w:val="00C2618C"/>
    <w:rsid w:val="00C26505"/>
    <w:rsid w:val="00C2663B"/>
    <w:rsid w:val="00C26B5D"/>
    <w:rsid w:val="00C26BAF"/>
    <w:rsid w:val="00C27091"/>
    <w:rsid w:val="00C274E2"/>
    <w:rsid w:val="00C2774B"/>
    <w:rsid w:val="00C277DB"/>
    <w:rsid w:val="00C27E78"/>
    <w:rsid w:val="00C3007A"/>
    <w:rsid w:val="00C30375"/>
    <w:rsid w:val="00C30724"/>
    <w:rsid w:val="00C3121B"/>
    <w:rsid w:val="00C3138A"/>
    <w:rsid w:val="00C313A9"/>
    <w:rsid w:val="00C31412"/>
    <w:rsid w:val="00C31521"/>
    <w:rsid w:val="00C31695"/>
    <w:rsid w:val="00C31A79"/>
    <w:rsid w:val="00C31BE5"/>
    <w:rsid w:val="00C31E0D"/>
    <w:rsid w:val="00C3232F"/>
    <w:rsid w:val="00C323FA"/>
    <w:rsid w:val="00C32A0F"/>
    <w:rsid w:val="00C32A29"/>
    <w:rsid w:val="00C32AF6"/>
    <w:rsid w:val="00C32BF5"/>
    <w:rsid w:val="00C32D85"/>
    <w:rsid w:val="00C33143"/>
    <w:rsid w:val="00C335E0"/>
    <w:rsid w:val="00C33F6C"/>
    <w:rsid w:val="00C34A6A"/>
    <w:rsid w:val="00C34A88"/>
    <w:rsid w:val="00C34B4E"/>
    <w:rsid w:val="00C34F47"/>
    <w:rsid w:val="00C358AF"/>
    <w:rsid w:val="00C35977"/>
    <w:rsid w:val="00C35A04"/>
    <w:rsid w:val="00C35B7D"/>
    <w:rsid w:val="00C35BBE"/>
    <w:rsid w:val="00C35CFE"/>
    <w:rsid w:val="00C35EA3"/>
    <w:rsid w:val="00C35EF6"/>
    <w:rsid w:val="00C36093"/>
    <w:rsid w:val="00C361A8"/>
    <w:rsid w:val="00C36655"/>
    <w:rsid w:val="00C36886"/>
    <w:rsid w:val="00C369FA"/>
    <w:rsid w:val="00C36D7D"/>
    <w:rsid w:val="00C370F3"/>
    <w:rsid w:val="00C37158"/>
    <w:rsid w:val="00C37432"/>
    <w:rsid w:val="00C37556"/>
    <w:rsid w:val="00C37F6D"/>
    <w:rsid w:val="00C40382"/>
    <w:rsid w:val="00C40960"/>
    <w:rsid w:val="00C41280"/>
    <w:rsid w:val="00C418D8"/>
    <w:rsid w:val="00C418EB"/>
    <w:rsid w:val="00C41CAD"/>
    <w:rsid w:val="00C41E49"/>
    <w:rsid w:val="00C425C5"/>
    <w:rsid w:val="00C42756"/>
    <w:rsid w:val="00C42A3F"/>
    <w:rsid w:val="00C430B6"/>
    <w:rsid w:val="00C434D0"/>
    <w:rsid w:val="00C437A5"/>
    <w:rsid w:val="00C439E4"/>
    <w:rsid w:val="00C43CA4"/>
    <w:rsid w:val="00C43E02"/>
    <w:rsid w:val="00C43E8B"/>
    <w:rsid w:val="00C44118"/>
    <w:rsid w:val="00C445C1"/>
    <w:rsid w:val="00C44856"/>
    <w:rsid w:val="00C44DE7"/>
    <w:rsid w:val="00C44FA0"/>
    <w:rsid w:val="00C451D6"/>
    <w:rsid w:val="00C4534D"/>
    <w:rsid w:val="00C45453"/>
    <w:rsid w:val="00C45F30"/>
    <w:rsid w:val="00C461E5"/>
    <w:rsid w:val="00C46350"/>
    <w:rsid w:val="00C4676C"/>
    <w:rsid w:val="00C467CE"/>
    <w:rsid w:val="00C501F4"/>
    <w:rsid w:val="00C502CE"/>
    <w:rsid w:val="00C50A68"/>
    <w:rsid w:val="00C50E22"/>
    <w:rsid w:val="00C5130B"/>
    <w:rsid w:val="00C51316"/>
    <w:rsid w:val="00C51411"/>
    <w:rsid w:val="00C515AC"/>
    <w:rsid w:val="00C518C3"/>
    <w:rsid w:val="00C51BF2"/>
    <w:rsid w:val="00C522F2"/>
    <w:rsid w:val="00C524FB"/>
    <w:rsid w:val="00C525F0"/>
    <w:rsid w:val="00C52655"/>
    <w:rsid w:val="00C529F5"/>
    <w:rsid w:val="00C52AEF"/>
    <w:rsid w:val="00C52F2E"/>
    <w:rsid w:val="00C53225"/>
    <w:rsid w:val="00C53287"/>
    <w:rsid w:val="00C53A1B"/>
    <w:rsid w:val="00C54469"/>
    <w:rsid w:val="00C54484"/>
    <w:rsid w:val="00C54505"/>
    <w:rsid w:val="00C54AD5"/>
    <w:rsid w:val="00C54ADD"/>
    <w:rsid w:val="00C54B31"/>
    <w:rsid w:val="00C54CC2"/>
    <w:rsid w:val="00C54E84"/>
    <w:rsid w:val="00C54EC7"/>
    <w:rsid w:val="00C550CE"/>
    <w:rsid w:val="00C5535A"/>
    <w:rsid w:val="00C556B9"/>
    <w:rsid w:val="00C55711"/>
    <w:rsid w:val="00C55A3D"/>
    <w:rsid w:val="00C55C53"/>
    <w:rsid w:val="00C56A6E"/>
    <w:rsid w:val="00C579F0"/>
    <w:rsid w:val="00C57AE6"/>
    <w:rsid w:val="00C57B24"/>
    <w:rsid w:val="00C6065C"/>
    <w:rsid w:val="00C60832"/>
    <w:rsid w:val="00C60963"/>
    <w:rsid w:val="00C60FCE"/>
    <w:rsid w:val="00C6146F"/>
    <w:rsid w:val="00C61658"/>
    <w:rsid w:val="00C61A05"/>
    <w:rsid w:val="00C61A23"/>
    <w:rsid w:val="00C61B65"/>
    <w:rsid w:val="00C61C16"/>
    <w:rsid w:val="00C61E9B"/>
    <w:rsid w:val="00C6201C"/>
    <w:rsid w:val="00C623C1"/>
    <w:rsid w:val="00C626A2"/>
    <w:rsid w:val="00C626DE"/>
    <w:rsid w:val="00C62DAC"/>
    <w:rsid w:val="00C6304E"/>
    <w:rsid w:val="00C6312F"/>
    <w:rsid w:val="00C63132"/>
    <w:rsid w:val="00C632B9"/>
    <w:rsid w:val="00C63412"/>
    <w:rsid w:val="00C6374D"/>
    <w:rsid w:val="00C637C2"/>
    <w:rsid w:val="00C63845"/>
    <w:rsid w:val="00C6398D"/>
    <w:rsid w:val="00C639B2"/>
    <w:rsid w:val="00C639BE"/>
    <w:rsid w:val="00C64021"/>
    <w:rsid w:val="00C6425F"/>
    <w:rsid w:val="00C642C1"/>
    <w:rsid w:val="00C6432A"/>
    <w:rsid w:val="00C6563F"/>
    <w:rsid w:val="00C65694"/>
    <w:rsid w:val="00C65A8C"/>
    <w:rsid w:val="00C65D63"/>
    <w:rsid w:val="00C65DF4"/>
    <w:rsid w:val="00C6690F"/>
    <w:rsid w:val="00C66CF3"/>
    <w:rsid w:val="00C66F15"/>
    <w:rsid w:val="00C67617"/>
    <w:rsid w:val="00C67650"/>
    <w:rsid w:val="00C67E9C"/>
    <w:rsid w:val="00C701A6"/>
    <w:rsid w:val="00C704C5"/>
    <w:rsid w:val="00C706B3"/>
    <w:rsid w:val="00C706D7"/>
    <w:rsid w:val="00C70A79"/>
    <w:rsid w:val="00C70CFC"/>
    <w:rsid w:val="00C70F7A"/>
    <w:rsid w:val="00C71369"/>
    <w:rsid w:val="00C71694"/>
    <w:rsid w:val="00C71A12"/>
    <w:rsid w:val="00C71BEC"/>
    <w:rsid w:val="00C71D90"/>
    <w:rsid w:val="00C71F40"/>
    <w:rsid w:val="00C7207D"/>
    <w:rsid w:val="00C72270"/>
    <w:rsid w:val="00C7257F"/>
    <w:rsid w:val="00C72803"/>
    <w:rsid w:val="00C72F55"/>
    <w:rsid w:val="00C7342E"/>
    <w:rsid w:val="00C73D7A"/>
    <w:rsid w:val="00C743B1"/>
    <w:rsid w:val="00C7466A"/>
    <w:rsid w:val="00C749CC"/>
    <w:rsid w:val="00C74D10"/>
    <w:rsid w:val="00C74E74"/>
    <w:rsid w:val="00C74E9A"/>
    <w:rsid w:val="00C74EDD"/>
    <w:rsid w:val="00C750CC"/>
    <w:rsid w:val="00C75105"/>
    <w:rsid w:val="00C7586A"/>
    <w:rsid w:val="00C759D5"/>
    <w:rsid w:val="00C75BC8"/>
    <w:rsid w:val="00C75FA6"/>
    <w:rsid w:val="00C760FF"/>
    <w:rsid w:val="00C7636D"/>
    <w:rsid w:val="00C7675F"/>
    <w:rsid w:val="00C76875"/>
    <w:rsid w:val="00C76C28"/>
    <w:rsid w:val="00C76C32"/>
    <w:rsid w:val="00C76E58"/>
    <w:rsid w:val="00C76F22"/>
    <w:rsid w:val="00C775A1"/>
    <w:rsid w:val="00C77BC7"/>
    <w:rsid w:val="00C77C86"/>
    <w:rsid w:val="00C80E2E"/>
    <w:rsid w:val="00C8115F"/>
    <w:rsid w:val="00C81453"/>
    <w:rsid w:val="00C81C0F"/>
    <w:rsid w:val="00C81D6C"/>
    <w:rsid w:val="00C820DD"/>
    <w:rsid w:val="00C82244"/>
    <w:rsid w:val="00C82608"/>
    <w:rsid w:val="00C82789"/>
    <w:rsid w:val="00C82A99"/>
    <w:rsid w:val="00C82C50"/>
    <w:rsid w:val="00C82E76"/>
    <w:rsid w:val="00C83170"/>
    <w:rsid w:val="00C831E8"/>
    <w:rsid w:val="00C838C7"/>
    <w:rsid w:val="00C83B88"/>
    <w:rsid w:val="00C840CA"/>
    <w:rsid w:val="00C842C9"/>
    <w:rsid w:val="00C842CF"/>
    <w:rsid w:val="00C849BA"/>
    <w:rsid w:val="00C8501E"/>
    <w:rsid w:val="00C85239"/>
    <w:rsid w:val="00C853E2"/>
    <w:rsid w:val="00C854FE"/>
    <w:rsid w:val="00C85620"/>
    <w:rsid w:val="00C858AE"/>
    <w:rsid w:val="00C86165"/>
    <w:rsid w:val="00C86218"/>
    <w:rsid w:val="00C864F6"/>
    <w:rsid w:val="00C86C43"/>
    <w:rsid w:val="00C87161"/>
    <w:rsid w:val="00C87262"/>
    <w:rsid w:val="00C87784"/>
    <w:rsid w:val="00C900CD"/>
    <w:rsid w:val="00C90123"/>
    <w:rsid w:val="00C901E8"/>
    <w:rsid w:val="00C90340"/>
    <w:rsid w:val="00C906C3"/>
    <w:rsid w:val="00C906EB"/>
    <w:rsid w:val="00C907CB"/>
    <w:rsid w:val="00C909CF"/>
    <w:rsid w:val="00C90B4B"/>
    <w:rsid w:val="00C9141C"/>
    <w:rsid w:val="00C9149B"/>
    <w:rsid w:val="00C9176D"/>
    <w:rsid w:val="00C919C6"/>
    <w:rsid w:val="00C9251C"/>
    <w:rsid w:val="00C92AC6"/>
    <w:rsid w:val="00C92C55"/>
    <w:rsid w:val="00C92F55"/>
    <w:rsid w:val="00C93054"/>
    <w:rsid w:val="00C93069"/>
    <w:rsid w:val="00C931C9"/>
    <w:rsid w:val="00C931F4"/>
    <w:rsid w:val="00C9338D"/>
    <w:rsid w:val="00C934CC"/>
    <w:rsid w:val="00C93635"/>
    <w:rsid w:val="00C9395F"/>
    <w:rsid w:val="00C93A6D"/>
    <w:rsid w:val="00C94427"/>
    <w:rsid w:val="00C9446B"/>
    <w:rsid w:val="00C94599"/>
    <w:rsid w:val="00C94BC4"/>
    <w:rsid w:val="00C94D60"/>
    <w:rsid w:val="00C94ED9"/>
    <w:rsid w:val="00C950E2"/>
    <w:rsid w:val="00C9534C"/>
    <w:rsid w:val="00C95A55"/>
    <w:rsid w:val="00C95A9D"/>
    <w:rsid w:val="00C95AD9"/>
    <w:rsid w:val="00C95F0A"/>
    <w:rsid w:val="00C969BE"/>
    <w:rsid w:val="00C969FA"/>
    <w:rsid w:val="00C96A4F"/>
    <w:rsid w:val="00C971C4"/>
    <w:rsid w:val="00C97231"/>
    <w:rsid w:val="00C972AB"/>
    <w:rsid w:val="00CA026E"/>
    <w:rsid w:val="00CA029A"/>
    <w:rsid w:val="00CA030F"/>
    <w:rsid w:val="00CA0BB2"/>
    <w:rsid w:val="00CA12BF"/>
    <w:rsid w:val="00CA17B5"/>
    <w:rsid w:val="00CA1B1D"/>
    <w:rsid w:val="00CA1D61"/>
    <w:rsid w:val="00CA2049"/>
    <w:rsid w:val="00CA21FF"/>
    <w:rsid w:val="00CA2348"/>
    <w:rsid w:val="00CA2A4B"/>
    <w:rsid w:val="00CA2B0B"/>
    <w:rsid w:val="00CA2B0F"/>
    <w:rsid w:val="00CA327F"/>
    <w:rsid w:val="00CA38F1"/>
    <w:rsid w:val="00CA3ADC"/>
    <w:rsid w:val="00CA3C75"/>
    <w:rsid w:val="00CA3EF4"/>
    <w:rsid w:val="00CA42FD"/>
    <w:rsid w:val="00CA45C0"/>
    <w:rsid w:val="00CA4760"/>
    <w:rsid w:val="00CA5201"/>
    <w:rsid w:val="00CA5744"/>
    <w:rsid w:val="00CA5B65"/>
    <w:rsid w:val="00CA636B"/>
    <w:rsid w:val="00CA645D"/>
    <w:rsid w:val="00CA6BA0"/>
    <w:rsid w:val="00CA6FD2"/>
    <w:rsid w:val="00CA763D"/>
    <w:rsid w:val="00CA76B3"/>
    <w:rsid w:val="00CA784B"/>
    <w:rsid w:val="00CA795B"/>
    <w:rsid w:val="00CA7CEB"/>
    <w:rsid w:val="00CB00B3"/>
    <w:rsid w:val="00CB014D"/>
    <w:rsid w:val="00CB0279"/>
    <w:rsid w:val="00CB0430"/>
    <w:rsid w:val="00CB0E08"/>
    <w:rsid w:val="00CB0F09"/>
    <w:rsid w:val="00CB1946"/>
    <w:rsid w:val="00CB1B65"/>
    <w:rsid w:val="00CB233C"/>
    <w:rsid w:val="00CB23F6"/>
    <w:rsid w:val="00CB2A0C"/>
    <w:rsid w:val="00CB317B"/>
    <w:rsid w:val="00CB3253"/>
    <w:rsid w:val="00CB3A12"/>
    <w:rsid w:val="00CB3EAD"/>
    <w:rsid w:val="00CB4790"/>
    <w:rsid w:val="00CB518E"/>
    <w:rsid w:val="00CB5826"/>
    <w:rsid w:val="00CB5AE5"/>
    <w:rsid w:val="00CB5AEA"/>
    <w:rsid w:val="00CB5DA8"/>
    <w:rsid w:val="00CB63C6"/>
    <w:rsid w:val="00CB63F6"/>
    <w:rsid w:val="00CB6428"/>
    <w:rsid w:val="00CB643F"/>
    <w:rsid w:val="00CB6454"/>
    <w:rsid w:val="00CB6596"/>
    <w:rsid w:val="00CB6B57"/>
    <w:rsid w:val="00CB6DDE"/>
    <w:rsid w:val="00CB7139"/>
    <w:rsid w:val="00CB7199"/>
    <w:rsid w:val="00CB767A"/>
    <w:rsid w:val="00CB7C73"/>
    <w:rsid w:val="00CB7CD4"/>
    <w:rsid w:val="00CC036E"/>
    <w:rsid w:val="00CC08FA"/>
    <w:rsid w:val="00CC091B"/>
    <w:rsid w:val="00CC122F"/>
    <w:rsid w:val="00CC12A1"/>
    <w:rsid w:val="00CC1882"/>
    <w:rsid w:val="00CC18A6"/>
    <w:rsid w:val="00CC1B9F"/>
    <w:rsid w:val="00CC1CF8"/>
    <w:rsid w:val="00CC1EAA"/>
    <w:rsid w:val="00CC1EC6"/>
    <w:rsid w:val="00CC2076"/>
    <w:rsid w:val="00CC211A"/>
    <w:rsid w:val="00CC29BC"/>
    <w:rsid w:val="00CC2B2F"/>
    <w:rsid w:val="00CC2E87"/>
    <w:rsid w:val="00CC2EDD"/>
    <w:rsid w:val="00CC2FCD"/>
    <w:rsid w:val="00CC3163"/>
    <w:rsid w:val="00CC36FE"/>
    <w:rsid w:val="00CC40C6"/>
    <w:rsid w:val="00CC44B7"/>
    <w:rsid w:val="00CC4F3B"/>
    <w:rsid w:val="00CC4FC4"/>
    <w:rsid w:val="00CC5086"/>
    <w:rsid w:val="00CC5261"/>
    <w:rsid w:val="00CC5D0B"/>
    <w:rsid w:val="00CC60D0"/>
    <w:rsid w:val="00CC6F19"/>
    <w:rsid w:val="00CC7076"/>
    <w:rsid w:val="00CC708B"/>
    <w:rsid w:val="00CC70C2"/>
    <w:rsid w:val="00CC7673"/>
    <w:rsid w:val="00CC76A3"/>
    <w:rsid w:val="00CC7ADF"/>
    <w:rsid w:val="00CC7F9E"/>
    <w:rsid w:val="00CD0123"/>
    <w:rsid w:val="00CD01DB"/>
    <w:rsid w:val="00CD0766"/>
    <w:rsid w:val="00CD0A6C"/>
    <w:rsid w:val="00CD0BBF"/>
    <w:rsid w:val="00CD0D30"/>
    <w:rsid w:val="00CD0EF1"/>
    <w:rsid w:val="00CD0EFE"/>
    <w:rsid w:val="00CD0FC4"/>
    <w:rsid w:val="00CD10EF"/>
    <w:rsid w:val="00CD1630"/>
    <w:rsid w:val="00CD1A4A"/>
    <w:rsid w:val="00CD1A72"/>
    <w:rsid w:val="00CD1C58"/>
    <w:rsid w:val="00CD233E"/>
    <w:rsid w:val="00CD296E"/>
    <w:rsid w:val="00CD2D4F"/>
    <w:rsid w:val="00CD2E30"/>
    <w:rsid w:val="00CD308A"/>
    <w:rsid w:val="00CD34E5"/>
    <w:rsid w:val="00CD3830"/>
    <w:rsid w:val="00CD3941"/>
    <w:rsid w:val="00CD3987"/>
    <w:rsid w:val="00CD3D00"/>
    <w:rsid w:val="00CD3E27"/>
    <w:rsid w:val="00CD42E3"/>
    <w:rsid w:val="00CD438F"/>
    <w:rsid w:val="00CD4BF9"/>
    <w:rsid w:val="00CD5089"/>
    <w:rsid w:val="00CD5A24"/>
    <w:rsid w:val="00CD5CA5"/>
    <w:rsid w:val="00CD60A7"/>
    <w:rsid w:val="00CD6920"/>
    <w:rsid w:val="00CD6AA4"/>
    <w:rsid w:val="00CD6BB0"/>
    <w:rsid w:val="00CD6CD5"/>
    <w:rsid w:val="00CD6CFA"/>
    <w:rsid w:val="00CD6F3F"/>
    <w:rsid w:val="00CD6FBC"/>
    <w:rsid w:val="00CD74BF"/>
    <w:rsid w:val="00CD77D9"/>
    <w:rsid w:val="00CD77FC"/>
    <w:rsid w:val="00CD7961"/>
    <w:rsid w:val="00CD7B1A"/>
    <w:rsid w:val="00CD7C19"/>
    <w:rsid w:val="00CD7EA1"/>
    <w:rsid w:val="00CE00AB"/>
    <w:rsid w:val="00CE091B"/>
    <w:rsid w:val="00CE0C79"/>
    <w:rsid w:val="00CE0D43"/>
    <w:rsid w:val="00CE1946"/>
    <w:rsid w:val="00CE1D64"/>
    <w:rsid w:val="00CE23B6"/>
    <w:rsid w:val="00CE2E3F"/>
    <w:rsid w:val="00CE334B"/>
    <w:rsid w:val="00CE3F03"/>
    <w:rsid w:val="00CE40A0"/>
    <w:rsid w:val="00CE41C8"/>
    <w:rsid w:val="00CE4731"/>
    <w:rsid w:val="00CE4BDF"/>
    <w:rsid w:val="00CE4DB6"/>
    <w:rsid w:val="00CE4E33"/>
    <w:rsid w:val="00CE4E5F"/>
    <w:rsid w:val="00CE4ED7"/>
    <w:rsid w:val="00CE4F28"/>
    <w:rsid w:val="00CE5076"/>
    <w:rsid w:val="00CE5252"/>
    <w:rsid w:val="00CE56B5"/>
    <w:rsid w:val="00CE56E6"/>
    <w:rsid w:val="00CE5CDB"/>
    <w:rsid w:val="00CE5E25"/>
    <w:rsid w:val="00CE5FC4"/>
    <w:rsid w:val="00CE607C"/>
    <w:rsid w:val="00CE630C"/>
    <w:rsid w:val="00CE6485"/>
    <w:rsid w:val="00CE6655"/>
    <w:rsid w:val="00CE6716"/>
    <w:rsid w:val="00CE693B"/>
    <w:rsid w:val="00CE69E1"/>
    <w:rsid w:val="00CE746A"/>
    <w:rsid w:val="00CE78BF"/>
    <w:rsid w:val="00CE7BC5"/>
    <w:rsid w:val="00CF06E2"/>
    <w:rsid w:val="00CF06EE"/>
    <w:rsid w:val="00CF093B"/>
    <w:rsid w:val="00CF096B"/>
    <w:rsid w:val="00CF0A96"/>
    <w:rsid w:val="00CF0E7C"/>
    <w:rsid w:val="00CF17E6"/>
    <w:rsid w:val="00CF1864"/>
    <w:rsid w:val="00CF19DA"/>
    <w:rsid w:val="00CF24E0"/>
    <w:rsid w:val="00CF26AE"/>
    <w:rsid w:val="00CF2831"/>
    <w:rsid w:val="00CF337D"/>
    <w:rsid w:val="00CF375B"/>
    <w:rsid w:val="00CF376F"/>
    <w:rsid w:val="00CF3976"/>
    <w:rsid w:val="00CF3A20"/>
    <w:rsid w:val="00CF4398"/>
    <w:rsid w:val="00CF4423"/>
    <w:rsid w:val="00CF4668"/>
    <w:rsid w:val="00CF4DF4"/>
    <w:rsid w:val="00CF4E26"/>
    <w:rsid w:val="00CF4EAF"/>
    <w:rsid w:val="00CF5412"/>
    <w:rsid w:val="00CF549E"/>
    <w:rsid w:val="00CF5886"/>
    <w:rsid w:val="00CF617C"/>
    <w:rsid w:val="00CF624E"/>
    <w:rsid w:val="00CF62FE"/>
    <w:rsid w:val="00CF677D"/>
    <w:rsid w:val="00CF6895"/>
    <w:rsid w:val="00CF6CFD"/>
    <w:rsid w:val="00CF79FF"/>
    <w:rsid w:val="00CF7CC3"/>
    <w:rsid w:val="00CF7D14"/>
    <w:rsid w:val="00CF7F03"/>
    <w:rsid w:val="00D00266"/>
    <w:rsid w:val="00D00613"/>
    <w:rsid w:val="00D0070F"/>
    <w:rsid w:val="00D011CF"/>
    <w:rsid w:val="00D01240"/>
    <w:rsid w:val="00D01AB6"/>
    <w:rsid w:val="00D01B04"/>
    <w:rsid w:val="00D020E4"/>
    <w:rsid w:val="00D0228D"/>
    <w:rsid w:val="00D025BC"/>
    <w:rsid w:val="00D0266B"/>
    <w:rsid w:val="00D0277E"/>
    <w:rsid w:val="00D02DA6"/>
    <w:rsid w:val="00D0314E"/>
    <w:rsid w:val="00D0320D"/>
    <w:rsid w:val="00D0324E"/>
    <w:rsid w:val="00D03374"/>
    <w:rsid w:val="00D034C4"/>
    <w:rsid w:val="00D036B5"/>
    <w:rsid w:val="00D0397A"/>
    <w:rsid w:val="00D03CF1"/>
    <w:rsid w:val="00D048DC"/>
    <w:rsid w:val="00D04DC6"/>
    <w:rsid w:val="00D04E2D"/>
    <w:rsid w:val="00D0566C"/>
    <w:rsid w:val="00D05A12"/>
    <w:rsid w:val="00D05E76"/>
    <w:rsid w:val="00D060CE"/>
    <w:rsid w:val="00D0637C"/>
    <w:rsid w:val="00D06480"/>
    <w:rsid w:val="00D066DD"/>
    <w:rsid w:val="00D0685A"/>
    <w:rsid w:val="00D068E3"/>
    <w:rsid w:val="00D06BB6"/>
    <w:rsid w:val="00D06EEE"/>
    <w:rsid w:val="00D0736A"/>
    <w:rsid w:val="00D073CA"/>
    <w:rsid w:val="00D078BA"/>
    <w:rsid w:val="00D07DFC"/>
    <w:rsid w:val="00D10267"/>
    <w:rsid w:val="00D10729"/>
    <w:rsid w:val="00D10AC7"/>
    <w:rsid w:val="00D10ADE"/>
    <w:rsid w:val="00D10AF3"/>
    <w:rsid w:val="00D10CBF"/>
    <w:rsid w:val="00D1104C"/>
    <w:rsid w:val="00D113F8"/>
    <w:rsid w:val="00D1150F"/>
    <w:rsid w:val="00D11838"/>
    <w:rsid w:val="00D118A6"/>
    <w:rsid w:val="00D119B7"/>
    <w:rsid w:val="00D11BF1"/>
    <w:rsid w:val="00D12182"/>
    <w:rsid w:val="00D123D8"/>
    <w:rsid w:val="00D1255E"/>
    <w:rsid w:val="00D12636"/>
    <w:rsid w:val="00D127B3"/>
    <w:rsid w:val="00D12A2B"/>
    <w:rsid w:val="00D12C32"/>
    <w:rsid w:val="00D12CF9"/>
    <w:rsid w:val="00D12E26"/>
    <w:rsid w:val="00D136B3"/>
    <w:rsid w:val="00D13A9A"/>
    <w:rsid w:val="00D13FFA"/>
    <w:rsid w:val="00D146F8"/>
    <w:rsid w:val="00D14724"/>
    <w:rsid w:val="00D14A3E"/>
    <w:rsid w:val="00D14BAC"/>
    <w:rsid w:val="00D14D5B"/>
    <w:rsid w:val="00D14F22"/>
    <w:rsid w:val="00D158DD"/>
    <w:rsid w:val="00D15953"/>
    <w:rsid w:val="00D15A5A"/>
    <w:rsid w:val="00D15FCD"/>
    <w:rsid w:val="00D16719"/>
    <w:rsid w:val="00D16A33"/>
    <w:rsid w:val="00D170BA"/>
    <w:rsid w:val="00D174D6"/>
    <w:rsid w:val="00D17723"/>
    <w:rsid w:val="00D1775E"/>
    <w:rsid w:val="00D17762"/>
    <w:rsid w:val="00D1785C"/>
    <w:rsid w:val="00D17A31"/>
    <w:rsid w:val="00D200B1"/>
    <w:rsid w:val="00D20406"/>
    <w:rsid w:val="00D207A3"/>
    <w:rsid w:val="00D20EC4"/>
    <w:rsid w:val="00D20F84"/>
    <w:rsid w:val="00D2109E"/>
    <w:rsid w:val="00D2117F"/>
    <w:rsid w:val="00D2172F"/>
    <w:rsid w:val="00D21CF9"/>
    <w:rsid w:val="00D21E7B"/>
    <w:rsid w:val="00D2209B"/>
    <w:rsid w:val="00D230F2"/>
    <w:rsid w:val="00D23486"/>
    <w:rsid w:val="00D2354B"/>
    <w:rsid w:val="00D23804"/>
    <w:rsid w:val="00D23A2C"/>
    <w:rsid w:val="00D23FEA"/>
    <w:rsid w:val="00D248BA"/>
    <w:rsid w:val="00D24B70"/>
    <w:rsid w:val="00D24D4D"/>
    <w:rsid w:val="00D251A4"/>
    <w:rsid w:val="00D254F1"/>
    <w:rsid w:val="00D25594"/>
    <w:rsid w:val="00D25C96"/>
    <w:rsid w:val="00D25DDD"/>
    <w:rsid w:val="00D2634E"/>
    <w:rsid w:val="00D26648"/>
    <w:rsid w:val="00D26757"/>
    <w:rsid w:val="00D26B3A"/>
    <w:rsid w:val="00D26FDD"/>
    <w:rsid w:val="00D270ED"/>
    <w:rsid w:val="00D27112"/>
    <w:rsid w:val="00D273B8"/>
    <w:rsid w:val="00D27C2D"/>
    <w:rsid w:val="00D27EF4"/>
    <w:rsid w:val="00D2F727"/>
    <w:rsid w:val="00D303B0"/>
    <w:rsid w:val="00D30428"/>
    <w:rsid w:val="00D3046B"/>
    <w:rsid w:val="00D30492"/>
    <w:rsid w:val="00D308F7"/>
    <w:rsid w:val="00D30CCD"/>
    <w:rsid w:val="00D30CFF"/>
    <w:rsid w:val="00D3138B"/>
    <w:rsid w:val="00D31937"/>
    <w:rsid w:val="00D31EBF"/>
    <w:rsid w:val="00D32116"/>
    <w:rsid w:val="00D32394"/>
    <w:rsid w:val="00D323E9"/>
    <w:rsid w:val="00D32551"/>
    <w:rsid w:val="00D32559"/>
    <w:rsid w:val="00D32678"/>
    <w:rsid w:val="00D32FAE"/>
    <w:rsid w:val="00D33265"/>
    <w:rsid w:val="00D33C65"/>
    <w:rsid w:val="00D34A98"/>
    <w:rsid w:val="00D35145"/>
    <w:rsid w:val="00D36168"/>
    <w:rsid w:val="00D361CC"/>
    <w:rsid w:val="00D36271"/>
    <w:rsid w:val="00D364DE"/>
    <w:rsid w:val="00D36E4B"/>
    <w:rsid w:val="00D36FCC"/>
    <w:rsid w:val="00D3729A"/>
    <w:rsid w:val="00D374E8"/>
    <w:rsid w:val="00D376CF"/>
    <w:rsid w:val="00D37F2E"/>
    <w:rsid w:val="00D40023"/>
    <w:rsid w:val="00D40409"/>
    <w:rsid w:val="00D408E1"/>
    <w:rsid w:val="00D40C04"/>
    <w:rsid w:val="00D41A1B"/>
    <w:rsid w:val="00D41A20"/>
    <w:rsid w:val="00D41FEA"/>
    <w:rsid w:val="00D41FF5"/>
    <w:rsid w:val="00D42090"/>
    <w:rsid w:val="00D421C1"/>
    <w:rsid w:val="00D425B5"/>
    <w:rsid w:val="00D42733"/>
    <w:rsid w:val="00D42D0C"/>
    <w:rsid w:val="00D42F8D"/>
    <w:rsid w:val="00D43672"/>
    <w:rsid w:val="00D43724"/>
    <w:rsid w:val="00D43D21"/>
    <w:rsid w:val="00D43E2C"/>
    <w:rsid w:val="00D443CF"/>
    <w:rsid w:val="00D44543"/>
    <w:rsid w:val="00D44AE4"/>
    <w:rsid w:val="00D450A5"/>
    <w:rsid w:val="00D4517F"/>
    <w:rsid w:val="00D45209"/>
    <w:rsid w:val="00D453E5"/>
    <w:rsid w:val="00D45BD0"/>
    <w:rsid w:val="00D461A0"/>
    <w:rsid w:val="00D462EA"/>
    <w:rsid w:val="00D46732"/>
    <w:rsid w:val="00D46DA1"/>
    <w:rsid w:val="00D478A0"/>
    <w:rsid w:val="00D479E5"/>
    <w:rsid w:val="00D47B30"/>
    <w:rsid w:val="00D47B49"/>
    <w:rsid w:val="00D47E1A"/>
    <w:rsid w:val="00D47E48"/>
    <w:rsid w:val="00D49E08"/>
    <w:rsid w:val="00D50467"/>
    <w:rsid w:val="00D50496"/>
    <w:rsid w:val="00D5074A"/>
    <w:rsid w:val="00D50901"/>
    <w:rsid w:val="00D50B17"/>
    <w:rsid w:val="00D50BAC"/>
    <w:rsid w:val="00D50DE3"/>
    <w:rsid w:val="00D51031"/>
    <w:rsid w:val="00D511AB"/>
    <w:rsid w:val="00D5182D"/>
    <w:rsid w:val="00D518BD"/>
    <w:rsid w:val="00D520D3"/>
    <w:rsid w:val="00D52177"/>
    <w:rsid w:val="00D5219B"/>
    <w:rsid w:val="00D524BA"/>
    <w:rsid w:val="00D52511"/>
    <w:rsid w:val="00D52512"/>
    <w:rsid w:val="00D52DF8"/>
    <w:rsid w:val="00D530EF"/>
    <w:rsid w:val="00D530FB"/>
    <w:rsid w:val="00D539BD"/>
    <w:rsid w:val="00D53C7F"/>
    <w:rsid w:val="00D5457E"/>
    <w:rsid w:val="00D5480E"/>
    <w:rsid w:val="00D548A7"/>
    <w:rsid w:val="00D54972"/>
    <w:rsid w:val="00D54A57"/>
    <w:rsid w:val="00D54EB3"/>
    <w:rsid w:val="00D550D2"/>
    <w:rsid w:val="00D55292"/>
    <w:rsid w:val="00D55330"/>
    <w:rsid w:val="00D553B1"/>
    <w:rsid w:val="00D5577A"/>
    <w:rsid w:val="00D55BED"/>
    <w:rsid w:val="00D562DB"/>
    <w:rsid w:val="00D5655E"/>
    <w:rsid w:val="00D566C3"/>
    <w:rsid w:val="00D5673E"/>
    <w:rsid w:val="00D568E8"/>
    <w:rsid w:val="00D569C8"/>
    <w:rsid w:val="00D5732C"/>
    <w:rsid w:val="00D57798"/>
    <w:rsid w:val="00D57DDF"/>
    <w:rsid w:val="00D60077"/>
    <w:rsid w:val="00D6052C"/>
    <w:rsid w:val="00D61285"/>
    <w:rsid w:val="00D61831"/>
    <w:rsid w:val="00D61C5C"/>
    <w:rsid w:val="00D61EBF"/>
    <w:rsid w:val="00D61FF5"/>
    <w:rsid w:val="00D6287A"/>
    <w:rsid w:val="00D62DC0"/>
    <w:rsid w:val="00D63172"/>
    <w:rsid w:val="00D63341"/>
    <w:rsid w:val="00D63508"/>
    <w:rsid w:val="00D638E0"/>
    <w:rsid w:val="00D63D03"/>
    <w:rsid w:val="00D640D6"/>
    <w:rsid w:val="00D64214"/>
    <w:rsid w:val="00D64668"/>
    <w:rsid w:val="00D6485F"/>
    <w:rsid w:val="00D6542A"/>
    <w:rsid w:val="00D65694"/>
    <w:rsid w:val="00D65D6E"/>
    <w:rsid w:val="00D666DC"/>
    <w:rsid w:val="00D67043"/>
    <w:rsid w:val="00D670AF"/>
    <w:rsid w:val="00D672BA"/>
    <w:rsid w:val="00D67683"/>
    <w:rsid w:val="00D6771F"/>
    <w:rsid w:val="00D6776F"/>
    <w:rsid w:val="00D6793F"/>
    <w:rsid w:val="00D67AB2"/>
    <w:rsid w:val="00D67B25"/>
    <w:rsid w:val="00D67BC7"/>
    <w:rsid w:val="00D67DB2"/>
    <w:rsid w:val="00D700A0"/>
    <w:rsid w:val="00D70499"/>
    <w:rsid w:val="00D70677"/>
    <w:rsid w:val="00D70711"/>
    <w:rsid w:val="00D70721"/>
    <w:rsid w:val="00D7084A"/>
    <w:rsid w:val="00D70D7F"/>
    <w:rsid w:val="00D71485"/>
    <w:rsid w:val="00D71492"/>
    <w:rsid w:val="00D71498"/>
    <w:rsid w:val="00D715C1"/>
    <w:rsid w:val="00D7173E"/>
    <w:rsid w:val="00D71FCE"/>
    <w:rsid w:val="00D7203D"/>
    <w:rsid w:val="00D72402"/>
    <w:rsid w:val="00D72580"/>
    <w:rsid w:val="00D732CE"/>
    <w:rsid w:val="00D735D4"/>
    <w:rsid w:val="00D7375E"/>
    <w:rsid w:val="00D73978"/>
    <w:rsid w:val="00D73ED7"/>
    <w:rsid w:val="00D73F42"/>
    <w:rsid w:val="00D741AA"/>
    <w:rsid w:val="00D74AB6"/>
    <w:rsid w:val="00D74DE8"/>
    <w:rsid w:val="00D75618"/>
    <w:rsid w:val="00D75B6E"/>
    <w:rsid w:val="00D76646"/>
    <w:rsid w:val="00D766C2"/>
    <w:rsid w:val="00D7697D"/>
    <w:rsid w:val="00D7697F"/>
    <w:rsid w:val="00D76AC4"/>
    <w:rsid w:val="00D76E3F"/>
    <w:rsid w:val="00D7703C"/>
    <w:rsid w:val="00D807BE"/>
    <w:rsid w:val="00D80CC0"/>
    <w:rsid w:val="00D80E5A"/>
    <w:rsid w:val="00D811BC"/>
    <w:rsid w:val="00D81BE1"/>
    <w:rsid w:val="00D81C14"/>
    <w:rsid w:val="00D81C96"/>
    <w:rsid w:val="00D81CA9"/>
    <w:rsid w:val="00D81F29"/>
    <w:rsid w:val="00D82234"/>
    <w:rsid w:val="00D8239A"/>
    <w:rsid w:val="00D82820"/>
    <w:rsid w:val="00D829CB"/>
    <w:rsid w:val="00D82EC0"/>
    <w:rsid w:val="00D83202"/>
    <w:rsid w:val="00D835B9"/>
    <w:rsid w:val="00D8392C"/>
    <w:rsid w:val="00D83953"/>
    <w:rsid w:val="00D83FCB"/>
    <w:rsid w:val="00D83FDC"/>
    <w:rsid w:val="00D84B98"/>
    <w:rsid w:val="00D84FE5"/>
    <w:rsid w:val="00D850C0"/>
    <w:rsid w:val="00D85222"/>
    <w:rsid w:val="00D8579E"/>
    <w:rsid w:val="00D85849"/>
    <w:rsid w:val="00D85A00"/>
    <w:rsid w:val="00D86247"/>
    <w:rsid w:val="00D864C5"/>
    <w:rsid w:val="00D8654F"/>
    <w:rsid w:val="00D8666D"/>
    <w:rsid w:val="00D86BED"/>
    <w:rsid w:val="00D86CD4"/>
    <w:rsid w:val="00D87049"/>
    <w:rsid w:val="00D870C9"/>
    <w:rsid w:val="00D872D8"/>
    <w:rsid w:val="00D874A0"/>
    <w:rsid w:val="00D87871"/>
    <w:rsid w:val="00D87AD8"/>
    <w:rsid w:val="00D87B17"/>
    <w:rsid w:val="00D9026D"/>
    <w:rsid w:val="00D903FE"/>
    <w:rsid w:val="00D904CD"/>
    <w:rsid w:val="00D904E9"/>
    <w:rsid w:val="00D90872"/>
    <w:rsid w:val="00D90963"/>
    <w:rsid w:val="00D90CC6"/>
    <w:rsid w:val="00D90D25"/>
    <w:rsid w:val="00D912E3"/>
    <w:rsid w:val="00D91A22"/>
    <w:rsid w:val="00D91A38"/>
    <w:rsid w:val="00D91DA3"/>
    <w:rsid w:val="00D91E59"/>
    <w:rsid w:val="00D9218E"/>
    <w:rsid w:val="00D921A3"/>
    <w:rsid w:val="00D929E3"/>
    <w:rsid w:val="00D92AFB"/>
    <w:rsid w:val="00D93070"/>
    <w:rsid w:val="00D9313C"/>
    <w:rsid w:val="00D932B7"/>
    <w:rsid w:val="00D9382C"/>
    <w:rsid w:val="00D93C77"/>
    <w:rsid w:val="00D93C9B"/>
    <w:rsid w:val="00D93D21"/>
    <w:rsid w:val="00D93F6C"/>
    <w:rsid w:val="00D94019"/>
    <w:rsid w:val="00D9410F"/>
    <w:rsid w:val="00D94814"/>
    <w:rsid w:val="00D95373"/>
    <w:rsid w:val="00D955E3"/>
    <w:rsid w:val="00D95BD3"/>
    <w:rsid w:val="00D9652A"/>
    <w:rsid w:val="00D9677C"/>
    <w:rsid w:val="00D967B8"/>
    <w:rsid w:val="00D96856"/>
    <w:rsid w:val="00D96A9A"/>
    <w:rsid w:val="00D96EAC"/>
    <w:rsid w:val="00D970F1"/>
    <w:rsid w:val="00D9772D"/>
    <w:rsid w:val="00D977AE"/>
    <w:rsid w:val="00D979D4"/>
    <w:rsid w:val="00D97B82"/>
    <w:rsid w:val="00D97CA1"/>
    <w:rsid w:val="00D97DDB"/>
    <w:rsid w:val="00D97F13"/>
    <w:rsid w:val="00DA0093"/>
    <w:rsid w:val="00DA0536"/>
    <w:rsid w:val="00DA0650"/>
    <w:rsid w:val="00DA0A78"/>
    <w:rsid w:val="00DA0D3E"/>
    <w:rsid w:val="00DA0E5E"/>
    <w:rsid w:val="00DA1CF5"/>
    <w:rsid w:val="00DA215F"/>
    <w:rsid w:val="00DA2290"/>
    <w:rsid w:val="00DA25C3"/>
    <w:rsid w:val="00DA266D"/>
    <w:rsid w:val="00DA2857"/>
    <w:rsid w:val="00DA2982"/>
    <w:rsid w:val="00DA2A44"/>
    <w:rsid w:val="00DA2AE7"/>
    <w:rsid w:val="00DA32FF"/>
    <w:rsid w:val="00DA3671"/>
    <w:rsid w:val="00DA3C74"/>
    <w:rsid w:val="00DA3D1F"/>
    <w:rsid w:val="00DA3DB1"/>
    <w:rsid w:val="00DA3E97"/>
    <w:rsid w:val="00DA402E"/>
    <w:rsid w:val="00DA4453"/>
    <w:rsid w:val="00DA49EE"/>
    <w:rsid w:val="00DA4BC7"/>
    <w:rsid w:val="00DA4CDC"/>
    <w:rsid w:val="00DA4D7F"/>
    <w:rsid w:val="00DA4FE5"/>
    <w:rsid w:val="00DA5416"/>
    <w:rsid w:val="00DA54CF"/>
    <w:rsid w:val="00DA57E4"/>
    <w:rsid w:val="00DA5CB8"/>
    <w:rsid w:val="00DA6D0F"/>
    <w:rsid w:val="00DA7367"/>
    <w:rsid w:val="00DA74B7"/>
    <w:rsid w:val="00DA7774"/>
    <w:rsid w:val="00DA7789"/>
    <w:rsid w:val="00DB03D8"/>
    <w:rsid w:val="00DB043A"/>
    <w:rsid w:val="00DB052C"/>
    <w:rsid w:val="00DB075B"/>
    <w:rsid w:val="00DB09D9"/>
    <w:rsid w:val="00DB17D2"/>
    <w:rsid w:val="00DB1AF2"/>
    <w:rsid w:val="00DB2612"/>
    <w:rsid w:val="00DB2C42"/>
    <w:rsid w:val="00DB2C8E"/>
    <w:rsid w:val="00DB2D73"/>
    <w:rsid w:val="00DB32B6"/>
    <w:rsid w:val="00DB39F2"/>
    <w:rsid w:val="00DB4178"/>
    <w:rsid w:val="00DB41DA"/>
    <w:rsid w:val="00DB4528"/>
    <w:rsid w:val="00DB4845"/>
    <w:rsid w:val="00DB4C7E"/>
    <w:rsid w:val="00DB529C"/>
    <w:rsid w:val="00DB5408"/>
    <w:rsid w:val="00DB60B1"/>
    <w:rsid w:val="00DB6F8C"/>
    <w:rsid w:val="00DB7075"/>
    <w:rsid w:val="00DB747E"/>
    <w:rsid w:val="00DB758A"/>
    <w:rsid w:val="00DC0033"/>
    <w:rsid w:val="00DC018E"/>
    <w:rsid w:val="00DC01B8"/>
    <w:rsid w:val="00DC064B"/>
    <w:rsid w:val="00DC077D"/>
    <w:rsid w:val="00DC07CB"/>
    <w:rsid w:val="00DC0C3E"/>
    <w:rsid w:val="00DC0DAB"/>
    <w:rsid w:val="00DC11B0"/>
    <w:rsid w:val="00DC24D5"/>
    <w:rsid w:val="00DC29D5"/>
    <w:rsid w:val="00DC311C"/>
    <w:rsid w:val="00DC3347"/>
    <w:rsid w:val="00DC377F"/>
    <w:rsid w:val="00DC3C35"/>
    <w:rsid w:val="00DC406E"/>
    <w:rsid w:val="00DC4AD0"/>
    <w:rsid w:val="00DC5065"/>
    <w:rsid w:val="00DC5992"/>
    <w:rsid w:val="00DC5A41"/>
    <w:rsid w:val="00DC5CB4"/>
    <w:rsid w:val="00DC681A"/>
    <w:rsid w:val="00DC68CE"/>
    <w:rsid w:val="00DC77C5"/>
    <w:rsid w:val="00DC7C06"/>
    <w:rsid w:val="00DC7C97"/>
    <w:rsid w:val="00DC7EAC"/>
    <w:rsid w:val="00DD04E9"/>
    <w:rsid w:val="00DD0ED2"/>
    <w:rsid w:val="00DD104C"/>
    <w:rsid w:val="00DD120E"/>
    <w:rsid w:val="00DD16F1"/>
    <w:rsid w:val="00DD198F"/>
    <w:rsid w:val="00DD19AC"/>
    <w:rsid w:val="00DD1C5B"/>
    <w:rsid w:val="00DD2057"/>
    <w:rsid w:val="00DD2743"/>
    <w:rsid w:val="00DD28DB"/>
    <w:rsid w:val="00DD2B6A"/>
    <w:rsid w:val="00DD2BB6"/>
    <w:rsid w:val="00DD2C9D"/>
    <w:rsid w:val="00DD2FD0"/>
    <w:rsid w:val="00DD34AE"/>
    <w:rsid w:val="00DD370F"/>
    <w:rsid w:val="00DD392A"/>
    <w:rsid w:val="00DD3C5C"/>
    <w:rsid w:val="00DD3D9D"/>
    <w:rsid w:val="00DD407A"/>
    <w:rsid w:val="00DD41BD"/>
    <w:rsid w:val="00DD41DB"/>
    <w:rsid w:val="00DD4A67"/>
    <w:rsid w:val="00DD5984"/>
    <w:rsid w:val="00DD5D5E"/>
    <w:rsid w:val="00DD617A"/>
    <w:rsid w:val="00DD6643"/>
    <w:rsid w:val="00DD6713"/>
    <w:rsid w:val="00DD6A1C"/>
    <w:rsid w:val="00DD70BD"/>
    <w:rsid w:val="00DD7353"/>
    <w:rsid w:val="00DD73D4"/>
    <w:rsid w:val="00DD7943"/>
    <w:rsid w:val="00DD7EE9"/>
    <w:rsid w:val="00DE0021"/>
    <w:rsid w:val="00DE0136"/>
    <w:rsid w:val="00DE02FC"/>
    <w:rsid w:val="00DE0EE9"/>
    <w:rsid w:val="00DE0F19"/>
    <w:rsid w:val="00DE19ED"/>
    <w:rsid w:val="00DE1ED8"/>
    <w:rsid w:val="00DE1EF7"/>
    <w:rsid w:val="00DE1F8F"/>
    <w:rsid w:val="00DE2BA1"/>
    <w:rsid w:val="00DE2FA8"/>
    <w:rsid w:val="00DE351E"/>
    <w:rsid w:val="00DE3530"/>
    <w:rsid w:val="00DE35A9"/>
    <w:rsid w:val="00DE3791"/>
    <w:rsid w:val="00DE3887"/>
    <w:rsid w:val="00DE3AAE"/>
    <w:rsid w:val="00DE3D30"/>
    <w:rsid w:val="00DE3E4D"/>
    <w:rsid w:val="00DE4153"/>
    <w:rsid w:val="00DE4189"/>
    <w:rsid w:val="00DE4362"/>
    <w:rsid w:val="00DE4556"/>
    <w:rsid w:val="00DE45D2"/>
    <w:rsid w:val="00DE4744"/>
    <w:rsid w:val="00DE47BB"/>
    <w:rsid w:val="00DE4886"/>
    <w:rsid w:val="00DE4F94"/>
    <w:rsid w:val="00DE4FE2"/>
    <w:rsid w:val="00DE50DA"/>
    <w:rsid w:val="00DE5476"/>
    <w:rsid w:val="00DE55BB"/>
    <w:rsid w:val="00DE5765"/>
    <w:rsid w:val="00DE58A5"/>
    <w:rsid w:val="00DE5935"/>
    <w:rsid w:val="00DE60A2"/>
    <w:rsid w:val="00DE67A7"/>
    <w:rsid w:val="00DE6A6D"/>
    <w:rsid w:val="00DE6C20"/>
    <w:rsid w:val="00DE70C1"/>
    <w:rsid w:val="00DE70D0"/>
    <w:rsid w:val="00DE72F5"/>
    <w:rsid w:val="00DE7E45"/>
    <w:rsid w:val="00DF06F2"/>
    <w:rsid w:val="00DF09E0"/>
    <w:rsid w:val="00DF09F0"/>
    <w:rsid w:val="00DF0E09"/>
    <w:rsid w:val="00DF146F"/>
    <w:rsid w:val="00DF15A7"/>
    <w:rsid w:val="00DF15F9"/>
    <w:rsid w:val="00DF1BE4"/>
    <w:rsid w:val="00DF1C2E"/>
    <w:rsid w:val="00DF1E58"/>
    <w:rsid w:val="00DF2056"/>
    <w:rsid w:val="00DF23D3"/>
    <w:rsid w:val="00DF25DB"/>
    <w:rsid w:val="00DF25E3"/>
    <w:rsid w:val="00DF2C03"/>
    <w:rsid w:val="00DF2F27"/>
    <w:rsid w:val="00DF2F30"/>
    <w:rsid w:val="00DF319B"/>
    <w:rsid w:val="00DF32F6"/>
    <w:rsid w:val="00DF3A0D"/>
    <w:rsid w:val="00DF3D03"/>
    <w:rsid w:val="00DF460B"/>
    <w:rsid w:val="00DF4FFE"/>
    <w:rsid w:val="00DF583E"/>
    <w:rsid w:val="00DF58C7"/>
    <w:rsid w:val="00DF593A"/>
    <w:rsid w:val="00DF59C7"/>
    <w:rsid w:val="00DF5CA2"/>
    <w:rsid w:val="00DF5D35"/>
    <w:rsid w:val="00DF5E8E"/>
    <w:rsid w:val="00DF5FDF"/>
    <w:rsid w:val="00DF6320"/>
    <w:rsid w:val="00DF6393"/>
    <w:rsid w:val="00DF63E9"/>
    <w:rsid w:val="00DF65C6"/>
    <w:rsid w:val="00DF6A2D"/>
    <w:rsid w:val="00DF6A33"/>
    <w:rsid w:val="00DF6DA4"/>
    <w:rsid w:val="00DF6F52"/>
    <w:rsid w:val="00DF7071"/>
    <w:rsid w:val="00DF72B1"/>
    <w:rsid w:val="00DF7374"/>
    <w:rsid w:val="00DF77A0"/>
    <w:rsid w:val="00DF790A"/>
    <w:rsid w:val="00DF79A1"/>
    <w:rsid w:val="00DF7A06"/>
    <w:rsid w:val="00DF7C20"/>
    <w:rsid w:val="00DF7D8B"/>
    <w:rsid w:val="00DF7F99"/>
    <w:rsid w:val="00E0029C"/>
    <w:rsid w:val="00E00961"/>
    <w:rsid w:val="00E00C08"/>
    <w:rsid w:val="00E00E9A"/>
    <w:rsid w:val="00E01065"/>
    <w:rsid w:val="00E011CF"/>
    <w:rsid w:val="00E011F8"/>
    <w:rsid w:val="00E0187D"/>
    <w:rsid w:val="00E01AE4"/>
    <w:rsid w:val="00E02C96"/>
    <w:rsid w:val="00E03D50"/>
    <w:rsid w:val="00E0411A"/>
    <w:rsid w:val="00E04637"/>
    <w:rsid w:val="00E04704"/>
    <w:rsid w:val="00E04908"/>
    <w:rsid w:val="00E05452"/>
    <w:rsid w:val="00E0549E"/>
    <w:rsid w:val="00E05A92"/>
    <w:rsid w:val="00E05DE4"/>
    <w:rsid w:val="00E06D45"/>
    <w:rsid w:val="00E0709F"/>
    <w:rsid w:val="00E105BF"/>
    <w:rsid w:val="00E10941"/>
    <w:rsid w:val="00E10A88"/>
    <w:rsid w:val="00E10E25"/>
    <w:rsid w:val="00E11133"/>
    <w:rsid w:val="00E118FF"/>
    <w:rsid w:val="00E122CD"/>
    <w:rsid w:val="00E12599"/>
    <w:rsid w:val="00E12825"/>
    <w:rsid w:val="00E1313A"/>
    <w:rsid w:val="00E1393C"/>
    <w:rsid w:val="00E13CA4"/>
    <w:rsid w:val="00E13E12"/>
    <w:rsid w:val="00E13E48"/>
    <w:rsid w:val="00E1437F"/>
    <w:rsid w:val="00E14684"/>
    <w:rsid w:val="00E14735"/>
    <w:rsid w:val="00E14AF0"/>
    <w:rsid w:val="00E14C21"/>
    <w:rsid w:val="00E14D61"/>
    <w:rsid w:val="00E15658"/>
    <w:rsid w:val="00E1576C"/>
    <w:rsid w:val="00E157DB"/>
    <w:rsid w:val="00E15DB9"/>
    <w:rsid w:val="00E1616C"/>
    <w:rsid w:val="00E161D1"/>
    <w:rsid w:val="00E161EE"/>
    <w:rsid w:val="00E1672B"/>
    <w:rsid w:val="00E16AAD"/>
    <w:rsid w:val="00E170A8"/>
    <w:rsid w:val="00E170AE"/>
    <w:rsid w:val="00E1762A"/>
    <w:rsid w:val="00E17698"/>
    <w:rsid w:val="00E17797"/>
    <w:rsid w:val="00E17891"/>
    <w:rsid w:val="00E17C81"/>
    <w:rsid w:val="00E17E77"/>
    <w:rsid w:val="00E20379"/>
    <w:rsid w:val="00E2085E"/>
    <w:rsid w:val="00E20995"/>
    <w:rsid w:val="00E20DC9"/>
    <w:rsid w:val="00E20F8D"/>
    <w:rsid w:val="00E2149E"/>
    <w:rsid w:val="00E217E8"/>
    <w:rsid w:val="00E218EE"/>
    <w:rsid w:val="00E21C90"/>
    <w:rsid w:val="00E21DC4"/>
    <w:rsid w:val="00E21EA3"/>
    <w:rsid w:val="00E21F97"/>
    <w:rsid w:val="00E22037"/>
    <w:rsid w:val="00E22122"/>
    <w:rsid w:val="00E225CD"/>
    <w:rsid w:val="00E22A70"/>
    <w:rsid w:val="00E23586"/>
    <w:rsid w:val="00E2359B"/>
    <w:rsid w:val="00E23718"/>
    <w:rsid w:val="00E2382B"/>
    <w:rsid w:val="00E24047"/>
    <w:rsid w:val="00E24B67"/>
    <w:rsid w:val="00E24CE6"/>
    <w:rsid w:val="00E2511F"/>
    <w:rsid w:val="00E252A1"/>
    <w:rsid w:val="00E258B4"/>
    <w:rsid w:val="00E25D73"/>
    <w:rsid w:val="00E25ED5"/>
    <w:rsid w:val="00E25F22"/>
    <w:rsid w:val="00E266D6"/>
    <w:rsid w:val="00E26C42"/>
    <w:rsid w:val="00E26F96"/>
    <w:rsid w:val="00E27297"/>
    <w:rsid w:val="00E2732E"/>
    <w:rsid w:val="00E27459"/>
    <w:rsid w:val="00E279D4"/>
    <w:rsid w:val="00E27B11"/>
    <w:rsid w:val="00E27CE0"/>
    <w:rsid w:val="00E27D36"/>
    <w:rsid w:val="00E27ED0"/>
    <w:rsid w:val="00E30111"/>
    <w:rsid w:val="00E30329"/>
    <w:rsid w:val="00E3037E"/>
    <w:rsid w:val="00E30394"/>
    <w:rsid w:val="00E30547"/>
    <w:rsid w:val="00E30664"/>
    <w:rsid w:val="00E30CBD"/>
    <w:rsid w:val="00E30ED7"/>
    <w:rsid w:val="00E31277"/>
    <w:rsid w:val="00E312EF"/>
    <w:rsid w:val="00E31425"/>
    <w:rsid w:val="00E314EA"/>
    <w:rsid w:val="00E31B1C"/>
    <w:rsid w:val="00E31D6D"/>
    <w:rsid w:val="00E31DDD"/>
    <w:rsid w:val="00E321AC"/>
    <w:rsid w:val="00E32713"/>
    <w:rsid w:val="00E327BD"/>
    <w:rsid w:val="00E32965"/>
    <w:rsid w:val="00E329E1"/>
    <w:rsid w:val="00E32B06"/>
    <w:rsid w:val="00E32D1E"/>
    <w:rsid w:val="00E3311B"/>
    <w:rsid w:val="00E33149"/>
    <w:rsid w:val="00E3349F"/>
    <w:rsid w:val="00E33500"/>
    <w:rsid w:val="00E3393A"/>
    <w:rsid w:val="00E339A1"/>
    <w:rsid w:val="00E33BF0"/>
    <w:rsid w:val="00E33C6C"/>
    <w:rsid w:val="00E33DE0"/>
    <w:rsid w:val="00E33EF4"/>
    <w:rsid w:val="00E34139"/>
    <w:rsid w:val="00E3415B"/>
    <w:rsid w:val="00E34A1C"/>
    <w:rsid w:val="00E34B52"/>
    <w:rsid w:val="00E34F12"/>
    <w:rsid w:val="00E359B8"/>
    <w:rsid w:val="00E36046"/>
    <w:rsid w:val="00E361C7"/>
    <w:rsid w:val="00E36240"/>
    <w:rsid w:val="00E36F80"/>
    <w:rsid w:val="00E376E1"/>
    <w:rsid w:val="00E40594"/>
    <w:rsid w:val="00E40D03"/>
    <w:rsid w:val="00E40E3E"/>
    <w:rsid w:val="00E41BFB"/>
    <w:rsid w:val="00E42475"/>
    <w:rsid w:val="00E43296"/>
    <w:rsid w:val="00E433A4"/>
    <w:rsid w:val="00E43521"/>
    <w:rsid w:val="00E435C6"/>
    <w:rsid w:val="00E437AC"/>
    <w:rsid w:val="00E43D88"/>
    <w:rsid w:val="00E44126"/>
    <w:rsid w:val="00E441ED"/>
    <w:rsid w:val="00E44269"/>
    <w:rsid w:val="00E44406"/>
    <w:rsid w:val="00E44437"/>
    <w:rsid w:val="00E447C4"/>
    <w:rsid w:val="00E44931"/>
    <w:rsid w:val="00E44CAF"/>
    <w:rsid w:val="00E44CBB"/>
    <w:rsid w:val="00E458DB"/>
    <w:rsid w:val="00E4593D"/>
    <w:rsid w:val="00E4599B"/>
    <w:rsid w:val="00E45A8C"/>
    <w:rsid w:val="00E45F49"/>
    <w:rsid w:val="00E4622B"/>
    <w:rsid w:val="00E46DC5"/>
    <w:rsid w:val="00E47724"/>
    <w:rsid w:val="00E478FE"/>
    <w:rsid w:val="00E47AEA"/>
    <w:rsid w:val="00E47BD5"/>
    <w:rsid w:val="00E50337"/>
    <w:rsid w:val="00E50664"/>
    <w:rsid w:val="00E50681"/>
    <w:rsid w:val="00E50A31"/>
    <w:rsid w:val="00E50CC1"/>
    <w:rsid w:val="00E50D64"/>
    <w:rsid w:val="00E50E67"/>
    <w:rsid w:val="00E51719"/>
    <w:rsid w:val="00E519A6"/>
    <w:rsid w:val="00E51A45"/>
    <w:rsid w:val="00E51C15"/>
    <w:rsid w:val="00E5242A"/>
    <w:rsid w:val="00E52619"/>
    <w:rsid w:val="00E527BB"/>
    <w:rsid w:val="00E52A84"/>
    <w:rsid w:val="00E52A88"/>
    <w:rsid w:val="00E52E09"/>
    <w:rsid w:val="00E532D5"/>
    <w:rsid w:val="00E53FF0"/>
    <w:rsid w:val="00E546AC"/>
    <w:rsid w:val="00E54C09"/>
    <w:rsid w:val="00E54D9E"/>
    <w:rsid w:val="00E55018"/>
    <w:rsid w:val="00E5545C"/>
    <w:rsid w:val="00E55669"/>
    <w:rsid w:val="00E5575B"/>
    <w:rsid w:val="00E55ADA"/>
    <w:rsid w:val="00E55EAB"/>
    <w:rsid w:val="00E5637F"/>
    <w:rsid w:val="00E5661C"/>
    <w:rsid w:val="00E56A8A"/>
    <w:rsid w:val="00E56E88"/>
    <w:rsid w:val="00E56F6E"/>
    <w:rsid w:val="00E57456"/>
    <w:rsid w:val="00E5756F"/>
    <w:rsid w:val="00E57B06"/>
    <w:rsid w:val="00E57E3C"/>
    <w:rsid w:val="00E57EC1"/>
    <w:rsid w:val="00E6015D"/>
    <w:rsid w:val="00E60242"/>
    <w:rsid w:val="00E6034E"/>
    <w:rsid w:val="00E60CA1"/>
    <w:rsid w:val="00E60D48"/>
    <w:rsid w:val="00E6128A"/>
    <w:rsid w:val="00E6130F"/>
    <w:rsid w:val="00E61A89"/>
    <w:rsid w:val="00E61F26"/>
    <w:rsid w:val="00E6202D"/>
    <w:rsid w:val="00E6210B"/>
    <w:rsid w:val="00E62202"/>
    <w:rsid w:val="00E622C8"/>
    <w:rsid w:val="00E629B1"/>
    <w:rsid w:val="00E62D27"/>
    <w:rsid w:val="00E634E9"/>
    <w:rsid w:val="00E635F9"/>
    <w:rsid w:val="00E63AC1"/>
    <w:rsid w:val="00E641E3"/>
    <w:rsid w:val="00E6427F"/>
    <w:rsid w:val="00E642E9"/>
    <w:rsid w:val="00E653E7"/>
    <w:rsid w:val="00E65534"/>
    <w:rsid w:val="00E65701"/>
    <w:rsid w:val="00E65776"/>
    <w:rsid w:val="00E65A15"/>
    <w:rsid w:val="00E65BF3"/>
    <w:rsid w:val="00E661C4"/>
    <w:rsid w:val="00E66304"/>
    <w:rsid w:val="00E66419"/>
    <w:rsid w:val="00E66595"/>
    <w:rsid w:val="00E665B6"/>
    <w:rsid w:val="00E665E9"/>
    <w:rsid w:val="00E6677A"/>
    <w:rsid w:val="00E66783"/>
    <w:rsid w:val="00E66AC2"/>
    <w:rsid w:val="00E66B3B"/>
    <w:rsid w:val="00E66CF6"/>
    <w:rsid w:val="00E66DAB"/>
    <w:rsid w:val="00E66F02"/>
    <w:rsid w:val="00E6768D"/>
    <w:rsid w:val="00E67827"/>
    <w:rsid w:val="00E67CB0"/>
    <w:rsid w:val="00E67E95"/>
    <w:rsid w:val="00E705E0"/>
    <w:rsid w:val="00E70894"/>
    <w:rsid w:val="00E710BD"/>
    <w:rsid w:val="00E714D4"/>
    <w:rsid w:val="00E719AE"/>
    <w:rsid w:val="00E719BC"/>
    <w:rsid w:val="00E7246F"/>
    <w:rsid w:val="00E727D2"/>
    <w:rsid w:val="00E73030"/>
    <w:rsid w:val="00E7382B"/>
    <w:rsid w:val="00E73F7E"/>
    <w:rsid w:val="00E74212"/>
    <w:rsid w:val="00E747F4"/>
    <w:rsid w:val="00E748D3"/>
    <w:rsid w:val="00E749C9"/>
    <w:rsid w:val="00E74DE8"/>
    <w:rsid w:val="00E7505E"/>
    <w:rsid w:val="00E753A1"/>
    <w:rsid w:val="00E7581C"/>
    <w:rsid w:val="00E75B06"/>
    <w:rsid w:val="00E75CC6"/>
    <w:rsid w:val="00E76215"/>
    <w:rsid w:val="00E76487"/>
    <w:rsid w:val="00E770D4"/>
    <w:rsid w:val="00E77105"/>
    <w:rsid w:val="00E77645"/>
    <w:rsid w:val="00E77B5E"/>
    <w:rsid w:val="00E77F57"/>
    <w:rsid w:val="00E800B3"/>
    <w:rsid w:val="00E803D7"/>
    <w:rsid w:val="00E803F6"/>
    <w:rsid w:val="00E80598"/>
    <w:rsid w:val="00E807F6"/>
    <w:rsid w:val="00E80F33"/>
    <w:rsid w:val="00E80F5F"/>
    <w:rsid w:val="00E81430"/>
    <w:rsid w:val="00E81918"/>
    <w:rsid w:val="00E81CE4"/>
    <w:rsid w:val="00E81E24"/>
    <w:rsid w:val="00E821C8"/>
    <w:rsid w:val="00E828FE"/>
    <w:rsid w:val="00E83339"/>
    <w:rsid w:val="00E8353E"/>
    <w:rsid w:val="00E836BC"/>
    <w:rsid w:val="00E837AB"/>
    <w:rsid w:val="00E84043"/>
    <w:rsid w:val="00E84A6F"/>
    <w:rsid w:val="00E84D13"/>
    <w:rsid w:val="00E85255"/>
    <w:rsid w:val="00E8525B"/>
    <w:rsid w:val="00E856B7"/>
    <w:rsid w:val="00E859A7"/>
    <w:rsid w:val="00E859D5"/>
    <w:rsid w:val="00E85BDB"/>
    <w:rsid w:val="00E86219"/>
    <w:rsid w:val="00E86445"/>
    <w:rsid w:val="00E866AD"/>
    <w:rsid w:val="00E86712"/>
    <w:rsid w:val="00E86E65"/>
    <w:rsid w:val="00E86EC5"/>
    <w:rsid w:val="00E86F4D"/>
    <w:rsid w:val="00E87023"/>
    <w:rsid w:val="00E87315"/>
    <w:rsid w:val="00E877AC"/>
    <w:rsid w:val="00E87856"/>
    <w:rsid w:val="00E878EF"/>
    <w:rsid w:val="00E87FDA"/>
    <w:rsid w:val="00E9069A"/>
    <w:rsid w:val="00E908C2"/>
    <w:rsid w:val="00E90ADE"/>
    <w:rsid w:val="00E9107A"/>
    <w:rsid w:val="00E910EE"/>
    <w:rsid w:val="00E91860"/>
    <w:rsid w:val="00E918F9"/>
    <w:rsid w:val="00E91B69"/>
    <w:rsid w:val="00E91CED"/>
    <w:rsid w:val="00E92108"/>
    <w:rsid w:val="00E92919"/>
    <w:rsid w:val="00E929F8"/>
    <w:rsid w:val="00E92A66"/>
    <w:rsid w:val="00E92B36"/>
    <w:rsid w:val="00E92BF6"/>
    <w:rsid w:val="00E92C08"/>
    <w:rsid w:val="00E92CC7"/>
    <w:rsid w:val="00E92EE2"/>
    <w:rsid w:val="00E935B1"/>
    <w:rsid w:val="00E935CD"/>
    <w:rsid w:val="00E9363F"/>
    <w:rsid w:val="00E937AD"/>
    <w:rsid w:val="00E9389D"/>
    <w:rsid w:val="00E93A13"/>
    <w:rsid w:val="00E93D2A"/>
    <w:rsid w:val="00E93E85"/>
    <w:rsid w:val="00E940B5"/>
    <w:rsid w:val="00E94474"/>
    <w:rsid w:val="00E94E86"/>
    <w:rsid w:val="00E94F63"/>
    <w:rsid w:val="00E94F76"/>
    <w:rsid w:val="00E94FAC"/>
    <w:rsid w:val="00E95A1E"/>
    <w:rsid w:val="00E95CAE"/>
    <w:rsid w:val="00E96150"/>
    <w:rsid w:val="00E961A6"/>
    <w:rsid w:val="00E96353"/>
    <w:rsid w:val="00E968EE"/>
    <w:rsid w:val="00E9694F"/>
    <w:rsid w:val="00E96AEE"/>
    <w:rsid w:val="00E9711A"/>
    <w:rsid w:val="00E97127"/>
    <w:rsid w:val="00E9744D"/>
    <w:rsid w:val="00E979E4"/>
    <w:rsid w:val="00E97E6A"/>
    <w:rsid w:val="00E97EAA"/>
    <w:rsid w:val="00E97F5A"/>
    <w:rsid w:val="00EA094A"/>
    <w:rsid w:val="00EA0C06"/>
    <w:rsid w:val="00EA0F14"/>
    <w:rsid w:val="00EA163D"/>
    <w:rsid w:val="00EA1965"/>
    <w:rsid w:val="00EA20C8"/>
    <w:rsid w:val="00EA2196"/>
    <w:rsid w:val="00EA2B17"/>
    <w:rsid w:val="00EA2BA3"/>
    <w:rsid w:val="00EA2E6F"/>
    <w:rsid w:val="00EA2F34"/>
    <w:rsid w:val="00EA32FA"/>
    <w:rsid w:val="00EA33D7"/>
    <w:rsid w:val="00EA386A"/>
    <w:rsid w:val="00EA3970"/>
    <w:rsid w:val="00EA3A11"/>
    <w:rsid w:val="00EA3A1D"/>
    <w:rsid w:val="00EA3C63"/>
    <w:rsid w:val="00EA3E4A"/>
    <w:rsid w:val="00EA417A"/>
    <w:rsid w:val="00EA432A"/>
    <w:rsid w:val="00EA43B2"/>
    <w:rsid w:val="00EA4A9A"/>
    <w:rsid w:val="00EA5136"/>
    <w:rsid w:val="00EA513B"/>
    <w:rsid w:val="00EA5429"/>
    <w:rsid w:val="00EA5453"/>
    <w:rsid w:val="00EA5595"/>
    <w:rsid w:val="00EA59F8"/>
    <w:rsid w:val="00EA5C8B"/>
    <w:rsid w:val="00EA5CAD"/>
    <w:rsid w:val="00EA5CD6"/>
    <w:rsid w:val="00EA6A1E"/>
    <w:rsid w:val="00EA6CCA"/>
    <w:rsid w:val="00EA7721"/>
    <w:rsid w:val="00EAD2D1"/>
    <w:rsid w:val="00EB0545"/>
    <w:rsid w:val="00EB05D1"/>
    <w:rsid w:val="00EB0C54"/>
    <w:rsid w:val="00EB1136"/>
    <w:rsid w:val="00EB186C"/>
    <w:rsid w:val="00EB1874"/>
    <w:rsid w:val="00EB189F"/>
    <w:rsid w:val="00EB19A6"/>
    <w:rsid w:val="00EB1B3D"/>
    <w:rsid w:val="00EB1B3E"/>
    <w:rsid w:val="00EB1E44"/>
    <w:rsid w:val="00EB2129"/>
    <w:rsid w:val="00EB2F5B"/>
    <w:rsid w:val="00EB32B0"/>
    <w:rsid w:val="00EB3931"/>
    <w:rsid w:val="00EB3BE1"/>
    <w:rsid w:val="00EB3E4E"/>
    <w:rsid w:val="00EB4C75"/>
    <w:rsid w:val="00EB5128"/>
    <w:rsid w:val="00EB52F8"/>
    <w:rsid w:val="00EB5493"/>
    <w:rsid w:val="00EB5576"/>
    <w:rsid w:val="00EB595F"/>
    <w:rsid w:val="00EB5C95"/>
    <w:rsid w:val="00EB5F46"/>
    <w:rsid w:val="00EB5FDA"/>
    <w:rsid w:val="00EB61AD"/>
    <w:rsid w:val="00EB66E1"/>
    <w:rsid w:val="00EB6A5B"/>
    <w:rsid w:val="00EB6B26"/>
    <w:rsid w:val="00EB6D58"/>
    <w:rsid w:val="00EB725E"/>
    <w:rsid w:val="00EB762D"/>
    <w:rsid w:val="00EB76EC"/>
    <w:rsid w:val="00EB78A5"/>
    <w:rsid w:val="00EB796F"/>
    <w:rsid w:val="00EB79F0"/>
    <w:rsid w:val="00EB7AFA"/>
    <w:rsid w:val="00EB7CC4"/>
    <w:rsid w:val="00EB7E6F"/>
    <w:rsid w:val="00EC0710"/>
    <w:rsid w:val="00EC073E"/>
    <w:rsid w:val="00EC089D"/>
    <w:rsid w:val="00EC0DD8"/>
    <w:rsid w:val="00EC0F2C"/>
    <w:rsid w:val="00EC1538"/>
    <w:rsid w:val="00EC16A5"/>
    <w:rsid w:val="00EC1DF6"/>
    <w:rsid w:val="00EC1EE6"/>
    <w:rsid w:val="00EC1FAD"/>
    <w:rsid w:val="00EC2A5E"/>
    <w:rsid w:val="00EC2C46"/>
    <w:rsid w:val="00EC3011"/>
    <w:rsid w:val="00EC310D"/>
    <w:rsid w:val="00EC3128"/>
    <w:rsid w:val="00EC3274"/>
    <w:rsid w:val="00EC3465"/>
    <w:rsid w:val="00EC38AF"/>
    <w:rsid w:val="00EC3C40"/>
    <w:rsid w:val="00EC3F9F"/>
    <w:rsid w:val="00EC43EB"/>
    <w:rsid w:val="00EC451E"/>
    <w:rsid w:val="00EC46C2"/>
    <w:rsid w:val="00EC4B66"/>
    <w:rsid w:val="00EC4B6E"/>
    <w:rsid w:val="00EC4F0A"/>
    <w:rsid w:val="00EC5115"/>
    <w:rsid w:val="00EC5514"/>
    <w:rsid w:val="00EC579B"/>
    <w:rsid w:val="00EC5888"/>
    <w:rsid w:val="00EC58AB"/>
    <w:rsid w:val="00EC5986"/>
    <w:rsid w:val="00EC5FA7"/>
    <w:rsid w:val="00EC63D1"/>
    <w:rsid w:val="00EC698E"/>
    <w:rsid w:val="00EC6A56"/>
    <w:rsid w:val="00EC6ECE"/>
    <w:rsid w:val="00EC767F"/>
    <w:rsid w:val="00EC7F55"/>
    <w:rsid w:val="00EC7F68"/>
    <w:rsid w:val="00ED03F5"/>
    <w:rsid w:val="00ED0550"/>
    <w:rsid w:val="00ED071E"/>
    <w:rsid w:val="00ED0D4B"/>
    <w:rsid w:val="00ED10B8"/>
    <w:rsid w:val="00ED1144"/>
    <w:rsid w:val="00ED12EF"/>
    <w:rsid w:val="00ED15AB"/>
    <w:rsid w:val="00ED2676"/>
    <w:rsid w:val="00ED268F"/>
    <w:rsid w:val="00ED26D2"/>
    <w:rsid w:val="00ED328B"/>
    <w:rsid w:val="00ED36BF"/>
    <w:rsid w:val="00ED3928"/>
    <w:rsid w:val="00ED3CCB"/>
    <w:rsid w:val="00ED3D88"/>
    <w:rsid w:val="00ED400F"/>
    <w:rsid w:val="00ED46E1"/>
    <w:rsid w:val="00ED48D8"/>
    <w:rsid w:val="00ED4DAE"/>
    <w:rsid w:val="00ED4F2F"/>
    <w:rsid w:val="00ED4F65"/>
    <w:rsid w:val="00ED4FED"/>
    <w:rsid w:val="00ED5A84"/>
    <w:rsid w:val="00ED5F52"/>
    <w:rsid w:val="00ED667C"/>
    <w:rsid w:val="00ED6A1B"/>
    <w:rsid w:val="00ED6CFC"/>
    <w:rsid w:val="00ED7091"/>
    <w:rsid w:val="00ED7574"/>
    <w:rsid w:val="00ED77FF"/>
    <w:rsid w:val="00ED79CC"/>
    <w:rsid w:val="00ED7BFF"/>
    <w:rsid w:val="00ED7D02"/>
    <w:rsid w:val="00EE00B3"/>
    <w:rsid w:val="00EE06FF"/>
    <w:rsid w:val="00EE0AAE"/>
    <w:rsid w:val="00EE0D10"/>
    <w:rsid w:val="00EE1206"/>
    <w:rsid w:val="00EE1789"/>
    <w:rsid w:val="00EE187A"/>
    <w:rsid w:val="00EE1B15"/>
    <w:rsid w:val="00EE1D84"/>
    <w:rsid w:val="00EE224B"/>
    <w:rsid w:val="00EE26A0"/>
    <w:rsid w:val="00EE2C78"/>
    <w:rsid w:val="00EE2CA0"/>
    <w:rsid w:val="00EE2EDF"/>
    <w:rsid w:val="00EE31A5"/>
    <w:rsid w:val="00EE32A0"/>
    <w:rsid w:val="00EE34FB"/>
    <w:rsid w:val="00EE3959"/>
    <w:rsid w:val="00EE3BEC"/>
    <w:rsid w:val="00EE3C58"/>
    <w:rsid w:val="00EE3EF9"/>
    <w:rsid w:val="00EE3F44"/>
    <w:rsid w:val="00EE41EB"/>
    <w:rsid w:val="00EE42A9"/>
    <w:rsid w:val="00EE4AC7"/>
    <w:rsid w:val="00EE4FAA"/>
    <w:rsid w:val="00EE52E0"/>
    <w:rsid w:val="00EE5C9E"/>
    <w:rsid w:val="00EE5E06"/>
    <w:rsid w:val="00EE5E78"/>
    <w:rsid w:val="00EE601F"/>
    <w:rsid w:val="00EE62E8"/>
    <w:rsid w:val="00EE6677"/>
    <w:rsid w:val="00EE6944"/>
    <w:rsid w:val="00EE72F1"/>
    <w:rsid w:val="00EE7E06"/>
    <w:rsid w:val="00EE7F61"/>
    <w:rsid w:val="00EE7F65"/>
    <w:rsid w:val="00EF0030"/>
    <w:rsid w:val="00EF01E4"/>
    <w:rsid w:val="00EF0F94"/>
    <w:rsid w:val="00EF10A0"/>
    <w:rsid w:val="00EF12DB"/>
    <w:rsid w:val="00EF134E"/>
    <w:rsid w:val="00EF16F8"/>
    <w:rsid w:val="00EF1717"/>
    <w:rsid w:val="00EF173B"/>
    <w:rsid w:val="00EF2C4A"/>
    <w:rsid w:val="00EF2CCD"/>
    <w:rsid w:val="00EF2D21"/>
    <w:rsid w:val="00EF2FE2"/>
    <w:rsid w:val="00EF324A"/>
    <w:rsid w:val="00EF35BA"/>
    <w:rsid w:val="00EF3C26"/>
    <w:rsid w:val="00EF3F06"/>
    <w:rsid w:val="00EF4636"/>
    <w:rsid w:val="00EF4716"/>
    <w:rsid w:val="00EF49CB"/>
    <w:rsid w:val="00EF4D57"/>
    <w:rsid w:val="00EF5294"/>
    <w:rsid w:val="00EF544A"/>
    <w:rsid w:val="00EF6078"/>
    <w:rsid w:val="00EF6172"/>
    <w:rsid w:val="00EF6237"/>
    <w:rsid w:val="00EF62BC"/>
    <w:rsid w:val="00EF64C5"/>
    <w:rsid w:val="00EF6516"/>
    <w:rsid w:val="00EF6615"/>
    <w:rsid w:val="00EF6B75"/>
    <w:rsid w:val="00EF6C20"/>
    <w:rsid w:val="00EF6CC5"/>
    <w:rsid w:val="00EF6DF7"/>
    <w:rsid w:val="00EF71CF"/>
    <w:rsid w:val="00EF7797"/>
    <w:rsid w:val="00EF78B0"/>
    <w:rsid w:val="00EF798A"/>
    <w:rsid w:val="00EF7DCB"/>
    <w:rsid w:val="00F00641"/>
    <w:rsid w:val="00F007F5"/>
    <w:rsid w:val="00F00A60"/>
    <w:rsid w:val="00F00ABA"/>
    <w:rsid w:val="00F01185"/>
    <w:rsid w:val="00F01360"/>
    <w:rsid w:val="00F014C4"/>
    <w:rsid w:val="00F015B4"/>
    <w:rsid w:val="00F02057"/>
    <w:rsid w:val="00F02305"/>
    <w:rsid w:val="00F02528"/>
    <w:rsid w:val="00F0273F"/>
    <w:rsid w:val="00F02B9F"/>
    <w:rsid w:val="00F02DB4"/>
    <w:rsid w:val="00F02F17"/>
    <w:rsid w:val="00F03350"/>
    <w:rsid w:val="00F039C3"/>
    <w:rsid w:val="00F03F33"/>
    <w:rsid w:val="00F03F75"/>
    <w:rsid w:val="00F045EA"/>
    <w:rsid w:val="00F048CF"/>
    <w:rsid w:val="00F04DD9"/>
    <w:rsid w:val="00F04EA0"/>
    <w:rsid w:val="00F0531D"/>
    <w:rsid w:val="00F055CE"/>
    <w:rsid w:val="00F05EDD"/>
    <w:rsid w:val="00F05FE3"/>
    <w:rsid w:val="00F066C6"/>
    <w:rsid w:val="00F069CC"/>
    <w:rsid w:val="00F06C20"/>
    <w:rsid w:val="00F06D00"/>
    <w:rsid w:val="00F06D5D"/>
    <w:rsid w:val="00F07658"/>
    <w:rsid w:val="00F0775C"/>
    <w:rsid w:val="00F07A91"/>
    <w:rsid w:val="00F07B9D"/>
    <w:rsid w:val="00F10922"/>
    <w:rsid w:val="00F109CB"/>
    <w:rsid w:val="00F10B33"/>
    <w:rsid w:val="00F10E2D"/>
    <w:rsid w:val="00F1106D"/>
    <w:rsid w:val="00F1172F"/>
    <w:rsid w:val="00F11AA6"/>
    <w:rsid w:val="00F12D9D"/>
    <w:rsid w:val="00F13021"/>
    <w:rsid w:val="00F13154"/>
    <w:rsid w:val="00F1325E"/>
    <w:rsid w:val="00F13552"/>
    <w:rsid w:val="00F135EF"/>
    <w:rsid w:val="00F138BE"/>
    <w:rsid w:val="00F13E7D"/>
    <w:rsid w:val="00F1428D"/>
    <w:rsid w:val="00F14333"/>
    <w:rsid w:val="00F14593"/>
    <w:rsid w:val="00F1462C"/>
    <w:rsid w:val="00F14B0C"/>
    <w:rsid w:val="00F150A8"/>
    <w:rsid w:val="00F154B2"/>
    <w:rsid w:val="00F1575E"/>
    <w:rsid w:val="00F157CF"/>
    <w:rsid w:val="00F15CBA"/>
    <w:rsid w:val="00F16130"/>
    <w:rsid w:val="00F164D0"/>
    <w:rsid w:val="00F16745"/>
    <w:rsid w:val="00F16A17"/>
    <w:rsid w:val="00F16B63"/>
    <w:rsid w:val="00F16F51"/>
    <w:rsid w:val="00F16F72"/>
    <w:rsid w:val="00F170EC"/>
    <w:rsid w:val="00F1722C"/>
    <w:rsid w:val="00F17677"/>
    <w:rsid w:val="00F177D1"/>
    <w:rsid w:val="00F17A83"/>
    <w:rsid w:val="00F17BBA"/>
    <w:rsid w:val="00F201F3"/>
    <w:rsid w:val="00F2030D"/>
    <w:rsid w:val="00F2039D"/>
    <w:rsid w:val="00F20B94"/>
    <w:rsid w:val="00F20FEF"/>
    <w:rsid w:val="00F2109D"/>
    <w:rsid w:val="00F2120B"/>
    <w:rsid w:val="00F2172A"/>
    <w:rsid w:val="00F21A83"/>
    <w:rsid w:val="00F22060"/>
    <w:rsid w:val="00F2274C"/>
    <w:rsid w:val="00F228B6"/>
    <w:rsid w:val="00F22903"/>
    <w:rsid w:val="00F22B2A"/>
    <w:rsid w:val="00F22F22"/>
    <w:rsid w:val="00F22FFF"/>
    <w:rsid w:val="00F230D5"/>
    <w:rsid w:val="00F23246"/>
    <w:rsid w:val="00F23318"/>
    <w:rsid w:val="00F237A8"/>
    <w:rsid w:val="00F239B3"/>
    <w:rsid w:val="00F239E2"/>
    <w:rsid w:val="00F23BDA"/>
    <w:rsid w:val="00F23C61"/>
    <w:rsid w:val="00F23D13"/>
    <w:rsid w:val="00F23EAA"/>
    <w:rsid w:val="00F24371"/>
    <w:rsid w:val="00F24378"/>
    <w:rsid w:val="00F24440"/>
    <w:rsid w:val="00F24452"/>
    <w:rsid w:val="00F24476"/>
    <w:rsid w:val="00F24573"/>
    <w:rsid w:val="00F248CD"/>
    <w:rsid w:val="00F24CA6"/>
    <w:rsid w:val="00F24CC7"/>
    <w:rsid w:val="00F24EA9"/>
    <w:rsid w:val="00F256E6"/>
    <w:rsid w:val="00F25E69"/>
    <w:rsid w:val="00F25EF1"/>
    <w:rsid w:val="00F25F29"/>
    <w:rsid w:val="00F2620C"/>
    <w:rsid w:val="00F2649F"/>
    <w:rsid w:val="00F2663D"/>
    <w:rsid w:val="00F266AE"/>
    <w:rsid w:val="00F26BEE"/>
    <w:rsid w:val="00F26D9F"/>
    <w:rsid w:val="00F26E2E"/>
    <w:rsid w:val="00F27699"/>
    <w:rsid w:val="00F278DB"/>
    <w:rsid w:val="00F27E05"/>
    <w:rsid w:val="00F301C5"/>
    <w:rsid w:val="00F303AD"/>
    <w:rsid w:val="00F3059E"/>
    <w:rsid w:val="00F30AC1"/>
    <w:rsid w:val="00F30CBE"/>
    <w:rsid w:val="00F30D40"/>
    <w:rsid w:val="00F30D46"/>
    <w:rsid w:val="00F30F1B"/>
    <w:rsid w:val="00F30FD1"/>
    <w:rsid w:val="00F31359"/>
    <w:rsid w:val="00F31397"/>
    <w:rsid w:val="00F3150E"/>
    <w:rsid w:val="00F3163A"/>
    <w:rsid w:val="00F31808"/>
    <w:rsid w:val="00F32054"/>
    <w:rsid w:val="00F328F2"/>
    <w:rsid w:val="00F33003"/>
    <w:rsid w:val="00F331E6"/>
    <w:rsid w:val="00F333BF"/>
    <w:rsid w:val="00F33427"/>
    <w:rsid w:val="00F334F1"/>
    <w:rsid w:val="00F33635"/>
    <w:rsid w:val="00F336F5"/>
    <w:rsid w:val="00F33EF2"/>
    <w:rsid w:val="00F340DE"/>
    <w:rsid w:val="00F34731"/>
    <w:rsid w:val="00F347E4"/>
    <w:rsid w:val="00F34E1F"/>
    <w:rsid w:val="00F34F15"/>
    <w:rsid w:val="00F35136"/>
    <w:rsid w:val="00F3517F"/>
    <w:rsid w:val="00F3528E"/>
    <w:rsid w:val="00F354A7"/>
    <w:rsid w:val="00F3559C"/>
    <w:rsid w:val="00F35CFA"/>
    <w:rsid w:val="00F35EF6"/>
    <w:rsid w:val="00F363A6"/>
    <w:rsid w:val="00F3642B"/>
    <w:rsid w:val="00F36814"/>
    <w:rsid w:val="00F368D4"/>
    <w:rsid w:val="00F36A3B"/>
    <w:rsid w:val="00F37186"/>
    <w:rsid w:val="00F374F7"/>
    <w:rsid w:val="00F37882"/>
    <w:rsid w:val="00F37E6E"/>
    <w:rsid w:val="00F37F30"/>
    <w:rsid w:val="00F37FC3"/>
    <w:rsid w:val="00F40A6F"/>
    <w:rsid w:val="00F40E27"/>
    <w:rsid w:val="00F41067"/>
    <w:rsid w:val="00F4108E"/>
    <w:rsid w:val="00F412C4"/>
    <w:rsid w:val="00F41403"/>
    <w:rsid w:val="00F41511"/>
    <w:rsid w:val="00F41697"/>
    <w:rsid w:val="00F41981"/>
    <w:rsid w:val="00F41C4B"/>
    <w:rsid w:val="00F41DF6"/>
    <w:rsid w:val="00F41E01"/>
    <w:rsid w:val="00F42299"/>
    <w:rsid w:val="00F4239C"/>
    <w:rsid w:val="00F42881"/>
    <w:rsid w:val="00F42B69"/>
    <w:rsid w:val="00F42CAF"/>
    <w:rsid w:val="00F42CBF"/>
    <w:rsid w:val="00F43A73"/>
    <w:rsid w:val="00F43BC0"/>
    <w:rsid w:val="00F43C9F"/>
    <w:rsid w:val="00F4466D"/>
    <w:rsid w:val="00F4620F"/>
    <w:rsid w:val="00F4644F"/>
    <w:rsid w:val="00F46BBF"/>
    <w:rsid w:val="00F472BE"/>
    <w:rsid w:val="00F472CA"/>
    <w:rsid w:val="00F47C28"/>
    <w:rsid w:val="00F5009B"/>
    <w:rsid w:val="00F50129"/>
    <w:rsid w:val="00F50307"/>
    <w:rsid w:val="00F504F3"/>
    <w:rsid w:val="00F5087A"/>
    <w:rsid w:val="00F509D3"/>
    <w:rsid w:val="00F50DBD"/>
    <w:rsid w:val="00F5113F"/>
    <w:rsid w:val="00F515B4"/>
    <w:rsid w:val="00F51D80"/>
    <w:rsid w:val="00F520E2"/>
    <w:rsid w:val="00F5218E"/>
    <w:rsid w:val="00F521D8"/>
    <w:rsid w:val="00F52580"/>
    <w:rsid w:val="00F5267F"/>
    <w:rsid w:val="00F52EF6"/>
    <w:rsid w:val="00F52EF8"/>
    <w:rsid w:val="00F52F91"/>
    <w:rsid w:val="00F53131"/>
    <w:rsid w:val="00F5379C"/>
    <w:rsid w:val="00F5379D"/>
    <w:rsid w:val="00F53E64"/>
    <w:rsid w:val="00F55C1F"/>
    <w:rsid w:val="00F560BA"/>
    <w:rsid w:val="00F564AB"/>
    <w:rsid w:val="00F5652B"/>
    <w:rsid w:val="00F573DF"/>
    <w:rsid w:val="00F574E0"/>
    <w:rsid w:val="00F5795E"/>
    <w:rsid w:val="00F601F1"/>
    <w:rsid w:val="00F60AEA"/>
    <w:rsid w:val="00F60C8D"/>
    <w:rsid w:val="00F611EA"/>
    <w:rsid w:val="00F61262"/>
    <w:rsid w:val="00F6215B"/>
    <w:rsid w:val="00F629CD"/>
    <w:rsid w:val="00F62CD9"/>
    <w:rsid w:val="00F62EC6"/>
    <w:rsid w:val="00F634EA"/>
    <w:rsid w:val="00F63631"/>
    <w:rsid w:val="00F637DD"/>
    <w:rsid w:val="00F638A1"/>
    <w:rsid w:val="00F639BC"/>
    <w:rsid w:val="00F63CCF"/>
    <w:rsid w:val="00F63DE4"/>
    <w:rsid w:val="00F64054"/>
    <w:rsid w:val="00F641D8"/>
    <w:rsid w:val="00F64409"/>
    <w:rsid w:val="00F64440"/>
    <w:rsid w:val="00F6582A"/>
    <w:rsid w:val="00F65BB8"/>
    <w:rsid w:val="00F65F0C"/>
    <w:rsid w:val="00F66A71"/>
    <w:rsid w:val="00F66C95"/>
    <w:rsid w:val="00F6728F"/>
    <w:rsid w:val="00F6775C"/>
    <w:rsid w:val="00F679B2"/>
    <w:rsid w:val="00F67C26"/>
    <w:rsid w:val="00F67CDB"/>
    <w:rsid w:val="00F67D47"/>
    <w:rsid w:val="00F67D6B"/>
    <w:rsid w:val="00F67E2D"/>
    <w:rsid w:val="00F70383"/>
    <w:rsid w:val="00F70447"/>
    <w:rsid w:val="00F70771"/>
    <w:rsid w:val="00F70B89"/>
    <w:rsid w:val="00F71C49"/>
    <w:rsid w:val="00F71D5F"/>
    <w:rsid w:val="00F71F3E"/>
    <w:rsid w:val="00F72102"/>
    <w:rsid w:val="00F72152"/>
    <w:rsid w:val="00F723FF"/>
    <w:rsid w:val="00F7248C"/>
    <w:rsid w:val="00F725F8"/>
    <w:rsid w:val="00F7296D"/>
    <w:rsid w:val="00F7302C"/>
    <w:rsid w:val="00F734B1"/>
    <w:rsid w:val="00F73805"/>
    <w:rsid w:val="00F740E6"/>
    <w:rsid w:val="00F74734"/>
    <w:rsid w:val="00F74A6F"/>
    <w:rsid w:val="00F74BC7"/>
    <w:rsid w:val="00F75091"/>
    <w:rsid w:val="00F754A2"/>
    <w:rsid w:val="00F754F7"/>
    <w:rsid w:val="00F7567A"/>
    <w:rsid w:val="00F7569B"/>
    <w:rsid w:val="00F756B1"/>
    <w:rsid w:val="00F75D52"/>
    <w:rsid w:val="00F75E0D"/>
    <w:rsid w:val="00F75EB9"/>
    <w:rsid w:val="00F7683E"/>
    <w:rsid w:val="00F76861"/>
    <w:rsid w:val="00F769F1"/>
    <w:rsid w:val="00F773B6"/>
    <w:rsid w:val="00F804D1"/>
    <w:rsid w:val="00F8088B"/>
    <w:rsid w:val="00F80A93"/>
    <w:rsid w:val="00F80B92"/>
    <w:rsid w:val="00F80CBF"/>
    <w:rsid w:val="00F80EB1"/>
    <w:rsid w:val="00F810D7"/>
    <w:rsid w:val="00F81316"/>
    <w:rsid w:val="00F815B0"/>
    <w:rsid w:val="00F81F2A"/>
    <w:rsid w:val="00F81FB0"/>
    <w:rsid w:val="00F8234C"/>
    <w:rsid w:val="00F823C5"/>
    <w:rsid w:val="00F82A61"/>
    <w:rsid w:val="00F82BBB"/>
    <w:rsid w:val="00F82D58"/>
    <w:rsid w:val="00F82D96"/>
    <w:rsid w:val="00F83097"/>
    <w:rsid w:val="00F833DC"/>
    <w:rsid w:val="00F839C4"/>
    <w:rsid w:val="00F83E88"/>
    <w:rsid w:val="00F84059"/>
    <w:rsid w:val="00F8425B"/>
    <w:rsid w:val="00F8440A"/>
    <w:rsid w:val="00F8479E"/>
    <w:rsid w:val="00F84B75"/>
    <w:rsid w:val="00F84B7D"/>
    <w:rsid w:val="00F8537B"/>
    <w:rsid w:val="00F85797"/>
    <w:rsid w:val="00F858BD"/>
    <w:rsid w:val="00F85D9A"/>
    <w:rsid w:val="00F8633C"/>
    <w:rsid w:val="00F8668E"/>
    <w:rsid w:val="00F87571"/>
    <w:rsid w:val="00F87590"/>
    <w:rsid w:val="00F87F0F"/>
    <w:rsid w:val="00F90B7B"/>
    <w:rsid w:val="00F90CC0"/>
    <w:rsid w:val="00F90EFB"/>
    <w:rsid w:val="00F91479"/>
    <w:rsid w:val="00F914DE"/>
    <w:rsid w:val="00F91B4B"/>
    <w:rsid w:val="00F91D01"/>
    <w:rsid w:val="00F92181"/>
    <w:rsid w:val="00F929FF"/>
    <w:rsid w:val="00F92E77"/>
    <w:rsid w:val="00F93E07"/>
    <w:rsid w:val="00F94D97"/>
    <w:rsid w:val="00F95061"/>
    <w:rsid w:val="00F951AF"/>
    <w:rsid w:val="00F951E9"/>
    <w:rsid w:val="00F954E7"/>
    <w:rsid w:val="00F95839"/>
    <w:rsid w:val="00F95F6C"/>
    <w:rsid w:val="00F965F7"/>
    <w:rsid w:val="00F9672D"/>
    <w:rsid w:val="00F96900"/>
    <w:rsid w:val="00F96BFB"/>
    <w:rsid w:val="00F96C06"/>
    <w:rsid w:val="00F96D4F"/>
    <w:rsid w:val="00F96DCF"/>
    <w:rsid w:val="00F971A7"/>
    <w:rsid w:val="00F97290"/>
    <w:rsid w:val="00F975CD"/>
    <w:rsid w:val="00F97A0E"/>
    <w:rsid w:val="00F97A8D"/>
    <w:rsid w:val="00F97B58"/>
    <w:rsid w:val="00FA025E"/>
    <w:rsid w:val="00FA0634"/>
    <w:rsid w:val="00FA0721"/>
    <w:rsid w:val="00FA08CF"/>
    <w:rsid w:val="00FA090B"/>
    <w:rsid w:val="00FA0BB2"/>
    <w:rsid w:val="00FA16FD"/>
    <w:rsid w:val="00FA1832"/>
    <w:rsid w:val="00FA1F4E"/>
    <w:rsid w:val="00FA2878"/>
    <w:rsid w:val="00FA2981"/>
    <w:rsid w:val="00FA3A83"/>
    <w:rsid w:val="00FA416C"/>
    <w:rsid w:val="00FA42AE"/>
    <w:rsid w:val="00FA42B8"/>
    <w:rsid w:val="00FA4381"/>
    <w:rsid w:val="00FA4478"/>
    <w:rsid w:val="00FA4E09"/>
    <w:rsid w:val="00FA4E52"/>
    <w:rsid w:val="00FA51F2"/>
    <w:rsid w:val="00FA52C0"/>
    <w:rsid w:val="00FA578B"/>
    <w:rsid w:val="00FA5907"/>
    <w:rsid w:val="00FA5B03"/>
    <w:rsid w:val="00FA5B86"/>
    <w:rsid w:val="00FA5D42"/>
    <w:rsid w:val="00FA5E21"/>
    <w:rsid w:val="00FA62F5"/>
    <w:rsid w:val="00FA6389"/>
    <w:rsid w:val="00FA64C7"/>
    <w:rsid w:val="00FA65BD"/>
    <w:rsid w:val="00FA66D9"/>
    <w:rsid w:val="00FA6E80"/>
    <w:rsid w:val="00FA7105"/>
    <w:rsid w:val="00FA7379"/>
    <w:rsid w:val="00FA7AE3"/>
    <w:rsid w:val="00FA7B8C"/>
    <w:rsid w:val="00FA7BAE"/>
    <w:rsid w:val="00FAB398"/>
    <w:rsid w:val="00FB0243"/>
    <w:rsid w:val="00FB0B38"/>
    <w:rsid w:val="00FB0E7D"/>
    <w:rsid w:val="00FB12A0"/>
    <w:rsid w:val="00FB140F"/>
    <w:rsid w:val="00FB1756"/>
    <w:rsid w:val="00FB188F"/>
    <w:rsid w:val="00FB1C4F"/>
    <w:rsid w:val="00FB1CF3"/>
    <w:rsid w:val="00FB23B9"/>
    <w:rsid w:val="00FB2449"/>
    <w:rsid w:val="00FB29BE"/>
    <w:rsid w:val="00FB2FA5"/>
    <w:rsid w:val="00FB3307"/>
    <w:rsid w:val="00FB3364"/>
    <w:rsid w:val="00FB3652"/>
    <w:rsid w:val="00FB367A"/>
    <w:rsid w:val="00FB3BBF"/>
    <w:rsid w:val="00FB3BE5"/>
    <w:rsid w:val="00FB3C91"/>
    <w:rsid w:val="00FB4017"/>
    <w:rsid w:val="00FB4D6C"/>
    <w:rsid w:val="00FB4EC4"/>
    <w:rsid w:val="00FB5C2B"/>
    <w:rsid w:val="00FB5CAC"/>
    <w:rsid w:val="00FB60BD"/>
    <w:rsid w:val="00FB6300"/>
    <w:rsid w:val="00FB659C"/>
    <w:rsid w:val="00FB7493"/>
    <w:rsid w:val="00FB75BC"/>
    <w:rsid w:val="00FB7C23"/>
    <w:rsid w:val="00FC00FD"/>
    <w:rsid w:val="00FC091B"/>
    <w:rsid w:val="00FC0DA4"/>
    <w:rsid w:val="00FC14FF"/>
    <w:rsid w:val="00FC18C8"/>
    <w:rsid w:val="00FC1E2A"/>
    <w:rsid w:val="00FC23A3"/>
    <w:rsid w:val="00FC27C2"/>
    <w:rsid w:val="00FC28EA"/>
    <w:rsid w:val="00FC303E"/>
    <w:rsid w:val="00FC3169"/>
    <w:rsid w:val="00FC32B2"/>
    <w:rsid w:val="00FC34AF"/>
    <w:rsid w:val="00FC3633"/>
    <w:rsid w:val="00FC380A"/>
    <w:rsid w:val="00FC3C83"/>
    <w:rsid w:val="00FC3DF8"/>
    <w:rsid w:val="00FC40BD"/>
    <w:rsid w:val="00FC466A"/>
    <w:rsid w:val="00FC46E6"/>
    <w:rsid w:val="00FC5047"/>
    <w:rsid w:val="00FC5086"/>
    <w:rsid w:val="00FC521E"/>
    <w:rsid w:val="00FC5612"/>
    <w:rsid w:val="00FC5A20"/>
    <w:rsid w:val="00FC5DD9"/>
    <w:rsid w:val="00FC5F3A"/>
    <w:rsid w:val="00FC5F76"/>
    <w:rsid w:val="00FC6378"/>
    <w:rsid w:val="00FC667A"/>
    <w:rsid w:val="00FC683D"/>
    <w:rsid w:val="00FC6859"/>
    <w:rsid w:val="00FC6ABA"/>
    <w:rsid w:val="00FC6CA5"/>
    <w:rsid w:val="00FC7403"/>
    <w:rsid w:val="00FC741F"/>
    <w:rsid w:val="00FC75A9"/>
    <w:rsid w:val="00FC79E6"/>
    <w:rsid w:val="00FC7B83"/>
    <w:rsid w:val="00FC7EBD"/>
    <w:rsid w:val="00FD002A"/>
    <w:rsid w:val="00FD036E"/>
    <w:rsid w:val="00FD04FA"/>
    <w:rsid w:val="00FD0515"/>
    <w:rsid w:val="00FD05C3"/>
    <w:rsid w:val="00FD0736"/>
    <w:rsid w:val="00FD073C"/>
    <w:rsid w:val="00FD07E9"/>
    <w:rsid w:val="00FD1501"/>
    <w:rsid w:val="00FD1849"/>
    <w:rsid w:val="00FD1B71"/>
    <w:rsid w:val="00FD2043"/>
    <w:rsid w:val="00FD204A"/>
    <w:rsid w:val="00FD22D8"/>
    <w:rsid w:val="00FD2538"/>
    <w:rsid w:val="00FD25C0"/>
    <w:rsid w:val="00FD2EE2"/>
    <w:rsid w:val="00FD3290"/>
    <w:rsid w:val="00FD33D5"/>
    <w:rsid w:val="00FD33DB"/>
    <w:rsid w:val="00FD378D"/>
    <w:rsid w:val="00FD383A"/>
    <w:rsid w:val="00FD3C29"/>
    <w:rsid w:val="00FD4102"/>
    <w:rsid w:val="00FD422B"/>
    <w:rsid w:val="00FD4296"/>
    <w:rsid w:val="00FD4371"/>
    <w:rsid w:val="00FD462F"/>
    <w:rsid w:val="00FD4B34"/>
    <w:rsid w:val="00FD4BDB"/>
    <w:rsid w:val="00FD4E9D"/>
    <w:rsid w:val="00FD4EDE"/>
    <w:rsid w:val="00FD5276"/>
    <w:rsid w:val="00FD54D6"/>
    <w:rsid w:val="00FD57DF"/>
    <w:rsid w:val="00FD58AF"/>
    <w:rsid w:val="00FD5BE4"/>
    <w:rsid w:val="00FD5DEE"/>
    <w:rsid w:val="00FD5F1B"/>
    <w:rsid w:val="00FD5F29"/>
    <w:rsid w:val="00FD5FF7"/>
    <w:rsid w:val="00FD61E4"/>
    <w:rsid w:val="00FD66AB"/>
    <w:rsid w:val="00FD688F"/>
    <w:rsid w:val="00FD693B"/>
    <w:rsid w:val="00FD6BE3"/>
    <w:rsid w:val="00FD6CF0"/>
    <w:rsid w:val="00FD6E3E"/>
    <w:rsid w:val="00FD7057"/>
    <w:rsid w:val="00FD781F"/>
    <w:rsid w:val="00FE02BB"/>
    <w:rsid w:val="00FE0548"/>
    <w:rsid w:val="00FE0C59"/>
    <w:rsid w:val="00FE10D2"/>
    <w:rsid w:val="00FE1293"/>
    <w:rsid w:val="00FE1AC5"/>
    <w:rsid w:val="00FE1B0B"/>
    <w:rsid w:val="00FE231C"/>
    <w:rsid w:val="00FE2795"/>
    <w:rsid w:val="00FE311C"/>
    <w:rsid w:val="00FE32CF"/>
    <w:rsid w:val="00FE3AEB"/>
    <w:rsid w:val="00FE4168"/>
    <w:rsid w:val="00FE4177"/>
    <w:rsid w:val="00FE42F2"/>
    <w:rsid w:val="00FE46E5"/>
    <w:rsid w:val="00FE47C6"/>
    <w:rsid w:val="00FE4BE7"/>
    <w:rsid w:val="00FE4C75"/>
    <w:rsid w:val="00FE547E"/>
    <w:rsid w:val="00FE5781"/>
    <w:rsid w:val="00FE5AF4"/>
    <w:rsid w:val="00FE5D83"/>
    <w:rsid w:val="00FE5DD2"/>
    <w:rsid w:val="00FE66B2"/>
    <w:rsid w:val="00FE6C27"/>
    <w:rsid w:val="00FE6D15"/>
    <w:rsid w:val="00FE765A"/>
    <w:rsid w:val="00FE7A04"/>
    <w:rsid w:val="00FE7D04"/>
    <w:rsid w:val="00FE7D93"/>
    <w:rsid w:val="00FE7E59"/>
    <w:rsid w:val="00FF0093"/>
    <w:rsid w:val="00FF0AE5"/>
    <w:rsid w:val="00FF10CB"/>
    <w:rsid w:val="00FF16BC"/>
    <w:rsid w:val="00FF1985"/>
    <w:rsid w:val="00FF20C0"/>
    <w:rsid w:val="00FF21F8"/>
    <w:rsid w:val="00FF23D4"/>
    <w:rsid w:val="00FF23FE"/>
    <w:rsid w:val="00FF247E"/>
    <w:rsid w:val="00FF271B"/>
    <w:rsid w:val="00FF2876"/>
    <w:rsid w:val="00FF2D2D"/>
    <w:rsid w:val="00FF33EF"/>
    <w:rsid w:val="00FF342F"/>
    <w:rsid w:val="00FF3563"/>
    <w:rsid w:val="00FF39EF"/>
    <w:rsid w:val="00FF3A4F"/>
    <w:rsid w:val="00FF4101"/>
    <w:rsid w:val="00FF4430"/>
    <w:rsid w:val="00FF4813"/>
    <w:rsid w:val="00FF49C2"/>
    <w:rsid w:val="00FF4A9D"/>
    <w:rsid w:val="00FF4F23"/>
    <w:rsid w:val="00FF50C8"/>
    <w:rsid w:val="00FF519C"/>
    <w:rsid w:val="00FF57DF"/>
    <w:rsid w:val="00FF58AC"/>
    <w:rsid w:val="00FF5A74"/>
    <w:rsid w:val="00FF5ECC"/>
    <w:rsid w:val="00FF6611"/>
    <w:rsid w:val="00FF6A6C"/>
    <w:rsid w:val="00FF6AAC"/>
    <w:rsid w:val="00FF6C0E"/>
    <w:rsid w:val="00FF6D9C"/>
    <w:rsid w:val="00FF6DAF"/>
    <w:rsid w:val="00FF6F68"/>
    <w:rsid w:val="00FF6FCD"/>
    <w:rsid w:val="00FF710A"/>
    <w:rsid w:val="00FF721F"/>
    <w:rsid w:val="00FF73AA"/>
    <w:rsid w:val="00FF75C7"/>
    <w:rsid w:val="00FF7EA5"/>
    <w:rsid w:val="0102B7F3"/>
    <w:rsid w:val="0126E4C8"/>
    <w:rsid w:val="0128EA95"/>
    <w:rsid w:val="012DD3B4"/>
    <w:rsid w:val="01367BF7"/>
    <w:rsid w:val="0136C5B1"/>
    <w:rsid w:val="0155EC6C"/>
    <w:rsid w:val="0155EDC3"/>
    <w:rsid w:val="01560BC6"/>
    <w:rsid w:val="01566802"/>
    <w:rsid w:val="0164A0C9"/>
    <w:rsid w:val="0167EEAB"/>
    <w:rsid w:val="017524C3"/>
    <w:rsid w:val="017F7B4E"/>
    <w:rsid w:val="018AD0D6"/>
    <w:rsid w:val="018AFE57"/>
    <w:rsid w:val="01A8E1B0"/>
    <w:rsid w:val="01AA1EE3"/>
    <w:rsid w:val="01D0D299"/>
    <w:rsid w:val="01D14075"/>
    <w:rsid w:val="01DC9EE9"/>
    <w:rsid w:val="01E70D6F"/>
    <w:rsid w:val="01EF9DCA"/>
    <w:rsid w:val="01F8BBA3"/>
    <w:rsid w:val="02061534"/>
    <w:rsid w:val="021228CF"/>
    <w:rsid w:val="02276B7B"/>
    <w:rsid w:val="024D9D59"/>
    <w:rsid w:val="024E8C88"/>
    <w:rsid w:val="02514C2F"/>
    <w:rsid w:val="02785D50"/>
    <w:rsid w:val="028CD746"/>
    <w:rsid w:val="02945A54"/>
    <w:rsid w:val="02A56A2D"/>
    <w:rsid w:val="02AE185D"/>
    <w:rsid w:val="02C5BA9E"/>
    <w:rsid w:val="02D5D5E1"/>
    <w:rsid w:val="02DBB37A"/>
    <w:rsid w:val="02DF454D"/>
    <w:rsid w:val="031F4829"/>
    <w:rsid w:val="032C7A7D"/>
    <w:rsid w:val="03381BDD"/>
    <w:rsid w:val="034428BA"/>
    <w:rsid w:val="035305B1"/>
    <w:rsid w:val="0357A00C"/>
    <w:rsid w:val="0358F1FF"/>
    <w:rsid w:val="035A121E"/>
    <w:rsid w:val="03A47A6F"/>
    <w:rsid w:val="03AF69AC"/>
    <w:rsid w:val="03B82204"/>
    <w:rsid w:val="03CE2FB8"/>
    <w:rsid w:val="03D0373E"/>
    <w:rsid w:val="03D20D4A"/>
    <w:rsid w:val="03DC6960"/>
    <w:rsid w:val="03DEC309"/>
    <w:rsid w:val="03E6CC31"/>
    <w:rsid w:val="0407BE07"/>
    <w:rsid w:val="040C7783"/>
    <w:rsid w:val="0413D985"/>
    <w:rsid w:val="0425F404"/>
    <w:rsid w:val="0469BEA0"/>
    <w:rsid w:val="048CEA51"/>
    <w:rsid w:val="049AD95E"/>
    <w:rsid w:val="04A42862"/>
    <w:rsid w:val="04AE9B3D"/>
    <w:rsid w:val="04B26FAD"/>
    <w:rsid w:val="04B654AD"/>
    <w:rsid w:val="04C89D3F"/>
    <w:rsid w:val="04D45607"/>
    <w:rsid w:val="04EE63EB"/>
    <w:rsid w:val="04F3EA18"/>
    <w:rsid w:val="0501309C"/>
    <w:rsid w:val="05144867"/>
    <w:rsid w:val="051EB998"/>
    <w:rsid w:val="05213CCA"/>
    <w:rsid w:val="052ED218"/>
    <w:rsid w:val="053163DF"/>
    <w:rsid w:val="05336F65"/>
    <w:rsid w:val="054EB112"/>
    <w:rsid w:val="0567C253"/>
    <w:rsid w:val="05689EED"/>
    <w:rsid w:val="05883406"/>
    <w:rsid w:val="05A0B516"/>
    <w:rsid w:val="05A237E4"/>
    <w:rsid w:val="05C1C88C"/>
    <w:rsid w:val="05D0168D"/>
    <w:rsid w:val="05D24236"/>
    <w:rsid w:val="05D51AD5"/>
    <w:rsid w:val="05DCC8A6"/>
    <w:rsid w:val="05DE6566"/>
    <w:rsid w:val="05E16437"/>
    <w:rsid w:val="05E6E696"/>
    <w:rsid w:val="06014730"/>
    <w:rsid w:val="0608A80C"/>
    <w:rsid w:val="061E1AB8"/>
    <w:rsid w:val="063199BE"/>
    <w:rsid w:val="064DAFC9"/>
    <w:rsid w:val="06501E5D"/>
    <w:rsid w:val="065C3132"/>
    <w:rsid w:val="065CB1EB"/>
    <w:rsid w:val="06601716"/>
    <w:rsid w:val="0675E6A3"/>
    <w:rsid w:val="06882F15"/>
    <w:rsid w:val="06A04467"/>
    <w:rsid w:val="06A1D1C9"/>
    <w:rsid w:val="06A5A06D"/>
    <w:rsid w:val="06AA207A"/>
    <w:rsid w:val="06AE1F88"/>
    <w:rsid w:val="06AF9A5F"/>
    <w:rsid w:val="06B11655"/>
    <w:rsid w:val="06BAD333"/>
    <w:rsid w:val="06BC20D9"/>
    <w:rsid w:val="06EEAC08"/>
    <w:rsid w:val="070DB57E"/>
    <w:rsid w:val="07106A5E"/>
    <w:rsid w:val="071A4740"/>
    <w:rsid w:val="071D4F6C"/>
    <w:rsid w:val="07384385"/>
    <w:rsid w:val="074A6AB7"/>
    <w:rsid w:val="074A910F"/>
    <w:rsid w:val="07571841"/>
    <w:rsid w:val="077496CE"/>
    <w:rsid w:val="077ABB5B"/>
    <w:rsid w:val="07835898"/>
    <w:rsid w:val="0795C0C4"/>
    <w:rsid w:val="07A6F7CF"/>
    <w:rsid w:val="07BD66F4"/>
    <w:rsid w:val="07C83456"/>
    <w:rsid w:val="07C9838A"/>
    <w:rsid w:val="07E02CF2"/>
    <w:rsid w:val="07FB2882"/>
    <w:rsid w:val="08080750"/>
    <w:rsid w:val="08097F8B"/>
    <w:rsid w:val="081676C4"/>
    <w:rsid w:val="0821A61E"/>
    <w:rsid w:val="0822E66C"/>
    <w:rsid w:val="0831A88E"/>
    <w:rsid w:val="08361D31"/>
    <w:rsid w:val="08747D8B"/>
    <w:rsid w:val="088E0E47"/>
    <w:rsid w:val="08A4048B"/>
    <w:rsid w:val="08BC8F98"/>
    <w:rsid w:val="08BD0932"/>
    <w:rsid w:val="08D4BBA5"/>
    <w:rsid w:val="08D85F5F"/>
    <w:rsid w:val="08EEB116"/>
    <w:rsid w:val="08F647AB"/>
    <w:rsid w:val="08F8F02F"/>
    <w:rsid w:val="08FCC40C"/>
    <w:rsid w:val="090C8C36"/>
    <w:rsid w:val="0914A870"/>
    <w:rsid w:val="09306B68"/>
    <w:rsid w:val="09333F92"/>
    <w:rsid w:val="0941ACC6"/>
    <w:rsid w:val="09441AA3"/>
    <w:rsid w:val="0949A881"/>
    <w:rsid w:val="0949CB15"/>
    <w:rsid w:val="0959246A"/>
    <w:rsid w:val="09595D27"/>
    <w:rsid w:val="096B5998"/>
    <w:rsid w:val="096F80CD"/>
    <w:rsid w:val="097824CC"/>
    <w:rsid w:val="097836D1"/>
    <w:rsid w:val="099084AF"/>
    <w:rsid w:val="0991E68A"/>
    <w:rsid w:val="09960350"/>
    <w:rsid w:val="09A5D475"/>
    <w:rsid w:val="09AD2FE0"/>
    <w:rsid w:val="09B9BC0C"/>
    <w:rsid w:val="09C6C46C"/>
    <w:rsid w:val="09D6257C"/>
    <w:rsid w:val="09E4D489"/>
    <w:rsid w:val="09EBCE6E"/>
    <w:rsid w:val="09F5B44B"/>
    <w:rsid w:val="09F8D16C"/>
    <w:rsid w:val="0A188E88"/>
    <w:rsid w:val="0A1A7329"/>
    <w:rsid w:val="0A1F9D3C"/>
    <w:rsid w:val="0A3028DE"/>
    <w:rsid w:val="0A376EF0"/>
    <w:rsid w:val="0A3D87DB"/>
    <w:rsid w:val="0A4FE3AA"/>
    <w:rsid w:val="0A55D8F7"/>
    <w:rsid w:val="0A7459E2"/>
    <w:rsid w:val="0A89B7AF"/>
    <w:rsid w:val="0AA0A5A3"/>
    <w:rsid w:val="0AA37818"/>
    <w:rsid w:val="0AC0EBD8"/>
    <w:rsid w:val="0ACB9A45"/>
    <w:rsid w:val="0AD1E274"/>
    <w:rsid w:val="0ADA8D71"/>
    <w:rsid w:val="0B02585A"/>
    <w:rsid w:val="0B07B4C2"/>
    <w:rsid w:val="0B0F738C"/>
    <w:rsid w:val="0B1D3E62"/>
    <w:rsid w:val="0B25FC7B"/>
    <w:rsid w:val="0B500939"/>
    <w:rsid w:val="0B6452E9"/>
    <w:rsid w:val="0B67AD36"/>
    <w:rsid w:val="0B6B9974"/>
    <w:rsid w:val="0B6C65DC"/>
    <w:rsid w:val="0B77A22D"/>
    <w:rsid w:val="0BB13B67"/>
    <w:rsid w:val="0BB91EE4"/>
    <w:rsid w:val="0BC2EBB8"/>
    <w:rsid w:val="0BCDBC99"/>
    <w:rsid w:val="0BD633A5"/>
    <w:rsid w:val="0BECD914"/>
    <w:rsid w:val="0BEE0AE7"/>
    <w:rsid w:val="0C09A32A"/>
    <w:rsid w:val="0C1AA4C9"/>
    <w:rsid w:val="0C235DDC"/>
    <w:rsid w:val="0C36BB62"/>
    <w:rsid w:val="0C49EFDC"/>
    <w:rsid w:val="0C58ECEC"/>
    <w:rsid w:val="0C74FFBE"/>
    <w:rsid w:val="0C9074BC"/>
    <w:rsid w:val="0CA498E1"/>
    <w:rsid w:val="0CB8D3FF"/>
    <w:rsid w:val="0CBB3DF5"/>
    <w:rsid w:val="0CD40EC6"/>
    <w:rsid w:val="0CD9EB06"/>
    <w:rsid w:val="0CEFB096"/>
    <w:rsid w:val="0CF324FF"/>
    <w:rsid w:val="0D2D7FB4"/>
    <w:rsid w:val="0D2DAAEE"/>
    <w:rsid w:val="0D387080"/>
    <w:rsid w:val="0D3B2A97"/>
    <w:rsid w:val="0D58F89B"/>
    <w:rsid w:val="0D6B8604"/>
    <w:rsid w:val="0D783C9A"/>
    <w:rsid w:val="0D7857DB"/>
    <w:rsid w:val="0D87288C"/>
    <w:rsid w:val="0D8A016E"/>
    <w:rsid w:val="0D9B1382"/>
    <w:rsid w:val="0DA22FA4"/>
    <w:rsid w:val="0DA665AF"/>
    <w:rsid w:val="0DAEE859"/>
    <w:rsid w:val="0DB7D8F0"/>
    <w:rsid w:val="0DC87ED8"/>
    <w:rsid w:val="0DCD9A0A"/>
    <w:rsid w:val="0DDB2A2A"/>
    <w:rsid w:val="0DE1B143"/>
    <w:rsid w:val="0DEDD411"/>
    <w:rsid w:val="0DFC9143"/>
    <w:rsid w:val="0E021A7B"/>
    <w:rsid w:val="0E0E8C9D"/>
    <w:rsid w:val="0E15EDB9"/>
    <w:rsid w:val="0E187044"/>
    <w:rsid w:val="0E19A8BB"/>
    <w:rsid w:val="0E371899"/>
    <w:rsid w:val="0E3C8B4B"/>
    <w:rsid w:val="0E749128"/>
    <w:rsid w:val="0E81724D"/>
    <w:rsid w:val="0E9722A4"/>
    <w:rsid w:val="0E9CBD82"/>
    <w:rsid w:val="0EA3AA54"/>
    <w:rsid w:val="0EA970CB"/>
    <w:rsid w:val="0EB927CD"/>
    <w:rsid w:val="0EC0B4E4"/>
    <w:rsid w:val="0EDFB4CF"/>
    <w:rsid w:val="0EE7A476"/>
    <w:rsid w:val="0EEA1A06"/>
    <w:rsid w:val="0EF4C4AF"/>
    <w:rsid w:val="0F001CA4"/>
    <w:rsid w:val="0F1E2499"/>
    <w:rsid w:val="0F53C5B7"/>
    <w:rsid w:val="0F5E7BB4"/>
    <w:rsid w:val="0F615920"/>
    <w:rsid w:val="0F786864"/>
    <w:rsid w:val="0F814F8E"/>
    <w:rsid w:val="0F866363"/>
    <w:rsid w:val="0F90769D"/>
    <w:rsid w:val="0F91008A"/>
    <w:rsid w:val="0F9A3B9D"/>
    <w:rsid w:val="0FA22887"/>
    <w:rsid w:val="0FA4D9B7"/>
    <w:rsid w:val="0FB69072"/>
    <w:rsid w:val="0FC093C8"/>
    <w:rsid w:val="0FEC5BFC"/>
    <w:rsid w:val="0FF51165"/>
    <w:rsid w:val="10218F57"/>
    <w:rsid w:val="10287DCB"/>
    <w:rsid w:val="1030973B"/>
    <w:rsid w:val="1033C7D3"/>
    <w:rsid w:val="103A7602"/>
    <w:rsid w:val="103C7C54"/>
    <w:rsid w:val="103FB83A"/>
    <w:rsid w:val="1045885C"/>
    <w:rsid w:val="10488916"/>
    <w:rsid w:val="105DC29A"/>
    <w:rsid w:val="1068C110"/>
    <w:rsid w:val="106DEFB4"/>
    <w:rsid w:val="1079CB6A"/>
    <w:rsid w:val="1079D675"/>
    <w:rsid w:val="107DE8C6"/>
    <w:rsid w:val="10A52106"/>
    <w:rsid w:val="10AA2724"/>
    <w:rsid w:val="10AB79AE"/>
    <w:rsid w:val="10AEC961"/>
    <w:rsid w:val="10B05758"/>
    <w:rsid w:val="10B13E2C"/>
    <w:rsid w:val="10B34A42"/>
    <w:rsid w:val="10C15586"/>
    <w:rsid w:val="10C3874C"/>
    <w:rsid w:val="10D87892"/>
    <w:rsid w:val="10D9BC97"/>
    <w:rsid w:val="10E209E3"/>
    <w:rsid w:val="10E8637C"/>
    <w:rsid w:val="1106563B"/>
    <w:rsid w:val="11065CA1"/>
    <w:rsid w:val="111691C2"/>
    <w:rsid w:val="1131DB94"/>
    <w:rsid w:val="115C9DAF"/>
    <w:rsid w:val="116CE806"/>
    <w:rsid w:val="11770784"/>
    <w:rsid w:val="1183E42E"/>
    <w:rsid w:val="1184C83B"/>
    <w:rsid w:val="119263F7"/>
    <w:rsid w:val="119692F0"/>
    <w:rsid w:val="11A33F83"/>
    <w:rsid w:val="11A742AF"/>
    <w:rsid w:val="11B699B5"/>
    <w:rsid w:val="11C2EB99"/>
    <w:rsid w:val="11ECEBE4"/>
    <w:rsid w:val="11FA7648"/>
    <w:rsid w:val="1200281B"/>
    <w:rsid w:val="121E86DE"/>
    <w:rsid w:val="12209D98"/>
    <w:rsid w:val="12485904"/>
    <w:rsid w:val="124979D9"/>
    <w:rsid w:val="124E15A9"/>
    <w:rsid w:val="12685871"/>
    <w:rsid w:val="12696D18"/>
    <w:rsid w:val="1290D203"/>
    <w:rsid w:val="1299E635"/>
    <w:rsid w:val="129E67C4"/>
    <w:rsid w:val="12B30567"/>
    <w:rsid w:val="12D03415"/>
    <w:rsid w:val="12D288B5"/>
    <w:rsid w:val="12D39232"/>
    <w:rsid w:val="12DAEEF2"/>
    <w:rsid w:val="12E15617"/>
    <w:rsid w:val="12EC6635"/>
    <w:rsid w:val="12F36412"/>
    <w:rsid w:val="13078B9B"/>
    <w:rsid w:val="130938ED"/>
    <w:rsid w:val="1318879F"/>
    <w:rsid w:val="1326F178"/>
    <w:rsid w:val="132E69F1"/>
    <w:rsid w:val="133B8EB4"/>
    <w:rsid w:val="13432A46"/>
    <w:rsid w:val="1343EE1F"/>
    <w:rsid w:val="135022E2"/>
    <w:rsid w:val="135EA7A9"/>
    <w:rsid w:val="136E414A"/>
    <w:rsid w:val="1386672A"/>
    <w:rsid w:val="138745DD"/>
    <w:rsid w:val="13886C95"/>
    <w:rsid w:val="13B1CFDD"/>
    <w:rsid w:val="13BF7D09"/>
    <w:rsid w:val="13C17384"/>
    <w:rsid w:val="13C1D9EE"/>
    <w:rsid w:val="13D6A2EA"/>
    <w:rsid w:val="13EE0236"/>
    <w:rsid w:val="140B18E2"/>
    <w:rsid w:val="1412ED12"/>
    <w:rsid w:val="141515C6"/>
    <w:rsid w:val="141DD2CF"/>
    <w:rsid w:val="144F4D6E"/>
    <w:rsid w:val="1451E8FA"/>
    <w:rsid w:val="145B5AF5"/>
    <w:rsid w:val="145DBAC8"/>
    <w:rsid w:val="1462A34D"/>
    <w:rsid w:val="1464401B"/>
    <w:rsid w:val="14803ECF"/>
    <w:rsid w:val="14882BD3"/>
    <w:rsid w:val="14D38F43"/>
    <w:rsid w:val="14DD0D50"/>
    <w:rsid w:val="14E36752"/>
    <w:rsid w:val="14F5A053"/>
    <w:rsid w:val="15015194"/>
    <w:rsid w:val="1517AC77"/>
    <w:rsid w:val="151EEBB2"/>
    <w:rsid w:val="15277101"/>
    <w:rsid w:val="1531A6A9"/>
    <w:rsid w:val="15325431"/>
    <w:rsid w:val="154516D2"/>
    <w:rsid w:val="1547A19F"/>
    <w:rsid w:val="15531804"/>
    <w:rsid w:val="1579B980"/>
    <w:rsid w:val="157B8A08"/>
    <w:rsid w:val="157E8A8E"/>
    <w:rsid w:val="157FB398"/>
    <w:rsid w:val="158CD1BE"/>
    <w:rsid w:val="15918808"/>
    <w:rsid w:val="159D97C8"/>
    <w:rsid w:val="15B4E0FF"/>
    <w:rsid w:val="15BB5E09"/>
    <w:rsid w:val="15D3991C"/>
    <w:rsid w:val="15EAC80F"/>
    <w:rsid w:val="1603367D"/>
    <w:rsid w:val="1621CE32"/>
    <w:rsid w:val="1631A25A"/>
    <w:rsid w:val="163D73E4"/>
    <w:rsid w:val="163E0A34"/>
    <w:rsid w:val="163E5CD6"/>
    <w:rsid w:val="164EF2D0"/>
    <w:rsid w:val="165786AD"/>
    <w:rsid w:val="1678B2F7"/>
    <w:rsid w:val="1678F842"/>
    <w:rsid w:val="167E99B8"/>
    <w:rsid w:val="1680E148"/>
    <w:rsid w:val="1682CD67"/>
    <w:rsid w:val="16883D9C"/>
    <w:rsid w:val="169AB911"/>
    <w:rsid w:val="16A18EE0"/>
    <w:rsid w:val="16A6E4FA"/>
    <w:rsid w:val="16AA4434"/>
    <w:rsid w:val="16B5C56D"/>
    <w:rsid w:val="16D3C59A"/>
    <w:rsid w:val="170917F3"/>
    <w:rsid w:val="1720F0A9"/>
    <w:rsid w:val="17236741"/>
    <w:rsid w:val="17291549"/>
    <w:rsid w:val="1740831B"/>
    <w:rsid w:val="1743E4C3"/>
    <w:rsid w:val="17452753"/>
    <w:rsid w:val="1745486B"/>
    <w:rsid w:val="17668FD5"/>
    <w:rsid w:val="177F499C"/>
    <w:rsid w:val="17845EBD"/>
    <w:rsid w:val="1784F433"/>
    <w:rsid w:val="1797D50E"/>
    <w:rsid w:val="17B08738"/>
    <w:rsid w:val="17DB6E9D"/>
    <w:rsid w:val="17F29D1E"/>
    <w:rsid w:val="17F2E473"/>
    <w:rsid w:val="182597EF"/>
    <w:rsid w:val="183CF34E"/>
    <w:rsid w:val="18532101"/>
    <w:rsid w:val="185D8E05"/>
    <w:rsid w:val="18630E61"/>
    <w:rsid w:val="1869FAA7"/>
    <w:rsid w:val="186A622C"/>
    <w:rsid w:val="186B84F8"/>
    <w:rsid w:val="186F092F"/>
    <w:rsid w:val="18797DF1"/>
    <w:rsid w:val="18892D7C"/>
    <w:rsid w:val="1893D5A2"/>
    <w:rsid w:val="18A46438"/>
    <w:rsid w:val="18CAC9C9"/>
    <w:rsid w:val="18D71D78"/>
    <w:rsid w:val="18F1AE7B"/>
    <w:rsid w:val="190AB51D"/>
    <w:rsid w:val="190FB327"/>
    <w:rsid w:val="1929F60D"/>
    <w:rsid w:val="1946D708"/>
    <w:rsid w:val="194C4544"/>
    <w:rsid w:val="19586E22"/>
    <w:rsid w:val="1976F6ED"/>
    <w:rsid w:val="197ED06A"/>
    <w:rsid w:val="19A152E2"/>
    <w:rsid w:val="19A45C81"/>
    <w:rsid w:val="19ADE4B0"/>
    <w:rsid w:val="19AEB487"/>
    <w:rsid w:val="19B25093"/>
    <w:rsid w:val="19B5E08E"/>
    <w:rsid w:val="19D8545C"/>
    <w:rsid w:val="19F878AF"/>
    <w:rsid w:val="1A08FE7C"/>
    <w:rsid w:val="1A0CAE0D"/>
    <w:rsid w:val="1A1BF500"/>
    <w:rsid w:val="1A2197BC"/>
    <w:rsid w:val="1A23813D"/>
    <w:rsid w:val="1A23B1BD"/>
    <w:rsid w:val="1A3185B1"/>
    <w:rsid w:val="1A399717"/>
    <w:rsid w:val="1A3C9273"/>
    <w:rsid w:val="1A554F6C"/>
    <w:rsid w:val="1A945094"/>
    <w:rsid w:val="1A9C5270"/>
    <w:rsid w:val="1AA269FF"/>
    <w:rsid w:val="1AA2BAD8"/>
    <w:rsid w:val="1ABA34B4"/>
    <w:rsid w:val="1AC88A9C"/>
    <w:rsid w:val="1ACBBB98"/>
    <w:rsid w:val="1AE9994B"/>
    <w:rsid w:val="1AEB3CB4"/>
    <w:rsid w:val="1AEF32DF"/>
    <w:rsid w:val="1AF70176"/>
    <w:rsid w:val="1AFD707E"/>
    <w:rsid w:val="1B3ACE14"/>
    <w:rsid w:val="1B3E2195"/>
    <w:rsid w:val="1B4B1ED7"/>
    <w:rsid w:val="1B5AB04E"/>
    <w:rsid w:val="1B6D1F45"/>
    <w:rsid w:val="1B7919A7"/>
    <w:rsid w:val="1B8A2E2A"/>
    <w:rsid w:val="1B938D07"/>
    <w:rsid w:val="1B95F007"/>
    <w:rsid w:val="1B984449"/>
    <w:rsid w:val="1BAB7398"/>
    <w:rsid w:val="1BC7B1D9"/>
    <w:rsid w:val="1BCA46C3"/>
    <w:rsid w:val="1BDAD4A2"/>
    <w:rsid w:val="1BF3C2DC"/>
    <w:rsid w:val="1C1EE611"/>
    <w:rsid w:val="1C717825"/>
    <w:rsid w:val="1C77F15B"/>
    <w:rsid w:val="1C796CFF"/>
    <w:rsid w:val="1C797F0B"/>
    <w:rsid w:val="1CA607E0"/>
    <w:rsid w:val="1CAE3083"/>
    <w:rsid w:val="1CBB39EE"/>
    <w:rsid w:val="1CD20850"/>
    <w:rsid w:val="1D013C9B"/>
    <w:rsid w:val="1D123C5E"/>
    <w:rsid w:val="1D40DE96"/>
    <w:rsid w:val="1D6DACDC"/>
    <w:rsid w:val="1D72C115"/>
    <w:rsid w:val="1D754151"/>
    <w:rsid w:val="1D7A8D27"/>
    <w:rsid w:val="1D7B1773"/>
    <w:rsid w:val="1D92D0A0"/>
    <w:rsid w:val="1D957C3E"/>
    <w:rsid w:val="1DA676B8"/>
    <w:rsid w:val="1DB8FCAA"/>
    <w:rsid w:val="1DB9D9FE"/>
    <w:rsid w:val="1DD9A2F5"/>
    <w:rsid w:val="1DDA72A0"/>
    <w:rsid w:val="1DDC0949"/>
    <w:rsid w:val="1DEF1080"/>
    <w:rsid w:val="1DF464BC"/>
    <w:rsid w:val="1DFD8605"/>
    <w:rsid w:val="1DFFF460"/>
    <w:rsid w:val="1E1747E5"/>
    <w:rsid w:val="1E3218A9"/>
    <w:rsid w:val="1E328A3C"/>
    <w:rsid w:val="1E343945"/>
    <w:rsid w:val="1E354392"/>
    <w:rsid w:val="1E3684E7"/>
    <w:rsid w:val="1E37A2DB"/>
    <w:rsid w:val="1E4C11F7"/>
    <w:rsid w:val="1E5E0CF8"/>
    <w:rsid w:val="1E609673"/>
    <w:rsid w:val="1E62AAED"/>
    <w:rsid w:val="1E7A93E2"/>
    <w:rsid w:val="1E86B8AB"/>
    <w:rsid w:val="1E9FBD9A"/>
    <w:rsid w:val="1EB559AC"/>
    <w:rsid w:val="1EBDF5E5"/>
    <w:rsid w:val="1EBF95CF"/>
    <w:rsid w:val="1ECC9055"/>
    <w:rsid w:val="1EE711DE"/>
    <w:rsid w:val="1EEB586C"/>
    <w:rsid w:val="1EF557A6"/>
    <w:rsid w:val="1EF62E5E"/>
    <w:rsid w:val="1F0F1EA4"/>
    <w:rsid w:val="1F171D8E"/>
    <w:rsid w:val="1F3B9272"/>
    <w:rsid w:val="1F516CB6"/>
    <w:rsid w:val="1F5F3BCA"/>
    <w:rsid w:val="1F6A991B"/>
    <w:rsid w:val="1F7471DC"/>
    <w:rsid w:val="1F810162"/>
    <w:rsid w:val="1F8AE7D3"/>
    <w:rsid w:val="1FB185BC"/>
    <w:rsid w:val="1FD40C4F"/>
    <w:rsid w:val="1FDF0C0B"/>
    <w:rsid w:val="1FFC30E0"/>
    <w:rsid w:val="203859F3"/>
    <w:rsid w:val="204763B4"/>
    <w:rsid w:val="204A4F8C"/>
    <w:rsid w:val="205D3142"/>
    <w:rsid w:val="206C2FFE"/>
    <w:rsid w:val="206FA197"/>
    <w:rsid w:val="208FCEA2"/>
    <w:rsid w:val="20A77C9C"/>
    <w:rsid w:val="20A9B490"/>
    <w:rsid w:val="20BC65C9"/>
    <w:rsid w:val="20DA8E0F"/>
    <w:rsid w:val="20DBD3BE"/>
    <w:rsid w:val="2105E7D1"/>
    <w:rsid w:val="21077C92"/>
    <w:rsid w:val="210E1AB8"/>
    <w:rsid w:val="21304E3B"/>
    <w:rsid w:val="213933F6"/>
    <w:rsid w:val="2139BB8F"/>
    <w:rsid w:val="2196F4D3"/>
    <w:rsid w:val="219EAC65"/>
    <w:rsid w:val="21BFE5BF"/>
    <w:rsid w:val="21C33F7D"/>
    <w:rsid w:val="21E65E99"/>
    <w:rsid w:val="21E833EE"/>
    <w:rsid w:val="21F5E046"/>
    <w:rsid w:val="21F61C35"/>
    <w:rsid w:val="2218F303"/>
    <w:rsid w:val="222163E7"/>
    <w:rsid w:val="22286848"/>
    <w:rsid w:val="222C0352"/>
    <w:rsid w:val="22650F00"/>
    <w:rsid w:val="2274C8DB"/>
    <w:rsid w:val="22762874"/>
    <w:rsid w:val="22870FD5"/>
    <w:rsid w:val="2293C7F3"/>
    <w:rsid w:val="22A709F7"/>
    <w:rsid w:val="22A8FFD1"/>
    <w:rsid w:val="22AF63F8"/>
    <w:rsid w:val="22C98AD7"/>
    <w:rsid w:val="22DE9214"/>
    <w:rsid w:val="22F9DBF5"/>
    <w:rsid w:val="230D9A06"/>
    <w:rsid w:val="2314B48F"/>
    <w:rsid w:val="231CF4AE"/>
    <w:rsid w:val="231F9F52"/>
    <w:rsid w:val="2346BCBD"/>
    <w:rsid w:val="234C8307"/>
    <w:rsid w:val="2353E1ED"/>
    <w:rsid w:val="2361BB94"/>
    <w:rsid w:val="236A75FE"/>
    <w:rsid w:val="236FA3A2"/>
    <w:rsid w:val="2372F642"/>
    <w:rsid w:val="2377C9F1"/>
    <w:rsid w:val="23859CAC"/>
    <w:rsid w:val="23A86A90"/>
    <w:rsid w:val="23B28D74"/>
    <w:rsid w:val="23B90448"/>
    <w:rsid w:val="23BBA3D3"/>
    <w:rsid w:val="23BE4C1C"/>
    <w:rsid w:val="23C43D75"/>
    <w:rsid w:val="23D36772"/>
    <w:rsid w:val="23D57901"/>
    <w:rsid w:val="23E0A575"/>
    <w:rsid w:val="23E4B543"/>
    <w:rsid w:val="241F5956"/>
    <w:rsid w:val="24346475"/>
    <w:rsid w:val="243545BF"/>
    <w:rsid w:val="243E90B1"/>
    <w:rsid w:val="243F20E5"/>
    <w:rsid w:val="244EF1BD"/>
    <w:rsid w:val="2455B49F"/>
    <w:rsid w:val="245B0D82"/>
    <w:rsid w:val="2461F009"/>
    <w:rsid w:val="2479819D"/>
    <w:rsid w:val="247B92CE"/>
    <w:rsid w:val="24A30941"/>
    <w:rsid w:val="24A6451D"/>
    <w:rsid w:val="24A98FBE"/>
    <w:rsid w:val="24BF068E"/>
    <w:rsid w:val="24C34E79"/>
    <w:rsid w:val="24D8121E"/>
    <w:rsid w:val="24DA70D5"/>
    <w:rsid w:val="24F50B2E"/>
    <w:rsid w:val="2505B782"/>
    <w:rsid w:val="251420E0"/>
    <w:rsid w:val="2518C606"/>
    <w:rsid w:val="251B5B53"/>
    <w:rsid w:val="25231965"/>
    <w:rsid w:val="252723F2"/>
    <w:rsid w:val="2542054A"/>
    <w:rsid w:val="254CD7AA"/>
    <w:rsid w:val="25687F2A"/>
    <w:rsid w:val="2571A07E"/>
    <w:rsid w:val="259A6621"/>
    <w:rsid w:val="25B5C7ED"/>
    <w:rsid w:val="25B68115"/>
    <w:rsid w:val="25C73E4E"/>
    <w:rsid w:val="25D2A471"/>
    <w:rsid w:val="25DBF477"/>
    <w:rsid w:val="25E105A5"/>
    <w:rsid w:val="25F2DFB7"/>
    <w:rsid w:val="25F6D3A0"/>
    <w:rsid w:val="2613859D"/>
    <w:rsid w:val="261DBEDA"/>
    <w:rsid w:val="261EA005"/>
    <w:rsid w:val="262213A9"/>
    <w:rsid w:val="26303D2D"/>
    <w:rsid w:val="264A4E82"/>
    <w:rsid w:val="264B4AF2"/>
    <w:rsid w:val="2658EF72"/>
    <w:rsid w:val="266B275F"/>
    <w:rsid w:val="268625DA"/>
    <w:rsid w:val="268DC363"/>
    <w:rsid w:val="26AA7DC5"/>
    <w:rsid w:val="26AB9E00"/>
    <w:rsid w:val="26BEBE92"/>
    <w:rsid w:val="26CF4B6E"/>
    <w:rsid w:val="26CF7C08"/>
    <w:rsid w:val="26D13312"/>
    <w:rsid w:val="26E00D55"/>
    <w:rsid w:val="26E56D53"/>
    <w:rsid w:val="26E8604A"/>
    <w:rsid w:val="270A48D1"/>
    <w:rsid w:val="271E1045"/>
    <w:rsid w:val="272A3D88"/>
    <w:rsid w:val="273C28BE"/>
    <w:rsid w:val="273FA680"/>
    <w:rsid w:val="275EEC07"/>
    <w:rsid w:val="2763000C"/>
    <w:rsid w:val="2767FECA"/>
    <w:rsid w:val="27702ECF"/>
    <w:rsid w:val="2779445F"/>
    <w:rsid w:val="2779C50E"/>
    <w:rsid w:val="2780A3BC"/>
    <w:rsid w:val="27A0C577"/>
    <w:rsid w:val="27B8FE80"/>
    <w:rsid w:val="27B91959"/>
    <w:rsid w:val="27C413A7"/>
    <w:rsid w:val="27D35D4E"/>
    <w:rsid w:val="27DD0524"/>
    <w:rsid w:val="27F37961"/>
    <w:rsid w:val="2806856B"/>
    <w:rsid w:val="280738B3"/>
    <w:rsid w:val="280AEB2B"/>
    <w:rsid w:val="2816D6DD"/>
    <w:rsid w:val="2824346F"/>
    <w:rsid w:val="2831E69E"/>
    <w:rsid w:val="285F8947"/>
    <w:rsid w:val="28697DE2"/>
    <w:rsid w:val="287BC386"/>
    <w:rsid w:val="28C42658"/>
    <w:rsid w:val="28D2D285"/>
    <w:rsid w:val="291BB97B"/>
    <w:rsid w:val="29212F91"/>
    <w:rsid w:val="2921D2D1"/>
    <w:rsid w:val="292EAD84"/>
    <w:rsid w:val="29391F44"/>
    <w:rsid w:val="294ED21B"/>
    <w:rsid w:val="29505616"/>
    <w:rsid w:val="295083B3"/>
    <w:rsid w:val="296958E0"/>
    <w:rsid w:val="296C073E"/>
    <w:rsid w:val="298357CD"/>
    <w:rsid w:val="2991F05C"/>
    <w:rsid w:val="29A40165"/>
    <w:rsid w:val="29D042F7"/>
    <w:rsid w:val="29E2BFCE"/>
    <w:rsid w:val="29FCD74C"/>
    <w:rsid w:val="2A072A51"/>
    <w:rsid w:val="2A08BB45"/>
    <w:rsid w:val="2A098601"/>
    <w:rsid w:val="2A0A2448"/>
    <w:rsid w:val="2A1445D5"/>
    <w:rsid w:val="2A395AEE"/>
    <w:rsid w:val="2A40A48D"/>
    <w:rsid w:val="2A712479"/>
    <w:rsid w:val="2A73F107"/>
    <w:rsid w:val="2A79CED4"/>
    <w:rsid w:val="2A7D5CA2"/>
    <w:rsid w:val="2A7F9383"/>
    <w:rsid w:val="2A8CA2AD"/>
    <w:rsid w:val="2A92A9A0"/>
    <w:rsid w:val="2A9CD54E"/>
    <w:rsid w:val="2AA85CB5"/>
    <w:rsid w:val="2AB48ED6"/>
    <w:rsid w:val="2ABAFB68"/>
    <w:rsid w:val="2ABC4DA0"/>
    <w:rsid w:val="2AC5477A"/>
    <w:rsid w:val="2AD319EF"/>
    <w:rsid w:val="2AD5A887"/>
    <w:rsid w:val="2AD7395C"/>
    <w:rsid w:val="2ADA822F"/>
    <w:rsid w:val="2AEE8811"/>
    <w:rsid w:val="2AFFFA92"/>
    <w:rsid w:val="2B014C1C"/>
    <w:rsid w:val="2B08507C"/>
    <w:rsid w:val="2B170057"/>
    <w:rsid w:val="2B186426"/>
    <w:rsid w:val="2B3E5B24"/>
    <w:rsid w:val="2B4FB031"/>
    <w:rsid w:val="2B5B7A02"/>
    <w:rsid w:val="2B5CD06A"/>
    <w:rsid w:val="2B5DC2B1"/>
    <w:rsid w:val="2B61D2A3"/>
    <w:rsid w:val="2B6FBCA4"/>
    <w:rsid w:val="2B749A3F"/>
    <w:rsid w:val="2B85661D"/>
    <w:rsid w:val="2B86E1AC"/>
    <w:rsid w:val="2B95EF68"/>
    <w:rsid w:val="2B99DEAB"/>
    <w:rsid w:val="2B9B60B5"/>
    <w:rsid w:val="2B9FEE5D"/>
    <w:rsid w:val="2BA07868"/>
    <w:rsid w:val="2BAA9C61"/>
    <w:rsid w:val="2BAD49BA"/>
    <w:rsid w:val="2BB2D2F3"/>
    <w:rsid w:val="2BB75CFC"/>
    <w:rsid w:val="2BD39187"/>
    <w:rsid w:val="2BDF5599"/>
    <w:rsid w:val="2BEEFBD8"/>
    <w:rsid w:val="2C00F588"/>
    <w:rsid w:val="2C098233"/>
    <w:rsid w:val="2C239CD0"/>
    <w:rsid w:val="2C4FA05C"/>
    <w:rsid w:val="2C6DFB25"/>
    <w:rsid w:val="2C6E9153"/>
    <w:rsid w:val="2C710A04"/>
    <w:rsid w:val="2CA0057C"/>
    <w:rsid w:val="2CA71094"/>
    <w:rsid w:val="2CB713FF"/>
    <w:rsid w:val="2CD71B2C"/>
    <w:rsid w:val="2CF59A20"/>
    <w:rsid w:val="2D2C78FC"/>
    <w:rsid w:val="2D3152ED"/>
    <w:rsid w:val="2D45CC37"/>
    <w:rsid w:val="2D4895B6"/>
    <w:rsid w:val="2D51981A"/>
    <w:rsid w:val="2D5CB965"/>
    <w:rsid w:val="2D7A3C8B"/>
    <w:rsid w:val="2D95A354"/>
    <w:rsid w:val="2D9A6316"/>
    <w:rsid w:val="2DA369A0"/>
    <w:rsid w:val="2DAAF427"/>
    <w:rsid w:val="2DB8E8AC"/>
    <w:rsid w:val="2DC79039"/>
    <w:rsid w:val="2DCFEBC5"/>
    <w:rsid w:val="2DDFDF9F"/>
    <w:rsid w:val="2DE4C0AF"/>
    <w:rsid w:val="2DE8B5C2"/>
    <w:rsid w:val="2DE93B71"/>
    <w:rsid w:val="2DF5D305"/>
    <w:rsid w:val="2E045DD5"/>
    <w:rsid w:val="2E2014EF"/>
    <w:rsid w:val="2E2A9794"/>
    <w:rsid w:val="2E35E7F5"/>
    <w:rsid w:val="2E372EF9"/>
    <w:rsid w:val="2E411DCD"/>
    <w:rsid w:val="2E500A35"/>
    <w:rsid w:val="2E554B67"/>
    <w:rsid w:val="2E589237"/>
    <w:rsid w:val="2E6074F3"/>
    <w:rsid w:val="2E64C7EF"/>
    <w:rsid w:val="2E6D43D6"/>
    <w:rsid w:val="2E76FFDB"/>
    <w:rsid w:val="2E773259"/>
    <w:rsid w:val="2E8D5C62"/>
    <w:rsid w:val="2E8D6C23"/>
    <w:rsid w:val="2E9282F9"/>
    <w:rsid w:val="2E94675E"/>
    <w:rsid w:val="2E960932"/>
    <w:rsid w:val="2EA54F4C"/>
    <w:rsid w:val="2EBAE476"/>
    <w:rsid w:val="2EC468D4"/>
    <w:rsid w:val="2EC7102D"/>
    <w:rsid w:val="2ED54663"/>
    <w:rsid w:val="2ED76F75"/>
    <w:rsid w:val="2EDBF9DD"/>
    <w:rsid w:val="2EFD73B2"/>
    <w:rsid w:val="2F124148"/>
    <w:rsid w:val="2F206A18"/>
    <w:rsid w:val="2F31590F"/>
    <w:rsid w:val="2F34E2D8"/>
    <w:rsid w:val="2F3C2ECB"/>
    <w:rsid w:val="2F578E34"/>
    <w:rsid w:val="2F5C6CA2"/>
    <w:rsid w:val="2F78A947"/>
    <w:rsid w:val="2F881BD2"/>
    <w:rsid w:val="2F88B5B5"/>
    <w:rsid w:val="2FB3E4BE"/>
    <w:rsid w:val="2FB4C256"/>
    <w:rsid w:val="2FBBEE58"/>
    <w:rsid w:val="2FBFC89F"/>
    <w:rsid w:val="2FC02832"/>
    <w:rsid w:val="2FC3DCBA"/>
    <w:rsid w:val="2FC7AB07"/>
    <w:rsid w:val="2FF34BC9"/>
    <w:rsid w:val="2FF7008C"/>
    <w:rsid w:val="30045C43"/>
    <w:rsid w:val="3019B0FD"/>
    <w:rsid w:val="301DD8CD"/>
    <w:rsid w:val="3024D60A"/>
    <w:rsid w:val="30353B0F"/>
    <w:rsid w:val="303B6C1B"/>
    <w:rsid w:val="305DA0BD"/>
    <w:rsid w:val="305F4B29"/>
    <w:rsid w:val="30775807"/>
    <w:rsid w:val="308AA1A6"/>
    <w:rsid w:val="30979261"/>
    <w:rsid w:val="309E3EFF"/>
    <w:rsid w:val="30AF0938"/>
    <w:rsid w:val="30AF5E16"/>
    <w:rsid w:val="30B72351"/>
    <w:rsid w:val="30B87409"/>
    <w:rsid w:val="30C089C8"/>
    <w:rsid w:val="30CDE970"/>
    <w:rsid w:val="30D7D39A"/>
    <w:rsid w:val="30DAF3FE"/>
    <w:rsid w:val="30DEC471"/>
    <w:rsid w:val="30F64D6B"/>
    <w:rsid w:val="30F98697"/>
    <w:rsid w:val="30FA379A"/>
    <w:rsid w:val="31210C0E"/>
    <w:rsid w:val="314DA099"/>
    <w:rsid w:val="316CA0F7"/>
    <w:rsid w:val="31758EDE"/>
    <w:rsid w:val="31878C53"/>
    <w:rsid w:val="3194D0B9"/>
    <w:rsid w:val="319FDB89"/>
    <w:rsid w:val="31B22F13"/>
    <w:rsid w:val="31B6DC2D"/>
    <w:rsid w:val="31B98621"/>
    <w:rsid w:val="31C45ED2"/>
    <w:rsid w:val="31D7AE0C"/>
    <w:rsid w:val="31D8A871"/>
    <w:rsid w:val="31DBC319"/>
    <w:rsid w:val="31E488D0"/>
    <w:rsid w:val="31F0A8D4"/>
    <w:rsid w:val="31F598D4"/>
    <w:rsid w:val="31F6A362"/>
    <w:rsid w:val="31F8AB37"/>
    <w:rsid w:val="31F9D92C"/>
    <w:rsid w:val="3204E518"/>
    <w:rsid w:val="321AE359"/>
    <w:rsid w:val="3228E180"/>
    <w:rsid w:val="32377982"/>
    <w:rsid w:val="3239ED1D"/>
    <w:rsid w:val="323E0D55"/>
    <w:rsid w:val="32447DB6"/>
    <w:rsid w:val="3248D648"/>
    <w:rsid w:val="324DF57D"/>
    <w:rsid w:val="3250ECCB"/>
    <w:rsid w:val="325195EA"/>
    <w:rsid w:val="3269C511"/>
    <w:rsid w:val="327C7CC9"/>
    <w:rsid w:val="327CEBCE"/>
    <w:rsid w:val="328DB716"/>
    <w:rsid w:val="32A86A2A"/>
    <w:rsid w:val="32C22B87"/>
    <w:rsid w:val="32D60759"/>
    <w:rsid w:val="32D7E9E9"/>
    <w:rsid w:val="32FF3A9E"/>
    <w:rsid w:val="330E10C7"/>
    <w:rsid w:val="3313893F"/>
    <w:rsid w:val="331782FA"/>
    <w:rsid w:val="332CB4EE"/>
    <w:rsid w:val="333A23CC"/>
    <w:rsid w:val="333BC4BB"/>
    <w:rsid w:val="33447D4D"/>
    <w:rsid w:val="3347E48A"/>
    <w:rsid w:val="3352F0CD"/>
    <w:rsid w:val="33752FA6"/>
    <w:rsid w:val="33789D1F"/>
    <w:rsid w:val="3385A83E"/>
    <w:rsid w:val="3388F58D"/>
    <w:rsid w:val="338E33D8"/>
    <w:rsid w:val="33930413"/>
    <w:rsid w:val="33AB46AD"/>
    <w:rsid w:val="33AD89AC"/>
    <w:rsid w:val="33B0EBBF"/>
    <w:rsid w:val="33C7DAD3"/>
    <w:rsid w:val="33C876E9"/>
    <w:rsid w:val="33CCAD96"/>
    <w:rsid w:val="33D4DD71"/>
    <w:rsid w:val="33E4135E"/>
    <w:rsid w:val="33E52B1B"/>
    <w:rsid w:val="33E97754"/>
    <w:rsid w:val="33F16008"/>
    <w:rsid w:val="3408379A"/>
    <w:rsid w:val="343B77E6"/>
    <w:rsid w:val="344A04A2"/>
    <w:rsid w:val="345C7758"/>
    <w:rsid w:val="345E452A"/>
    <w:rsid w:val="3460CEB9"/>
    <w:rsid w:val="346CB4EC"/>
    <w:rsid w:val="3493E656"/>
    <w:rsid w:val="349631D0"/>
    <w:rsid w:val="349C63EF"/>
    <w:rsid w:val="34B024BA"/>
    <w:rsid w:val="34B88303"/>
    <w:rsid w:val="34BA1FE0"/>
    <w:rsid w:val="34BE9528"/>
    <w:rsid w:val="34CA6B65"/>
    <w:rsid w:val="34CF8990"/>
    <w:rsid w:val="34D5F5C8"/>
    <w:rsid w:val="34DBEFAF"/>
    <w:rsid w:val="34E323E9"/>
    <w:rsid w:val="34E9BD28"/>
    <w:rsid w:val="34F7E188"/>
    <w:rsid w:val="34F9B9D5"/>
    <w:rsid w:val="34FB76AF"/>
    <w:rsid w:val="35247214"/>
    <w:rsid w:val="35295E56"/>
    <w:rsid w:val="35335EED"/>
    <w:rsid w:val="3534C7EC"/>
    <w:rsid w:val="3571AB9A"/>
    <w:rsid w:val="35743BD8"/>
    <w:rsid w:val="357D3673"/>
    <w:rsid w:val="357DEE13"/>
    <w:rsid w:val="35BC2F40"/>
    <w:rsid w:val="35C71BFA"/>
    <w:rsid w:val="35C77860"/>
    <w:rsid w:val="35F3AF57"/>
    <w:rsid w:val="35F6E942"/>
    <w:rsid w:val="3604C3F9"/>
    <w:rsid w:val="360C8FA5"/>
    <w:rsid w:val="362286A9"/>
    <w:rsid w:val="3630D11C"/>
    <w:rsid w:val="366936DC"/>
    <w:rsid w:val="36699390"/>
    <w:rsid w:val="36745624"/>
    <w:rsid w:val="3674DACE"/>
    <w:rsid w:val="367E4603"/>
    <w:rsid w:val="369150FC"/>
    <w:rsid w:val="3691C26F"/>
    <w:rsid w:val="36C99B34"/>
    <w:rsid w:val="36CE0B9E"/>
    <w:rsid w:val="36CECE93"/>
    <w:rsid w:val="36DA39BB"/>
    <w:rsid w:val="36E16397"/>
    <w:rsid w:val="36E1CD66"/>
    <w:rsid w:val="36E2C9BC"/>
    <w:rsid w:val="36F1A423"/>
    <w:rsid w:val="36FA5E05"/>
    <w:rsid w:val="36FE9622"/>
    <w:rsid w:val="371EE84A"/>
    <w:rsid w:val="3726EB44"/>
    <w:rsid w:val="372DF237"/>
    <w:rsid w:val="372F388B"/>
    <w:rsid w:val="3742B27B"/>
    <w:rsid w:val="3748320D"/>
    <w:rsid w:val="37550969"/>
    <w:rsid w:val="3769EC41"/>
    <w:rsid w:val="376CC859"/>
    <w:rsid w:val="37759ED4"/>
    <w:rsid w:val="37969EBB"/>
    <w:rsid w:val="379B08EC"/>
    <w:rsid w:val="37AC5BC6"/>
    <w:rsid w:val="37B82E35"/>
    <w:rsid w:val="37C02B1D"/>
    <w:rsid w:val="37D6AC5E"/>
    <w:rsid w:val="37F66A13"/>
    <w:rsid w:val="38109364"/>
    <w:rsid w:val="3813CCAD"/>
    <w:rsid w:val="3817327A"/>
    <w:rsid w:val="38192A0D"/>
    <w:rsid w:val="3836A3EE"/>
    <w:rsid w:val="3842706B"/>
    <w:rsid w:val="38517865"/>
    <w:rsid w:val="38528868"/>
    <w:rsid w:val="386DFF87"/>
    <w:rsid w:val="38720606"/>
    <w:rsid w:val="387F0E12"/>
    <w:rsid w:val="3885FD25"/>
    <w:rsid w:val="38955D87"/>
    <w:rsid w:val="3897FF9B"/>
    <w:rsid w:val="389C9B4E"/>
    <w:rsid w:val="38A1E426"/>
    <w:rsid w:val="38AE4831"/>
    <w:rsid w:val="38BE999D"/>
    <w:rsid w:val="38BFB04A"/>
    <w:rsid w:val="38C43DEB"/>
    <w:rsid w:val="38C452DC"/>
    <w:rsid w:val="38C7FFCA"/>
    <w:rsid w:val="38CC5F94"/>
    <w:rsid w:val="38D033FE"/>
    <w:rsid w:val="3914CD54"/>
    <w:rsid w:val="392EDC7B"/>
    <w:rsid w:val="393F96D2"/>
    <w:rsid w:val="3942B0D4"/>
    <w:rsid w:val="3946C849"/>
    <w:rsid w:val="394D7DED"/>
    <w:rsid w:val="394FED99"/>
    <w:rsid w:val="395A3831"/>
    <w:rsid w:val="395C48C0"/>
    <w:rsid w:val="395ED74C"/>
    <w:rsid w:val="395F3094"/>
    <w:rsid w:val="39617305"/>
    <w:rsid w:val="396B7749"/>
    <w:rsid w:val="396C1FDD"/>
    <w:rsid w:val="3978AAE6"/>
    <w:rsid w:val="39791C9F"/>
    <w:rsid w:val="3996D7F3"/>
    <w:rsid w:val="399DC675"/>
    <w:rsid w:val="39AEAC10"/>
    <w:rsid w:val="39CB8808"/>
    <w:rsid w:val="39D7AE4C"/>
    <w:rsid w:val="39D8A034"/>
    <w:rsid w:val="39EB63CB"/>
    <w:rsid w:val="39F5474F"/>
    <w:rsid w:val="39F93471"/>
    <w:rsid w:val="3A12876A"/>
    <w:rsid w:val="3A181B5E"/>
    <w:rsid w:val="3A23C92B"/>
    <w:rsid w:val="3A24FF01"/>
    <w:rsid w:val="3A273F81"/>
    <w:rsid w:val="3A2CBEF4"/>
    <w:rsid w:val="3A3F3E9B"/>
    <w:rsid w:val="3A445520"/>
    <w:rsid w:val="3A474C80"/>
    <w:rsid w:val="3A4FB32E"/>
    <w:rsid w:val="3A614913"/>
    <w:rsid w:val="3A6B140B"/>
    <w:rsid w:val="3A8B1461"/>
    <w:rsid w:val="3A8D11F0"/>
    <w:rsid w:val="3A936EE3"/>
    <w:rsid w:val="3A9688C2"/>
    <w:rsid w:val="3A989061"/>
    <w:rsid w:val="3A9A8F8F"/>
    <w:rsid w:val="3AAF3495"/>
    <w:rsid w:val="3ABED870"/>
    <w:rsid w:val="3AD92FF7"/>
    <w:rsid w:val="3AEE03E9"/>
    <w:rsid w:val="3B087E7F"/>
    <w:rsid w:val="3B08DDC5"/>
    <w:rsid w:val="3B1A5B5A"/>
    <w:rsid w:val="3B2DAA8E"/>
    <w:rsid w:val="3B33F866"/>
    <w:rsid w:val="3B3478DB"/>
    <w:rsid w:val="3B38AA5D"/>
    <w:rsid w:val="3B3A6A74"/>
    <w:rsid w:val="3B3BC239"/>
    <w:rsid w:val="3B3D9097"/>
    <w:rsid w:val="3B3F6B15"/>
    <w:rsid w:val="3B43F010"/>
    <w:rsid w:val="3B4C308A"/>
    <w:rsid w:val="3B574099"/>
    <w:rsid w:val="3B5FA4D8"/>
    <w:rsid w:val="3B6CC772"/>
    <w:rsid w:val="3B71B93A"/>
    <w:rsid w:val="3B8050E9"/>
    <w:rsid w:val="3B8F6DEA"/>
    <w:rsid w:val="3B99D9D0"/>
    <w:rsid w:val="3BA1BD7A"/>
    <w:rsid w:val="3BA9DB66"/>
    <w:rsid w:val="3BB25607"/>
    <w:rsid w:val="3BB4A35F"/>
    <w:rsid w:val="3BB762B3"/>
    <w:rsid w:val="3BC52417"/>
    <w:rsid w:val="3BCA3AC4"/>
    <w:rsid w:val="3BE282B1"/>
    <w:rsid w:val="3BF12244"/>
    <w:rsid w:val="3BFFA973"/>
    <w:rsid w:val="3C143BB6"/>
    <w:rsid w:val="3C1F1184"/>
    <w:rsid w:val="3C3192D4"/>
    <w:rsid w:val="3C3FEFEA"/>
    <w:rsid w:val="3C543996"/>
    <w:rsid w:val="3C573B7E"/>
    <w:rsid w:val="3C5BB457"/>
    <w:rsid w:val="3C67D9A2"/>
    <w:rsid w:val="3C6BF59F"/>
    <w:rsid w:val="3C6FDB1D"/>
    <w:rsid w:val="3C752EEA"/>
    <w:rsid w:val="3C86A3CE"/>
    <w:rsid w:val="3C8AF10C"/>
    <w:rsid w:val="3C8EB56D"/>
    <w:rsid w:val="3C9E66E7"/>
    <w:rsid w:val="3CD348B6"/>
    <w:rsid w:val="3CDE7DE8"/>
    <w:rsid w:val="3CE578FF"/>
    <w:rsid w:val="3CE65CED"/>
    <w:rsid w:val="3CEB7E03"/>
    <w:rsid w:val="3D2AAF4E"/>
    <w:rsid w:val="3D39C0D2"/>
    <w:rsid w:val="3D46AC00"/>
    <w:rsid w:val="3D61F5E4"/>
    <w:rsid w:val="3D672306"/>
    <w:rsid w:val="3D6B81A7"/>
    <w:rsid w:val="3D6F6886"/>
    <w:rsid w:val="3D839FF8"/>
    <w:rsid w:val="3D8AE908"/>
    <w:rsid w:val="3DAC06DD"/>
    <w:rsid w:val="3DBDEB18"/>
    <w:rsid w:val="3DC56CE8"/>
    <w:rsid w:val="3DC9D595"/>
    <w:rsid w:val="3DD0F53C"/>
    <w:rsid w:val="3DD690DB"/>
    <w:rsid w:val="3DDFF776"/>
    <w:rsid w:val="3DF0C04B"/>
    <w:rsid w:val="3DF5F652"/>
    <w:rsid w:val="3E2491ED"/>
    <w:rsid w:val="3E41B3A6"/>
    <w:rsid w:val="3E524110"/>
    <w:rsid w:val="3E612265"/>
    <w:rsid w:val="3E8A34FF"/>
    <w:rsid w:val="3E972A72"/>
    <w:rsid w:val="3E97B5FF"/>
    <w:rsid w:val="3E9E61DE"/>
    <w:rsid w:val="3EA67BB4"/>
    <w:rsid w:val="3EBA426D"/>
    <w:rsid w:val="3EE3BE6C"/>
    <w:rsid w:val="3F240EF3"/>
    <w:rsid w:val="3F27E424"/>
    <w:rsid w:val="3F2ED5CF"/>
    <w:rsid w:val="3F401108"/>
    <w:rsid w:val="3F4AAB82"/>
    <w:rsid w:val="3F82365E"/>
    <w:rsid w:val="3F904065"/>
    <w:rsid w:val="3FA3B135"/>
    <w:rsid w:val="3FA45240"/>
    <w:rsid w:val="3FA86803"/>
    <w:rsid w:val="3FB8A31C"/>
    <w:rsid w:val="3FBC8713"/>
    <w:rsid w:val="3FD87AC6"/>
    <w:rsid w:val="3FE55268"/>
    <w:rsid w:val="3FEE9BA8"/>
    <w:rsid w:val="3FF2156E"/>
    <w:rsid w:val="400421B1"/>
    <w:rsid w:val="400D5A95"/>
    <w:rsid w:val="402035A4"/>
    <w:rsid w:val="402A35C0"/>
    <w:rsid w:val="4031711C"/>
    <w:rsid w:val="4034A859"/>
    <w:rsid w:val="403F6253"/>
    <w:rsid w:val="40447AEA"/>
    <w:rsid w:val="40483057"/>
    <w:rsid w:val="4053AEC6"/>
    <w:rsid w:val="4053B946"/>
    <w:rsid w:val="40564D39"/>
    <w:rsid w:val="4062719B"/>
    <w:rsid w:val="4065989B"/>
    <w:rsid w:val="4065C74B"/>
    <w:rsid w:val="4083739C"/>
    <w:rsid w:val="409908A3"/>
    <w:rsid w:val="409F13C8"/>
    <w:rsid w:val="40C65E86"/>
    <w:rsid w:val="40CCFDA8"/>
    <w:rsid w:val="40D973F6"/>
    <w:rsid w:val="40DAD77F"/>
    <w:rsid w:val="40F3DEFD"/>
    <w:rsid w:val="40FA93E3"/>
    <w:rsid w:val="4109F778"/>
    <w:rsid w:val="410B9DF9"/>
    <w:rsid w:val="412064BE"/>
    <w:rsid w:val="4136563D"/>
    <w:rsid w:val="416A554A"/>
    <w:rsid w:val="4173794B"/>
    <w:rsid w:val="41814D29"/>
    <w:rsid w:val="4184F24B"/>
    <w:rsid w:val="419A9C5C"/>
    <w:rsid w:val="41ACD442"/>
    <w:rsid w:val="41AF0B83"/>
    <w:rsid w:val="41BE7CF7"/>
    <w:rsid w:val="41C1098E"/>
    <w:rsid w:val="41C7D6CA"/>
    <w:rsid w:val="41CA37AC"/>
    <w:rsid w:val="41D11CDB"/>
    <w:rsid w:val="41DA7366"/>
    <w:rsid w:val="41EF05AA"/>
    <w:rsid w:val="4208E401"/>
    <w:rsid w:val="4211503D"/>
    <w:rsid w:val="422315A2"/>
    <w:rsid w:val="42297B3C"/>
    <w:rsid w:val="42417332"/>
    <w:rsid w:val="4241CC80"/>
    <w:rsid w:val="4265B807"/>
    <w:rsid w:val="427832C3"/>
    <w:rsid w:val="4279EA0B"/>
    <w:rsid w:val="42803EBB"/>
    <w:rsid w:val="428D4624"/>
    <w:rsid w:val="42A81EC1"/>
    <w:rsid w:val="42BE7109"/>
    <w:rsid w:val="42BF4C62"/>
    <w:rsid w:val="42C0DC22"/>
    <w:rsid w:val="42D17034"/>
    <w:rsid w:val="42DC0192"/>
    <w:rsid w:val="42DFFC90"/>
    <w:rsid w:val="42EECE07"/>
    <w:rsid w:val="430CC0AB"/>
    <w:rsid w:val="432153C8"/>
    <w:rsid w:val="43255449"/>
    <w:rsid w:val="432A26B7"/>
    <w:rsid w:val="432FDFCB"/>
    <w:rsid w:val="43581778"/>
    <w:rsid w:val="435E8AB8"/>
    <w:rsid w:val="4371271E"/>
    <w:rsid w:val="4378276A"/>
    <w:rsid w:val="437D8408"/>
    <w:rsid w:val="4382699D"/>
    <w:rsid w:val="43852589"/>
    <w:rsid w:val="43A17222"/>
    <w:rsid w:val="43A1FC68"/>
    <w:rsid w:val="43BB0648"/>
    <w:rsid w:val="43EB807F"/>
    <w:rsid w:val="440520E1"/>
    <w:rsid w:val="440C30F3"/>
    <w:rsid w:val="440F2DDA"/>
    <w:rsid w:val="44142230"/>
    <w:rsid w:val="44167EB3"/>
    <w:rsid w:val="4439C34E"/>
    <w:rsid w:val="445F6DED"/>
    <w:rsid w:val="4464A4A8"/>
    <w:rsid w:val="446CEABE"/>
    <w:rsid w:val="446F2CE7"/>
    <w:rsid w:val="4470D0C7"/>
    <w:rsid w:val="448629F8"/>
    <w:rsid w:val="449A18E7"/>
    <w:rsid w:val="44CA71CE"/>
    <w:rsid w:val="44DB7A1F"/>
    <w:rsid w:val="44F64E91"/>
    <w:rsid w:val="451011E7"/>
    <w:rsid w:val="45394C47"/>
    <w:rsid w:val="453FC1DA"/>
    <w:rsid w:val="453FD58C"/>
    <w:rsid w:val="454C93A5"/>
    <w:rsid w:val="45505139"/>
    <w:rsid w:val="45658D3F"/>
    <w:rsid w:val="457CC1E8"/>
    <w:rsid w:val="458F59E0"/>
    <w:rsid w:val="45A5A09C"/>
    <w:rsid w:val="45C2C59E"/>
    <w:rsid w:val="45ECC10E"/>
    <w:rsid w:val="45ED4FC8"/>
    <w:rsid w:val="45F835DF"/>
    <w:rsid w:val="45FC77B8"/>
    <w:rsid w:val="45FFF047"/>
    <w:rsid w:val="460590FE"/>
    <w:rsid w:val="460CEC8C"/>
    <w:rsid w:val="461CDEF7"/>
    <w:rsid w:val="462E77BE"/>
    <w:rsid w:val="46495514"/>
    <w:rsid w:val="465EA001"/>
    <w:rsid w:val="4690D6EA"/>
    <w:rsid w:val="4695F453"/>
    <w:rsid w:val="469CF37E"/>
    <w:rsid w:val="46D855D5"/>
    <w:rsid w:val="46FBD688"/>
    <w:rsid w:val="470113B2"/>
    <w:rsid w:val="470BDF86"/>
    <w:rsid w:val="47199666"/>
    <w:rsid w:val="47232E9B"/>
    <w:rsid w:val="47568AA7"/>
    <w:rsid w:val="475A2235"/>
    <w:rsid w:val="4785937D"/>
    <w:rsid w:val="478F61AA"/>
    <w:rsid w:val="479869DC"/>
    <w:rsid w:val="47A0B6D7"/>
    <w:rsid w:val="47BA0498"/>
    <w:rsid w:val="47F137A0"/>
    <w:rsid w:val="47F90D5C"/>
    <w:rsid w:val="4800A9D7"/>
    <w:rsid w:val="4805D487"/>
    <w:rsid w:val="480662F4"/>
    <w:rsid w:val="480AB522"/>
    <w:rsid w:val="480C2D11"/>
    <w:rsid w:val="48266724"/>
    <w:rsid w:val="484DBC2C"/>
    <w:rsid w:val="485934C3"/>
    <w:rsid w:val="487AC386"/>
    <w:rsid w:val="48826604"/>
    <w:rsid w:val="48996483"/>
    <w:rsid w:val="48A2C948"/>
    <w:rsid w:val="48A924F6"/>
    <w:rsid w:val="48AD9AC0"/>
    <w:rsid w:val="48B01756"/>
    <w:rsid w:val="48B67036"/>
    <w:rsid w:val="48BAF9A2"/>
    <w:rsid w:val="48C5405D"/>
    <w:rsid w:val="48C96867"/>
    <w:rsid w:val="48F34C69"/>
    <w:rsid w:val="48FBFECA"/>
    <w:rsid w:val="490AC78A"/>
    <w:rsid w:val="491CC8EE"/>
    <w:rsid w:val="491DD05D"/>
    <w:rsid w:val="491F85BC"/>
    <w:rsid w:val="4925777A"/>
    <w:rsid w:val="492FF17C"/>
    <w:rsid w:val="493C6374"/>
    <w:rsid w:val="494760CC"/>
    <w:rsid w:val="4963F718"/>
    <w:rsid w:val="496F9109"/>
    <w:rsid w:val="497809CC"/>
    <w:rsid w:val="497C2D4C"/>
    <w:rsid w:val="498B9343"/>
    <w:rsid w:val="498EB6BC"/>
    <w:rsid w:val="499217CC"/>
    <w:rsid w:val="499C3E36"/>
    <w:rsid w:val="49B35E28"/>
    <w:rsid w:val="49D3632C"/>
    <w:rsid w:val="49DE2E4A"/>
    <w:rsid w:val="49EE31A8"/>
    <w:rsid w:val="4A00E0EB"/>
    <w:rsid w:val="4A059692"/>
    <w:rsid w:val="4A0D4747"/>
    <w:rsid w:val="4A12D8E1"/>
    <w:rsid w:val="4A14C07F"/>
    <w:rsid w:val="4A16569D"/>
    <w:rsid w:val="4A1B5731"/>
    <w:rsid w:val="4A2AAA5E"/>
    <w:rsid w:val="4A321C2A"/>
    <w:rsid w:val="4A39F9D0"/>
    <w:rsid w:val="4A4745DA"/>
    <w:rsid w:val="4A4A00F3"/>
    <w:rsid w:val="4A4BB1EC"/>
    <w:rsid w:val="4A5036E5"/>
    <w:rsid w:val="4A55F456"/>
    <w:rsid w:val="4A57D2E6"/>
    <w:rsid w:val="4A5AE2C4"/>
    <w:rsid w:val="4A5EAF9C"/>
    <w:rsid w:val="4AAA876C"/>
    <w:rsid w:val="4ABBC089"/>
    <w:rsid w:val="4AD624CD"/>
    <w:rsid w:val="4ADCD6A5"/>
    <w:rsid w:val="4AE2A737"/>
    <w:rsid w:val="4AE6C8C0"/>
    <w:rsid w:val="4AED22C4"/>
    <w:rsid w:val="4B07856D"/>
    <w:rsid w:val="4B11FD05"/>
    <w:rsid w:val="4B2929F4"/>
    <w:rsid w:val="4B33F527"/>
    <w:rsid w:val="4B435437"/>
    <w:rsid w:val="4B5DDC56"/>
    <w:rsid w:val="4B69D389"/>
    <w:rsid w:val="4B715B6D"/>
    <w:rsid w:val="4BA7DB8B"/>
    <w:rsid w:val="4BC2D205"/>
    <w:rsid w:val="4BC70C70"/>
    <w:rsid w:val="4BC7E6AB"/>
    <w:rsid w:val="4BF31B9C"/>
    <w:rsid w:val="4BFD8EA8"/>
    <w:rsid w:val="4BFE5407"/>
    <w:rsid w:val="4BFECD29"/>
    <w:rsid w:val="4C199727"/>
    <w:rsid w:val="4C293BA0"/>
    <w:rsid w:val="4C39FB59"/>
    <w:rsid w:val="4C418251"/>
    <w:rsid w:val="4C458CC5"/>
    <w:rsid w:val="4C54E772"/>
    <w:rsid w:val="4C670119"/>
    <w:rsid w:val="4C71C2D1"/>
    <w:rsid w:val="4C7252F2"/>
    <w:rsid w:val="4C7FF096"/>
    <w:rsid w:val="4C8442B5"/>
    <w:rsid w:val="4C8EC043"/>
    <w:rsid w:val="4CB4AB23"/>
    <w:rsid w:val="4CBE4EFB"/>
    <w:rsid w:val="4CC48485"/>
    <w:rsid w:val="4CDA8075"/>
    <w:rsid w:val="4CDC85CB"/>
    <w:rsid w:val="4CEAF25A"/>
    <w:rsid w:val="4CF2D57C"/>
    <w:rsid w:val="4D00323D"/>
    <w:rsid w:val="4D08862B"/>
    <w:rsid w:val="4D091B02"/>
    <w:rsid w:val="4D0FFB66"/>
    <w:rsid w:val="4D26C776"/>
    <w:rsid w:val="4D329AED"/>
    <w:rsid w:val="4D32B797"/>
    <w:rsid w:val="4D4A92D4"/>
    <w:rsid w:val="4D4BDD8F"/>
    <w:rsid w:val="4D4D8FEC"/>
    <w:rsid w:val="4D83B1C4"/>
    <w:rsid w:val="4D901544"/>
    <w:rsid w:val="4D9AE791"/>
    <w:rsid w:val="4D9F4B90"/>
    <w:rsid w:val="4DA03AFC"/>
    <w:rsid w:val="4DBE609B"/>
    <w:rsid w:val="4DEC4B75"/>
    <w:rsid w:val="4DFFF56D"/>
    <w:rsid w:val="4E09C6B4"/>
    <w:rsid w:val="4E21BD56"/>
    <w:rsid w:val="4E26EC1A"/>
    <w:rsid w:val="4E277AA9"/>
    <w:rsid w:val="4E37B19B"/>
    <w:rsid w:val="4E39D1E4"/>
    <w:rsid w:val="4E5288A5"/>
    <w:rsid w:val="4E55B677"/>
    <w:rsid w:val="4E67FF7A"/>
    <w:rsid w:val="4E915172"/>
    <w:rsid w:val="4EA1145E"/>
    <w:rsid w:val="4EDBAAE3"/>
    <w:rsid w:val="4EDECD18"/>
    <w:rsid w:val="4F0BCCF2"/>
    <w:rsid w:val="4F0C211D"/>
    <w:rsid w:val="4F455B09"/>
    <w:rsid w:val="4F5DF8D7"/>
    <w:rsid w:val="4F69A129"/>
    <w:rsid w:val="4F7530DC"/>
    <w:rsid w:val="4F75F7EC"/>
    <w:rsid w:val="4F857358"/>
    <w:rsid w:val="4F8EE504"/>
    <w:rsid w:val="4F92117F"/>
    <w:rsid w:val="4F9608E4"/>
    <w:rsid w:val="4F9654D1"/>
    <w:rsid w:val="4FA44BE8"/>
    <w:rsid w:val="4FBAC00A"/>
    <w:rsid w:val="4FD5E0C5"/>
    <w:rsid w:val="4FD7E1E3"/>
    <w:rsid w:val="4FDCC84C"/>
    <w:rsid w:val="4FE7F25F"/>
    <w:rsid w:val="4FF67ABB"/>
    <w:rsid w:val="50005CBF"/>
    <w:rsid w:val="502DBA6E"/>
    <w:rsid w:val="502EDC55"/>
    <w:rsid w:val="5038F7B3"/>
    <w:rsid w:val="503EB691"/>
    <w:rsid w:val="505C1725"/>
    <w:rsid w:val="506A5409"/>
    <w:rsid w:val="506EAF9B"/>
    <w:rsid w:val="50776814"/>
    <w:rsid w:val="5092FDFC"/>
    <w:rsid w:val="50B4C2B1"/>
    <w:rsid w:val="50B68B72"/>
    <w:rsid w:val="50BB383E"/>
    <w:rsid w:val="50C3EB50"/>
    <w:rsid w:val="50D355C7"/>
    <w:rsid w:val="50DB0F73"/>
    <w:rsid w:val="50E692A7"/>
    <w:rsid w:val="510D2D80"/>
    <w:rsid w:val="5130210A"/>
    <w:rsid w:val="5130CD43"/>
    <w:rsid w:val="513D2544"/>
    <w:rsid w:val="513E8D38"/>
    <w:rsid w:val="513EAA99"/>
    <w:rsid w:val="5141CC1D"/>
    <w:rsid w:val="516E8D53"/>
    <w:rsid w:val="5177987D"/>
    <w:rsid w:val="51811E6F"/>
    <w:rsid w:val="519AD59A"/>
    <w:rsid w:val="51AC392B"/>
    <w:rsid w:val="51B71CE2"/>
    <w:rsid w:val="51B8EFAA"/>
    <w:rsid w:val="51BF4B3C"/>
    <w:rsid w:val="51C1078C"/>
    <w:rsid w:val="51C8A9C1"/>
    <w:rsid w:val="51F9CFE6"/>
    <w:rsid w:val="5207629E"/>
    <w:rsid w:val="52195B8F"/>
    <w:rsid w:val="523554C6"/>
    <w:rsid w:val="52489E5D"/>
    <w:rsid w:val="525BF4AD"/>
    <w:rsid w:val="52641ABA"/>
    <w:rsid w:val="526582AC"/>
    <w:rsid w:val="52700810"/>
    <w:rsid w:val="527A44B6"/>
    <w:rsid w:val="52949E22"/>
    <w:rsid w:val="529EC628"/>
    <w:rsid w:val="52A08DF7"/>
    <w:rsid w:val="52CB86B8"/>
    <w:rsid w:val="52DE5551"/>
    <w:rsid w:val="52E320A6"/>
    <w:rsid w:val="52F8102B"/>
    <w:rsid w:val="530D6B02"/>
    <w:rsid w:val="53217C68"/>
    <w:rsid w:val="53221479"/>
    <w:rsid w:val="53334DF0"/>
    <w:rsid w:val="53488EC3"/>
    <w:rsid w:val="5354274A"/>
    <w:rsid w:val="53671F47"/>
    <w:rsid w:val="537782A4"/>
    <w:rsid w:val="537F3A71"/>
    <w:rsid w:val="5394AD70"/>
    <w:rsid w:val="53A15D46"/>
    <w:rsid w:val="53B398E9"/>
    <w:rsid w:val="53B80019"/>
    <w:rsid w:val="53CE3567"/>
    <w:rsid w:val="53D34B56"/>
    <w:rsid w:val="53D6C638"/>
    <w:rsid w:val="53DE158C"/>
    <w:rsid w:val="53E4AD93"/>
    <w:rsid w:val="53EF5364"/>
    <w:rsid w:val="540078FD"/>
    <w:rsid w:val="540AB14B"/>
    <w:rsid w:val="541DAE54"/>
    <w:rsid w:val="54314C64"/>
    <w:rsid w:val="5433C0AF"/>
    <w:rsid w:val="543AE6C3"/>
    <w:rsid w:val="543B01B5"/>
    <w:rsid w:val="543B6E3A"/>
    <w:rsid w:val="5445DE1D"/>
    <w:rsid w:val="5459B65F"/>
    <w:rsid w:val="545C32B7"/>
    <w:rsid w:val="546F27FE"/>
    <w:rsid w:val="547E644C"/>
    <w:rsid w:val="5481A129"/>
    <w:rsid w:val="5483FE4A"/>
    <w:rsid w:val="5489BDE9"/>
    <w:rsid w:val="549F1AFE"/>
    <w:rsid w:val="54BB9438"/>
    <w:rsid w:val="54C79DD1"/>
    <w:rsid w:val="54DC9309"/>
    <w:rsid w:val="550274A4"/>
    <w:rsid w:val="55218024"/>
    <w:rsid w:val="5525BD5A"/>
    <w:rsid w:val="552F53F9"/>
    <w:rsid w:val="553ED08F"/>
    <w:rsid w:val="55591CFC"/>
    <w:rsid w:val="556DB7F5"/>
    <w:rsid w:val="55781981"/>
    <w:rsid w:val="55A17EB0"/>
    <w:rsid w:val="55A1CC79"/>
    <w:rsid w:val="55BD4061"/>
    <w:rsid w:val="55C0FDCA"/>
    <w:rsid w:val="55D5F2A4"/>
    <w:rsid w:val="55DC2D03"/>
    <w:rsid w:val="55E5962D"/>
    <w:rsid w:val="55F095F1"/>
    <w:rsid w:val="55F6E3C0"/>
    <w:rsid w:val="55FABB37"/>
    <w:rsid w:val="561955E1"/>
    <w:rsid w:val="561C3CB4"/>
    <w:rsid w:val="56391B65"/>
    <w:rsid w:val="565635C2"/>
    <w:rsid w:val="5657ED49"/>
    <w:rsid w:val="566ED4CE"/>
    <w:rsid w:val="5671B256"/>
    <w:rsid w:val="5683ABFB"/>
    <w:rsid w:val="568A97C4"/>
    <w:rsid w:val="568F837B"/>
    <w:rsid w:val="569C6109"/>
    <w:rsid w:val="569D831E"/>
    <w:rsid w:val="56A5F08C"/>
    <w:rsid w:val="56B68761"/>
    <w:rsid w:val="56BA6387"/>
    <w:rsid w:val="56BB08F1"/>
    <w:rsid w:val="56C7D57C"/>
    <w:rsid w:val="56F1734C"/>
    <w:rsid w:val="5707335B"/>
    <w:rsid w:val="570EDBBF"/>
    <w:rsid w:val="5727CBF2"/>
    <w:rsid w:val="57311A57"/>
    <w:rsid w:val="57390177"/>
    <w:rsid w:val="573A9F8E"/>
    <w:rsid w:val="5755B904"/>
    <w:rsid w:val="577B6A99"/>
    <w:rsid w:val="577CF3EF"/>
    <w:rsid w:val="577F229D"/>
    <w:rsid w:val="578E85A0"/>
    <w:rsid w:val="5794A917"/>
    <w:rsid w:val="579C0930"/>
    <w:rsid w:val="57A96D34"/>
    <w:rsid w:val="57ABE059"/>
    <w:rsid w:val="57C00F87"/>
    <w:rsid w:val="57C906D3"/>
    <w:rsid w:val="57CD9CAC"/>
    <w:rsid w:val="57E67919"/>
    <w:rsid w:val="57EF391E"/>
    <w:rsid w:val="57F00DE5"/>
    <w:rsid w:val="57F5552F"/>
    <w:rsid w:val="57F873E8"/>
    <w:rsid w:val="5806C763"/>
    <w:rsid w:val="580F5B8E"/>
    <w:rsid w:val="5824063B"/>
    <w:rsid w:val="582706C3"/>
    <w:rsid w:val="582E7578"/>
    <w:rsid w:val="582F7DF8"/>
    <w:rsid w:val="5830DAEC"/>
    <w:rsid w:val="583B5FCA"/>
    <w:rsid w:val="5850D4D8"/>
    <w:rsid w:val="58719D48"/>
    <w:rsid w:val="587AFDEC"/>
    <w:rsid w:val="588CCDCD"/>
    <w:rsid w:val="588EEACD"/>
    <w:rsid w:val="58A28EB0"/>
    <w:rsid w:val="58A48F67"/>
    <w:rsid w:val="58AA28D7"/>
    <w:rsid w:val="58D2826A"/>
    <w:rsid w:val="58D892AD"/>
    <w:rsid w:val="58DBEC53"/>
    <w:rsid w:val="58F30F99"/>
    <w:rsid w:val="58FAAF21"/>
    <w:rsid w:val="590E4007"/>
    <w:rsid w:val="59524F81"/>
    <w:rsid w:val="5954F300"/>
    <w:rsid w:val="595A4AFB"/>
    <w:rsid w:val="595FAA12"/>
    <w:rsid w:val="5969352D"/>
    <w:rsid w:val="596E7782"/>
    <w:rsid w:val="59701D34"/>
    <w:rsid w:val="5976FA71"/>
    <w:rsid w:val="59A67C6E"/>
    <w:rsid w:val="59A75BD9"/>
    <w:rsid w:val="59B49A46"/>
    <w:rsid w:val="59B8C352"/>
    <w:rsid w:val="59C743B5"/>
    <w:rsid w:val="59CF22B4"/>
    <w:rsid w:val="5A0667CD"/>
    <w:rsid w:val="5A3049FE"/>
    <w:rsid w:val="5A3AE551"/>
    <w:rsid w:val="5A45B6BC"/>
    <w:rsid w:val="5A4E6D25"/>
    <w:rsid w:val="5A5741B1"/>
    <w:rsid w:val="5A5775E4"/>
    <w:rsid w:val="5A65EFC2"/>
    <w:rsid w:val="5A6B71D6"/>
    <w:rsid w:val="5A7228BB"/>
    <w:rsid w:val="5A73509A"/>
    <w:rsid w:val="5A7B8D19"/>
    <w:rsid w:val="5A92336B"/>
    <w:rsid w:val="5A9C8DD6"/>
    <w:rsid w:val="5AA1B55B"/>
    <w:rsid w:val="5AAD9683"/>
    <w:rsid w:val="5ABC6A0A"/>
    <w:rsid w:val="5AC127D7"/>
    <w:rsid w:val="5AC1EE27"/>
    <w:rsid w:val="5ACB68B3"/>
    <w:rsid w:val="5ACCB986"/>
    <w:rsid w:val="5AE33D45"/>
    <w:rsid w:val="5AFE47F0"/>
    <w:rsid w:val="5B02E194"/>
    <w:rsid w:val="5B1C1BE9"/>
    <w:rsid w:val="5B1DEC1A"/>
    <w:rsid w:val="5B1F1479"/>
    <w:rsid w:val="5B2B5061"/>
    <w:rsid w:val="5B349E8A"/>
    <w:rsid w:val="5B461BDC"/>
    <w:rsid w:val="5B666BF1"/>
    <w:rsid w:val="5B6731A3"/>
    <w:rsid w:val="5B70AE9B"/>
    <w:rsid w:val="5B976112"/>
    <w:rsid w:val="5B9CE1D4"/>
    <w:rsid w:val="5BE077C4"/>
    <w:rsid w:val="5BE598CF"/>
    <w:rsid w:val="5BFE8F93"/>
    <w:rsid w:val="5C0C1831"/>
    <w:rsid w:val="5C0F562F"/>
    <w:rsid w:val="5C17105F"/>
    <w:rsid w:val="5C175ACA"/>
    <w:rsid w:val="5C1D8EBC"/>
    <w:rsid w:val="5C24189A"/>
    <w:rsid w:val="5C32A0B7"/>
    <w:rsid w:val="5C4D3D69"/>
    <w:rsid w:val="5C64908C"/>
    <w:rsid w:val="5C67F231"/>
    <w:rsid w:val="5C6AF933"/>
    <w:rsid w:val="5C7AB8C0"/>
    <w:rsid w:val="5C7D7DDD"/>
    <w:rsid w:val="5C967EB7"/>
    <w:rsid w:val="5CA6C8F3"/>
    <w:rsid w:val="5CB14E14"/>
    <w:rsid w:val="5CBB384D"/>
    <w:rsid w:val="5CC1B1A1"/>
    <w:rsid w:val="5CCA4FB3"/>
    <w:rsid w:val="5CD46745"/>
    <w:rsid w:val="5CD4E519"/>
    <w:rsid w:val="5CDEFFC2"/>
    <w:rsid w:val="5CF55D08"/>
    <w:rsid w:val="5CF93259"/>
    <w:rsid w:val="5D00F054"/>
    <w:rsid w:val="5D0758A9"/>
    <w:rsid w:val="5D076CAB"/>
    <w:rsid w:val="5D12B3AC"/>
    <w:rsid w:val="5D19C5AF"/>
    <w:rsid w:val="5D1E0226"/>
    <w:rsid w:val="5D2696C8"/>
    <w:rsid w:val="5D26BD52"/>
    <w:rsid w:val="5D2970BF"/>
    <w:rsid w:val="5D2DF1E1"/>
    <w:rsid w:val="5D2EC8F3"/>
    <w:rsid w:val="5D3EFEB6"/>
    <w:rsid w:val="5D529560"/>
    <w:rsid w:val="5D5EA98E"/>
    <w:rsid w:val="5D79E84B"/>
    <w:rsid w:val="5D7D810B"/>
    <w:rsid w:val="5D851FDF"/>
    <w:rsid w:val="5D8F9A21"/>
    <w:rsid w:val="5D921406"/>
    <w:rsid w:val="5D94191A"/>
    <w:rsid w:val="5D99D7D5"/>
    <w:rsid w:val="5DA07D7E"/>
    <w:rsid w:val="5DA28AB9"/>
    <w:rsid w:val="5DB24229"/>
    <w:rsid w:val="5DB4E33A"/>
    <w:rsid w:val="5DC3F761"/>
    <w:rsid w:val="5DC4A607"/>
    <w:rsid w:val="5DE36E7F"/>
    <w:rsid w:val="5DE6F887"/>
    <w:rsid w:val="5DF2C8E0"/>
    <w:rsid w:val="5E14B0AF"/>
    <w:rsid w:val="5E259B2E"/>
    <w:rsid w:val="5E25A64A"/>
    <w:rsid w:val="5E5090AA"/>
    <w:rsid w:val="5E56B73D"/>
    <w:rsid w:val="5E5916BA"/>
    <w:rsid w:val="5E5F37E7"/>
    <w:rsid w:val="5E621DAD"/>
    <w:rsid w:val="5E723D33"/>
    <w:rsid w:val="5E7BFA0A"/>
    <w:rsid w:val="5EA5820E"/>
    <w:rsid w:val="5EA9B3C5"/>
    <w:rsid w:val="5EC95073"/>
    <w:rsid w:val="5ED0D8FC"/>
    <w:rsid w:val="5ED9BC79"/>
    <w:rsid w:val="5EE41A2F"/>
    <w:rsid w:val="5EE842BD"/>
    <w:rsid w:val="5EE89291"/>
    <w:rsid w:val="5F1E10D4"/>
    <w:rsid w:val="5F353A17"/>
    <w:rsid w:val="5F4CBA13"/>
    <w:rsid w:val="5F606F84"/>
    <w:rsid w:val="5F7470E1"/>
    <w:rsid w:val="5F74764C"/>
    <w:rsid w:val="5F7867AA"/>
    <w:rsid w:val="5F7CEA13"/>
    <w:rsid w:val="5F8DC043"/>
    <w:rsid w:val="5F9AAF1C"/>
    <w:rsid w:val="5F9B9FB8"/>
    <w:rsid w:val="5F9BBDE7"/>
    <w:rsid w:val="5FB14375"/>
    <w:rsid w:val="5FB1B005"/>
    <w:rsid w:val="5FB5CE55"/>
    <w:rsid w:val="5FB5D9ED"/>
    <w:rsid w:val="5FB5F85E"/>
    <w:rsid w:val="5FBDA4B3"/>
    <w:rsid w:val="5FC4049F"/>
    <w:rsid w:val="5FC460B1"/>
    <w:rsid w:val="5FD5BEAF"/>
    <w:rsid w:val="5FE63033"/>
    <w:rsid w:val="5FEB5985"/>
    <w:rsid w:val="5FEF473A"/>
    <w:rsid w:val="6001B2D2"/>
    <w:rsid w:val="600B407F"/>
    <w:rsid w:val="601D37FA"/>
    <w:rsid w:val="602C8B23"/>
    <w:rsid w:val="602F6F22"/>
    <w:rsid w:val="6075C4ED"/>
    <w:rsid w:val="6077BF2C"/>
    <w:rsid w:val="608C75AC"/>
    <w:rsid w:val="60939887"/>
    <w:rsid w:val="60D6CCF5"/>
    <w:rsid w:val="60EB569C"/>
    <w:rsid w:val="60FFEAC3"/>
    <w:rsid w:val="610F2E31"/>
    <w:rsid w:val="6115E842"/>
    <w:rsid w:val="611C10DC"/>
    <w:rsid w:val="611D93F3"/>
    <w:rsid w:val="616103C5"/>
    <w:rsid w:val="6170A8EB"/>
    <w:rsid w:val="6172E608"/>
    <w:rsid w:val="6180A8A2"/>
    <w:rsid w:val="61A05228"/>
    <w:rsid w:val="61A2FA98"/>
    <w:rsid w:val="61A3E727"/>
    <w:rsid w:val="61B8D10D"/>
    <w:rsid w:val="61C4E136"/>
    <w:rsid w:val="61CB33CD"/>
    <w:rsid w:val="61E118B8"/>
    <w:rsid w:val="6249D6E6"/>
    <w:rsid w:val="6251AB57"/>
    <w:rsid w:val="62683B07"/>
    <w:rsid w:val="6272AABE"/>
    <w:rsid w:val="6275CD62"/>
    <w:rsid w:val="62798F22"/>
    <w:rsid w:val="627A7954"/>
    <w:rsid w:val="62B06356"/>
    <w:rsid w:val="62BA2382"/>
    <w:rsid w:val="62BDC82A"/>
    <w:rsid w:val="62C14224"/>
    <w:rsid w:val="62C22CE1"/>
    <w:rsid w:val="62C41407"/>
    <w:rsid w:val="62C76CD5"/>
    <w:rsid w:val="62CE0A17"/>
    <w:rsid w:val="62D0D754"/>
    <w:rsid w:val="62D4F81E"/>
    <w:rsid w:val="62E32D8C"/>
    <w:rsid w:val="62F56DB9"/>
    <w:rsid w:val="6341E192"/>
    <w:rsid w:val="634A616C"/>
    <w:rsid w:val="63519144"/>
    <w:rsid w:val="63AE6CC9"/>
    <w:rsid w:val="63BA946F"/>
    <w:rsid w:val="63CA548B"/>
    <w:rsid w:val="63DCB58B"/>
    <w:rsid w:val="63EC71FC"/>
    <w:rsid w:val="63F4DF6C"/>
    <w:rsid w:val="63FC1A80"/>
    <w:rsid w:val="640846CB"/>
    <w:rsid w:val="640D9910"/>
    <w:rsid w:val="642AFA7A"/>
    <w:rsid w:val="64759208"/>
    <w:rsid w:val="647D75FD"/>
    <w:rsid w:val="64823149"/>
    <w:rsid w:val="6486DC85"/>
    <w:rsid w:val="64949680"/>
    <w:rsid w:val="649C9BA4"/>
    <w:rsid w:val="64AE4DE9"/>
    <w:rsid w:val="64C28BDC"/>
    <w:rsid w:val="64D4562F"/>
    <w:rsid w:val="64D96D80"/>
    <w:rsid w:val="64EA6B3B"/>
    <w:rsid w:val="64ED87D6"/>
    <w:rsid w:val="64F12543"/>
    <w:rsid w:val="6509AFEE"/>
    <w:rsid w:val="650A906B"/>
    <w:rsid w:val="651B54FB"/>
    <w:rsid w:val="652A3D97"/>
    <w:rsid w:val="652DECD6"/>
    <w:rsid w:val="6540880B"/>
    <w:rsid w:val="6558F49E"/>
    <w:rsid w:val="656013A5"/>
    <w:rsid w:val="656340DC"/>
    <w:rsid w:val="656F887E"/>
    <w:rsid w:val="65785A5F"/>
    <w:rsid w:val="65903302"/>
    <w:rsid w:val="6593B936"/>
    <w:rsid w:val="6594D19B"/>
    <w:rsid w:val="65B7CF2D"/>
    <w:rsid w:val="65D572C6"/>
    <w:rsid w:val="65E1F6E5"/>
    <w:rsid w:val="65EC4394"/>
    <w:rsid w:val="65FA2463"/>
    <w:rsid w:val="6617D1BB"/>
    <w:rsid w:val="662092D6"/>
    <w:rsid w:val="6623BB76"/>
    <w:rsid w:val="663B9180"/>
    <w:rsid w:val="666FDA93"/>
    <w:rsid w:val="66889129"/>
    <w:rsid w:val="668B1A8B"/>
    <w:rsid w:val="66904CF8"/>
    <w:rsid w:val="66B88273"/>
    <w:rsid w:val="66BDBD5F"/>
    <w:rsid w:val="66CF9778"/>
    <w:rsid w:val="66D18FB6"/>
    <w:rsid w:val="66E91F85"/>
    <w:rsid w:val="66EAE7A6"/>
    <w:rsid w:val="6709F683"/>
    <w:rsid w:val="670F7AD4"/>
    <w:rsid w:val="6736F3AE"/>
    <w:rsid w:val="67431552"/>
    <w:rsid w:val="6780C1A0"/>
    <w:rsid w:val="678D16A4"/>
    <w:rsid w:val="6792A449"/>
    <w:rsid w:val="6792DCC9"/>
    <w:rsid w:val="67961CE2"/>
    <w:rsid w:val="679F07DD"/>
    <w:rsid w:val="67A654E7"/>
    <w:rsid w:val="67A659C0"/>
    <w:rsid w:val="67AE11E9"/>
    <w:rsid w:val="67CBCF7D"/>
    <w:rsid w:val="67DE2506"/>
    <w:rsid w:val="67F7F753"/>
    <w:rsid w:val="6806EF99"/>
    <w:rsid w:val="680A9C0A"/>
    <w:rsid w:val="681545CC"/>
    <w:rsid w:val="6815A841"/>
    <w:rsid w:val="68161E1C"/>
    <w:rsid w:val="68271D08"/>
    <w:rsid w:val="68280214"/>
    <w:rsid w:val="68281CDB"/>
    <w:rsid w:val="682970D9"/>
    <w:rsid w:val="6831044D"/>
    <w:rsid w:val="68596FC8"/>
    <w:rsid w:val="687948B1"/>
    <w:rsid w:val="6882B9A4"/>
    <w:rsid w:val="688349E4"/>
    <w:rsid w:val="688D9EE8"/>
    <w:rsid w:val="688DD076"/>
    <w:rsid w:val="689DFF39"/>
    <w:rsid w:val="68A4D484"/>
    <w:rsid w:val="68ADF526"/>
    <w:rsid w:val="68C8D905"/>
    <w:rsid w:val="68D8E7F6"/>
    <w:rsid w:val="68E70ED0"/>
    <w:rsid w:val="68F0922D"/>
    <w:rsid w:val="68F0B3C5"/>
    <w:rsid w:val="68FB293B"/>
    <w:rsid w:val="69029BF3"/>
    <w:rsid w:val="69110505"/>
    <w:rsid w:val="691D57AD"/>
    <w:rsid w:val="692DB2BC"/>
    <w:rsid w:val="69385A99"/>
    <w:rsid w:val="694C7AD7"/>
    <w:rsid w:val="696144B4"/>
    <w:rsid w:val="69642F98"/>
    <w:rsid w:val="696BAC80"/>
    <w:rsid w:val="696F7997"/>
    <w:rsid w:val="6977B1AC"/>
    <w:rsid w:val="698170B6"/>
    <w:rsid w:val="6986A1ED"/>
    <w:rsid w:val="6986E3D3"/>
    <w:rsid w:val="699987DC"/>
    <w:rsid w:val="69A7B67B"/>
    <w:rsid w:val="69BAC0AE"/>
    <w:rsid w:val="69BD4720"/>
    <w:rsid w:val="69DC5A11"/>
    <w:rsid w:val="69EC503B"/>
    <w:rsid w:val="69EE0355"/>
    <w:rsid w:val="69F3D9E2"/>
    <w:rsid w:val="69FE925E"/>
    <w:rsid w:val="6A1F6B51"/>
    <w:rsid w:val="6A3A6024"/>
    <w:rsid w:val="6A3C5EEC"/>
    <w:rsid w:val="6A496A1A"/>
    <w:rsid w:val="6A4CA393"/>
    <w:rsid w:val="6A6F12A2"/>
    <w:rsid w:val="6A788272"/>
    <w:rsid w:val="6A852F59"/>
    <w:rsid w:val="6AABE8A9"/>
    <w:rsid w:val="6AB48EFD"/>
    <w:rsid w:val="6AB4C58A"/>
    <w:rsid w:val="6AC08BF7"/>
    <w:rsid w:val="6AD43CF9"/>
    <w:rsid w:val="6AE1D43C"/>
    <w:rsid w:val="6AE8F8DB"/>
    <w:rsid w:val="6AEC4670"/>
    <w:rsid w:val="6AEEA3E2"/>
    <w:rsid w:val="6AF07230"/>
    <w:rsid w:val="6AF1F23B"/>
    <w:rsid w:val="6B00E606"/>
    <w:rsid w:val="6B129D1B"/>
    <w:rsid w:val="6B16984E"/>
    <w:rsid w:val="6B244DBB"/>
    <w:rsid w:val="6B39DE6D"/>
    <w:rsid w:val="6B41D8D8"/>
    <w:rsid w:val="6B52E72B"/>
    <w:rsid w:val="6B6139FC"/>
    <w:rsid w:val="6B6DBC8C"/>
    <w:rsid w:val="6B731D51"/>
    <w:rsid w:val="6B80BA1D"/>
    <w:rsid w:val="6B84D0E6"/>
    <w:rsid w:val="6BAA5CD4"/>
    <w:rsid w:val="6BABA445"/>
    <w:rsid w:val="6BAC3D0F"/>
    <w:rsid w:val="6BBA94E8"/>
    <w:rsid w:val="6BC208E9"/>
    <w:rsid w:val="6BCAA919"/>
    <w:rsid w:val="6BE52079"/>
    <w:rsid w:val="6C06CC39"/>
    <w:rsid w:val="6C100F69"/>
    <w:rsid w:val="6C51EDA0"/>
    <w:rsid w:val="6C695662"/>
    <w:rsid w:val="6C739D0E"/>
    <w:rsid w:val="6C77ED19"/>
    <w:rsid w:val="6C9FF26D"/>
    <w:rsid w:val="6CA77D44"/>
    <w:rsid w:val="6CB78DFC"/>
    <w:rsid w:val="6CC83908"/>
    <w:rsid w:val="6D03A44F"/>
    <w:rsid w:val="6D04C3A7"/>
    <w:rsid w:val="6D2B4559"/>
    <w:rsid w:val="6D2CAE55"/>
    <w:rsid w:val="6D3056E6"/>
    <w:rsid w:val="6D30B479"/>
    <w:rsid w:val="6D32CBEA"/>
    <w:rsid w:val="6D37A14B"/>
    <w:rsid w:val="6D54397A"/>
    <w:rsid w:val="6D55245B"/>
    <w:rsid w:val="6D717C8C"/>
    <w:rsid w:val="6D7C0C72"/>
    <w:rsid w:val="6D7D4763"/>
    <w:rsid w:val="6D801145"/>
    <w:rsid w:val="6D88CB9F"/>
    <w:rsid w:val="6DB4D338"/>
    <w:rsid w:val="6DD70239"/>
    <w:rsid w:val="6DF06D6A"/>
    <w:rsid w:val="6DFEE8E9"/>
    <w:rsid w:val="6E01AA81"/>
    <w:rsid w:val="6E1BE9CC"/>
    <w:rsid w:val="6E3B0676"/>
    <w:rsid w:val="6E433232"/>
    <w:rsid w:val="6E73E306"/>
    <w:rsid w:val="6E8BFF17"/>
    <w:rsid w:val="6E8E62AD"/>
    <w:rsid w:val="6EB448D7"/>
    <w:rsid w:val="6EB87B7E"/>
    <w:rsid w:val="6EBB9FE2"/>
    <w:rsid w:val="6EC30626"/>
    <w:rsid w:val="6EED3DE1"/>
    <w:rsid w:val="6EEF39F5"/>
    <w:rsid w:val="6EEF59EC"/>
    <w:rsid w:val="6EF79AF6"/>
    <w:rsid w:val="6EF9645B"/>
    <w:rsid w:val="6F1583B3"/>
    <w:rsid w:val="6F160E3E"/>
    <w:rsid w:val="6F2135A5"/>
    <w:rsid w:val="6F332BBD"/>
    <w:rsid w:val="6F355A75"/>
    <w:rsid w:val="6F404EBF"/>
    <w:rsid w:val="6F43FAF4"/>
    <w:rsid w:val="6F4B5C1D"/>
    <w:rsid w:val="6F63292D"/>
    <w:rsid w:val="6F744C2F"/>
    <w:rsid w:val="6F7682C9"/>
    <w:rsid w:val="6F8D8CCE"/>
    <w:rsid w:val="6F8F9FA6"/>
    <w:rsid w:val="6FAC9C7D"/>
    <w:rsid w:val="6FB80A3B"/>
    <w:rsid w:val="6FCAA1C6"/>
    <w:rsid w:val="6FCE8B06"/>
    <w:rsid w:val="6FD00FF1"/>
    <w:rsid w:val="6FDDB8AD"/>
    <w:rsid w:val="6FFFF5AF"/>
    <w:rsid w:val="70029D58"/>
    <w:rsid w:val="7004E56E"/>
    <w:rsid w:val="7005329C"/>
    <w:rsid w:val="70189D82"/>
    <w:rsid w:val="7018AAA8"/>
    <w:rsid w:val="70372642"/>
    <w:rsid w:val="703D567B"/>
    <w:rsid w:val="7042D69F"/>
    <w:rsid w:val="707ACAA8"/>
    <w:rsid w:val="70905B84"/>
    <w:rsid w:val="70AD12B6"/>
    <w:rsid w:val="70B208DD"/>
    <w:rsid w:val="70EA9E79"/>
    <w:rsid w:val="70F5AB04"/>
    <w:rsid w:val="70F67D4A"/>
    <w:rsid w:val="70F912F6"/>
    <w:rsid w:val="710CE28C"/>
    <w:rsid w:val="7111EB40"/>
    <w:rsid w:val="7114DF0D"/>
    <w:rsid w:val="7119E08D"/>
    <w:rsid w:val="71238CEA"/>
    <w:rsid w:val="71266F1E"/>
    <w:rsid w:val="7130A017"/>
    <w:rsid w:val="713F4091"/>
    <w:rsid w:val="7169CAEF"/>
    <w:rsid w:val="71725631"/>
    <w:rsid w:val="7174A45C"/>
    <w:rsid w:val="7187DDAD"/>
    <w:rsid w:val="71993D5A"/>
    <w:rsid w:val="719DC3C9"/>
    <w:rsid w:val="719F1AA5"/>
    <w:rsid w:val="71A341D3"/>
    <w:rsid w:val="71A7D5C6"/>
    <w:rsid w:val="71AC646F"/>
    <w:rsid w:val="71B47D18"/>
    <w:rsid w:val="71BD01B7"/>
    <w:rsid w:val="71C40C2B"/>
    <w:rsid w:val="71C55DE0"/>
    <w:rsid w:val="71C98B22"/>
    <w:rsid w:val="71D712DB"/>
    <w:rsid w:val="71F36126"/>
    <w:rsid w:val="71F9AA56"/>
    <w:rsid w:val="71FB6F3E"/>
    <w:rsid w:val="7205AEC7"/>
    <w:rsid w:val="720800FF"/>
    <w:rsid w:val="72199634"/>
    <w:rsid w:val="72457C25"/>
    <w:rsid w:val="724D432E"/>
    <w:rsid w:val="72572ED0"/>
    <w:rsid w:val="726635DF"/>
    <w:rsid w:val="7278BD6B"/>
    <w:rsid w:val="72887ED4"/>
    <w:rsid w:val="728D56C4"/>
    <w:rsid w:val="72911E4A"/>
    <w:rsid w:val="7298CE65"/>
    <w:rsid w:val="729C75CC"/>
    <w:rsid w:val="729C9346"/>
    <w:rsid w:val="72A121EC"/>
    <w:rsid w:val="72BD2B38"/>
    <w:rsid w:val="72C21B33"/>
    <w:rsid w:val="72CAFE25"/>
    <w:rsid w:val="72DF2A28"/>
    <w:rsid w:val="72E31719"/>
    <w:rsid w:val="72E5F415"/>
    <w:rsid w:val="72E8D4A8"/>
    <w:rsid w:val="72F183A0"/>
    <w:rsid w:val="72FF80D6"/>
    <w:rsid w:val="7300D8E8"/>
    <w:rsid w:val="73037945"/>
    <w:rsid w:val="73051601"/>
    <w:rsid w:val="732C76E5"/>
    <w:rsid w:val="733D7959"/>
    <w:rsid w:val="7350BAA7"/>
    <w:rsid w:val="7358E608"/>
    <w:rsid w:val="7367F64C"/>
    <w:rsid w:val="73681281"/>
    <w:rsid w:val="736C546E"/>
    <w:rsid w:val="738922E5"/>
    <w:rsid w:val="738D1EF6"/>
    <w:rsid w:val="738E6A58"/>
    <w:rsid w:val="73A30E60"/>
    <w:rsid w:val="73A79044"/>
    <w:rsid w:val="73BEFB85"/>
    <w:rsid w:val="73CE8061"/>
    <w:rsid w:val="73D39F39"/>
    <w:rsid w:val="73D6793B"/>
    <w:rsid w:val="73D8182B"/>
    <w:rsid w:val="73D9A979"/>
    <w:rsid w:val="73EDA5B6"/>
    <w:rsid w:val="73F8607D"/>
    <w:rsid w:val="740AD248"/>
    <w:rsid w:val="7415E0B3"/>
    <w:rsid w:val="743326BF"/>
    <w:rsid w:val="743AB424"/>
    <w:rsid w:val="7467D868"/>
    <w:rsid w:val="746E0783"/>
    <w:rsid w:val="74796182"/>
    <w:rsid w:val="74875ECB"/>
    <w:rsid w:val="7490334B"/>
    <w:rsid w:val="749220DA"/>
    <w:rsid w:val="749723BF"/>
    <w:rsid w:val="74A14564"/>
    <w:rsid w:val="74A650E6"/>
    <w:rsid w:val="74C86FAF"/>
    <w:rsid w:val="74C8CB4C"/>
    <w:rsid w:val="74EFDF57"/>
    <w:rsid w:val="74F8767E"/>
    <w:rsid w:val="752F9767"/>
    <w:rsid w:val="7541BFCE"/>
    <w:rsid w:val="7556EF0E"/>
    <w:rsid w:val="755C607B"/>
    <w:rsid w:val="75682460"/>
    <w:rsid w:val="7570DAFA"/>
    <w:rsid w:val="7571D6F6"/>
    <w:rsid w:val="7577F1AB"/>
    <w:rsid w:val="757A12AC"/>
    <w:rsid w:val="7585F7BD"/>
    <w:rsid w:val="758A165D"/>
    <w:rsid w:val="75A6F707"/>
    <w:rsid w:val="75A9BE1D"/>
    <w:rsid w:val="75CC9B37"/>
    <w:rsid w:val="75FBE18E"/>
    <w:rsid w:val="75FE860B"/>
    <w:rsid w:val="7624EA40"/>
    <w:rsid w:val="762A1E0D"/>
    <w:rsid w:val="762CC412"/>
    <w:rsid w:val="76304205"/>
    <w:rsid w:val="76322A2F"/>
    <w:rsid w:val="764A8A32"/>
    <w:rsid w:val="76534580"/>
    <w:rsid w:val="765F6D33"/>
    <w:rsid w:val="76664A97"/>
    <w:rsid w:val="766E5F1B"/>
    <w:rsid w:val="7673DF9B"/>
    <w:rsid w:val="767C0669"/>
    <w:rsid w:val="7680B3B8"/>
    <w:rsid w:val="7685DC95"/>
    <w:rsid w:val="76C7AE95"/>
    <w:rsid w:val="76CF82E7"/>
    <w:rsid w:val="76DF1B03"/>
    <w:rsid w:val="76E19D01"/>
    <w:rsid w:val="76E89149"/>
    <w:rsid w:val="771F0605"/>
    <w:rsid w:val="77233CDD"/>
    <w:rsid w:val="774810F0"/>
    <w:rsid w:val="774ED4F3"/>
    <w:rsid w:val="77532E9B"/>
    <w:rsid w:val="7756CFD6"/>
    <w:rsid w:val="7756FEA0"/>
    <w:rsid w:val="775A216B"/>
    <w:rsid w:val="776E20ED"/>
    <w:rsid w:val="77710345"/>
    <w:rsid w:val="7777ADEE"/>
    <w:rsid w:val="7792EA17"/>
    <w:rsid w:val="779E0464"/>
    <w:rsid w:val="77A105B1"/>
    <w:rsid w:val="77A36386"/>
    <w:rsid w:val="77A3A91F"/>
    <w:rsid w:val="77AC5946"/>
    <w:rsid w:val="77B7A2AE"/>
    <w:rsid w:val="77B7F047"/>
    <w:rsid w:val="77C99D0D"/>
    <w:rsid w:val="77CB05B6"/>
    <w:rsid w:val="77CED56F"/>
    <w:rsid w:val="77CF7F62"/>
    <w:rsid w:val="77E1D230"/>
    <w:rsid w:val="77FFCAF3"/>
    <w:rsid w:val="78074F31"/>
    <w:rsid w:val="780A01F2"/>
    <w:rsid w:val="780CB981"/>
    <w:rsid w:val="7825E075"/>
    <w:rsid w:val="782CB3B5"/>
    <w:rsid w:val="784414DC"/>
    <w:rsid w:val="784B582F"/>
    <w:rsid w:val="78688672"/>
    <w:rsid w:val="786A528A"/>
    <w:rsid w:val="7870D583"/>
    <w:rsid w:val="787E5E6D"/>
    <w:rsid w:val="789C47CF"/>
    <w:rsid w:val="78A0EA42"/>
    <w:rsid w:val="78AE82D3"/>
    <w:rsid w:val="78B8EA76"/>
    <w:rsid w:val="78C0933E"/>
    <w:rsid w:val="78CC0732"/>
    <w:rsid w:val="78D8343F"/>
    <w:rsid w:val="78F0DC44"/>
    <w:rsid w:val="78F83012"/>
    <w:rsid w:val="78F97706"/>
    <w:rsid w:val="7903F59D"/>
    <w:rsid w:val="79091BA1"/>
    <w:rsid w:val="790D3AEC"/>
    <w:rsid w:val="7915DBEA"/>
    <w:rsid w:val="79183FE0"/>
    <w:rsid w:val="792B8085"/>
    <w:rsid w:val="792DD557"/>
    <w:rsid w:val="796EE084"/>
    <w:rsid w:val="79916E00"/>
    <w:rsid w:val="79BD4D9F"/>
    <w:rsid w:val="79C3502C"/>
    <w:rsid w:val="79C4FC55"/>
    <w:rsid w:val="79DF0506"/>
    <w:rsid w:val="79F7AD4B"/>
    <w:rsid w:val="79F864F1"/>
    <w:rsid w:val="79FCA081"/>
    <w:rsid w:val="79FE4CBA"/>
    <w:rsid w:val="79FF0DC9"/>
    <w:rsid w:val="7A22B610"/>
    <w:rsid w:val="7A24F624"/>
    <w:rsid w:val="7A27B40E"/>
    <w:rsid w:val="7A52D73C"/>
    <w:rsid w:val="7A55FE6D"/>
    <w:rsid w:val="7A5AA07B"/>
    <w:rsid w:val="7A5DEF18"/>
    <w:rsid w:val="7A60E510"/>
    <w:rsid w:val="7A7F4D17"/>
    <w:rsid w:val="7A878220"/>
    <w:rsid w:val="7A9DBC34"/>
    <w:rsid w:val="7AC3543D"/>
    <w:rsid w:val="7AEEA4A9"/>
    <w:rsid w:val="7AF7E84F"/>
    <w:rsid w:val="7B0898B7"/>
    <w:rsid w:val="7B0BCD3C"/>
    <w:rsid w:val="7B1F1AF2"/>
    <w:rsid w:val="7B1FE368"/>
    <w:rsid w:val="7B247C18"/>
    <w:rsid w:val="7B36A520"/>
    <w:rsid w:val="7B44D634"/>
    <w:rsid w:val="7B45276F"/>
    <w:rsid w:val="7B4C01A6"/>
    <w:rsid w:val="7B6572B5"/>
    <w:rsid w:val="7B6B2FF7"/>
    <w:rsid w:val="7B764C39"/>
    <w:rsid w:val="7B7792C4"/>
    <w:rsid w:val="7B8D45B5"/>
    <w:rsid w:val="7B9403A3"/>
    <w:rsid w:val="7B98B843"/>
    <w:rsid w:val="7BD1E459"/>
    <w:rsid w:val="7BD1F13C"/>
    <w:rsid w:val="7BD680C8"/>
    <w:rsid w:val="7BE502BE"/>
    <w:rsid w:val="7BEEB5F6"/>
    <w:rsid w:val="7BFC219E"/>
    <w:rsid w:val="7C193BC6"/>
    <w:rsid w:val="7C4B84CA"/>
    <w:rsid w:val="7C4E0A46"/>
    <w:rsid w:val="7C4EDE8B"/>
    <w:rsid w:val="7C57EFE4"/>
    <w:rsid w:val="7C602A71"/>
    <w:rsid w:val="7C6B79E9"/>
    <w:rsid w:val="7C75E753"/>
    <w:rsid w:val="7C790B07"/>
    <w:rsid w:val="7C821B70"/>
    <w:rsid w:val="7C8B6F29"/>
    <w:rsid w:val="7C8EC607"/>
    <w:rsid w:val="7C9B78C5"/>
    <w:rsid w:val="7CAF3BED"/>
    <w:rsid w:val="7CB66F83"/>
    <w:rsid w:val="7CB964A6"/>
    <w:rsid w:val="7CBA6649"/>
    <w:rsid w:val="7CE0439F"/>
    <w:rsid w:val="7CE62925"/>
    <w:rsid w:val="7CF6FE6A"/>
    <w:rsid w:val="7D0E5E2B"/>
    <w:rsid w:val="7D235C1C"/>
    <w:rsid w:val="7D32DD79"/>
    <w:rsid w:val="7D528236"/>
    <w:rsid w:val="7D75F73F"/>
    <w:rsid w:val="7D7789F1"/>
    <w:rsid w:val="7D78FB44"/>
    <w:rsid w:val="7D814D0E"/>
    <w:rsid w:val="7D898A10"/>
    <w:rsid w:val="7D8DA07A"/>
    <w:rsid w:val="7D91FFF4"/>
    <w:rsid w:val="7D9CCC25"/>
    <w:rsid w:val="7DAACFF7"/>
    <w:rsid w:val="7DBC7537"/>
    <w:rsid w:val="7DCCE1C4"/>
    <w:rsid w:val="7DD057DD"/>
    <w:rsid w:val="7DDAFE16"/>
    <w:rsid w:val="7DDC27A9"/>
    <w:rsid w:val="7DDE69C5"/>
    <w:rsid w:val="7DDEF608"/>
    <w:rsid w:val="7DE8EA7B"/>
    <w:rsid w:val="7E00EDEC"/>
    <w:rsid w:val="7E163D29"/>
    <w:rsid w:val="7E2537A5"/>
    <w:rsid w:val="7E316143"/>
    <w:rsid w:val="7E465A0F"/>
    <w:rsid w:val="7E4C8DBA"/>
    <w:rsid w:val="7E4E68D5"/>
    <w:rsid w:val="7E55B1D8"/>
    <w:rsid w:val="7E5F58ED"/>
    <w:rsid w:val="7E5FCC7A"/>
    <w:rsid w:val="7E923025"/>
    <w:rsid w:val="7E9C4FE0"/>
    <w:rsid w:val="7EA6A9C4"/>
    <w:rsid w:val="7EA94C37"/>
    <w:rsid w:val="7EAA3C29"/>
    <w:rsid w:val="7EAE0202"/>
    <w:rsid w:val="7EB30C6D"/>
    <w:rsid w:val="7EB8C614"/>
    <w:rsid w:val="7EBAA583"/>
    <w:rsid w:val="7EC03AB1"/>
    <w:rsid w:val="7ED451BE"/>
    <w:rsid w:val="7ED98652"/>
    <w:rsid w:val="7EE0F077"/>
    <w:rsid w:val="7EFDD2DC"/>
    <w:rsid w:val="7F062A90"/>
    <w:rsid w:val="7F15F3C6"/>
    <w:rsid w:val="7F222A75"/>
    <w:rsid w:val="7F3211CB"/>
    <w:rsid w:val="7F3DDCAF"/>
    <w:rsid w:val="7F66764B"/>
    <w:rsid w:val="7F7568C8"/>
    <w:rsid w:val="7F788C40"/>
    <w:rsid w:val="7F7E1688"/>
    <w:rsid w:val="7F7F2329"/>
    <w:rsid w:val="7F8D5BE5"/>
    <w:rsid w:val="7FBFF060"/>
    <w:rsid w:val="7FC607A9"/>
    <w:rsid w:val="7FD81386"/>
    <w:rsid w:val="7FFD3A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32C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C0B"/>
    <w:pPr>
      <w:suppressAutoHyphens/>
      <w:spacing w:before="80"/>
    </w:pPr>
  </w:style>
  <w:style w:type="paragraph" w:styleId="Heading1">
    <w:name w:val="heading 1"/>
    <w:aliases w:val="CAB Section Heading"/>
    <w:basedOn w:val="Normal"/>
    <w:next w:val="Normal"/>
    <w:link w:val="Heading1Char"/>
    <w:autoRedefine/>
    <w:uiPriority w:val="4"/>
    <w:qFormat/>
    <w:rsid w:val="00710F69"/>
    <w:pPr>
      <w:keepNext/>
      <w:keepLines/>
      <w:spacing w:before="0" w:after="0"/>
      <w:ind w:right="3487"/>
      <w:contextualSpacing/>
      <w:outlineLvl w:val="0"/>
    </w:pPr>
    <w:rPr>
      <w:rFonts w:asciiTheme="majorHAnsi" w:eastAsiaTheme="majorEastAsia" w:hAnsiTheme="majorHAnsi" w:cstheme="majorBidi"/>
      <w:b/>
      <w:bCs/>
      <w:noProof/>
      <w:sz w:val="52"/>
      <w:szCs w:val="64"/>
    </w:rPr>
  </w:style>
  <w:style w:type="paragraph" w:styleId="Heading2">
    <w:name w:val="heading 2"/>
    <w:basedOn w:val="Normal"/>
    <w:next w:val="Normal"/>
    <w:link w:val="Heading2Char"/>
    <w:uiPriority w:val="9"/>
    <w:unhideWhenUsed/>
    <w:qFormat/>
    <w:rsid w:val="001A6CA6"/>
    <w:pPr>
      <w:keepNext/>
      <w:keepLines/>
      <w:spacing w:before="120" w:after="120"/>
      <w:outlineLvl w:val="1"/>
    </w:pPr>
    <w:rPr>
      <w:rFonts w:asciiTheme="majorHAnsi" w:eastAsiaTheme="majorEastAsia" w:hAnsiTheme="majorHAnsi" w:cstheme="majorBidi"/>
      <w:b/>
      <w:bCs/>
      <w:color w:val="16242A"/>
      <w:spacing w:val="-20"/>
      <w:sz w:val="40"/>
      <w:szCs w:val="40"/>
    </w:rPr>
  </w:style>
  <w:style w:type="paragraph" w:styleId="Heading3">
    <w:name w:val="heading 3"/>
    <w:basedOn w:val="Normal"/>
    <w:next w:val="Normal"/>
    <w:link w:val="Heading3Char"/>
    <w:autoRedefine/>
    <w:uiPriority w:val="9"/>
    <w:unhideWhenUsed/>
    <w:qFormat/>
    <w:rsid w:val="006C30BA"/>
    <w:pPr>
      <w:keepNext/>
      <w:keepLines/>
      <w:spacing w:before="120" w:after="120"/>
      <w:outlineLvl w:val="2"/>
    </w:pPr>
    <w:rPr>
      <w:rFonts w:asciiTheme="majorHAnsi" w:eastAsiaTheme="majorEastAsia" w:hAnsiTheme="majorHAnsi" w:cstheme="majorBidi"/>
      <w:b/>
      <w:color w:val="2B7A77"/>
      <w:sz w:val="34"/>
      <w:szCs w:val="34"/>
    </w:rPr>
  </w:style>
  <w:style w:type="paragraph" w:styleId="Heading4">
    <w:name w:val="heading 4"/>
    <w:basedOn w:val="Normal"/>
    <w:next w:val="Normal"/>
    <w:link w:val="Heading4Char"/>
    <w:uiPriority w:val="9"/>
    <w:unhideWhenUsed/>
    <w:rsid w:val="0030055E"/>
    <w:pPr>
      <w:keepNext/>
      <w:keepLines/>
      <w:spacing w:before="240" w:after="160"/>
      <w:outlineLvl w:val="3"/>
    </w:pPr>
    <w:rPr>
      <w:rFonts w:asciiTheme="majorHAnsi" w:eastAsiaTheme="majorEastAsia" w:hAnsiTheme="majorHAnsi" w:cstheme="majorBidi"/>
      <w:b/>
      <w:iCs/>
      <w:color w:val="16242A"/>
      <w:sz w:val="30"/>
      <w:szCs w:val="30"/>
    </w:rPr>
  </w:style>
  <w:style w:type="paragraph" w:styleId="Heading5">
    <w:name w:val="heading 5"/>
    <w:basedOn w:val="Normal"/>
    <w:next w:val="Normal"/>
    <w:link w:val="Heading5Char"/>
    <w:uiPriority w:val="9"/>
    <w:unhideWhenUsed/>
    <w:rsid w:val="0030055E"/>
    <w:pPr>
      <w:keepNext/>
      <w:keepLines/>
      <w:spacing w:before="240" w:after="160"/>
      <w:outlineLvl w:val="4"/>
    </w:pPr>
    <w:rPr>
      <w:rFonts w:asciiTheme="majorHAnsi" w:eastAsiaTheme="majorEastAsia" w:hAnsiTheme="majorHAnsi" w:cstheme="majorBidi"/>
      <w:b/>
      <w:color w:val="2B7A77"/>
      <w:sz w:val="26"/>
      <w:szCs w:val="26"/>
    </w:rPr>
  </w:style>
  <w:style w:type="paragraph" w:styleId="Heading6">
    <w:name w:val="heading 6"/>
    <w:basedOn w:val="Normal"/>
    <w:next w:val="Normal"/>
    <w:link w:val="Heading6Char"/>
    <w:uiPriority w:val="9"/>
    <w:unhideWhenUsed/>
    <w:rsid w:val="0030055E"/>
    <w:pPr>
      <w:outlineLvl w:val="5"/>
    </w:pPr>
    <w:rPr>
      <w:u w:val="single"/>
    </w:rPr>
  </w:style>
  <w:style w:type="paragraph" w:styleId="Heading7">
    <w:name w:val="heading 7"/>
    <w:basedOn w:val="Normal"/>
    <w:next w:val="Normal"/>
    <w:link w:val="Heading7Char"/>
    <w:uiPriority w:val="9"/>
    <w:unhideWhenUsed/>
    <w:qFormat/>
    <w:rsid w:val="00E6034E"/>
    <w:pPr>
      <w:keepNext/>
      <w:keepLines/>
      <w:outlineLvl w:val="6"/>
    </w:pPr>
    <w:rPr>
      <w:rFonts w:asciiTheme="majorHAnsi" w:eastAsiaTheme="majorEastAsia" w:hAnsiTheme="majorHAnsi" w:cstheme="majorBidi"/>
      <w:b/>
      <w:i/>
      <w:iCs/>
      <w:color w:val="1D5753" w:themeColor="accent1" w:themeShade="7F"/>
    </w:rPr>
  </w:style>
  <w:style w:type="paragraph" w:styleId="Heading9">
    <w:name w:val="heading 9"/>
    <w:basedOn w:val="Normal"/>
    <w:next w:val="Normal"/>
    <w:link w:val="Heading9Char"/>
    <w:uiPriority w:val="9"/>
    <w:semiHidden/>
    <w:unhideWhenUsed/>
    <w:qFormat/>
    <w:rsid w:val="00FA438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2F557A"/>
    <w:pPr>
      <w:spacing w:before="1080"/>
      <w:ind w:left="284" w:right="3060"/>
    </w:pPr>
    <w:rPr>
      <w:rFonts w:asciiTheme="majorHAnsi" w:eastAsiaTheme="majorEastAsia" w:hAnsiTheme="majorHAnsi" w:cstheme="majorBidi"/>
      <w:b/>
      <w:color w:val="16242A"/>
      <w:sz w:val="64"/>
      <w:szCs w:val="64"/>
    </w:rPr>
  </w:style>
  <w:style w:type="character" w:customStyle="1" w:styleId="TitleChar">
    <w:name w:val="Title Char"/>
    <w:basedOn w:val="DefaultParagraphFont"/>
    <w:link w:val="Title"/>
    <w:uiPriority w:val="17"/>
    <w:rsid w:val="002F557A"/>
    <w:rPr>
      <w:rFonts w:asciiTheme="majorHAnsi" w:eastAsiaTheme="majorEastAsia" w:hAnsiTheme="majorHAnsi" w:cstheme="majorBidi"/>
      <w:b/>
      <w:color w:val="16242A"/>
      <w:sz w:val="64"/>
      <w:szCs w:val="64"/>
    </w:rPr>
  </w:style>
  <w:style w:type="paragraph" w:styleId="Subtitle">
    <w:name w:val="Subtitle"/>
    <w:basedOn w:val="Normal"/>
    <w:next w:val="Normal"/>
    <w:link w:val="SubtitleChar"/>
    <w:uiPriority w:val="18"/>
    <w:qFormat/>
    <w:rsid w:val="0030055E"/>
    <w:pPr>
      <w:numPr>
        <w:ilvl w:val="1"/>
      </w:numPr>
      <w:spacing w:after="160"/>
      <w:ind w:left="284"/>
    </w:pPr>
    <w:rPr>
      <w:rFonts w:asciiTheme="majorHAnsi" w:eastAsiaTheme="minorEastAsia" w:hAnsiTheme="majorHAnsi"/>
      <w:color w:val="16242A"/>
      <w:sz w:val="44"/>
      <w:szCs w:val="44"/>
    </w:rPr>
  </w:style>
  <w:style w:type="character" w:customStyle="1" w:styleId="SubtitleChar">
    <w:name w:val="Subtitle Char"/>
    <w:basedOn w:val="DefaultParagraphFont"/>
    <w:link w:val="Subtitle"/>
    <w:uiPriority w:val="18"/>
    <w:rsid w:val="0030055E"/>
    <w:rPr>
      <w:rFonts w:asciiTheme="majorHAnsi" w:eastAsiaTheme="minorEastAsia" w:hAnsiTheme="majorHAnsi"/>
      <w:color w:val="16242A"/>
      <w:sz w:val="44"/>
      <w:szCs w:val="44"/>
    </w:rPr>
  </w:style>
  <w:style w:type="paragraph" w:customStyle="1" w:styleId="CoverDate">
    <w:name w:val="Cover Date"/>
    <w:basedOn w:val="Normal"/>
    <w:uiPriority w:val="19"/>
    <w:qFormat/>
    <w:rsid w:val="003261CF"/>
    <w:rPr>
      <w:b/>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0000" w:themeColor="hyperlink"/>
      <w:u w:val="single"/>
    </w:rPr>
  </w:style>
  <w:style w:type="table" w:styleId="TableGrid">
    <w:name w:val="Table Grid"/>
    <w:aliases w:val="DPS Table Grid"/>
    <w:basedOn w:val="TableNormal"/>
    <w:uiPriority w:val="39"/>
    <w:rsid w:val="005F794B"/>
    <w:pPr>
      <w:spacing w:before="0" w:after="0"/>
    </w:pPr>
    <w:tblPr>
      <w:tblInd w:w="0" w:type="nil"/>
      <w:tblCellMar>
        <w:left w:w="0" w:type="dxa"/>
        <w:right w:w="0" w:type="dxa"/>
      </w:tblCellMar>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unhideWhenUsed/>
    <w:rsid w:val="005F794B"/>
    <w:rPr>
      <w:vertAlign w:val="superscript"/>
    </w:rPr>
  </w:style>
  <w:style w:type="character" w:customStyle="1" w:styleId="Heading1Char">
    <w:name w:val="Heading 1 Char"/>
    <w:aliases w:val="CAB Section Heading Char"/>
    <w:basedOn w:val="DefaultParagraphFont"/>
    <w:link w:val="Heading1"/>
    <w:uiPriority w:val="4"/>
    <w:rsid w:val="00710F69"/>
    <w:rPr>
      <w:rFonts w:asciiTheme="majorHAnsi" w:eastAsiaTheme="majorEastAsia" w:hAnsiTheme="majorHAnsi" w:cstheme="majorBidi"/>
      <w:b/>
      <w:bCs/>
      <w:noProof/>
      <w:sz w:val="52"/>
      <w:szCs w:val="64"/>
    </w:rPr>
  </w:style>
  <w:style w:type="character" w:customStyle="1" w:styleId="Heading2Char">
    <w:name w:val="Heading 2 Char"/>
    <w:basedOn w:val="DefaultParagraphFont"/>
    <w:link w:val="Heading2"/>
    <w:uiPriority w:val="9"/>
    <w:rsid w:val="00AA4001"/>
    <w:rPr>
      <w:rFonts w:asciiTheme="majorHAnsi" w:eastAsiaTheme="majorEastAsia" w:hAnsiTheme="majorHAnsi" w:cstheme="majorBidi"/>
      <w:b/>
      <w:bCs/>
      <w:color w:val="16242A"/>
      <w:spacing w:val="-20"/>
      <w:sz w:val="40"/>
      <w:szCs w:val="40"/>
    </w:rPr>
  </w:style>
  <w:style w:type="paragraph" w:customStyle="1" w:styleId="Introduction">
    <w:name w:val="Introduction"/>
    <w:basedOn w:val="Normal"/>
    <w:uiPriority w:val="2"/>
    <w:qFormat/>
    <w:rsid w:val="00621A75"/>
    <w:pPr>
      <w:spacing w:before="240" w:after="0"/>
    </w:pPr>
    <w:rPr>
      <w:b/>
      <w:color w:val="595E64"/>
      <w:sz w:val="24"/>
      <w:lang w:val="x-none"/>
    </w:rPr>
  </w:style>
  <w:style w:type="character" w:customStyle="1" w:styleId="Heading3Char">
    <w:name w:val="Heading 3 Char"/>
    <w:basedOn w:val="DefaultParagraphFont"/>
    <w:link w:val="Heading3"/>
    <w:uiPriority w:val="9"/>
    <w:rsid w:val="006C30BA"/>
    <w:rPr>
      <w:rFonts w:asciiTheme="majorHAnsi" w:eastAsiaTheme="majorEastAsia" w:hAnsiTheme="majorHAnsi" w:cstheme="majorBidi"/>
      <w:b/>
      <w:color w:val="2B7A77"/>
      <w:sz w:val="34"/>
      <w:szCs w:val="34"/>
    </w:rPr>
  </w:style>
  <w:style w:type="character" w:customStyle="1" w:styleId="Heading4Char">
    <w:name w:val="Heading 4 Char"/>
    <w:basedOn w:val="DefaultParagraphFont"/>
    <w:link w:val="Heading4"/>
    <w:uiPriority w:val="9"/>
    <w:rsid w:val="0030055E"/>
    <w:rPr>
      <w:rFonts w:asciiTheme="majorHAnsi" w:eastAsiaTheme="majorEastAsia" w:hAnsiTheme="majorHAnsi" w:cstheme="majorBidi"/>
      <w:b/>
      <w:iCs/>
      <w:color w:val="16242A"/>
      <w:sz w:val="30"/>
      <w:szCs w:val="30"/>
    </w:rPr>
  </w:style>
  <w:style w:type="character" w:customStyle="1" w:styleId="Heading5Char">
    <w:name w:val="Heading 5 Char"/>
    <w:basedOn w:val="DefaultParagraphFont"/>
    <w:link w:val="Heading5"/>
    <w:uiPriority w:val="9"/>
    <w:rsid w:val="0030055E"/>
    <w:rPr>
      <w:rFonts w:asciiTheme="majorHAnsi" w:eastAsiaTheme="majorEastAsia" w:hAnsiTheme="majorHAnsi" w:cstheme="majorBidi"/>
      <w:b/>
      <w:color w:val="2B7A77"/>
      <w:sz w:val="26"/>
      <w:szCs w:val="26"/>
    </w:rPr>
  </w:style>
  <w:style w:type="character" w:customStyle="1" w:styleId="Heading6Char">
    <w:name w:val="Heading 6 Char"/>
    <w:basedOn w:val="DefaultParagraphFont"/>
    <w:link w:val="Heading6"/>
    <w:uiPriority w:val="9"/>
    <w:rsid w:val="0030055E"/>
    <w:rPr>
      <w:u w:val="single"/>
    </w:rPr>
  </w:style>
  <w:style w:type="paragraph" w:styleId="Caption">
    <w:name w:val="caption"/>
    <w:basedOn w:val="Normal"/>
    <w:next w:val="Normal"/>
    <w:uiPriority w:val="14"/>
    <w:qFormat/>
    <w:rsid w:val="008767E2"/>
    <w:pPr>
      <w:spacing w:before="240" w:after="160"/>
    </w:pPr>
    <w:rPr>
      <w:b/>
      <w:iCs/>
      <w:color w:val="595E64"/>
      <w:szCs w:val="18"/>
    </w:rPr>
  </w:style>
  <w:style w:type="table" w:customStyle="1" w:styleId="DefaultTable1">
    <w:name w:val="Default Table 1"/>
    <w:basedOn w:val="TableNormal"/>
    <w:uiPriority w:val="99"/>
    <w:rsid w:val="00FA4381"/>
    <w:pPr>
      <w:spacing w:before="80"/>
    </w:pPr>
    <w:tblPr>
      <w:tblStyleRowBandSize w:val="1"/>
      <w:tblStyleColBandSize w:val="1"/>
    </w:tblPr>
    <w:tcPr>
      <w:shd w:val="clear" w:color="auto" w:fill="FFF9EA"/>
    </w:tcPr>
    <w:tblStylePr w:type="firstRow">
      <w:rPr>
        <w:b/>
        <w:color w:val="000000" w:themeColor="text1"/>
      </w:rPr>
    </w:tblStylePr>
    <w:tblStylePr w:type="lastRow">
      <w:rPr>
        <w:b/>
      </w:rPr>
    </w:tblStylePr>
    <w:tblStylePr w:type="firstCol">
      <w:rPr>
        <w:b/>
      </w:rPr>
    </w:tblStylePr>
  </w:style>
  <w:style w:type="paragraph" w:customStyle="1" w:styleId="Sourcenotes">
    <w:name w:val="Source notes"/>
    <w:basedOn w:val="Normal"/>
    <w:autoRedefine/>
    <w:uiPriority w:val="15"/>
    <w:qFormat/>
    <w:rsid w:val="00AB3833"/>
    <w:pPr>
      <w:spacing w:before="0"/>
    </w:pPr>
    <w:rPr>
      <w:sz w:val="18"/>
      <w:szCs w:val="18"/>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ind w:left="284" w:hanging="284"/>
    </w:pPr>
    <w:rPr>
      <w:lang w:val="x-none"/>
    </w:rPr>
  </w:style>
  <w:style w:type="paragraph" w:customStyle="1" w:styleId="ListLegal2">
    <w:name w:val="List Legal 2"/>
    <w:basedOn w:val="ListLegal1"/>
    <w:uiPriority w:val="3"/>
    <w:rsid w:val="00FC32B2"/>
    <w:pPr>
      <w:ind w:left="568"/>
    </w:pPr>
  </w:style>
  <w:style w:type="paragraph" w:customStyle="1" w:styleId="ListLegal3">
    <w:name w:val="List Legal 3"/>
    <w:basedOn w:val="ListLegal2"/>
    <w:uiPriority w:val="3"/>
    <w:rsid w:val="00FC32B2"/>
    <w:pPr>
      <w:ind w:left="852"/>
    </w:pPr>
  </w:style>
  <w:style w:type="paragraph" w:customStyle="1" w:styleId="ListNumbered1">
    <w:name w:val="List Numbered 1"/>
    <w:basedOn w:val="Normal"/>
    <w:uiPriority w:val="3"/>
    <w:qFormat/>
    <w:rsid w:val="00FC32B2"/>
    <w:pPr>
      <w:numPr>
        <w:numId w:val="6"/>
      </w:numPr>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autoRedefine/>
    <w:uiPriority w:val="3"/>
    <w:qFormat/>
    <w:rsid w:val="001E5DF6"/>
    <w:pPr>
      <w:numPr>
        <w:numId w:val="8"/>
      </w:numPr>
      <w:spacing w:after="0"/>
    </w:pPr>
    <w:rPr>
      <w:lang w:val="x-none"/>
    </w:rPr>
  </w:style>
  <w:style w:type="paragraph" w:customStyle="1" w:styleId="Bullet2">
    <w:name w:val="Bullet 2"/>
    <w:basedOn w:val="Bullet1"/>
    <w:uiPriority w:val="3"/>
    <w:rsid w:val="00CF6CFD"/>
    <w:pPr>
      <w:numPr>
        <w:ilvl w:val="1"/>
        <w:numId w:val="9"/>
      </w:numPr>
    </w:pPr>
  </w:style>
  <w:style w:type="paragraph" w:customStyle="1" w:styleId="Bullet3">
    <w:name w:val="Bullet 3"/>
    <w:basedOn w:val="Bullet2"/>
    <w:uiPriority w:val="3"/>
    <w:rsid w:val="00CF6CFD"/>
    <w:pPr>
      <w:numPr>
        <w:ilvl w:val="2"/>
      </w:numPr>
    </w:pPr>
  </w:style>
  <w:style w:type="paragraph" w:styleId="TOCHeading">
    <w:name w:val="TOC Heading"/>
    <w:next w:val="Normal"/>
    <w:uiPriority w:val="38"/>
    <w:rsid w:val="00D5074A"/>
    <w:pPr>
      <w:spacing w:before="0"/>
    </w:pPr>
    <w:rPr>
      <w:rFonts w:asciiTheme="majorHAnsi" w:eastAsiaTheme="majorEastAsia" w:hAnsiTheme="majorHAnsi" w:cstheme="majorBidi"/>
      <w:b/>
      <w:bCs/>
      <w:color w:val="16242A"/>
      <w:sz w:val="64"/>
      <w:szCs w:val="64"/>
    </w:rPr>
  </w:style>
  <w:style w:type="paragraph" w:customStyle="1" w:styleId="Box1Text">
    <w:name w:val="Box 1 Text"/>
    <w:basedOn w:val="Normal"/>
    <w:autoRedefine/>
    <w:uiPriority w:val="23"/>
    <w:rsid w:val="00F3528E"/>
    <w:pPr>
      <w:pBdr>
        <w:top w:val="single" w:sz="4" w:space="14" w:color="FFE4DC"/>
        <w:left w:val="single" w:sz="4" w:space="14" w:color="FFE4DC"/>
        <w:bottom w:val="single" w:sz="4" w:space="14" w:color="FFE4DC"/>
        <w:right w:val="single" w:sz="4" w:space="14" w:color="FFE4DC"/>
      </w:pBdr>
      <w:shd w:val="clear" w:color="auto" w:fill="FFE3DC" w:themeFill="accent2" w:themeFillTint="33"/>
      <w:ind w:left="284" w:right="284"/>
    </w:pPr>
    <w:rPr>
      <w:color w:val="auto"/>
      <w:sz w:val="20"/>
      <w:lang w:val="x-none"/>
    </w:rPr>
  </w:style>
  <w:style w:type="paragraph" w:customStyle="1" w:styleId="Box1Heading">
    <w:name w:val="Box 1 Heading"/>
    <w:basedOn w:val="Box1Text"/>
    <w:uiPriority w:val="23"/>
    <w:qFormat/>
    <w:rsid w:val="00FA4381"/>
    <w:rPr>
      <w:b/>
    </w:rPr>
  </w:style>
  <w:style w:type="paragraph" w:customStyle="1" w:styleId="Box1Bullet1">
    <w:name w:val="Box 1 Bullet 1"/>
    <w:basedOn w:val="Box1Text"/>
    <w:uiPriority w:val="24"/>
    <w:qFormat/>
    <w:rsid w:val="00BA1C19"/>
    <w:pPr>
      <w:numPr>
        <w:numId w:val="5"/>
      </w:numPr>
      <w:spacing w:line="220" w:lineRule="exact"/>
      <w:ind w:left="568" w:hanging="284"/>
    </w:pPr>
    <w:rPr>
      <w:kern w:val="12"/>
      <w:szCs w:val="20"/>
    </w:rPr>
  </w:style>
  <w:style w:type="paragraph" w:customStyle="1" w:styleId="Box2Text">
    <w:name w:val="Box 2 Text"/>
    <w:basedOn w:val="Normal"/>
    <w:link w:val="Box2TextChar"/>
    <w:autoRedefine/>
    <w:uiPriority w:val="24"/>
    <w:qFormat/>
    <w:rsid w:val="001B121E"/>
    <w:pPr>
      <w:pBdr>
        <w:top w:val="single" w:sz="4" w:space="14" w:color="C5D7DF" w:themeColor="accent5" w:themeTint="33"/>
        <w:left w:val="single" w:sz="4" w:space="14" w:color="C5D7DF" w:themeColor="accent5" w:themeTint="33"/>
        <w:bottom w:val="single" w:sz="4" w:space="14" w:color="C5D7DF" w:themeColor="accent5" w:themeTint="33"/>
        <w:right w:val="single" w:sz="4" w:space="14" w:color="C5D7DF" w:themeColor="accent5" w:themeTint="33"/>
      </w:pBdr>
      <w:shd w:val="clear" w:color="auto" w:fill="CAD5DD"/>
      <w:spacing w:line="240" w:lineRule="exact"/>
      <w:ind w:left="284" w:right="284"/>
    </w:pPr>
    <w:rPr>
      <w:lang w:val="x-none"/>
    </w:rPr>
  </w:style>
  <w:style w:type="paragraph" w:customStyle="1" w:styleId="Box2Heading">
    <w:name w:val="Box 2 Heading"/>
    <w:basedOn w:val="Box2Text"/>
    <w:link w:val="Box2HeadingChar"/>
    <w:autoRedefine/>
    <w:uiPriority w:val="24"/>
    <w:qFormat/>
    <w:rsid w:val="0070796B"/>
    <w:pPr>
      <w:spacing w:before="360" w:after="240"/>
      <w:ind w:left="641" w:hanging="357"/>
    </w:pPr>
    <w:rPr>
      <w:b/>
    </w:rPr>
  </w:style>
  <w:style w:type="paragraph" w:customStyle="1" w:styleId="Box2Bullet1">
    <w:name w:val="Box 2 Bullet 1"/>
    <w:basedOn w:val="Box2Text"/>
    <w:link w:val="Box2Bullet1Char"/>
    <w:uiPriority w:val="25"/>
    <w:qFormat/>
    <w:rsid w:val="009D7CCE"/>
    <w:pPr>
      <w:numPr>
        <w:ilvl w:val="1"/>
        <w:numId w:val="5"/>
      </w:numPr>
    </w:pPr>
    <w:rPr>
      <w:kern w:val="12"/>
      <w:sz w:val="20"/>
      <w:szCs w:val="20"/>
    </w:rPr>
  </w:style>
  <w:style w:type="table" w:customStyle="1" w:styleId="IconBoxTable">
    <w:name w:val="Icon Box Table"/>
    <w:basedOn w:val="TableNormal"/>
    <w:uiPriority w:val="99"/>
    <w:rsid w:val="00D5655E"/>
    <w:pPr>
      <w:spacing w:before="80"/>
    </w:pP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
      </w:numPr>
    </w:pPr>
  </w:style>
  <w:style w:type="numbering" w:customStyle="1" w:styleId="ListLegal">
    <w:name w:val="List Legal"/>
    <w:uiPriority w:val="99"/>
    <w:rsid w:val="00477E77"/>
    <w:pPr>
      <w:numPr>
        <w:numId w:val="7"/>
      </w:numPr>
    </w:pPr>
  </w:style>
  <w:style w:type="numbering" w:customStyle="1" w:styleId="ListNumbered">
    <w:name w:val="List Numbered"/>
    <w:uiPriority w:val="99"/>
    <w:rsid w:val="00477E77"/>
    <w:pPr>
      <w:numPr>
        <w:numId w:val="2"/>
      </w:numPr>
    </w:pPr>
  </w:style>
  <w:style w:type="paragraph" w:customStyle="1" w:styleId="Heading1Numbered">
    <w:name w:val="Heading 1 Numbered"/>
    <w:basedOn w:val="Heading1"/>
    <w:uiPriority w:val="10"/>
    <w:rsid w:val="00DE47BB"/>
    <w:pPr>
      <w:tabs>
        <w:tab w:val="num" w:pos="1209"/>
      </w:tabs>
      <w:ind w:left="1209" w:hanging="360"/>
    </w:pPr>
  </w:style>
  <w:style w:type="paragraph" w:customStyle="1" w:styleId="Heading2Numbered">
    <w:name w:val="Heading 2 Numbered"/>
    <w:basedOn w:val="Heading2"/>
    <w:uiPriority w:val="10"/>
    <w:rsid w:val="00DE47BB"/>
    <w:pPr>
      <w:tabs>
        <w:tab w:val="num" w:pos="1209"/>
      </w:tabs>
      <w:ind w:left="1209" w:hanging="360"/>
    </w:pPr>
  </w:style>
  <w:style w:type="paragraph" w:customStyle="1" w:styleId="Heading3Numbered">
    <w:name w:val="Heading 3 Numbered"/>
    <w:basedOn w:val="Heading3"/>
    <w:uiPriority w:val="10"/>
    <w:rsid w:val="003F775D"/>
    <w:pPr>
      <w:tabs>
        <w:tab w:val="num" w:pos="1209"/>
      </w:tabs>
      <w:ind w:left="1209" w:hanging="360"/>
    </w:pPr>
  </w:style>
  <w:style w:type="paragraph" w:customStyle="1" w:styleId="Heading4Numbered">
    <w:name w:val="Heading 4 Numbered"/>
    <w:basedOn w:val="Heading4"/>
    <w:uiPriority w:val="10"/>
    <w:rsid w:val="003F775D"/>
    <w:pPr>
      <w:tabs>
        <w:tab w:val="num" w:pos="1209"/>
      </w:tabs>
      <w:ind w:left="1209" w:hanging="360"/>
    </w:pPr>
  </w:style>
  <w:style w:type="paragraph" w:customStyle="1" w:styleId="Heading5Numbered">
    <w:name w:val="Heading 5 Numbered"/>
    <w:basedOn w:val="Heading5"/>
    <w:uiPriority w:val="10"/>
    <w:rsid w:val="003F775D"/>
    <w:pPr>
      <w:tabs>
        <w:tab w:val="num" w:pos="1209"/>
      </w:tabs>
      <w:ind w:left="1209" w:hanging="360"/>
    </w:pPr>
  </w:style>
  <w:style w:type="numbering" w:customStyle="1" w:styleId="NumberedHeadings">
    <w:name w:val="Numbered Headings"/>
    <w:uiPriority w:val="99"/>
    <w:rsid w:val="003F775D"/>
    <w:pPr>
      <w:numPr>
        <w:numId w:val="3"/>
      </w:numPr>
    </w:pPr>
  </w:style>
  <w:style w:type="paragraph" w:customStyle="1" w:styleId="AppendixHeading1">
    <w:name w:val="Appendix Heading 1"/>
    <w:basedOn w:val="Heading1"/>
    <w:uiPriority w:val="11"/>
    <w:qFormat/>
    <w:rsid w:val="00DE47BB"/>
    <w:pPr>
      <w:tabs>
        <w:tab w:val="num" w:pos="360"/>
      </w:tabs>
      <w:ind w:left="360" w:hanging="360"/>
    </w:pPr>
  </w:style>
  <w:style w:type="paragraph" w:customStyle="1" w:styleId="AppendixHeading2">
    <w:name w:val="Appendix Heading 2"/>
    <w:basedOn w:val="Heading2"/>
    <w:uiPriority w:val="11"/>
    <w:rsid w:val="0001430B"/>
    <w:pPr>
      <w:tabs>
        <w:tab w:val="num" w:pos="360"/>
      </w:tabs>
      <w:ind w:left="360" w:hanging="360"/>
    </w:pPr>
  </w:style>
  <w:style w:type="paragraph" w:customStyle="1" w:styleId="AttachmentHeading1">
    <w:name w:val="Attachment Heading 1"/>
    <w:basedOn w:val="Heading1"/>
    <w:uiPriority w:val="11"/>
    <w:qFormat/>
    <w:rsid w:val="00DE47BB"/>
    <w:pPr>
      <w:numPr>
        <w:numId w:val="3"/>
      </w:numPr>
    </w:pPr>
  </w:style>
  <w:style w:type="paragraph" w:customStyle="1" w:styleId="AttachmentHeading2">
    <w:name w:val="Attachment Heading 2"/>
    <w:basedOn w:val="Heading2"/>
    <w:uiPriority w:val="11"/>
    <w:rsid w:val="0001430B"/>
    <w:pPr>
      <w:numPr>
        <w:ilvl w:val="1"/>
        <w:numId w:val="3"/>
      </w:numPr>
    </w:pPr>
  </w:style>
  <w:style w:type="numbering" w:customStyle="1" w:styleId="AppendixNumbers">
    <w:name w:val="Appendix Numbers"/>
    <w:uiPriority w:val="99"/>
    <w:rsid w:val="0001430B"/>
    <w:pPr>
      <w:numPr>
        <w:numId w:val="4"/>
      </w:numPr>
    </w:pPr>
  </w:style>
  <w:style w:type="numbering" w:customStyle="1" w:styleId="AttachmentNumbers">
    <w:name w:val="Attachment Numbers"/>
    <w:uiPriority w:val="99"/>
    <w:rsid w:val="0001430B"/>
    <w:pPr>
      <w:numPr>
        <w:numId w:val="5"/>
      </w:numPr>
    </w:pPr>
  </w:style>
  <w:style w:type="paragraph" w:styleId="Quote">
    <w:name w:val="Quote"/>
    <w:basedOn w:val="Normal"/>
    <w:next w:val="Normal"/>
    <w:link w:val="QuoteChar"/>
    <w:uiPriority w:val="29"/>
    <w:qFormat/>
    <w:rsid w:val="00FA4381"/>
    <w:pPr>
      <w:pBdr>
        <w:left w:val="single" w:sz="8" w:space="14" w:color="FF7751" w:themeColor="accent2"/>
        <w:right w:val="single" w:sz="8" w:space="14" w:color="FF7751" w:themeColor="accent2"/>
      </w:pBdr>
      <w:spacing w:after="160"/>
      <w:ind w:left="350" w:right="345"/>
    </w:pPr>
    <w:rPr>
      <w:b/>
      <w:iCs/>
      <w:color w:val="2B7A77"/>
    </w:rPr>
  </w:style>
  <w:style w:type="character" w:customStyle="1" w:styleId="QuoteChar">
    <w:name w:val="Quote Char"/>
    <w:basedOn w:val="DefaultParagraphFont"/>
    <w:link w:val="Quote"/>
    <w:uiPriority w:val="29"/>
    <w:rsid w:val="00FA4381"/>
    <w:rPr>
      <w:b/>
      <w:iCs/>
      <w:color w:val="2B7A77"/>
    </w:rPr>
  </w:style>
  <w:style w:type="paragraph" w:styleId="TOC1">
    <w:name w:val="toc 1"/>
    <w:basedOn w:val="Normal"/>
    <w:next w:val="Normal"/>
    <w:autoRedefine/>
    <w:uiPriority w:val="39"/>
    <w:rsid w:val="001A55AF"/>
    <w:pPr>
      <w:keepLines/>
      <w:tabs>
        <w:tab w:val="right" w:pos="9854"/>
      </w:tabs>
      <w:spacing w:line="200" w:lineRule="exact"/>
      <w:ind w:left="567" w:hanging="567"/>
    </w:pPr>
    <w:rPr>
      <w:b/>
      <w:color w:val="15242A"/>
      <w:sz w:val="24"/>
      <w:u w:color="304F6F"/>
    </w:rPr>
  </w:style>
  <w:style w:type="paragraph" w:styleId="TOC2">
    <w:name w:val="toc 2"/>
    <w:basedOn w:val="Normal"/>
    <w:next w:val="Normal"/>
    <w:autoRedefine/>
    <w:uiPriority w:val="39"/>
    <w:rsid w:val="00D20406"/>
    <w:pPr>
      <w:keepLines/>
      <w:tabs>
        <w:tab w:val="right" w:pos="9854"/>
      </w:tabs>
      <w:spacing w:before="0" w:after="0" w:line="220" w:lineRule="exact"/>
      <w:ind w:left="851" w:hanging="567"/>
    </w:pPr>
  </w:style>
  <w:style w:type="paragraph" w:styleId="TOC3">
    <w:name w:val="toc 3"/>
    <w:basedOn w:val="Normal"/>
    <w:next w:val="Normal"/>
    <w:autoRedefine/>
    <w:uiPriority w:val="39"/>
    <w:rsid w:val="00DE4362"/>
    <w:pPr>
      <w:ind w:left="1134" w:hanging="567"/>
    </w:pPr>
  </w:style>
  <w:style w:type="paragraph" w:styleId="TableofFigures">
    <w:name w:val="table of figures"/>
    <w:basedOn w:val="Normal"/>
    <w:next w:val="Normal"/>
    <w:uiPriority w:val="99"/>
    <w:unhideWhenUsed/>
    <w:rsid w:val="006E1ECA"/>
  </w:style>
  <w:style w:type="paragraph" w:customStyle="1" w:styleId="AreaHeading">
    <w:name w:val="Area Heading"/>
    <w:basedOn w:val="Normal"/>
    <w:qFormat/>
    <w:rsid w:val="004063DE"/>
    <w:pPr>
      <w:spacing w:before="0"/>
      <w:ind w:left="-1020" w:firstLine="1020"/>
    </w:pPr>
    <w:rPr>
      <w:rFonts w:cs="Times New Roman (Body CS)"/>
      <w:caps/>
      <w:color w:val="76791C" w:themeColor="accent4" w:themeShade="80"/>
    </w:rPr>
  </w:style>
  <w:style w:type="paragraph" w:customStyle="1" w:styleId="Box2Checklist">
    <w:name w:val="Box 2 Checklist"/>
    <w:basedOn w:val="Box2Text"/>
    <w:autoRedefine/>
    <w:uiPriority w:val="26"/>
    <w:qFormat/>
    <w:rsid w:val="00513E42"/>
    <w:pPr>
      <w:numPr>
        <w:ilvl w:val="2"/>
        <w:numId w:val="7"/>
      </w:numPr>
    </w:pPr>
    <w:rPr>
      <w:kern w:val="12"/>
      <w:sz w:val="20"/>
      <w:szCs w:val="20"/>
    </w:rPr>
  </w:style>
  <w:style w:type="numbering" w:customStyle="1" w:styleId="BoxedBullets">
    <w:name w:val="Boxed Bullets"/>
    <w:uiPriority w:val="99"/>
    <w:rsid w:val="009D7CCE"/>
    <w:pPr>
      <w:numPr>
        <w:numId w:val="9"/>
      </w:numPr>
    </w:pPr>
  </w:style>
  <w:style w:type="character" w:styleId="FollowedHyperlink">
    <w:name w:val="FollowedHyperlink"/>
    <w:basedOn w:val="DefaultParagraphFont"/>
    <w:uiPriority w:val="99"/>
    <w:semiHidden/>
    <w:unhideWhenUsed/>
    <w:rsid w:val="00216AED"/>
    <w:rPr>
      <w:color w:val="000000" w:themeColor="followedHyperlink"/>
      <w:u w:val="single"/>
    </w:rPr>
  </w:style>
  <w:style w:type="character" w:styleId="CommentReference">
    <w:name w:val="annotation reference"/>
    <w:basedOn w:val="DefaultParagraphFont"/>
    <w:uiPriority w:val="99"/>
    <w:semiHidden/>
    <w:unhideWhenUsed/>
    <w:rsid w:val="00666D51"/>
    <w:rPr>
      <w:sz w:val="16"/>
      <w:szCs w:val="16"/>
    </w:rPr>
  </w:style>
  <w:style w:type="paragraph" w:styleId="CommentText">
    <w:name w:val="annotation text"/>
    <w:basedOn w:val="Normal"/>
    <w:link w:val="CommentTextChar"/>
    <w:uiPriority w:val="99"/>
    <w:unhideWhenUsed/>
    <w:rsid w:val="00666D51"/>
    <w:rPr>
      <w:sz w:val="20"/>
      <w:szCs w:val="20"/>
    </w:rPr>
  </w:style>
  <w:style w:type="character" w:customStyle="1" w:styleId="CommentTextChar">
    <w:name w:val="Comment Text Char"/>
    <w:basedOn w:val="DefaultParagraphFont"/>
    <w:link w:val="CommentText"/>
    <w:uiPriority w:val="99"/>
    <w:rsid w:val="00666D51"/>
    <w:rPr>
      <w:sz w:val="20"/>
      <w:szCs w:val="20"/>
    </w:rPr>
  </w:style>
  <w:style w:type="paragraph" w:styleId="CommentSubject">
    <w:name w:val="annotation subject"/>
    <w:basedOn w:val="CommentText"/>
    <w:next w:val="CommentText"/>
    <w:link w:val="CommentSubjectChar"/>
    <w:uiPriority w:val="99"/>
    <w:semiHidden/>
    <w:unhideWhenUsed/>
    <w:rsid w:val="00666D51"/>
    <w:rPr>
      <w:b/>
      <w:bCs/>
    </w:rPr>
  </w:style>
  <w:style w:type="character" w:customStyle="1" w:styleId="CommentSubjectChar">
    <w:name w:val="Comment Subject Char"/>
    <w:basedOn w:val="CommentTextChar"/>
    <w:link w:val="CommentSubject"/>
    <w:uiPriority w:val="99"/>
    <w:semiHidden/>
    <w:rsid w:val="00666D51"/>
    <w:rPr>
      <w:b/>
      <w:bCs/>
      <w:sz w:val="20"/>
      <w:szCs w:val="20"/>
    </w:rPr>
  </w:style>
  <w:style w:type="paragraph" w:styleId="BalloonText">
    <w:name w:val="Balloon Text"/>
    <w:basedOn w:val="Normal"/>
    <w:link w:val="BalloonTextChar"/>
    <w:uiPriority w:val="99"/>
    <w:semiHidden/>
    <w:unhideWhenUsed/>
    <w:rsid w:val="00666D5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D51"/>
    <w:rPr>
      <w:rFonts w:ascii="Segoe UI" w:hAnsi="Segoe UI" w:cs="Segoe UI"/>
      <w:sz w:val="18"/>
      <w:szCs w:val="18"/>
    </w:rPr>
  </w:style>
  <w:style w:type="character" w:customStyle="1" w:styleId="Heading9Char">
    <w:name w:val="Heading 9 Char"/>
    <w:basedOn w:val="DefaultParagraphFont"/>
    <w:link w:val="Heading9"/>
    <w:uiPriority w:val="9"/>
    <w:semiHidden/>
    <w:rsid w:val="00FA4381"/>
    <w:rPr>
      <w:rFonts w:asciiTheme="majorHAnsi" w:eastAsiaTheme="majorEastAsia" w:hAnsiTheme="majorHAnsi" w:cstheme="majorBidi"/>
      <w:i/>
      <w:iCs/>
      <w:color w:val="272727" w:themeColor="text1" w:themeTint="D8"/>
      <w:sz w:val="21"/>
      <w:szCs w:val="21"/>
    </w:rPr>
  </w:style>
  <w:style w:type="paragraph" w:styleId="ListParagraph">
    <w:name w:val="List Paragraph"/>
    <w:aliases w:val="Recommendation,List Paragraph1,List Paragraph11,L,Number,Level 1 list,#List Paragraph,List Bullet Cab,Bullet point,NAST Quote,CV text,F5 List Paragraph,Dot pt,List Paragraph111,Medium Grid 1 - Accent 21,Bulleted Para,Bullet Point,0Bullet"/>
    <w:basedOn w:val="Normal"/>
    <w:link w:val="ListParagraphChar"/>
    <w:autoRedefine/>
    <w:uiPriority w:val="34"/>
    <w:unhideWhenUsed/>
    <w:qFormat/>
    <w:rsid w:val="005017D2"/>
    <w:pPr>
      <w:numPr>
        <w:numId w:val="14"/>
      </w:numPr>
      <w:suppressAutoHyphens w:val="0"/>
      <w:spacing w:before="0" w:after="0" w:line="259" w:lineRule="auto"/>
    </w:pPr>
  </w:style>
  <w:style w:type="character" w:customStyle="1" w:styleId="Heading7Char">
    <w:name w:val="Heading 7 Char"/>
    <w:basedOn w:val="DefaultParagraphFont"/>
    <w:link w:val="Heading7"/>
    <w:uiPriority w:val="9"/>
    <w:rsid w:val="00E6034E"/>
    <w:rPr>
      <w:rFonts w:asciiTheme="majorHAnsi" w:eastAsiaTheme="majorEastAsia" w:hAnsiTheme="majorHAnsi" w:cstheme="majorBidi"/>
      <w:b/>
      <w:i/>
      <w:iCs/>
      <w:color w:val="1D5753" w:themeColor="accent1" w:themeShade="7F"/>
    </w:rPr>
  </w:style>
  <w:style w:type="paragraph" w:styleId="Revision">
    <w:name w:val="Revision"/>
    <w:hidden/>
    <w:uiPriority w:val="99"/>
    <w:semiHidden/>
    <w:rsid w:val="00BC06E0"/>
    <w:pPr>
      <w:spacing w:before="0" w:after="0"/>
    </w:pPr>
  </w:style>
  <w:style w:type="paragraph" w:styleId="Bibliography">
    <w:name w:val="Bibliography"/>
    <w:basedOn w:val="Normal"/>
    <w:next w:val="Normal"/>
    <w:uiPriority w:val="37"/>
    <w:unhideWhenUsed/>
    <w:rsid w:val="002A6EE4"/>
  </w:style>
  <w:style w:type="paragraph" w:styleId="EndnoteText">
    <w:name w:val="endnote text"/>
    <w:basedOn w:val="Normal"/>
    <w:link w:val="EndnoteTextChar"/>
    <w:uiPriority w:val="99"/>
    <w:semiHidden/>
    <w:unhideWhenUsed/>
    <w:rsid w:val="008A367D"/>
    <w:pPr>
      <w:spacing w:before="0" w:after="0"/>
    </w:pPr>
    <w:rPr>
      <w:sz w:val="20"/>
      <w:szCs w:val="20"/>
    </w:rPr>
  </w:style>
  <w:style w:type="character" w:customStyle="1" w:styleId="EndnoteTextChar">
    <w:name w:val="Endnote Text Char"/>
    <w:basedOn w:val="DefaultParagraphFont"/>
    <w:link w:val="EndnoteText"/>
    <w:uiPriority w:val="99"/>
    <w:semiHidden/>
    <w:rsid w:val="008A367D"/>
    <w:rPr>
      <w:sz w:val="20"/>
      <w:szCs w:val="20"/>
    </w:rPr>
  </w:style>
  <w:style w:type="character" w:styleId="EndnoteReference">
    <w:name w:val="endnote reference"/>
    <w:basedOn w:val="DefaultParagraphFont"/>
    <w:uiPriority w:val="99"/>
    <w:semiHidden/>
    <w:unhideWhenUsed/>
    <w:rsid w:val="008A367D"/>
    <w:rPr>
      <w:vertAlign w:val="superscript"/>
    </w:rPr>
  </w:style>
  <w:style w:type="character" w:customStyle="1" w:styleId="ListParagraphChar">
    <w:name w:val="List Paragraph Char"/>
    <w:aliases w:val="Recommendation Char,List Paragraph1 Char,List Paragraph11 Char,L Char,Number Char,Level 1 list Char,#List Paragraph Char,List Bullet Cab Char,Bullet point Char,NAST Quote Char,CV text Char,F5 List Paragraph Char,Dot pt Char"/>
    <w:basedOn w:val="DefaultParagraphFont"/>
    <w:link w:val="ListParagraph"/>
    <w:uiPriority w:val="34"/>
    <w:qFormat/>
    <w:locked/>
    <w:rsid w:val="005017D2"/>
  </w:style>
  <w:style w:type="paragraph" w:customStyle="1" w:styleId="Box1Text0">
    <w:name w:val="Box 1 Text0"/>
    <w:basedOn w:val="Normal"/>
    <w:next w:val="Box1Text"/>
    <w:autoRedefine/>
    <w:uiPriority w:val="23"/>
    <w:qFormat/>
    <w:rsid w:val="00C32A29"/>
    <w:pPr>
      <w:pBdr>
        <w:top w:val="single" w:sz="4" w:space="14" w:color="FFE4DC"/>
        <w:left w:val="single" w:sz="4" w:space="14" w:color="FFE4DC"/>
        <w:bottom w:val="single" w:sz="4" w:space="14" w:color="FFE4DC"/>
        <w:right w:val="single" w:sz="4" w:space="14" w:color="FFE4DC"/>
      </w:pBdr>
      <w:shd w:val="clear" w:color="auto" w:fill="FFE4DC"/>
      <w:spacing w:line="240" w:lineRule="exact"/>
      <w:ind w:left="284" w:right="284"/>
    </w:pPr>
    <w:rPr>
      <w:color w:val="auto"/>
      <w:sz w:val="20"/>
      <w:lang w:val="x-none"/>
    </w:rPr>
  </w:style>
  <w:style w:type="character" w:customStyle="1" w:styleId="normaltextrun">
    <w:name w:val="normaltextrun"/>
    <w:basedOn w:val="DefaultParagraphFont"/>
    <w:rsid w:val="0095235F"/>
  </w:style>
  <w:style w:type="paragraph" w:styleId="ListBullet">
    <w:name w:val="List Bullet"/>
    <w:aliases w:val="List Bullet 1"/>
    <w:basedOn w:val="Normal"/>
    <w:uiPriority w:val="99"/>
    <w:semiHidden/>
    <w:unhideWhenUsed/>
    <w:qFormat/>
    <w:rsid w:val="00915064"/>
    <w:pPr>
      <w:suppressAutoHyphens w:val="0"/>
      <w:spacing w:before="40" w:line="280" w:lineRule="atLeast"/>
    </w:pPr>
    <w:rPr>
      <w:rFonts w:ascii="Arial" w:eastAsia="Times New Roman" w:hAnsi="Arial" w:cs="Times New Roman"/>
      <w:iCs/>
      <w:color w:val="auto"/>
      <w:sz w:val="20"/>
      <w:szCs w:val="20"/>
    </w:rPr>
  </w:style>
  <w:style w:type="character" w:customStyle="1" w:styleId="BodyCopyChar">
    <w:name w:val="Body Copy Char"/>
    <w:basedOn w:val="DefaultParagraphFont"/>
    <w:link w:val="BodyCopy"/>
    <w:locked/>
    <w:rsid w:val="00915064"/>
    <w:rPr>
      <w:rFonts w:ascii="Calibri Light" w:eastAsia="Calibri" w:hAnsi="Calibri Light" w:cs="Calibri Light"/>
      <w:color w:val="313E48"/>
      <w:szCs w:val="21"/>
    </w:rPr>
  </w:style>
  <w:style w:type="paragraph" w:customStyle="1" w:styleId="BodyCopy">
    <w:name w:val="Body Copy"/>
    <w:link w:val="BodyCopyChar"/>
    <w:qFormat/>
    <w:rsid w:val="00915064"/>
    <w:pPr>
      <w:spacing w:before="40" w:after="120"/>
    </w:pPr>
    <w:rPr>
      <w:rFonts w:ascii="Calibri Light" w:eastAsia="Calibri" w:hAnsi="Calibri Light" w:cs="Calibri Light"/>
      <w:color w:val="313E48"/>
      <w:szCs w:val="21"/>
    </w:rPr>
  </w:style>
  <w:style w:type="table" w:styleId="GridTable2-Accent3">
    <w:name w:val="Grid Table 2 Accent 3"/>
    <w:basedOn w:val="TableNormal"/>
    <w:uiPriority w:val="47"/>
    <w:rsid w:val="000868A6"/>
    <w:pPr>
      <w:spacing w:after="0"/>
    </w:pPr>
    <w:tblPr>
      <w:tblStyleRowBandSize w:val="1"/>
      <w:tblStyleColBandSize w:val="1"/>
    </w:tblPr>
    <w:tcPr>
      <w:tcBorders>
        <w:top w:val="double" w:sz="2" w:space="0" w:color="FFDD80" w:themeColor="accent3" w:themeTint="99"/>
        <w:bottom w:val="nil"/>
      </w:tcBorders>
      <w:shd w:val="clear" w:color="auto" w:fill="FFF3D4" w:themeFill="accent3" w:themeFillTint="33"/>
    </w:tcPr>
    <w:tblStylePr w:type="firstRow">
      <w:rPr>
        <w:b/>
        <w:bCs/>
      </w:rPr>
      <w:tblPr/>
      <w:tcPr>
        <w:tcBorders>
          <w:top w:val="nil"/>
          <w:bottom w:val="single" w:sz="12" w:space="0" w:color="FFDD80" w:themeColor="accent3" w:themeTint="99"/>
          <w:insideH w:val="nil"/>
          <w:insideV w:val="nil"/>
        </w:tcBorders>
        <w:shd w:val="clear" w:color="auto" w:fill="FFFFFF" w:themeFill="background1"/>
      </w:tcPr>
    </w:tblStylePr>
    <w:tblStylePr w:type="lastRow">
      <w:rPr>
        <w:b/>
        <w:bCs/>
      </w:rPr>
    </w:tblStylePr>
    <w:tblStylePr w:type="firstCol">
      <w:rPr>
        <w:b/>
        <w:bCs/>
      </w:rPr>
    </w:tblStylePr>
    <w:tblStylePr w:type="lastCol">
      <w:rPr>
        <w:b/>
        <w:bCs/>
      </w:rPr>
    </w:tblStylePr>
  </w:style>
  <w:style w:type="paragraph" w:styleId="ListNumber">
    <w:name w:val="List Number"/>
    <w:aliases w:val="Bullet list (customised)"/>
    <w:basedOn w:val="Normal"/>
    <w:uiPriority w:val="99"/>
    <w:qFormat/>
    <w:rsid w:val="00ED10B8"/>
    <w:pPr>
      <w:suppressAutoHyphens w:val="0"/>
      <w:spacing w:before="0" w:after="200" w:line="276" w:lineRule="auto"/>
    </w:pPr>
    <w:rPr>
      <w:rFonts w:ascii="Arial" w:eastAsia="Calibri" w:hAnsi="Arial" w:cs="Times New Roman"/>
      <w:color w:val="auto"/>
    </w:rPr>
  </w:style>
  <w:style w:type="paragraph" w:styleId="ListNumber2">
    <w:name w:val="List Number 2"/>
    <w:basedOn w:val="Normal"/>
    <w:uiPriority w:val="99"/>
    <w:rsid w:val="00ED10B8"/>
    <w:pPr>
      <w:suppressAutoHyphens w:val="0"/>
      <w:spacing w:before="0" w:after="200" w:line="276" w:lineRule="auto"/>
      <w:ind w:left="567" w:hanging="283"/>
    </w:pPr>
    <w:rPr>
      <w:rFonts w:ascii="Arial" w:eastAsia="Calibri" w:hAnsi="Arial" w:cs="Times New Roman"/>
      <w:color w:val="auto"/>
    </w:rPr>
  </w:style>
  <w:style w:type="paragraph" w:styleId="ListNumber3">
    <w:name w:val="List Number 3"/>
    <w:basedOn w:val="Normal"/>
    <w:uiPriority w:val="99"/>
    <w:rsid w:val="00ED10B8"/>
    <w:pPr>
      <w:suppressAutoHyphens w:val="0"/>
      <w:spacing w:before="0" w:after="200" w:line="276" w:lineRule="auto"/>
      <w:ind w:left="567" w:hanging="283"/>
    </w:pPr>
    <w:rPr>
      <w:rFonts w:ascii="Arial" w:eastAsia="Calibri" w:hAnsi="Arial" w:cs="Times New Roman"/>
      <w:color w:val="auto"/>
    </w:rPr>
  </w:style>
  <w:style w:type="paragraph" w:styleId="ListNumber4">
    <w:name w:val="List Number 4"/>
    <w:basedOn w:val="Normal"/>
    <w:uiPriority w:val="99"/>
    <w:rsid w:val="00ED10B8"/>
    <w:pPr>
      <w:suppressAutoHyphens w:val="0"/>
      <w:spacing w:before="0" w:after="200" w:line="276" w:lineRule="auto"/>
      <w:ind w:left="1440" w:hanging="360"/>
    </w:pPr>
    <w:rPr>
      <w:rFonts w:ascii="Arial" w:eastAsia="Calibri" w:hAnsi="Arial" w:cs="Times New Roman"/>
      <w:color w:val="auto"/>
    </w:rPr>
  </w:style>
  <w:style w:type="paragraph" w:styleId="ListNumber5">
    <w:name w:val="List Number 5"/>
    <w:basedOn w:val="Normal"/>
    <w:uiPriority w:val="99"/>
    <w:rsid w:val="00ED10B8"/>
    <w:pPr>
      <w:suppressAutoHyphens w:val="0"/>
      <w:spacing w:before="0" w:after="200" w:line="276" w:lineRule="auto"/>
      <w:ind w:left="1800" w:hanging="360"/>
    </w:pPr>
    <w:rPr>
      <w:rFonts w:ascii="Arial" w:eastAsia="Calibri" w:hAnsi="Arial" w:cs="Times New Roman"/>
      <w:color w:val="auto"/>
    </w:rPr>
  </w:style>
  <w:style w:type="character" w:styleId="UnresolvedMention">
    <w:name w:val="Unresolved Mention"/>
    <w:basedOn w:val="DefaultParagraphFont"/>
    <w:uiPriority w:val="99"/>
    <w:semiHidden/>
    <w:unhideWhenUsed/>
    <w:rsid w:val="00C61A05"/>
    <w:rPr>
      <w:color w:val="605E5C"/>
      <w:shd w:val="clear" w:color="auto" w:fill="E1DFDD"/>
    </w:rPr>
  </w:style>
  <w:style w:type="paragraph" w:styleId="BodyText">
    <w:name w:val="Body Text"/>
    <w:aliases w:val="CAB Body Text"/>
    <w:link w:val="BodyTextChar"/>
    <w:qFormat/>
    <w:rsid w:val="00041E0F"/>
    <w:pPr>
      <w:spacing w:before="120" w:after="0"/>
    </w:pPr>
    <w:rPr>
      <w:rFonts w:ascii="Arial" w:hAnsi="Arial"/>
      <w:color w:val="auto"/>
    </w:rPr>
  </w:style>
  <w:style w:type="character" w:customStyle="1" w:styleId="BodyTextChar">
    <w:name w:val="Body Text Char"/>
    <w:aliases w:val="CAB Body Text Char"/>
    <w:basedOn w:val="DefaultParagraphFont"/>
    <w:link w:val="BodyText"/>
    <w:rsid w:val="00041E0F"/>
    <w:rPr>
      <w:rFonts w:ascii="Arial" w:hAnsi="Arial"/>
      <w:color w:val="auto"/>
    </w:rPr>
  </w:style>
  <w:style w:type="table" w:customStyle="1" w:styleId="DPSTableGrid1">
    <w:name w:val="DPS Table Grid1"/>
    <w:basedOn w:val="TableNormal"/>
    <w:next w:val="TableGrid"/>
    <w:uiPriority w:val="39"/>
    <w:rsid w:val="00932CFB"/>
    <w:pPr>
      <w:spacing w:before="0" w:after="0"/>
    </w:pPr>
    <w:tblPr/>
  </w:style>
  <w:style w:type="paragraph" w:customStyle="1" w:styleId="Body">
    <w:name w:val="Body"/>
    <w:aliases w:val="Bullet,Bullet + line,b,b + line,b1,level 1,BodyNum,bulleted,Bullet Char1,Bullet Char1 Char Char Char Char,b1 Char Char Char,Bullet Char1 Char Char Char Char Char,Bullet Char1 Char Char Char"/>
    <w:basedOn w:val="Normal"/>
    <w:autoRedefine/>
    <w:qFormat/>
    <w:rsid w:val="00187F10"/>
    <w:pPr>
      <w:suppressAutoHyphens w:val="0"/>
      <w:spacing w:before="120" w:after="120" w:line="240" w:lineRule="exact"/>
    </w:pPr>
  </w:style>
  <w:style w:type="paragraph" w:customStyle="1" w:styleId="bullet">
    <w:name w:val="bullet"/>
    <w:basedOn w:val="Normal"/>
    <w:rsid w:val="00564495"/>
    <w:pPr>
      <w:suppressAutoHyphens w:val="0"/>
      <w:spacing w:before="240" w:after="160" w:line="240" w:lineRule="atLeast"/>
    </w:pPr>
    <w:rPr>
      <w:rFonts w:ascii="Book Antiqua" w:hAnsi="Book Antiqua" w:cs="Calibri"/>
      <w:color w:val="auto"/>
      <w:sz w:val="19"/>
      <w:szCs w:val="19"/>
      <w:lang w:eastAsia="en-AU"/>
    </w:rPr>
  </w:style>
  <w:style w:type="paragraph" w:customStyle="1" w:styleId="Dash">
    <w:name w:val="Dash"/>
    <w:basedOn w:val="Normal"/>
    <w:qFormat/>
    <w:rsid w:val="00C31BE5"/>
    <w:pPr>
      <w:tabs>
        <w:tab w:val="left" w:pos="567"/>
      </w:tabs>
      <w:suppressAutoHyphens w:val="0"/>
      <w:spacing w:before="240" w:after="240" w:line="240" w:lineRule="exact"/>
      <w:ind w:left="567" w:hanging="284"/>
    </w:pPr>
    <w:rPr>
      <w:rFonts w:ascii="Book Antiqua" w:eastAsia="Times New Roman" w:hAnsi="Book Antiqua" w:cs="Times New Roman"/>
      <w:color w:val="auto"/>
      <w:sz w:val="19"/>
      <w:szCs w:val="20"/>
      <w:lang w:eastAsia="en-AU"/>
    </w:rPr>
  </w:style>
  <w:style w:type="paragraph" w:customStyle="1" w:styleId="DoubleDot">
    <w:name w:val="Double Dot"/>
    <w:basedOn w:val="Normal"/>
    <w:qFormat/>
    <w:rsid w:val="00C31BE5"/>
    <w:pPr>
      <w:tabs>
        <w:tab w:val="num" w:pos="360"/>
        <w:tab w:val="left" w:pos="851"/>
      </w:tabs>
      <w:suppressAutoHyphens w:val="0"/>
      <w:spacing w:before="240" w:after="240" w:line="240" w:lineRule="exact"/>
      <w:ind w:left="850" w:hanging="283"/>
    </w:pPr>
    <w:rPr>
      <w:rFonts w:ascii="Book Antiqua" w:eastAsia="Times New Roman" w:hAnsi="Book Antiqua" w:cs="Times New Roman"/>
      <w:color w:val="auto"/>
      <w:sz w:val="19"/>
      <w:szCs w:val="20"/>
      <w:lang w:eastAsia="en-AU"/>
    </w:rPr>
  </w:style>
  <w:style w:type="paragraph" w:customStyle="1" w:styleId="BulletedListlvl1">
    <w:name w:val="Bulleted List lvl1"/>
    <w:uiPriority w:val="10"/>
    <w:qFormat/>
    <w:rsid w:val="00A047B0"/>
    <w:pPr>
      <w:spacing w:before="120" w:after="0" w:line="264" w:lineRule="auto"/>
      <w:ind w:left="720" w:hanging="360"/>
      <w:contextualSpacing/>
    </w:pPr>
    <w:rPr>
      <w:color w:val="262626" w:themeColor="text1" w:themeTint="D9"/>
      <w:szCs w:val="20"/>
    </w:rPr>
  </w:style>
  <w:style w:type="paragraph" w:customStyle="1" w:styleId="BulletedListlvl2">
    <w:name w:val="Bulleted List lvl2"/>
    <w:basedOn w:val="BulletedListlvl1"/>
    <w:uiPriority w:val="10"/>
    <w:rsid w:val="00A047B0"/>
    <w:pPr>
      <w:spacing w:before="0"/>
      <w:ind w:left="1440"/>
    </w:pPr>
  </w:style>
  <w:style w:type="paragraph" w:customStyle="1" w:styleId="BulletedListlvl3">
    <w:name w:val="Bulleted List lvl3"/>
    <w:basedOn w:val="BulletedListlvl2"/>
    <w:uiPriority w:val="10"/>
    <w:rsid w:val="00A047B0"/>
    <w:pPr>
      <w:ind w:left="2160"/>
    </w:pPr>
  </w:style>
  <w:style w:type="table" w:customStyle="1" w:styleId="GridTable2-Accent61">
    <w:name w:val="Grid Table 2 - Accent 61"/>
    <w:basedOn w:val="TableNormal"/>
    <w:next w:val="GridTable2-Accent6"/>
    <w:uiPriority w:val="47"/>
    <w:rsid w:val="00481086"/>
    <w:pPr>
      <w:spacing w:before="0" w:after="0"/>
    </w:pPr>
    <w:rPr>
      <w:color w:val="auto"/>
    </w:rPr>
    <w:tblPr/>
    <w:tblStylePr w:type="firstRow">
      <w:rPr>
        <w:b/>
        <w:bCs/>
      </w:rPr>
    </w:tblStylePr>
    <w:tblStylePr w:type="lastRow">
      <w:rPr>
        <w:b/>
        <w:bCs/>
      </w:rPr>
    </w:tblStylePr>
    <w:tblStylePr w:type="firstCol">
      <w:rPr>
        <w:b/>
        <w:bCs/>
      </w:rPr>
    </w:tblStylePr>
    <w:tblStylePr w:type="lastCol">
      <w:rPr>
        <w:b/>
        <w:bCs/>
      </w:rPr>
    </w:tblStylePr>
  </w:style>
  <w:style w:type="table" w:styleId="GridTable2-Accent6">
    <w:name w:val="Grid Table 2 Accent 6"/>
    <w:basedOn w:val="TableNormal"/>
    <w:uiPriority w:val="47"/>
    <w:rsid w:val="00481086"/>
    <w:pPr>
      <w:spacing w:after="0"/>
    </w:pPr>
    <w:tblPr>
      <w:tblStyleRowBandSize w:val="1"/>
      <w:tblStyleColBandSize w:val="1"/>
    </w:tblPr>
    <w:tcPr>
      <w:tcBorders>
        <w:top w:val="double" w:sz="2" w:space="0" w:color="FFFFFF" w:themeColor="accent6" w:themeTint="99"/>
        <w:bottom w:val="nil"/>
      </w:tcBorders>
      <w:shd w:val="clear" w:color="auto" w:fill="FFFFFF" w:themeFill="accent6" w:themeFillTint="33"/>
    </w:tcPr>
    <w:tblStylePr w:type="firstRow">
      <w:rPr>
        <w:b/>
        <w:bCs/>
      </w:rPr>
      <w:tblPr/>
      <w:tcPr>
        <w:tcBorders>
          <w:top w:val="nil"/>
          <w:bottom w:val="single" w:sz="12" w:space="0" w:color="FFFFFF" w:themeColor="accent6" w:themeTint="99"/>
          <w:insideH w:val="nil"/>
          <w:insideV w:val="nil"/>
        </w:tcBorders>
        <w:shd w:val="clear" w:color="auto" w:fill="FFFFFF" w:themeFill="background1"/>
      </w:tcPr>
    </w:tblStylePr>
    <w:tblStylePr w:type="lastRow">
      <w:rPr>
        <w:b/>
        <w:bCs/>
      </w:rPr>
    </w:tblStylePr>
    <w:tblStylePr w:type="firstCol">
      <w:rPr>
        <w:b/>
        <w:bCs/>
      </w:rPr>
    </w:tblStylePr>
    <w:tblStylePr w:type="lastCol">
      <w:rPr>
        <w:b/>
        <w:bCs/>
      </w:rPr>
    </w:tblStylePr>
  </w:style>
  <w:style w:type="table" w:customStyle="1" w:styleId="DefaultTable11">
    <w:name w:val="Default Table 11"/>
    <w:basedOn w:val="TableNormal"/>
    <w:uiPriority w:val="99"/>
    <w:rsid w:val="00481086"/>
    <w:pPr>
      <w:spacing w:before="80"/>
    </w:pPr>
    <w:tblPr/>
    <w:tblStylePr w:type="firstRow">
      <w:rPr>
        <w:b/>
        <w:color w:val="000000"/>
      </w:rPr>
    </w:tblStylePr>
    <w:tblStylePr w:type="lastRow">
      <w:rPr>
        <w:b/>
      </w:rPr>
    </w:tblStylePr>
    <w:tblStylePr w:type="firstCol">
      <w:rPr>
        <w:b/>
      </w:rPr>
    </w:tblStylePr>
  </w:style>
  <w:style w:type="paragraph" w:customStyle="1" w:styleId="FirstParagraph">
    <w:name w:val="First Paragraph"/>
    <w:basedOn w:val="BodyText"/>
    <w:next w:val="BodyText"/>
    <w:qFormat/>
    <w:rsid w:val="00BD1471"/>
    <w:pPr>
      <w:spacing w:before="180" w:after="180"/>
    </w:pPr>
    <w:rPr>
      <w:rFonts w:asciiTheme="minorHAnsi" w:hAnsiTheme="minorHAnsi"/>
      <w:sz w:val="24"/>
      <w:szCs w:val="24"/>
      <w:lang w:val="en-US"/>
    </w:rPr>
  </w:style>
  <w:style w:type="paragraph" w:customStyle="1" w:styleId="Box3Text">
    <w:name w:val="Box 3 Text"/>
    <w:basedOn w:val="Box3Heading"/>
    <w:link w:val="Box3TextChar"/>
    <w:qFormat/>
    <w:rsid w:val="00CC60D0"/>
    <w:rPr>
      <w:b w:val="0"/>
      <w:sz w:val="20"/>
    </w:rPr>
  </w:style>
  <w:style w:type="paragraph" w:customStyle="1" w:styleId="Box3Bullet">
    <w:name w:val="Box 3 Bullet"/>
    <w:basedOn w:val="Box2Bullet1"/>
    <w:link w:val="Box3BulletChar"/>
    <w:autoRedefine/>
    <w:qFormat/>
    <w:rsid w:val="009B1369"/>
    <w:pPr>
      <w:shd w:val="clear" w:color="auto" w:fill="82D5D1" w:themeFill="accent1" w:themeFillTint="99"/>
      <w:ind w:left="568" w:hanging="284"/>
    </w:pPr>
  </w:style>
  <w:style w:type="character" w:customStyle="1" w:styleId="Box2TextChar">
    <w:name w:val="Box 2 Text Char"/>
    <w:basedOn w:val="DefaultParagraphFont"/>
    <w:link w:val="Box2Text"/>
    <w:uiPriority w:val="24"/>
    <w:rsid w:val="001B121E"/>
    <w:rPr>
      <w:shd w:val="clear" w:color="auto" w:fill="CAD5DD"/>
      <w:lang w:val="x-none"/>
    </w:rPr>
  </w:style>
  <w:style w:type="character" w:customStyle="1" w:styleId="Box2HeadingChar">
    <w:name w:val="Box 2 Heading Char"/>
    <w:basedOn w:val="Box2TextChar"/>
    <w:link w:val="Box2Heading"/>
    <w:uiPriority w:val="24"/>
    <w:rsid w:val="0070796B"/>
    <w:rPr>
      <w:b/>
      <w:shd w:val="clear" w:color="auto" w:fill="CAD5DD"/>
      <w:lang w:val="x-none"/>
    </w:rPr>
  </w:style>
  <w:style w:type="character" w:customStyle="1" w:styleId="Box3TextChar">
    <w:name w:val="Box 3 Text Char"/>
    <w:basedOn w:val="Box2HeadingChar"/>
    <w:link w:val="Box3Text"/>
    <w:rsid w:val="009B1369"/>
    <w:rPr>
      <w:b w:val="0"/>
      <w:sz w:val="20"/>
      <w:shd w:val="clear" w:color="auto" w:fill="82D5D1" w:themeFill="accent1" w:themeFillTint="99"/>
      <w:lang w:val="x-none"/>
    </w:rPr>
  </w:style>
  <w:style w:type="paragraph" w:customStyle="1" w:styleId="Box3Number">
    <w:name w:val="Box 3 Number"/>
    <w:basedOn w:val="Box2Bullet1"/>
    <w:link w:val="Box3NumberChar"/>
    <w:autoRedefine/>
    <w:qFormat/>
    <w:rsid w:val="00513E42"/>
    <w:pPr>
      <w:numPr>
        <w:numId w:val="7"/>
      </w:numPr>
      <w:shd w:val="clear" w:color="auto" w:fill="82D5D1" w:themeFill="accent1" w:themeFillTint="99"/>
    </w:pPr>
    <w:rPr>
      <w:b/>
      <w:lang w:val="en-AU"/>
    </w:rPr>
  </w:style>
  <w:style w:type="character" w:customStyle="1" w:styleId="Box2Bullet1Char">
    <w:name w:val="Box 2 Bullet 1 Char"/>
    <w:basedOn w:val="Box2TextChar"/>
    <w:link w:val="Box2Bullet1"/>
    <w:uiPriority w:val="25"/>
    <w:rsid w:val="009B1369"/>
    <w:rPr>
      <w:kern w:val="12"/>
      <w:sz w:val="20"/>
      <w:szCs w:val="20"/>
      <w:shd w:val="clear" w:color="auto" w:fill="CAD5DD"/>
      <w:lang w:val="x-none"/>
    </w:rPr>
  </w:style>
  <w:style w:type="character" w:customStyle="1" w:styleId="Box3BulletChar">
    <w:name w:val="Box 3 Bullet Char"/>
    <w:basedOn w:val="Box2Bullet1Char"/>
    <w:link w:val="Box3Bullet"/>
    <w:rsid w:val="009B1369"/>
    <w:rPr>
      <w:kern w:val="12"/>
      <w:sz w:val="20"/>
      <w:szCs w:val="20"/>
      <w:shd w:val="clear" w:color="auto" w:fill="82D5D1" w:themeFill="accent1" w:themeFillTint="99"/>
      <w:lang w:val="x-none"/>
    </w:rPr>
  </w:style>
  <w:style w:type="character" w:customStyle="1" w:styleId="Box3NumberChar">
    <w:name w:val="Box 3 Number Char"/>
    <w:basedOn w:val="Box2Bullet1Char"/>
    <w:link w:val="Box3Number"/>
    <w:rsid w:val="00513E42"/>
    <w:rPr>
      <w:b/>
      <w:kern w:val="12"/>
      <w:sz w:val="20"/>
      <w:szCs w:val="20"/>
      <w:shd w:val="clear" w:color="auto" w:fill="82D5D1" w:themeFill="accent1" w:themeFillTint="99"/>
      <w:lang w:val="x-none"/>
    </w:rPr>
  </w:style>
  <w:style w:type="table" w:styleId="GridTable4-Accent1">
    <w:name w:val="Grid Table 4 Accent 1"/>
    <w:basedOn w:val="TableNormal"/>
    <w:uiPriority w:val="49"/>
    <w:rsid w:val="006C11DE"/>
    <w:pPr>
      <w:spacing w:after="0"/>
    </w:pPr>
    <w:tblPr>
      <w:tblStyleRowBandSize w:val="1"/>
      <w:tblStyleColBandSize w:val="1"/>
    </w:tblPr>
    <w:tcPr>
      <w:tcBorders>
        <w:right w:val="single" w:sz="4" w:space="0" w:color="3AAFA9" w:themeColor="accent1"/>
      </w:tcBorders>
      <w:shd w:val="clear" w:color="auto" w:fill="D5F1EF" w:themeFill="accent1" w:themeFillTint="33"/>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paragraph" w:customStyle="1" w:styleId="Box3Heading">
    <w:name w:val="Box 3 Heading"/>
    <w:basedOn w:val="Box2Heading"/>
    <w:link w:val="Box3HeadingChar"/>
    <w:autoRedefine/>
    <w:qFormat/>
    <w:rsid w:val="00895F70"/>
    <w:pPr>
      <w:shd w:val="clear" w:color="auto" w:fill="82D5D1" w:themeFill="accent1" w:themeFillTint="99"/>
      <w:spacing w:before="0"/>
      <w:ind w:left="284" w:firstLine="0"/>
    </w:pPr>
  </w:style>
  <w:style w:type="character" w:customStyle="1" w:styleId="Box3HeadingChar">
    <w:name w:val="Box 3 Heading Char"/>
    <w:basedOn w:val="Box2HeadingChar"/>
    <w:link w:val="Box3Heading"/>
    <w:rsid w:val="00895F70"/>
    <w:rPr>
      <w:b/>
      <w:shd w:val="clear" w:color="auto" w:fill="82D5D1" w:themeFill="accent1" w:themeFillTint="99"/>
      <w:lang w:val="x-none"/>
    </w:rPr>
  </w:style>
  <w:style w:type="numbering" w:customStyle="1" w:styleId="CurrentList1">
    <w:name w:val="Current List1"/>
    <w:uiPriority w:val="99"/>
    <w:rsid w:val="00AD3655"/>
    <w:pPr>
      <w:numPr>
        <w:numId w:val="8"/>
      </w:numPr>
    </w:pPr>
  </w:style>
  <w:style w:type="paragraph" w:customStyle="1" w:styleId="Header1across">
    <w:name w:val="Header 1 across"/>
    <w:basedOn w:val="Heading1"/>
    <w:next w:val="Normal"/>
    <w:link w:val="Header1acrossChar"/>
    <w:autoRedefine/>
    <w:qFormat/>
    <w:rsid w:val="00A33711"/>
    <w:pPr>
      <w:spacing w:after="240"/>
      <w:ind w:right="369"/>
    </w:pPr>
  </w:style>
  <w:style w:type="character" w:customStyle="1" w:styleId="Header1acrossChar">
    <w:name w:val="Header 1 across Char"/>
    <w:basedOn w:val="Heading1Char"/>
    <w:link w:val="Header1across"/>
    <w:rsid w:val="006C1252"/>
    <w:rPr>
      <w:rFonts w:asciiTheme="majorHAnsi" w:eastAsiaTheme="majorEastAsia" w:hAnsiTheme="majorHAnsi" w:cstheme="majorBidi"/>
      <w:b/>
      <w:bCs/>
      <w:noProof/>
      <w:sz w:val="52"/>
      <w:szCs w:val="64"/>
    </w:rPr>
  </w:style>
  <w:style w:type="paragraph" w:customStyle="1" w:styleId="Classification">
    <w:name w:val="Classification"/>
    <w:basedOn w:val="Normal"/>
    <w:link w:val="ClassificationChar"/>
    <w:qFormat/>
    <w:rsid w:val="0090120C"/>
    <w:pPr>
      <w:spacing w:after="0"/>
    </w:pPr>
    <w:rPr>
      <w:rFonts w:ascii="Calibri" w:eastAsia="Calibri" w:hAnsi="Calibri" w:cs="Calibri"/>
      <w:noProof/>
      <w:color w:val="FF0000"/>
      <w:sz w:val="28"/>
      <w:szCs w:val="28"/>
    </w:rPr>
  </w:style>
  <w:style w:type="character" w:customStyle="1" w:styleId="ClassificationChar">
    <w:name w:val="Classification Char"/>
    <w:basedOn w:val="DefaultParagraphFont"/>
    <w:link w:val="Classification"/>
    <w:rsid w:val="0090120C"/>
    <w:rPr>
      <w:rFonts w:ascii="Calibri" w:eastAsia="Calibri" w:hAnsi="Calibri" w:cs="Calibri"/>
      <w:noProof/>
      <w:color w:val="FF0000"/>
      <w:sz w:val="28"/>
      <w:szCs w:val="28"/>
    </w:rPr>
  </w:style>
  <w:style w:type="paragraph" w:customStyle="1" w:styleId="NonTOCTitle">
    <w:name w:val="Non TOC Title"/>
    <w:basedOn w:val="Normal"/>
    <w:link w:val="NonTOCTitleChar"/>
    <w:qFormat/>
    <w:rsid w:val="00A01BE9"/>
    <w:pPr>
      <w:suppressAutoHyphens w:val="0"/>
      <w:spacing w:before="100" w:beforeAutospacing="1" w:after="100" w:afterAutospacing="1"/>
    </w:pPr>
    <w:rPr>
      <w:b/>
      <w:bCs/>
      <w:sz w:val="64"/>
      <w:szCs w:val="64"/>
    </w:rPr>
  </w:style>
  <w:style w:type="character" w:customStyle="1" w:styleId="NonTOCTitleChar">
    <w:name w:val="Non TOC Title Char"/>
    <w:basedOn w:val="DefaultParagraphFont"/>
    <w:link w:val="NonTOCTitle"/>
    <w:rsid w:val="00A01BE9"/>
    <w:rPr>
      <w:b/>
      <w:bCs/>
      <w:sz w:val="64"/>
      <w:szCs w:val="64"/>
    </w:rPr>
  </w:style>
  <w:style w:type="paragraph" w:customStyle="1" w:styleId="paragraph">
    <w:name w:val="paragraph"/>
    <w:basedOn w:val="Normal"/>
    <w:rsid w:val="002418D3"/>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eop">
    <w:name w:val="eop"/>
    <w:basedOn w:val="DefaultParagraphFont"/>
    <w:rsid w:val="002418D3"/>
  </w:style>
  <w:style w:type="character" w:styleId="Mention">
    <w:name w:val="Mention"/>
    <w:basedOn w:val="DefaultParagraphFont"/>
    <w:uiPriority w:val="99"/>
    <w:unhideWhenUsed/>
    <w:rsid w:val="00903D97"/>
    <w:rPr>
      <w:color w:val="2B579A"/>
      <w:shd w:val="clear" w:color="auto" w:fill="E1DFDD"/>
    </w:rPr>
  </w:style>
  <w:style w:type="paragraph" w:customStyle="1" w:styleId="EPPNormal">
    <w:name w:val="EPP Normal"/>
    <w:basedOn w:val="Normal"/>
    <w:link w:val="EPPNormalChar"/>
    <w:qFormat/>
    <w:rsid w:val="00DF32F6"/>
    <w:rPr>
      <w:rFonts w:ascii="Calibri" w:eastAsia="Calibri" w:hAnsi="Calibri" w:cs="Times New Roman"/>
      <w:color w:val="000000"/>
    </w:rPr>
  </w:style>
  <w:style w:type="character" w:customStyle="1" w:styleId="EPPNormalChar">
    <w:name w:val="EPP Normal Char"/>
    <w:basedOn w:val="DefaultParagraphFont"/>
    <w:link w:val="EPPNormal"/>
    <w:rsid w:val="00DF32F6"/>
    <w:rPr>
      <w:rFonts w:ascii="Calibri" w:eastAsia="Calibri" w:hAnsi="Calibri" w:cs="Times New Roman"/>
      <w:color w:val="000000"/>
    </w:rPr>
  </w:style>
  <w:style w:type="paragraph" w:styleId="NormalWeb">
    <w:name w:val="Normal (Web)"/>
    <w:basedOn w:val="Normal"/>
    <w:uiPriority w:val="99"/>
    <w:unhideWhenUsed/>
    <w:rsid w:val="00DF32F6"/>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table" w:styleId="ListTable1Light">
    <w:name w:val="List Table 1 Light"/>
    <w:basedOn w:val="TableNormal"/>
    <w:uiPriority w:val="46"/>
    <w:rsid w:val="00920CDB"/>
    <w:pPr>
      <w:spacing w:before="0" w:after="0"/>
    </w:pPr>
    <w:rPr>
      <w:color w:val="auto"/>
      <w:kern w:val="2"/>
      <w:sz w:val="24"/>
      <w:szCs w:val="24"/>
      <w14:ligatures w14:val="standardContextual"/>
    </w:rPr>
    <w:tblPr>
      <w:tblStyleRowBandSize w:val="1"/>
      <w:tblStyleColBandSize w:val="1"/>
    </w:tblPr>
    <w:tcPr>
      <w:tcBorders>
        <w:top w:val="single" w:sz="4" w:space="0" w:color="666666" w:themeColor="text1" w:themeTint="99"/>
      </w:tcBorders>
      <w:shd w:val="clear" w:color="auto" w:fill="CCCCCC" w:themeFill="text1" w:themeFillTint="33"/>
    </w:tcPr>
    <w:tblStylePr w:type="firstRow">
      <w:rPr>
        <w:b/>
        <w:bCs/>
      </w:rPr>
    </w:tblStylePr>
    <w:tblStylePr w:type="lastRow">
      <w:rPr>
        <w:b/>
        <w:bCs/>
      </w:rPr>
    </w:tblStylePr>
    <w:tblStylePr w:type="firstCol">
      <w:rPr>
        <w:b/>
        <w:bCs/>
      </w:rPr>
    </w:tblStylePr>
    <w:tblStylePr w:type="lastCol">
      <w:rPr>
        <w:b/>
        <w:bCs/>
      </w:rPr>
    </w:tblStylePr>
  </w:style>
  <w:style w:type="table" w:styleId="TableGridLight">
    <w:name w:val="Grid Table Light"/>
    <w:basedOn w:val="TableNormal"/>
    <w:uiPriority w:val="40"/>
    <w:rsid w:val="00F5652B"/>
    <w:pPr>
      <w:spacing w:after="0"/>
    </w:pPr>
    <w:tblPr/>
  </w:style>
  <w:style w:type="table" w:styleId="GridTable1Light">
    <w:name w:val="Grid Table 1 Light"/>
    <w:basedOn w:val="TableNormal"/>
    <w:uiPriority w:val="46"/>
    <w:rsid w:val="009F378B"/>
    <w:pPr>
      <w:spacing w:after="0"/>
    </w:pPr>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0F0C01"/>
    <w:pPr>
      <w:spacing w:after="0"/>
    </w:pPr>
    <w:tblPr>
      <w:tblStyleRowBandSize w:val="1"/>
      <w:tblStyleColBandSize w:val="1"/>
    </w:tblPr>
    <w:tcPr>
      <w:shd w:val="clear" w:color="auto" w:fill="D5F1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AAF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AAF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AAF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AAFA9" w:themeFill="accent1"/>
      </w:tcPr>
    </w:tblStylePr>
  </w:style>
  <w:style w:type="table" w:styleId="GridTable4-Accent3">
    <w:name w:val="Grid Table 4 Accent 3"/>
    <w:basedOn w:val="TableNormal"/>
    <w:uiPriority w:val="49"/>
    <w:rsid w:val="004E6EFA"/>
    <w:pPr>
      <w:spacing w:after="0"/>
    </w:pPr>
    <w:tblPr>
      <w:tblStyleRowBandSize w:val="1"/>
      <w:tblStyleColBandSize w:val="1"/>
    </w:tblPr>
    <w:tcPr>
      <w:tcBorders>
        <w:top w:val="double" w:sz="4" w:space="0" w:color="FFC72C" w:themeColor="accent3"/>
      </w:tcBorders>
      <w:shd w:val="clear" w:color="auto" w:fill="FFF3D4" w:themeFill="accent3" w:themeFillTint="33"/>
    </w:tcPr>
    <w:tblStylePr w:type="firstRow">
      <w:rPr>
        <w:b/>
        <w:bCs/>
        <w:color w:val="FFFFFF" w:themeColor="background1"/>
      </w:rPr>
      <w:tblPr/>
      <w:tcPr>
        <w:tcBorders>
          <w:top w:val="single" w:sz="4" w:space="0" w:color="FFC72C" w:themeColor="accent3"/>
          <w:left w:val="single" w:sz="4" w:space="0" w:color="FFC72C" w:themeColor="accent3"/>
          <w:bottom w:val="single" w:sz="4" w:space="0" w:color="FFC72C" w:themeColor="accent3"/>
          <w:right w:val="single" w:sz="4" w:space="0" w:color="FFC72C" w:themeColor="accent3"/>
          <w:insideH w:val="nil"/>
          <w:insideV w:val="nil"/>
        </w:tcBorders>
        <w:shd w:val="clear" w:color="auto" w:fill="FFC72C" w:themeFill="accent3"/>
      </w:tcPr>
    </w:tblStylePr>
    <w:tblStylePr w:type="lastRow">
      <w:rPr>
        <w:b/>
        <w:bCs/>
      </w:rPr>
    </w:tblStylePr>
    <w:tblStylePr w:type="firstCol">
      <w:rPr>
        <w:b/>
        <w:bCs/>
      </w:rPr>
    </w:tblStylePr>
    <w:tblStylePr w:type="lastCol">
      <w:rPr>
        <w:b/>
        <w:bCs/>
      </w:rPr>
    </w:tblStylePr>
  </w:style>
  <w:style w:type="table" w:styleId="ListTable4-Accent3">
    <w:name w:val="List Table 4 Accent 3"/>
    <w:basedOn w:val="TableNormal"/>
    <w:uiPriority w:val="49"/>
    <w:rsid w:val="00286CD3"/>
    <w:pPr>
      <w:spacing w:after="0"/>
    </w:pPr>
    <w:tblPr>
      <w:tblStyleRowBandSize w:val="1"/>
      <w:tblStyleColBandSize w:val="1"/>
      <w:tblBorders>
        <w:top w:val="single" w:sz="4" w:space="0" w:color="FFDD80" w:themeColor="accent3" w:themeTint="99"/>
        <w:left w:val="single" w:sz="4" w:space="0" w:color="FFDD80" w:themeColor="accent3" w:themeTint="99"/>
        <w:bottom w:val="single" w:sz="4" w:space="0" w:color="FFDD80" w:themeColor="accent3" w:themeTint="99"/>
        <w:right w:val="single" w:sz="4" w:space="0" w:color="FFDD80" w:themeColor="accent3" w:themeTint="99"/>
        <w:insideH w:val="single" w:sz="4" w:space="0" w:color="FFDD80" w:themeColor="accent3" w:themeTint="99"/>
      </w:tblBorders>
    </w:tblPr>
    <w:tblStylePr w:type="firstRow">
      <w:rPr>
        <w:b/>
        <w:bCs/>
        <w:color w:val="FFFFFF" w:themeColor="background1"/>
      </w:rPr>
      <w:tblPr/>
      <w:tcPr>
        <w:tcBorders>
          <w:top w:val="single" w:sz="4" w:space="0" w:color="FFC72C" w:themeColor="accent3"/>
          <w:left w:val="single" w:sz="4" w:space="0" w:color="FFC72C" w:themeColor="accent3"/>
          <w:bottom w:val="single" w:sz="4" w:space="0" w:color="FFC72C" w:themeColor="accent3"/>
          <w:right w:val="single" w:sz="4" w:space="0" w:color="FFC72C" w:themeColor="accent3"/>
          <w:insideH w:val="nil"/>
        </w:tcBorders>
        <w:shd w:val="clear" w:color="auto" w:fill="FFC72C" w:themeFill="accent3"/>
      </w:tcPr>
    </w:tblStylePr>
    <w:tblStylePr w:type="lastRow">
      <w:rPr>
        <w:b/>
        <w:bCs/>
      </w:rPr>
      <w:tblPr/>
      <w:tcPr>
        <w:tcBorders>
          <w:top w:val="double" w:sz="4" w:space="0" w:color="FFDD80" w:themeColor="accent3" w:themeTint="99"/>
        </w:tcBorders>
      </w:tcPr>
    </w:tblStylePr>
    <w:tblStylePr w:type="firstCol">
      <w:rPr>
        <w:b/>
        <w:bCs/>
      </w:rPr>
    </w:tblStylePr>
    <w:tblStylePr w:type="lastCol">
      <w:rPr>
        <w:b/>
        <w:bCs/>
      </w:rPr>
    </w:tblStylePr>
    <w:tblStylePr w:type="band1Vert">
      <w:tblPr/>
      <w:tcPr>
        <w:shd w:val="clear" w:color="auto" w:fill="FFF3D4" w:themeFill="accent3" w:themeFillTint="33"/>
      </w:tcPr>
    </w:tblStylePr>
    <w:tblStylePr w:type="band1Horz">
      <w:tblPr/>
      <w:tcPr>
        <w:shd w:val="clear" w:color="auto" w:fill="FFF3D4" w:themeFill="accent3" w:themeFillTint="33"/>
      </w:tcPr>
    </w:tblStylePr>
  </w:style>
  <w:style w:type="table" w:styleId="ListTable4-Accent1">
    <w:name w:val="List Table 4 Accent 1"/>
    <w:basedOn w:val="TableNormal"/>
    <w:uiPriority w:val="49"/>
    <w:rsid w:val="00C909CF"/>
    <w:pPr>
      <w:spacing w:after="0"/>
    </w:pPr>
    <w:tblPr>
      <w:tblStyleRowBandSize w:val="1"/>
      <w:tblStyleColBandSize w:val="1"/>
      <w:tblBorders>
        <w:top w:val="single" w:sz="4" w:space="0" w:color="82D5D1" w:themeColor="accent1" w:themeTint="99"/>
        <w:left w:val="single" w:sz="4" w:space="0" w:color="82D5D1" w:themeColor="accent1" w:themeTint="99"/>
        <w:bottom w:val="single" w:sz="4" w:space="0" w:color="82D5D1" w:themeColor="accent1" w:themeTint="99"/>
        <w:right w:val="single" w:sz="4" w:space="0" w:color="82D5D1" w:themeColor="accent1" w:themeTint="99"/>
        <w:insideH w:val="single" w:sz="4" w:space="0" w:color="82D5D1" w:themeColor="accent1" w:themeTint="99"/>
      </w:tblBorders>
    </w:tblPr>
    <w:tblStylePr w:type="firstRow">
      <w:rPr>
        <w:b/>
        <w:bCs/>
        <w:color w:val="FFFFFF" w:themeColor="background1"/>
      </w:rPr>
      <w:tblPr/>
      <w:tcPr>
        <w:tcBorders>
          <w:top w:val="single" w:sz="4" w:space="0" w:color="3AAFA9" w:themeColor="accent1"/>
          <w:left w:val="single" w:sz="4" w:space="0" w:color="3AAFA9" w:themeColor="accent1"/>
          <w:bottom w:val="single" w:sz="4" w:space="0" w:color="3AAFA9" w:themeColor="accent1"/>
          <w:right w:val="single" w:sz="4" w:space="0" w:color="3AAFA9" w:themeColor="accent1"/>
          <w:insideH w:val="nil"/>
        </w:tcBorders>
        <w:shd w:val="clear" w:color="auto" w:fill="3AAFA9" w:themeFill="accent1"/>
      </w:tcPr>
    </w:tblStylePr>
    <w:tblStylePr w:type="lastRow">
      <w:rPr>
        <w:b/>
        <w:bCs/>
      </w:rPr>
      <w:tblPr/>
      <w:tcPr>
        <w:tcBorders>
          <w:top w:val="double" w:sz="4" w:space="0" w:color="82D5D1" w:themeColor="accent1" w:themeTint="99"/>
        </w:tcBorders>
      </w:tcPr>
    </w:tblStylePr>
    <w:tblStylePr w:type="firstCol">
      <w:rPr>
        <w:b/>
        <w:bCs/>
      </w:rPr>
    </w:tblStylePr>
    <w:tblStylePr w:type="lastCol">
      <w:rPr>
        <w:b/>
        <w:bCs/>
      </w:rPr>
    </w:tblStylePr>
    <w:tblStylePr w:type="band1Vert">
      <w:tblPr/>
      <w:tcPr>
        <w:shd w:val="clear" w:color="auto" w:fill="D5F1EF" w:themeFill="accent1" w:themeFillTint="33"/>
      </w:tcPr>
    </w:tblStylePr>
    <w:tblStylePr w:type="band1Horz">
      <w:tblPr/>
      <w:tcPr>
        <w:shd w:val="clear" w:color="auto" w:fill="D5F1EF"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1304">
      <w:bodyDiv w:val="1"/>
      <w:marLeft w:val="0"/>
      <w:marRight w:val="0"/>
      <w:marTop w:val="0"/>
      <w:marBottom w:val="0"/>
      <w:divBdr>
        <w:top w:val="none" w:sz="0" w:space="0" w:color="auto"/>
        <w:left w:val="none" w:sz="0" w:space="0" w:color="auto"/>
        <w:bottom w:val="none" w:sz="0" w:space="0" w:color="auto"/>
        <w:right w:val="none" w:sz="0" w:space="0" w:color="auto"/>
      </w:divBdr>
    </w:div>
    <w:div w:id="3174392">
      <w:bodyDiv w:val="1"/>
      <w:marLeft w:val="0"/>
      <w:marRight w:val="0"/>
      <w:marTop w:val="0"/>
      <w:marBottom w:val="0"/>
      <w:divBdr>
        <w:top w:val="none" w:sz="0" w:space="0" w:color="auto"/>
        <w:left w:val="none" w:sz="0" w:space="0" w:color="auto"/>
        <w:bottom w:val="none" w:sz="0" w:space="0" w:color="auto"/>
        <w:right w:val="none" w:sz="0" w:space="0" w:color="auto"/>
      </w:divBdr>
    </w:div>
    <w:div w:id="8340278">
      <w:bodyDiv w:val="1"/>
      <w:marLeft w:val="0"/>
      <w:marRight w:val="0"/>
      <w:marTop w:val="0"/>
      <w:marBottom w:val="0"/>
      <w:divBdr>
        <w:top w:val="none" w:sz="0" w:space="0" w:color="auto"/>
        <w:left w:val="none" w:sz="0" w:space="0" w:color="auto"/>
        <w:bottom w:val="none" w:sz="0" w:space="0" w:color="auto"/>
        <w:right w:val="none" w:sz="0" w:space="0" w:color="auto"/>
      </w:divBdr>
    </w:div>
    <w:div w:id="8530070">
      <w:bodyDiv w:val="1"/>
      <w:marLeft w:val="0"/>
      <w:marRight w:val="0"/>
      <w:marTop w:val="0"/>
      <w:marBottom w:val="0"/>
      <w:divBdr>
        <w:top w:val="none" w:sz="0" w:space="0" w:color="auto"/>
        <w:left w:val="none" w:sz="0" w:space="0" w:color="auto"/>
        <w:bottom w:val="none" w:sz="0" w:space="0" w:color="auto"/>
        <w:right w:val="none" w:sz="0" w:space="0" w:color="auto"/>
      </w:divBdr>
    </w:div>
    <w:div w:id="31461032">
      <w:bodyDiv w:val="1"/>
      <w:marLeft w:val="0"/>
      <w:marRight w:val="0"/>
      <w:marTop w:val="0"/>
      <w:marBottom w:val="0"/>
      <w:divBdr>
        <w:top w:val="none" w:sz="0" w:space="0" w:color="auto"/>
        <w:left w:val="none" w:sz="0" w:space="0" w:color="auto"/>
        <w:bottom w:val="none" w:sz="0" w:space="0" w:color="auto"/>
        <w:right w:val="none" w:sz="0" w:space="0" w:color="auto"/>
      </w:divBdr>
    </w:div>
    <w:div w:id="31921923">
      <w:bodyDiv w:val="1"/>
      <w:marLeft w:val="0"/>
      <w:marRight w:val="0"/>
      <w:marTop w:val="0"/>
      <w:marBottom w:val="0"/>
      <w:divBdr>
        <w:top w:val="none" w:sz="0" w:space="0" w:color="auto"/>
        <w:left w:val="none" w:sz="0" w:space="0" w:color="auto"/>
        <w:bottom w:val="none" w:sz="0" w:space="0" w:color="auto"/>
        <w:right w:val="none" w:sz="0" w:space="0" w:color="auto"/>
      </w:divBdr>
    </w:div>
    <w:div w:id="32465302">
      <w:bodyDiv w:val="1"/>
      <w:marLeft w:val="0"/>
      <w:marRight w:val="0"/>
      <w:marTop w:val="0"/>
      <w:marBottom w:val="0"/>
      <w:divBdr>
        <w:top w:val="none" w:sz="0" w:space="0" w:color="auto"/>
        <w:left w:val="none" w:sz="0" w:space="0" w:color="auto"/>
        <w:bottom w:val="none" w:sz="0" w:space="0" w:color="auto"/>
        <w:right w:val="none" w:sz="0" w:space="0" w:color="auto"/>
      </w:divBdr>
    </w:div>
    <w:div w:id="44768087">
      <w:bodyDiv w:val="1"/>
      <w:marLeft w:val="0"/>
      <w:marRight w:val="0"/>
      <w:marTop w:val="0"/>
      <w:marBottom w:val="0"/>
      <w:divBdr>
        <w:top w:val="none" w:sz="0" w:space="0" w:color="auto"/>
        <w:left w:val="none" w:sz="0" w:space="0" w:color="auto"/>
        <w:bottom w:val="none" w:sz="0" w:space="0" w:color="auto"/>
        <w:right w:val="none" w:sz="0" w:space="0" w:color="auto"/>
      </w:divBdr>
    </w:div>
    <w:div w:id="48502619">
      <w:bodyDiv w:val="1"/>
      <w:marLeft w:val="0"/>
      <w:marRight w:val="0"/>
      <w:marTop w:val="0"/>
      <w:marBottom w:val="0"/>
      <w:divBdr>
        <w:top w:val="none" w:sz="0" w:space="0" w:color="auto"/>
        <w:left w:val="none" w:sz="0" w:space="0" w:color="auto"/>
        <w:bottom w:val="none" w:sz="0" w:space="0" w:color="auto"/>
        <w:right w:val="none" w:sz="0" w:space="0" w:color="auto"/>
      </w:divBdr>
    </w:div>
    <w:div w:id="53821230">
      <w:bodyDiv w:val="1"/>
      <w:marLeft w:val="0"/>
      <w:marRight w:val="0"/>
      <w:marTop w:val="0"/>
      <w:marBottom w:val="0"/>
      <w:divBdr>
        <w:top w:val="none" w:sz="0" w:space="0" w:color="auto"/>
        <w:left w:val="none" w:sz="0" w:space="0" w:color="auto"/>
        <w:bottom w:val="none" w:sz="0" w:space="0" w:color="auto"/>
        <w:right w:val="none" w:sz="0" w:space="0" w:color="auto"/>
      </w:divBdr>
    </w:div>
    <w:div w:id="62796338">
      <w:bodyDiv w:val="1"/>
      <w:marLeft w:val="0"/>
      <w:marRight w:val="0"/>
      <w:marTop w:val="0"/>
      <w:marBottom w:val="0"/>
      <w:divBdr>
        <w:top w:val="none" w:sz="0" w:space="0" w:color="auto"/>
        <w:left w:val="none" w:sz="0" w:space="0" w:color="auto"/>
        <w:bottom w:val="none" w:sz="0" w:space="0" w:color="auto"/>
        <w:right w:val="none" w:sz="0" w:space="0" w:color="auto"/>
      </w:divBdr>
    </w:div>
    <w:div w:id="69236877">
      <w:bodyDiv w:val="1"/>
      <w:marLeft w:val="0"/>
      <w:marRight w:val="0"/>
      <w:marTop w:val="0"/>
      <w:marBottom w:val="0"/>
      <w:divBdr>
        <w:top w:val="none" w:sz="0" w:space="0" w:color="auto"/>
        <w:left w:val="none" w:sz="0" w:space="0" w:color="auto"/>
        <w:bottom w:val="none" w:sz="0" w:space="0" w:color="auto"/>
        <w:right w:val="none" w:sz="0" w:space="0" w:color="auto"/>
      </w:divBdr>
    </w:div>
    <w:div w:id="69281901">
      <w:bodyDiv w:val="1"/>
      <w:marLeft w:val="0"/>
      <w:marRight w:val="0"/>
      <w:marTop w:val="0"/>
      <w:marBottom w:val="0"/>
      <w:divBdr>
        <w:top w:val="none" w:sz="0" w:space="0" w:color="auto"/>
        <w:left w:val="none" w:sz="0" w:space="0" w:color="auto"/>
        <w:bottom w:val="none" w:sz="0" w:space="0" w:color="auto"/>
        <w:right w:val="none" w:sz="0" w:space="0" w:color="auto"/>
      </w:divBdr>
    </w:div>
    <w:div w:id="103113782">
      <w:bodyDiv w:val="1"/>
      <w:marLeft w:val="0"/>
      <w:marRight w:val="0"/>
      <w:marTop w:val="0"/>
      <w:marBottom w:val="0"/>
      <w:divBdr>
        <w:top w:val="none" w:sz="0" w:space="0" w:color="auto"/>
        <w:left w:val="none" w:sz="0" w:space="0" w:color="auto"/>
        <w:bottom w:val="none" w:sz="0" w:space="0" w:color="auto"/>
        <w:right w:val="none" w:sz="0" w:space="0" w:color="auto"/>
      </w:divBdr>
    </w:div>
    <w:div w:id="106510192">
      <w:bodyDiv w:val="1"/>
      <w:marLeft w:val="0"/>
      <w:marRight w:val="0"/>
      <w:marTop w:val="0"/>
      <w:marBottom w:val="0"/>
      <w:divBdr>
        <w:top w:val="none" w:sz="0" w:space="0" w:color="auto"/>
        <w:left w:val="none" w:sz="0" w:space="0" w:color="auto"/>
        <w:bottom w:val="none" w:sz="0" w:space="0" w:color="auto"/>
        <w:right w:val="none" w:sz="0" w:space="0" w:color="auto"/>
      </w:divBdr>
    </w:div>
    <w:div w:id="109206106">
      <w:bodyDiv w:val="1"/>
      <w:marLeft w:val="0"/>
      <w:marRight w:val="0"/>
      <w:marTop w:val="0"/>
      <w:marBottom w:val="0"/>
      <w:divBdr>
        <w:top w:val="none" w:sz="0" w:space="0" w:color="auto"/>
        <w:left w:val="none" w:sz="0" w:space="0" w:color="auto"/>
        <w:bottom w:val="none" w:sz="0" w:space="0" w:color="auto"/>
        <w:right w:val="none" w:sz="0" w:space="0" w:color="auto"/>
      </w:divBdr>
    </w:div>
    <w:div w:id="110244026">
      <w:bodyDiv w:val="1"/>
      <w:marLeft w:val="0"/>
      <w:marRight w:val="0"/>
      <w:marTop w:val="0"/>
      <w:marBottom w:val="0"/>
      <w:divBdr>
        <w:top w:val="none" w:sz="0" w:space="0" w:color="auto"/>
        <w:left w:val="none" w:sz="0" w:space="0" w:color="auto"/>
        <w:bottom w:val="none" w:sz="0" w:space="0" w:color="auto"/>
        <w:right w:val="none" w:sz="0" w:space="0" w:color="auto"/>
      </w:divBdr>
    </w:div>
    <w:div w:id="110977843">
      <w:bodyDiv w:val="1"/>
      <w:marLeft w:val="0"/>
      <w:marRight w:val="0"/>
      <w:marTop w:val="0"/>
      <w:marBottom w:val="0"/>
      <w:divBdr>
        <w:top w:val="none" w:sz="0" w:space="0" w:color="auto"/>
        <w:left w:val="none" w:sz="0" w:space="0" w:color="auto"/>
        <w:bottom w:val="none" w:sz="0" w:space="0" w:color="auto"/>
        <w:right w:val="none" w:sz="0" w:space="0" w:color="auto"/>
      </w:divBdr>
      <w:divsChild>
        <w:div w:id="1020397358">
          <w:marLeft w:val="0"/>
          <w:marRight w:val="0"/>
          <w:marTop w:val="0"/>
          <w:marBottom w:val="0"/>
          <w:divBdr>
            <w:top w:val="none" w:sz="0" w:space="0" w:color="auto"/>
            <w:left w:val="none" w:sz="0" w:space="0" w:color="auto"/>
            <w:bottom w:val="none" w:sz="0" w:space="0" w:color="auto"/>
            <w:right w:val="none" w:sz="0" w:space="0" w:color="auto"/>
          </w:divBdr>
          <w:divsChild>
            <w:div w:id="9497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5752">
      <w:bodyDiv w:val="1"/>
      <w:marLeft w:val="0"/>
      <w:marRight w:val="0"/>
      <w:marTop w:val="0"/>
      <w:marBottom w:val="0"/>
      <w:divBdr>
        <w:top w:val="none" w:sz="0" w:space="0" w:color="auto"/>
        <w:left w:val="none" w:sz="0" w:space="0" w:color="auto"/>
        <w:bottom w:val="none" w:sz="0" w:space="0" w:color="auto"/>
        <w:right w:val="none" w:sz="0" w:space="0" w:color="auto"/>
      </w:divBdr>
    </w:div>
    <w:div w:id="128058981">
      <w:bodyDiv w:val="1"/>
      <w:marLeft w:val="0"/>
      <w:marRight w:val="0"/>
      <w:marTop w:val="0"/>
      <w:marBottom w:val="0"/>
      <w:divBdr>
        <w:top w:val="none" w:sz="0" w:space="0" w:color="auto"/>
        <w:left w:val="none" w:sz="0" w:space="0" w:color="auto"/>
        <w:bottom w:val="none" w:sz="0" w:space="0" w:color="auto"/>
        <w:right w:val="none" w:sz="0" w:space="0" w:color="auto"/>
      </w:divBdr>
      <w:divsChild>
        <w:div w:id="2053772463">
          <w:marLeft w:val="547"/>
          <w:marRight w:val="0"/>
          <w:marTop w:val="0"/>
          <w:marBottom w:val="0"/>
          <w:divBdr>
            <w:top w:val="none" w:sz="0" w:space="0" w:color="auto"/>
            <w:left w:val="none" w:sz="0" w:space="0" w:color="auto"/>
            <w:bottom w:val="none" w:sz="0" w:space="0" w:color="auto"/>
            <w:right w:val="none" w:sz="0" w:space="0" w:color="auto"/>
          </w:divBdr>
        </w:div>
      </w:divsChild>
    </w:div>
    <w:div w:id="137919351">
      <w:bodyDiv w:val="1"/>
      <w:marLeft w:val="0"/>
      <w:marRight w:val="0"/>
      <w:marTop w:val="0"/>
      <w:marBottom w:val="0"/>
      <w:divBdr>
        <w:top w:val="none" w:sz="0" w:space="0" w:color="auto"/>
        <w:left w:val="none" w:sz="0" w:space="0" w:color="auto"/>
        <w:bottom w:val="none" w:sz="0" w:space="0" w:color="auto"/>
        <w:right w:val="none" w:sz="0" w:space="0" w:color="auto"/>
      </w:divBdr>
    </w:div>
    <w:div w:id="138808512">
      <w:bodyDiv w:val="1"/>
      <w:marLeft w:val="0"/>
      <w:marRight w:val="0"/>
      <w:marTop w:val="0"/>
      <w:marBottom w:val="0"/>
      <w:divBdr>
        <w:top w:val="none" w:sz="0" w:space="0" w:color="auto"/>
        <w:left w:val="none" w:sz="0" w:space="0" w:color="auto"/>
        <w:bottom w:val="none" w:sz="0" w:space="0" w:color="auto"/>
        <w:right w:val="none" w:sz="0" w:space="0" w:color="auto"/>
      </w:divBdr>
      <w:divsChild>
        <w:div w:id="847209556">
          <w:marLeft w:val="-30"/>
          <w:marRight w:val="0"/>
          <w:marTop w:val="0"/>
          <w:marBottom w:val="0"/>
          <w:divBdr>
            <w:top w:val="single" w:sz="12" w:space="5" w:color="974B8B"/>
            <w:left w:val="single" w:sz="12" w:space="5" w:color="974B8B"/>
            <w:bottom w:val="single" w:sz="12" w:space="5" w:color="974B8B"/>
            <w:right w:val="single" w:sz="12" w:space="0" w:color="974B8B"/>
          </w:divBdr>
          <w:divsChild>
            <w:div w:id="892811056">
              <w:marLeft w:val="0"/>
              <w:marRight w:val="0"/>
              <w:marTop w:val="0"/>
              <w:marBottom w:val="0"/>
              <w:divBdr>
                <w:top w:val="none" w:sz="0" w:space="0" w:color="auto"/>
                <w:left w:val="none" w:sz="0" w:space="0" w:color="auto"/>
                <w:bottom w:val="none" w:sz="0" w:space="0" w:color="auto"/>
                <w:right w:val="none" w:sz="0" w:space="0" w:color="auto"/>
              </w:divBdr>
              <w:divsChild>
                <w:div w:id="1348602195">
                  <w:marLeft w:val="0"/>
                  <w:marRight w:val="0"/>
                  <w:marTop w:val="0"/>
                  <w:marBottom w:val="0"/>
                  <w:divBdr>
                    <w:top w:val="none" w:sz="0" w:space="0" w:color="auto"/>
                    <w:left w:val="none" w:sz="0" w:space="0" w:color="auto"/>
                    <w:bottom w:val="none" w:sz="0" w:space="0" w:color="auto"/>
                    <w:right w:val="none" w:sz="0" w:space="0" w:color="auto"/>
                  </w:divBdr>
                  <w:divsChild>
                    <w:div w:id="194198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13628">
      <w:bodyDiv w:val="1"/>
      <w:marLeft w:val="0"/>
      <w:marRight w:val="0"/>
      <w:marTop w:val="0"/>
      <w:marBottom w:val="0"/>
      <w:divBdr>
        <w:top w:val="none" w:sz="0" w:space="0" w:color="auto"/>
        <w:left w:val="none" w:sz="0" w:space="0" w:color="auto"/>
        <w:bottom w:val="none" w:sz="0" w:space="0" w:color="auto"/>
        <w:right w:val="none" w:sz="0" w:space="0" w:color="auto"/>
      </w:divBdr>
    </w:div>
    <w:div w:id="155418016">
      <w:bodyDiv w:val="1"/>
      <w:marLeft w:val="0"/>
      <w:marRight w:val="0"/>
      <w:marTop w:val="0"/>
      <w:marBottom w:val="0"/>
      <w:divBdr>
        <w:top w:val="none" w:sz="0" w:space="0" w:color="auto"/>
        <w:left w:val="none" w:sz="0" w:space="0" w:color="auto"/>
        <w:bottom w:val="none" w:sz="0" w:space="0" w:color="auto"/>
        <w:right w:val="none" w:sz="0" w:space="0" w:color="auto"/>
      </w:divBdr>
    </w:div>
    <w:div w:id="167212071">
      <w:bodyDiv w:val="1"/>
      <w:marLeft w:val="0"/>
      <w:marRight w:val="0"/>
      <w:marTop w:val="0"/>
      <w:marBottom w:val="0"/>
      <w:divBdr>
        <w:top w:val="none" w:sz="0" w:space="0" w:color="auto"/>
        <w:left w:val="none" w:sz="0" w:space="0" w:color="auto"/>
        <w:bottom w:val="none" w:sz="0" w:space="0" w:color="auto"/>
        <w:right w:val="none" w:sz="0" w:space="0" w:color="auto"/>
      </w:divBdr>
    </w:div>
    <w:div w:id="186263461">
      <w:bodyDiv w:val="1"/>
      <w:marLeft w:val="0"/>
      <w:marRight w:val="0"/>
      <w:marTop w:val="0"/>
      <w:marBottom w:val="0"/>
      <w:divBdr>
        <w:top w:val="none" w:sz="0" w:space="0" w:color="auto"/>
        <w:left w:val="none" w:sz="0" w:space="0" w:color="auto"/>
        <w:bottom w:val="none" w:sz="0" w:space="0" w:color="auto"/>
        <w:right w:val="none" w:sz="0" w:space="0" w:color="auto"/>
      </w:divBdr>
    </w:div>
    <w:div w:id="187376485">
      <w:bodyDiv w:val="1"/>
      <w:marLeft w:val="0"/>
      <w:marRight w:val="0"/>
      <w:marTop w:val="0"/>
      <w:marBottom w:val="0"/>
      <w:divBdr>
        <w:top w:val="none" w:sz="0" w:space="0" w:color="auto"/>
        <w:left w:val="none" w:sz="0" w:space="0" w:color="auto"/>
        <w:bottom w:val="none" w:sz="0" w:space="0" w:color="auto"/>
        <w:right w:val="none" w:sz="0" w:space="0" w:color="auto"/>
      </w:divBdr>
    </w:div>
    <w:div w:id="193423513">
      <w:bodyDiv w:val="1"/>
      <w:marLeft w:val="0"/>
      <w:marRight w:val="0"/>
      <w:marTop w:val="0"/>
      <w:marBottom w:val="0"/>
      <w:divBdr>
        <w:top w:val="none" w:sz="0" w:space="0" w:color="auto"/>
        <w:left w:val="none" w:sz="0" w:space="0" w:color="auto"/>
        <w:bottom w:val="none" w:sz="0" w:space="0" w:color="auto"/>
        <w:right w:val="none" w:sz="0" w:space="0" w:color="auto"/>
      </w:divBdr>
    </w:div>
    <w:div w:id="197745842">
      <w:bodyDiv w:val="1"/>
      <w:marLeft w:val="0"/>
      <w:marRight w:val="0"/>
      <w:marTop w:val="0"/>
      <w:marBottom w:val="0"/>
      <w:divBdr>
        <w:top w:val="none" w:sz="0" w:space="0" w:color="auto"/>
        <w:left w:val="none" w:sz="0" w:space="0" w:color="auto"/>
        <w:bottom w:val="none" w:sz="0" w:space="0" w:color="auto"/>
        <w:right w:val="none" w:sz="0" w:space="0" w:color="auto"/>
      </w:divBdr>
    </w:div>
    <w:div w:id="222372675">
      <w:bodyDiv w:val="1"/>
      <w:marLeft w:val="0"/>
      <w:marRight w:val="0"/>
      <w:marTop w:val="0"/>
      <w:marBottom w:val="0"/>
      <w:divBdr>
        <w:top w:val="none" w:sz="0" w:space="0" w:color="auto"/>
        <w:left w:val="none" w:sz="0" w:space="0" w:color="auto"/>
        <w:bottom w:val="none" w:sz="0" w:space="0" w:color="auto"/>
        <w:right w:val="none" w:sz="0" w:space="0" w:color="auto"/>
      </w:divBdr>
    </w:div>
    <w:div w:id="228197602">
      <w:bodyDiv w:val="1"/>
      <w:marLeft w:val="0"/>
      <w:marRight w:val="0"/>
      <w:marTop w:val="0"/>
      <w:marBottom w:val="0"/>
      <w:divBdr>
        <w:top w:val="none" w:sz="0" w:space="0" w:color="auto"/>
        <w:left w:val="none" w:sz="0" w:space="0" w:color="auto"/>
        <w:bottom w:val="none" w:sz="0" w:space="0" w:color="auto"/>
        <w:right w:val="none" w:sz="0" w:space="0" w:color="auto"/>
      </w:divBdr>
    </w:div>
    <w:div w:id="228732990">
      <w:bodyDiv w:val="1"/>
      <w:marLeft w:val="0"/>
      <w:marRight w:val="0"/>
      <w:marTop w:val="0"/>
      <w:marBottom w:val="0"/>
      <w:divBdr>
        <w:top w:val="none" w:sz="0" w:space="0" w:color="auto"/>
        <w:left w:val="none" w:sz="0" w:space="0" w:color="auto"/>
        <w:bottom w:val="none" w:sz="0" w:space="0" w:color="auto"/>
        <w:right w:val="none" w:sz="0" w:space="0" w:color="auto"/>
      </w:divBdr>
    </w:div>
    <w:div w:id="260845357">
      <w:bodyDiv w:val="1"/>
      <w:marLeft w:val="0"/>
      <w:marRight w:val="0"/>
      <w:marTop w:val="0"/>
      <w:marBottom w:val="0"/>
      <w:divBdr>
        <w:top w:val="none" w:sz="0" w:space="0" w:color="auto"/>
        <w:left w:val="none" w:sz="0" w:space="0" w:color="auto"/>
        <w:bottom w:val="none" w:sz="0" w:space="0" w:color="auto"/>
        <w:right w:val="none" w:sz="0" w:space="0" w:color="auto"/>
      </w:divBdr>
    </w:div>
    <w:div w:id="280721949">
      <w:bodyDiv w:val="1"/>
      <w:marLeft w:val="0"/>
      <w:marRight w:val="0"/>
      <w:marTop w:val="0"/>
      <w:marBottom w:val="0"/>
      <w:divBdr>
        <w:top w:val="none" w:sz="0" w:space="0" w:color="auto"/>
        <w:left w:val="none" w:sz="0" w:space="0" w:color="auto"/>
        <w:bottom w:val="none" w:sz="0" w:space="0" w:color="auto"/>
        <w:right w:val="none" w:sz="0" w:space="0" w:color="auto"/>
      </w:divBdr>
    </w:div>
    <w:div w:id="303393761">
      <w:bodyDiv w:val="1"/>
      <w:marLeft w:val="0"/>
      <w:marRight w:val="0"/>
      <w:marTop w:val="0"/>
      <w:marBottom w:val="0"/>
      <w:divBdr>
        <w:top w:val="none" w:sz="0" w:space="0" w:color="auto"/>
        <w:left w:val="none" w:sz="0" w:space="0" w:color="auto"/>
        <w:bottom w:val="none" w:sz="0" w:space="0" w:color="auto"/>
        <w:right w:val="none" w:sz="0" w:space="0" w:color="auto"/>
      </w:divBdr>
    </w:div>
    <w:div w:id="305552927">
      <w:bodyDiv w:val="1"/>
      <w:marLeft w:val="0"/>
      <w:marRight w:val="0"/>
      <w:marTop w:val="0"/>
      <w:marBottom w:val="0"/>
      <w:divBdr>
        <w:top w:val="none" w:sz="0" w:space="0" w:color="auto"/>
        <w:left w:val="none" w:sz="0" w:space="0" w:color="auto"/>
        <w:bottom w:val="none" w:sz="0" w:space="0" w:color="auto"/>
        <w:right w:val="none" w:sz="0" w:space="0" w:color="auto"/>
      </w:divBdr>
    </w:div>
    <w:div w:id="309214320">
      <w:bodyDiv w:val="1"/>
      <w:marLeft w:val="0"/>
      <w:marRight w:val="0"/>
      <w:marTop w:val="0"/>
      <w:marBottom w:val="0"/>
      <w:divBdr>
        <w:top w:val="none" w:sz="0" w:space="0" w:color="auto"/>
        <w:left w:val="none" w:sz="0" w:space="0" w:color="auto"/>
        <w:bottom w:val="none" w:sz="0" w:space="0" w:color="auto"/>
        <w:right w:val="none" w:sz="0" w:space="0" w:color="auto"/>
      </w:divBdr>
    </w:div>
    <w:div w:id="316692447">
      <w:bodyDiv w:val="1"/>
      <w:marLeft w:val="0"/>
      <w:marRight w:val="0"/>
      <w:marTop w:val="0"/>
      <w:marBottom w:val="0"/>
      <w:divBdr>
        <w:top w:val="none" w:sz="0" w:space="0" w:color="auto"/>
        <w:left w:val="none" w:sz="0" w:space="0" w:color="auto"/>
        <w:bottom w:val="none" w:sz="0" w:space="0" w:color="auto"/>
        <w:right w:val="none" w:sz="0" w:space="0" w:color="auto"/>
      </w:divBdr>
    </w:div>
    <w:div w:id="319501139">
      <w:bodyDiv w:val="1"/>
      <w:marLeft w:val="0"/>
      <w:marRight w:val="0"/>
      <w:marTop w:val="0"/>
      <w:marBottom w:val="0"/>
      <w:divBdr>
        <w:top w:val="none" w:sz="0" w:space="0" w:color="auto"/>
        <w:left w:val="none" w:sz="0" w:space="0" w:color="auto"/>
        <w:bottom w:val="none" w:sz="0" w:space="0" w:color="auto"/>
        <w:right w:val="none" w:sz="0" w:space="0" w:color="auto"/>
      </w:divBdr>
    </w:div>
    <w:div w:id="336151595">
      <w:bodyDiv w:val="1"/>
      <w:marLeft w:val="0"/>
      <w:marRight w:val="0"/>
      <w:marTop w:val="0"/>
      <w:marBottom w:val="0"/>
      <w:divBdr>
        <w:top w:val="none" w:sz="0" w:space="0" w:color="auto"/>
        <w:left w:val="none" w:sz="0" w:space="0" w:color="auto"/>
        <w:bottom w:val="none" w:sz="0" w:space="0" w:color="auto"/>
        <w:right w:val="none" w:sz="0" w:space="0" w:color="auto"/>
      </w:divBdr>
    </w:div>
    <w:div w:id="345252625">
      <w:bodyDiv w:val="1"/>
      <w:marLeft w:val="0"/>
      <w:marRight w:val="0"/>
      <w:marTop w:val="0"/>
      <w:marBottom w:val="0"/>
      <w:divBdr>
        <w:top w:val="none" w:sz="0" w:space="0" w:color="auto"/>
        <w:left w:val="none" w:sz="0" w:space="0" w:color="auto"/>
        <w:bottom w:val="none" w:sz="0" w:space="0" w:color="auto"/>
        <w:right w:val="none" w:sz="0" w:space="0" w:color="auto"/>
      </w:divBdr>
    </w:div>
    <w:div w:id="352800943">
      <w:bodyDiv w:val="1"/>
      <w:marLeft w:val="0"/>
      <w:marRight w:val="0"/>
      <w:marTop w:val="0"/>
      <w:marBottom w:val="0"/>
      <w:divBdr>
        <w:top w:val="none" w:sz="0" w:space="0" w:color="auto"/>
        <w:left w:val="none" w:sz="0" w:space="0" w:color="auto"/>
        <w:bottom w:val="none" w:sz="0" w:space="0" w:color="auto"/>
        <w:right w:val="none" w:sz="0" w:space="0" w:color="auto"/>
      </w:divBdr>
    </w:div>
    <w:div w:id="355546164">
      <w:bodyDiv w:val="1"/>
      <w:marLeft w:val="0"/>
      <w:marRight w:val="0"/>
      <w:marTop w:val="0"/>
      <w:marBottom w:val="0"/>
      <w:divBdr>
        <w:top w:val="none" w:sz="0" w:space="0" w:color="auto"/>
        <w:left w:val="none" w:sz="0" w:space="0" w:color="auto"/>
        <w:bottom w:val="none" w:sz="0" w:space="0" w:color="auto"/>
        <w:right w:val="none" w:sz="0" w:space="0" w:color="auto"/>
      </w:divBdr>
    </w:div>
    <w:div w:id="358432338">
      <w:bodyDiv w:val="1"/>
      <w:marLeft w:val="0"/>
      <w:marRight w:val="0"/>
      <w:marTop w:val="0"/>
      <w:marBottom w:val="0"/>
      <w:divBdr>
        <w:top w:val="none" w:sz="0" w:space="0" w:color="auto"/>
        <w:left w:val="none" w:sz="0" w:space="0" w:color="auto"/>
        <w:bottom w:val="none" w:sz="0" w:space="0" w:color="auto"/>
        <w:right w:val="none" w:sz="0" w:space="0" w:color="auto"/>
      </w:divBdr>
    </w:div>
    <w:div w:id="358821709">
      <w:bodyDiv w:val="1"/>
      <w:marLeft w:val="0"/>
      <w:marRight w:val="0"/>
      <w:marTop w:val="0"/>
      <w:marBottom w:val="0"/>
      <w:divBdr>
        <w:top w:val="none" w:sz="0" w:space="0" w:color="auto"/>
        <w:left w:val="none" w:sz="0" w:space="0" w:color="auto"/>
        <w:bottom w:val="none" w:sz="0" w:space="0" w:color="auto"/>
        <w:right w:val="none" w:sz="0" w:space="0" w:color="auto"/>
      </w:divBdr>
    </w:div>
    <w:div w:id="359664562">
      <w:bodyDiv w:val="1"/>
      <w:marLeft w:val="0"/>
      <w:marRight w:val="0"/>
      <w:marTop w:val="0"/>
      <w:marBottom w:val="0"/>
      <w:divBdr>
        <w:top w:val="none" w:sz="0" w:space="0" w:color="auto"/>
        <w:left w:val="none" w:sz="0" w:space="0" w:color="auto"/>
        <w:bottom w:val="none" w:sz="0" w:space="0" w:color="auto"/>
        <w:right w:val="none" w:sz="0" w:space="0" w:color="auto"/>
      </w:divBdr>
    </w:div>
    <w:div w:id="359669950">
      <w:bodyDiv w:val="1"/>
      <w:marLeft w:val="0"/>
      <w:marRight w:val="0"/>
      <w:marTop w:val="0"/>
      <w:marBottom w:val="0"/>
      <w:divBdr>
        <w:top w:val="none" w:sz="0" w:space="0" w:color="auto"/>
        <w:left w:val="none" w:sz="0" w:space="0" w:color="auto"/>
        <w:bottom w:val="none" w:sz="0" w:space="0" w:color="auto"/>
        <w:right w:val="none" w:sz="0" w:space="0" w:color="auto"/>
      </w:divBdr>
    </w:div>
    <w:div w:id="359861513">
      <w:bodyDiv w:val="1"/>
      <w:marLeft w:val="0"/>
      <w:marRight w:val="0"/>
      <w:marTop w:val="0"/>
      <w:marBottom w:val="0"/>
      <w:divBdr>
        <w:top w:val="none" w:sz="0" w:space="0" w:color="auto"/>
        <w:left w:val="none" w:sz="0" w:space="0" w:color="auto"/>
        <w:bottom w:val="none" w:sz="0" w:space="0" w:color="auto"/>
        <w:right w:val="none" w:sz="0" w:space="0" w:color="auto"/>
      </w:divBdr>
    </w:div>
    <w:div w:id="365452117">
      <w:bodyDiv w:val="1"/>
      <w:marLeft w:val="0"/>
      <w:marRight w:val="0"/>
      <w:marTop w:val="0"/>
      <w:marBottom w:val="0"/>
      <w:divBdr>
        <w:top w:val="none" w:sz="0" w:space="0" w:color="auto"/>
        <w:left w:val="none" w:sz="0" w:space="0" w:color="auto"/>
        <w:bottom w:val="none" w:sz="0" w:space="0" w:color="auto"/>
        <w:right w:val="none" w:sz="0" w:space="0" w:color="auto"/>
      </w:divBdr>
    </w:div>
    <w:div w:id="366610351">
      <w:bodyDiv w:val="1"/>
      <w:marLeft w:val="0"/>
      <w:marRight w:val="0"/>
      <w:marTop w:val="0"/>
      <w:marBottom w:val="0"/>
      <w:divBdr>
        <w:top w:val="none" w:sz="0" w:space="0" w:color="auto"/>
        <w:left w:val="none" w:sz="0" w:space="0" w:color="auto"/>
        <w:bottom w:val="none" w:sz="0" w:space="0" w:color="auto"/>
        <w:right w:val="none" w:sz="0" w:space="0" w:color="auto"/>
      </w:divBdr>
    </w:div>
    <w:div w:id="381176284">
      <w:bodyDiv w:val="1"/>
      <w:marLeft w:val="0"/>
      <w:marRight w:val="0"/>
      <w:marTop w:val="0"/>
      <w:marBottom w:val="0"/>
      <w:divBdr>
        <w:top w:val="none" w:sz="0" w:space="0" w:color="auto"/>
        <w:left w:val="none" w:sz="0" w:space="0" w:color="auto"/>
        <w:bottom w:val="none" w:sz="0" w:space="0" w:color="auto"/>
        <w:right w:val="none" w:sz="0" w:space="0" w:color="auto"/>
      </w:divBdr>
    </w:div>
    <w:div w:id="389115317">
      <w:bodyDiv w:val="1"/>
      <w:marLeft w:val="0"/>
      <w:marRight w:val="0"/>
      <w:marTop w:val="0"/>
      <w:marBottom w:val="0"/>
      <w:divBdr>
        <w:top w:val="none" w:sz="0" w:space="0" w:color="auto"/>
        <w:left w:val="none" w:sz="0" w:space="0" w:color="auto"/>
        <w:bottom w:val="none" w:sz="0" w:space="0" w:color="auto"/>
        <w:right w:val="none" w:sz="0" w:space="0" w:color="auto"/>
      </w:divBdr>
    </w:div>
    <w:div w:id="413745352">
      <w:bodyDiv w:val="1"/>
      <w:marLeft w:val="0"/>
      <w:marRight w:val="0"/>
      <w:marTop w:val="0"/>
      <w:marBottom w:val="0"/>
      <w:divBdr>
        <w:top w:val="none" w:sz="0" w:space="0" w:color="auto"/>
        <w:left w:val="none" w:sz="0" w:space="0" w:color="auto"/>
        <w:bottom w:val="none" w:sz="0" w:space="0" w:color="auto"/>
        <w:right w:val="none" w:sz="0" w:space="0" w:color="auto"/>
      </w:divBdr>
    </w:div>
    <w:div w:id="429205516">
      <w:bodyDiv w:val="1"/>
      <w:marLeft w:val="0"/>
      <w:marRight w:val="0"/>
      <w:marTop w:val="0"/>
      <w:marBottom w:val="0"/>
      <w:divBdr>
        <w:top w:val="none" w:sz="0" w:space="0" w:color="auto"/>
        <w:left w:val="none" w:sz="0" w:space="0" w:color="auto"/>
        <w:bottom w:val="none" w:sz="0" w:space="0" w:color="auto"/>
        <w:right w:val="none" w:sz="0" w:space="0" w:color="auto"/>
      </w:divBdr>
    </w:div>
    <w:div w:id="463231690">
      <w:bodyDiv w:val="1"/>
      <w:marLeft w:val="0"/>
      <w:marRight w:val="0"/>
      <w:marTop w:val="0"/>
      <w:marBottom w:val="0"/>
      <w:divBdr>
        <w:top w:val="none" w:sz="0" w:space="0" w:color="auto"/>
        <w:left w:val="none" w:sz="0" w:space="0" w:color="auto"/>
        <w:bottom w:val="none" w:sz="0" w:space="0" w:color="auto"/>
        <w:right w:val="none" w:sz="0" w:space="0" w:color="auto"/>
      </w:divBdr>
    </w:div>
    <w:div w:id="471558112">
      <w:bodyDiv w:val="1"/>
      <w:marLeft w:val="0"/>
      <w:marRight w:val="0"/>
      <w:marTop w:val="0"/>
      <w:marBottom w:val="0"/>
      <w:divBdr>
        <w:top w:val="none" w:sz="0" w:space="0" w:color="auto"/>
        <w:left w:val="none" w:sz="0" w:space="0" w:color="auto"/>
        <w:bottom w:val="none" w:sz="0" w:space="0" w:color="auto"/>
        <w:right w:val="none" w:sz="0" w:space="0" w:color="auto"/>
      </w:divBdr>
    </w:div>
    <w:div w:id="471942920">
      <w:bodyDiv w:val="1"/>
      <w:marLeft w:val="0"/>
      <w:marRight w:val="0"/>
      <w:marTop w:val="0"/>
      <w:marBottom w:val="0"/>
      <w:divBdr>
        <w:top w:val="none" w:sz="0" w:space="0" w:color="auto"/>
        <w:left w:val="none" w:sz="0" w:space="0" w:color="auto"/>
        <w:bottom w:val="none" w:sz="0" w:space="0" w:color="auto"/>
        <w:right w:val="none" w:sz="0" w:space="0" w:color="auto"/>
      </w:divBdr>
    </w:div>
    <w:div w:id="497426854">
      <w:bodyDiv w:val="1"/>
      <w:marLeft w:val="0"/>
      <w:marRight w:val="0"/>
      <w:marTop w:val="0"/>
      <w:marBottom w:val="0"/>
      <w:divBdr>
        <w:top w:val="none" w:sz="0" w:space="0" w:color="auto"/>
        <w:left w:val="none" w:sz="0" w:space="0" w:color="auto"/>
        <w:bottom w:val="none" w:sz="0" w:space="0" w:color="auto"/>
        <w:right w:val="none" w:sz="0" w:space="0" w:color="auto"/>
      </w:divBdr>
    </w:div>
    <w:div w:id="499202694">
      <w:bodyDiv w:val="1"/>
      <w:marLeft w:val="0"/>
      <w:marRight w:val="0"/>
      <w:marTop w:val="0"/>
      <w:marBottom w:val="0"/>
      <w:divBdr>
        <w:top w:val="none" w:sz="0" w:space="0" w:color="auto"/>
        <w:left w:val="none" w:sz="0" w:space="0" w:color="auto"/>
        <w:bottom w:val="none" w:sz="0" w:space="0" w:color="auto"/>
        <w:right w:val="none" w:sz="0" w:space="0" w:color="auto"/>
      </w:divBdr>
    </w:div>
    <w:div w:id="508446211">
      <w:bodyDiv w:val="1"/>
      <w:marLeft w:val="0"/>
      <w:marRight w:val="0"/>
      <w:marTop w:val="0"/>
      <w:marBottom w:val="0"/>
      <w:divBdr>
        <w:top w:val="none" w:sz="0" w:space="0" w:color="auto"/>
        <w:left w:val="none" w:sz="0" w:space="0" w:color="auto"/>
        <w:bottom w:val="none" w:sz="0" w:space="0" w:color="auto"/>
        <w:right w:val="none" w:sz="0" w:space="0" w:color="auto"/>
      </w:divBdr>
    </w:div>
    <w:div w:id="514617927">
      <w:bodyDiv w:val="1"/>
      <w:marLeft w:val="0"/>
      <w:marRight w:val="0"/>
      <w:marTop w:val="0"/>
      <w:marBottom w:val="0"/>
      <w:divBdr>
        <w:top w:val="none" w:sz="0" w:space="0" w:color="auto"/>
        <w:left w:val="none" w:sz="0" w:space="0" w:color="auto"/>
        <w:bottom w:val="none" w:sz="0" w:space="0" w:color="auto"/>
        <w:right w:val="none" w:sz="0" w:space="0" w:color="auto"/>
      </w:divBdr>
      <w:divsChild>
        <w:div w:id="230114583">
          <w:marLeft w:val="0"/>
          <w:marRight w:val="0"/>
          <w:marTop w:val="0"/>
          <w:marBottom w:val="0"/>
          <w:divBdr>
            <w:top w:val="none" w:sz="0" w:space="0" w:color="auto"/>
            <w:left w:val="none" w:sz="0" w:space="0" w:color="auto"/>
            <w:bottom w:val="none" w:sz="0" w:space="0" w:color="auto"/>
            <w:right w:val="none" w:sz="0" w:space="0" w:color="auto"/>
          </w:divBdr>
          <w:divsChild>
            <w:div w:id="163725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08116">
      <w:bodyDiv w:val="1"/>
      <w:marLeft w:val="0"/>
      <w:marRight w:val="0"/>
      <w:marTop w:val="0"/>
      <w:marBottom w:val="0"/>
      <w:divBdr>
        <w:top w:val="none" w:sz="0" w:space="0" w:color="auto"/>
        <w:left w:val="none" w:sz="0" w:space="0" w:color="auto"/>
        <w:bottom w:val="none" w:sz="0" w:space="0" w:color="auto"/>
        <w:right w:val="none" w:sz="0" w:space="0" w:color="auto"/>
      </w:divBdr>
    </w:div>
    <w:div w:id="541409637">
      <w:bodyDiv w:val="1"/>
      <w:marLeft w:val="0"/>
      <w:marRight w:val="0"/>
      <w:marTop w:val="0"/>
      <w:marBottom w:val="0"/>
      <w:divBdr>
        <w:top w:val="none" w:sz="0" w:space="0" w:color="auto"/>
        <w:left w:val="none" w:sz="0" w:space="0" w:color="auto"/>
        <w:bottom w:val="none" w:sz="0" w:space="0" w:color="auto"/>
        <w:right w:val="none" w:sz="0" w:space="0" w:color="auto"/>
      </w:divBdr>
    </w:div>
    <w:div w:id="552273025">
      <w:bodyDiv w:val="1"/>
      <w:marLeft w:val="0"/>
      <w:marRight w:val="0"/>
      <w:marTop w:val="0"/>
      <w:marBottom w:val="0"/>
      <w:divBdr>
        <w:top w:val="none" w:sz="0" w:space="0" w:color="auto"/>
        <w:left w:val="none" w:sz="0" w:space="0" w:color="auto"/>
        <w:bottom w:val="none" w:sz="0" w:space="0" w:color="auto"/>
        <w:right w:val="none" w:sz="0" w:space="0" w:color="auto"/>
      </w:divBdr>
    </w:div>
    <w:div w:id="565455454">
      <w:bodyDiv w:val="1"/>
      <w:marLeft w:val="0"/>
      <w:marRight w:val="0"/>
      <w:marTop w:val="0"/>
      <w:marBottom w:val="0"/>
      <w:divBdr>
        <w:top w:val="none" w:sz="0" w:space="0" w:color="auto"/>
        <w:left w:val="none" w:sz="0" w:space="0" w:color="auto"/>
        <w:bottom w:val="none" w:sz="0" w:space="0" w:color="auto"/>
        <w:right w:val="none" w:sz="0" w:space="0" w:color="auto"/>
      </w:divBdr>
    </w:div>
    <w:div w:id="566916357">
      <w:bodyDiv w:val="1"/>
      <w:marLeft w:val="0"/>
      <w:marRight w:val="0"/>
      <w:marTop w:val="0"/>
      <w:marBottom w:val="0"/>
      <w:divBdr>
        <w:top w:val="none" w:sz="0" w:space="0" w:color="auto"/>
        <w:left w:val="none" w:sz="0" w:space="0" w:color="auto"/>
        <w:bottom w:val="none" w:sz="0" w:space="0" w:color="auto"/>
        <w:right w:val="none" w:sz="0" w:space="0" w:color="auto"/>
      </w:divBdr>
    </w:div>
    <w:div w:id="567812330">
      <w:bodyDiv w:val="1"/>
      <w:marLeft w:val="0"/>
      <w:marRight w:val="0"/>
      <w:marTop w:val="0"/>
      <w:marBottom w:val="0"/>
      <w:divBdr>
        <w:top w:val="none" w:sz="0" w:space="0" w:color="auto"/>
        <w:left w:val="none" w:sz="0" w:space="0" w:color="auto"/>
        <w:bottom w:val="none" w:sz="0" w:space="0" w:color="auto"/>
        <w:right w:val="none" w:sz="0" w:space="0" w:color="auto"/>
      </w:divBdr>
    </w:div>
    <w:div w:id="570583969">
      <w:bodyDiv w:val="1"/>
      <w:marLeft w:val="0"/>
      <w:marRight w:val="0"/>
      <w:marTop w:val="0"/>
      <w:marBottom w:val="0"/>
      <w:divBdr>
        <w:top w:val="none" w:sz="0" w:space="0" w:color="auto"/>
        <w:left w:val="none" w:sz="0" w:space="0" w:color="auto"/>
        <w:bottom w:val="none" w:sz="0" w:space="0" w:color="auto"/>
        <w:right w:val="none" w:sz="0" w:space="0" w:color="auto"/>
      </w:divBdr>
    </w:div>
    <w:div w:id="607467029">
      <w:bodyDiv w:val="1"/>
      <w:marLeft w:val="0"/>
      <w:marRight w:val="0"/>
      <w:marTop w:val="0"/>
      <w:marBottom w:val="0"/>
      <w:divBdr>
        <w:top w:val="none" w:sz="0" w:space="0" w:color="auto"/>
        <w:left w:val="none" w:sz="0" w:space="0" w:color="auto"/>
        <w:bottom w:val="none" w:sz="0" w:space="0" w:color="auto"/>
        <w:right w:val="none" w:sz="0" w:space="0" w:color="auto"/>
      </w:divBdr>
    </w:div>
    <w:div w:id="607662530">
      <w:bodyDiv w:val="1"/>
      <w:marLeft w:val="0"/>
      <w:marRight w:val="0"/>
      <w:marTop w:val="0"/>
      <w:marBottom w:val="0"/>
      <w:divBdr>
        <w:top w:val="none" w:sz="0" w:space="0" w:color="auto"/>
        <w:left w:val="none" w:sz="0" w:space="0" w:color="auto"/>
        <w:bottom w:val="none" w:sz="0" w:space="0" w:color="auto"/>
        <w:right w:val="none" w:sz="0" w:space="0" w:color="auto"/>
      </w:divBdr>
    </w:div>
    <w:div w:id="621352625">
      <w:bodyDiv w:val="1"/>
      <w:marLeft w:val="0"/>
      <w:marRight w:val="0"/>
      <w:marTop w:val="0"/>
      <w:marBottom w:val="0"/>
      <w:divBdr>
        <w:top w:val="none" w:sz="0" w:space="0" w:color="auto"/>
        <w:left w:val="none" w:sz="0" w:space="0" w:color="auto"/>
        <w:bottom w:val="none" w:sz="0" w:space="0" w:color="auto"/>
        <w:right w:val="none" w:sz="0" w:space="0" w:color="auto"/>
      </w:divBdr>
    </w:div>
    <w:div w:id="631330628">
      <w:bodyDiv w:val="1"/>
      <w:marLeft w:val="0"/>
      <w:marRight w:val="0"/>
      <w:marTop w:val="0"/>
      <w:marBottom w:val="0"/>
      <w:divBdr>
        <w:top w:val="none" w:sz="0" w:space="0" w:color="auto"/>
        <w:left w:val="none" w:sz="0" w:space="0" w:color="auto"/>
        <w:bottom w:val="none" w:sz="0" w:space="0" w:color="auto"/>
        <w:right w:val="none" w:sz="0" w:space="0" w:color="auto"/>
      </w:divBdr>
    </w:div>
    <w:div w:id="634525643">
      <w:bodyDiv w:val="1"/>
      <w:marLeft w:val="0"/>
      <w:marRight w:val="0"/>
      <w:marTop w:val="0"/>
      <w:marBottom w:val="0"/>
      <w:divBdr>
        <w:top w:val="none" w:sz="0" w:space="0" w:color="auto"/>
        <w:left w:val="none" w:sz="0" w:space="0" w:color="auto"/>
        <w:bottom w:val="none" w:sz="0" w:space="0" w:color="auto"/>
        <w:right w:val="none" w:sz="0" w:space="0" w:color="auto"/>
      </w:divBdr>
    </w:div>
    <w:div w:id="638071222">
      <w:bodyDiv w:val="1"/>
      <w:marLeft w:val="0"/>
      <w:marRight w:val="0"/>
      <w:marTop w:val="0"/>
      <w:marBottom w:val="0"/>
      <w:divBdr>
        <w:top w:val="none" w:sz="0" w:space="0" w:color="auto"/>
        <w:left w:val="none" w:sz="0" w:space="0" w:color="auto"/>
        <w:bottom w:val="none" w:sz="0" w:space="0" w:color="auto"/>
        <w:right w:val="none" w:sz="0" w:space="0" w:color="auto"/>
      </w:divBdr>
    </w:div>
    <w:div w:id="658197879">
      <w:bodyDiv w:val="1"/>
      <w:marLeft w:val="0"/>
      <w:marRight w:val="0"/>
      <w:marTop w:val="0"/>
      <w:marBottom w:val="0"/>
      <w:divBdr>
        <w:top w:val="none" w:sz="0" w:space="0" w:color="auto"/>
        <w:left w:val="none" w:sz="0" w:space="0" w:color="auto"/>
        <w:bottom w:val="none" w:sz="0" w:space="0" w:color="auto"/>
        <w:right w:val="none" w:sz="0" w:space="0" w:color="auto"/>
      </w:divBdr>
    </w:div>
    <w:div w:id="683244130">
      <w:bodyDiv w:val="1"/>
      <w:marLeft w:val="0"/>
      <w:marRight w:val="0"/>
      <w:marTop w:val="0"/>
      <w:marBottom w:val="0"/>
      <w:divBdr>
        <w:top w:val="none" w:sz="0" w:space="0" w:color="auto"/>
        <w:left w:val="none" w:sz="0" w:space="0" w:color="auto"/>
        <w:bottom w:val="none" w:sz="0" w:space="0" w:color="auto"/>
        <w:right w:val="none" w:sz="0" w:space="0" w:color="auto"/>
      </w:divBdr>
    </w:div>
    <w:div w:id="701369465">
      <w:bodyDiv w:val="1"/>
      <w:marLeft w:val="0"/>
      <w:marRight w:val="0"/>
      <w:marTop w:val="0"/>
      <w:marBottom w:val="0"/>
      <w:divBdr>
        <w:top w:val="none" w:sz="0" w:space="0" w:color="auto"/>
        <w:left w:val="none" w:sz="0" w:space="0" w:color="auto"/>
        <w:bottom w:val="none" w:sz="0" w:space="0" w:color="auto"/>
        <w:right w:val="none" w:sz="0" w:space="0" w:color="auto"/>
      </w:divBdr>
    </w:div>
    <w:div w:id="702828080">
      <w:bodyDiv w:val="1"/>
      <w:marLeft w:val="0"/>
      <w:marRight w:val="0"/>
      <w:marTop w:val="0"/>
      <w:marBottom w:val="0"/>
      <w:divBdr>
        <w:top w:val="none" w:sz="0" w:space="0" w:color="auto"/>
        <w:left w:val="none" w:sz="0" w:space="0" w:color="auto"/>
        <w:bottom w:val="none" w:sz="0" w:space="0" w:color="auto"/>
        <w:right w:val="none" w:sz="0" w:space="0" w:color="auto"/>
      </w:divBdr>
    </w:div>
    <w:div w:id="706876552">
      <w:bodyDiv w:val="1"/>
      <w:marLeft w:val="0"/>
      <w:marRight w:val="0"/>
      <w:marTop w:val="0"/>
      <w:marBottom w:val="0"/>
      <w:divBdr>
        <w:top w:val="none" w:sz="0" w:space="0" w:color="auto"/>
        <w:left w:val="none" w:sz="0" w:space="0" w:color="auto"/>
        <w:bottom w:val="none" w:sz="0" w:space="0" w:color="auto"/>
        <w:right w:val="none" w:sz="0" w:space="0" w:color="auto"/>
      </w:divBdr>
    </w:div>
    <w:div w:id="716970708">
      <w:bodyDiv w:val="1"/>
      <w:marLeft w:val="0"/>
      <w:marRight w:val="0"/>
      <w:marTop w:val="0"/>
      <w:marBottom w:val="0"/>
      <w:divBdr>
        <w:top w:val="none" w:sz="0" w:space="0" w:color="auto"/>
        <w:left w:val="none" w:sz="0" w:space="0" w:color="auto"/>
        <w:bottom w:val="none" w:sz="0" w:space="0" w:color="auto"/>
        <w:right w:val="none" w:sz="0" w:space="0" w:color="auto"/>
      </w:divBdr>
    </w:div>
    <w:div w:id="724833936">
      <w:bodyDiv w:val="1"/>
      <w:marLeft w:val="0"/>
      <w:marRight w:val="0"/>
      <w:marTop w:val="0"/>
      <w:marBottom w:val="0"/>
      <w:divBdr>
        <w:top w:val="none" w:sz="0" w:space="0" w:color="auto"/>
        <w:left w:val="none" w:sz="0" w:space="0" w:color="auto"/>
        <w:bottom w:val="none" w:sz="0" w:space="0" w:color="auto"/>
        <w:right w:val="none" w:sz="0" w:space="0" w:color="auto"/>
      </w:divBdr>
    </w:div>
    <w:div w:id="743068664">
      <w:bodyDiv w:val="1"/>
      <w:marLeft w:val="0"/>
      <w:marRight w:val="0"/>
      <w:marTop w:val="0"/>
      <w:marBottom w:val="0"/>
      <w:divBdr>
        <w:top w:val="none" w:sz="0" w:space="0" w:color="auto"/>
        <w:left w:val="none" w:sz="0" w:space="0" w:color="auto"/>
        <w:bottom w:val="none" w:sz="0" w:space="0" w:color="auto"/>
        <w:right w:val="none" w:sz="0" w:space="0" w:color="auto"/>
      </w:divBdr>
    </w:div>
    <w:div w:id="755245936">
      <w:bodyDiv w:val="1"/>
      <w:marLeft w:val="0"/>
      <w:marRight w:val="0"/>
      <w:marTop w:val="0"/>
      <w:marBottom w:val="0"/>
      <w:divBdr>
        <w:top w:val="none" w:sz="0" w:space="0" w:color="auto"/>
        <w:left w:val="none" w:sz="0" w:space="0" w:color="auto"/>
        <w:bottom w:val="none" w:sz="0" w:space="0" w:color="auto"/>
        <w:right w:val="none" w:sz="0" w:space="0" w:color="auto"/>
      </w:divBdr>
    </w:div>
    <w:div w:id="758142821">
      <w:bodyDiv w:val="1"/>
      <w:marLeft w:val="0"/>
      <w:marRight w:val="0"/>
      <w:marTop w:val="0"/>
      <w:marBottom w:val="0"/>
      <w:divBdr>
        <w:top w:val="none" w:sz="0" w:space="0" w:color="auto"/>
        <w:left w:val="none" w:sz="0" w:space="0" w:color="auto"/>
        <w:bottom w:val="none" w:sz="0" w:space="0" w:color="auto"/>
        <w:right w:val="none" w:sz="0" w:space="0" w:color="auto"/>
      </w:divBdr>
    </w:div>
    <w:div w:id="764688226">
      <w:bodyDiv w:val="1"/>
      <w:marLeft w:val="0"/>
      <w:marRight w:val="0"/>
      <w:marTop w:val="0"/>
      <w:marBottom w:val="0"/>
      <w:divBdr>
        <w:top w:val="none" w:sz="0" w:space="0" w:color="auto"/>
        <w:left w:val="none" w:sz="0" w:space="0" w:color="auto"/>
        <w:bottom w:val="none" w:sz="0" w:space="0" w:color="auto"/>
        <w:right w:val="none" w:sz="0" w:space="0" w:color="auto"/>
      </w:divBdr>
    </w:div>
    <w:div w:id="769667252">
      <w:bodyDiv w:val="1"/>
      <w:marLeft w:val="0"/>
      <w:marRight w:val="0"/>
      <w:marTop w:val="0"/>
      <w:marBottom w:val="0"/>
      <w:divBdr>
        <w:top w:val="none" w:sz="0" w:space="0" w:color="auto"/>
        <w:left w:val="none" w:sz="0" w:space="0" w:color="auto"/>
        <w:bottom w:val="none" w:sz="0" w:space="0" w:color="auto"/>
        <w:right w:val="none" w:sz="0" w:space="0" w:color="auto"/>
      </w:divBdr>
    </w:div>
    <w:div w:id="770591185">
      <w:bodyDiv w:val="1"/>
      <w:marLeft w:val="0"/>
      <w:marRight w:val="0"/>
      <w:marTop w:val="0"/>
      <w:marBottom w:val="0"/>
      <w:divBdr>
        <w:top w:val="none" w:sz="0" w:space="0" w:color="auto"/>
        <w:left w:val="none" w:sz="0" w:space="0" w:color="auto"/>
        <w:bottom w:val="none" w:sz="0" w:space="0" w:color="auto"/>
        <w:right w:val="none" w:sz="0" w:space="0" w:color="auto"/>
      </w:divBdr>
    </w:div>
    <w:div w:id="772557570">
      <w:bodyDiv w:val="1"/>
      <w:marLeft w:val="0"/>
      <w:marRight w:val="0"/>
      <w:marTop w:val="0"/>
      <w:marBottom w:val="0"/>
      <w:divBdr>
        <w:top w:val="none" w:sz="0" w:space="0" w:color="auto"/>
        <w:left w:val="none" w:sz="0" w:space="0" w:color="auto"/>
        <w:bottom w:val="none" w:sz="0" w:space="0" w:color="auto"/>
        <w:right w:val="none" w:sz="0" w:space="0" w:color="auto"/>
      </w:divBdr>
    </w:div>
    <w:div w:id="779102141">
      <w:bodyDiv w:val="1"/>
      <w:marLeft w:val="0"/>
      <w:marRight w:val="0"/>
      <w:marTop w:val="0"/>
      <w:marBottom w:val="0"/>
      <w:divBdr>
        <w:top w:val="none" w:sz="0" w:space="0" w:color="auto"/>
        <w:left w:val="none" w:sz="0" w:space="0" w:color="auto"/>
        <w:bottom w:val="none" w:sz="0" w:space="0" w:color="auto"/>
        <w:right w:val="none" w:sz="0" w:space="0" w:color="auto"/>
      </w:divBdr>
    </w:div>
    <w:div w:id="784077573">
      <w:bodyDiv w:val="1"/>
      <w:marLeft w:val="0"/>
      <w:marRight w:val="0"/>
      <w:marTop w:val="0"/>
      <w:marBottom w:val="0"/>
      <w:divBdr>
        <w:top w:val="none" w:sz="0" w:space="0" w:color="auto"/>
        <w:left w:val="none" w:sz="0" w:space="0" w:color="auto"/>
        <w:bottom w:val="none" w:sz="0" w:space="0" w:color="auto"/>
        <w:right w:val="none" w:sz="0" w:space="0" w:color="auto"/>
      </w:divBdr>
    </w:div>
    <w:div w:id="798302993">
      <w:bodyDiv w:val="1"/>
      <w:marLeft w:val="0"/>
      <w:marRight w:val="0"/>
      <w:marTop w:val="0"/>
      <w:marBottom w:val="0"/>
      <w:divBdr>
        <w:top w:val="none" w:sz="0" w:space="0" w:color="auto"/>
        <w:left w:val="none" w:sz="0" w:space="0" w:color="auto"/>
        <w:bottom w:val="none" w:sz="0" w:space="0" w:color="auto"/>
        <w:right w:val="none" w:sz="0" w:space="0" w:color="auto"/>
      </w:divBdr>
    </w:div>
    <w:div w:id="801967535">
      <w:bodyDiv w:val="1"/>
      <w:marLeft w:val="0"/>
      <w:marRight w:val="0"/>
      <w:marTop w:val="0"/>
      <w:marBottom w:val="0"/>
      <w:divBdr>
        <w:top w:val="none" w:sz="0" w:space="0" w:color="auto"/>
        <w:left w:val="none" w:sz="0" w:space="0" w:color="auto"/>
        <w:bottom w:val="none" w:sz="0" w:space="0" w:color="auto"/>
        <w:right w:val="none" w:sz="0" w:space="0" w:color="auto"/>
      </w:divBdr>
    </w:div>
    <w:div w:id="835220451">
      <w:bodyDiv w:val="1"/>
      <w:marLeft w:val="0"/>
      <w:marRight w:val="0"/>
      <w:marTop w:val="0"/>
      <w:marBottom w:val="0"/>
      <w:divBdr>
        <w:top w:val="none" w:sz="0" w:space="0" w:color="auto"/>
        <w:left w:val="none" w:sz="0" w:space="0" w:color="auto"/>
        <w:bottom w:val="none" w:sz="0" w:space="0" w:color="auto"/>
        <w:right w:val="none" w:sz="0" w:space="0" w:color="auto"/>
      </w:divBdr>
    </w:div>
    <w:div w:id="835457581">
      <w:bodyDiv w:val="1"/>
      <w:marLeft w:val="0"/>
      <w:marRight w:val="0"/>
      <w:marTop w:val="0"/>
      <w:marBottom w:val="0"/>
      <w:divBdr>
        <w:top w:val="none" w:sz="0" w:space="0" w:color="auto"/>
        <w:left w:val="none" w:sz="0" w:space="0" w:color="auto"/>
        <w:bottom w:val="none" w:sz="0" w:space="0" w:color="auto"/>
        <w:right w:val="none" w:sz="0" w:space="0" w:color="auto"/>
      </w:divBdr>
    </w:div>
    <w:div w:id="839345197">
      <w:bodyDiv w:val="1"/>
      <w:marLeft w:val="0"/>
      <w:marRight w:val="0"/>
      <w:marTop w:val="0"/>
      <w:marBottom w:val="0"/>
      <w:divBdr>
        <w:top w:val="none" w:sz="0" w:space="0" w:color="auto"/>
        <w:left w:val="none" w:sz="0" w:space="0" w:color="auto"/>
        <w:bottom w:val="none" w:sz="0" w:space="0" w:color="auto"/>
        <w:right w:val="none" w:sz="0" w:space="0" w:color="auto"/>
      </w:divBdr>
    </w:div>
    <w:div w:id="840002007">
      <w:bodyDiv w:val="1"/>
      <w:marLeft w:val="0"/>
      <w:marRight w:val="0"/>
      <w:marTop w:val="0"/>
      <w:marBottom w:val="0"/>
      <w:divBdr>
        <w:top w:val="none" w:sz="0" w:space="0" w:color="auto"/>
        <w:left w:val="none" w:sz="0" w:space="0" w:color="auto"/>
        <w:bottom w:val="none" w:sz="0" w:space="0" w:color="auto"/>
        <w:right w:val="none" w:sz="0" w:space="0" w:color="auto"/>
      </w:divBdr>
    </w:div>
    <w:div w:id="879166711">
      <w:bodyDiv w:val="1"/>
      <w:marLeft w:val="0"/>
      <w:marRight w:val="0"/>
      <w:marTop w:val="0"/>
      <w:marBottom w:val="0"/>
      <w:divBdr>
        <w:top w:val="none" w:sz="0" w:space="0" w:color="auto"/>
        <w:left w:val="none" w:sz="0" w:space="0" w:color="auto"/>
        <w:bottom w:val="none" w:sz="0" w:space="0" w:color="auto"/>
        <w:right w:val="none" w:sz="0" w:space="0" w:color="auto"/>
      </w:divBdr>
    </w:div>
    <w:div w:id="891773789">
      <w:bodyDiv w:val="1"/>
      <w:marLeft w:val="0"/>
      <w:marRight w:val="0"/>
      <w:marTop w:val="0"/>
      <w:marBottom w:val="0"/>
      <w:divBdr>
        <w:top w:val="none" w:sz="0" w:space="0" w:color="auto"/>
        <w:left w:val="none" w:sz="0" w:space="0" w:color="auto"/>
        <w:bottom w:val="none" w:sz="0" w:space="0" w:color="auto"/>
        <w:right w:val="none" w:sz="0" w:space="0" w:color="auto"/>
      </w:divBdr>
      <w:divsChild>
        <w:div w:id="1168256154">
          <w:marLeft w:val="-30"/>
          <w:marRight w:val="0"/>
          <w:marTop w:val="0"/>
          <w:marBottom w:val="0"/>
          <w:divBdr>
            <w:top w:val="single" w:sz="12" w:space="5" w:color="974B8B"/>
            <w:left w:val="single" w:sz="12" w:space="5" w:color="974B8B"/>
            <w:bottom w:val="single" w:sz="12" w:space="5" w:color="974B8B"/>
            <w:right w:val="single" w:sz="12" w:space="0" w:color="974B8B"/>
          </w:divBdr>
          <w:divsChild>
            <w:div w:id="1303001437">
              <w:marLeft w:val="0"/>
              <w:marRight w:val="0"/>
              <w:marTop w:val="0"/>
              <w:marBottom w:val="0"/>
              <w:divBdr>
                <w:top w:val="none" w:sz="0" w:space="0" w:color="auto"/>
                <w:left w:val="none" w:sz="0" w:space="0" w:color="auto"/>
                <w:bottom w:val="none" w:sz="0" w:space="0" w:color="auto"/>
                <w:right w:val="none" w:sz="0" w:space="0" w:color="auto"/>
              </w:divBdr>
              <w:divsChild>
                <w:div w:id="1250653294">
                  <w:marLeft w:val="0"/>
                  <w:marRight w:val="0"/>
                  <w:marTop w:val="0"/>
                  <w:marBottom w:val="0"/>
                  <w:divBdr>
                    <w:top w:val="none" w:sz="0" w:space="0" w:color="auto"/>
                    <w:left w:val="none" w:sz="0" w:space="0" w:color="auto"/>
                    <w:bottom w:val="none" w:sz="0" w:space="0" w:color="auto"/>
                    <w:right w:val="none" w:sz="0" w:space="0" w:color="auto"/>
                  </w:divBdr>
                  <w:divsChild>
                    <w:div w:id="1037044855">
                      <w:marLeft w:val="0"/>
                      <w:marRight w:val="0"/>
                      <w:marTop w:val="0"/>
                      <w:marBottom w:val="0"/>
                      <w:divBdr>
                        <w:top w:val="none" w:sz="0" w:space="0" w:color="auto"/>
                        <w:left w:val="none" w:sz="0" w:space="0" w:color="auto"/>
                        <w:bottom w:val="none" w:sz="0" w:space="0" w:color="auto"/>
                        <w:right w:val="none" w:sz="0" w:space="0" w:color="auto"/>
                      </w:divBdr>
                      <w:divsChild>
                        <w:div w:id="36529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739987">
      <w:bodyDiv w:val="1"/>
      <w:marLeft w:val="0"/>
      <w:marRight w:val="0"/>
      <w:marTop w:val="0"/>
      <w:marBottom w:val="0"/>
      <w:divBdr>
        <w:top w:val="none" w:sz="0" w:space="0" w:color="auto"/>
        <w:left w:val="none" w:sz="0" w:space="0" w:color="auto"/>
        <w:bottom w:val="none" w:sz="0" w:space="0" w:color="auto"/>
        <w:right w:val="none" w:sz="0" w:space="0" w:color="auto"/>
      </w:divBdr>
    </w:div>
    <w:div w:id="896015845">
      <w:bodyDiv w:val="1"/>
      <w:marLeft w:val="0"/>
      <w:marRight w:val="0"/>
      <w:marTop w:val="0"/>
      <w:marBottom w:val="0"/>
      <w:divBdr>
        <w:top w:val="none" w:sz="0" w:space="0" w:color="auto"/>
        <w:left w:val="none" w:sz="0" w:space="0" w:color="auto"/>
        <w:bottom w:val="none" w:sz="0" w:space="0" w:color="auto"/>
        <w:right w:val="none" w:sz="0" w:space="0" w:color="auto"/>
      </w:divBdr>
    </w:div>
    <w:div w:id="896937659">
      <w:bodyDiv w:val="1"/>
      <w:marLeft w:val="0"/>
      <w:marRight w:val="0"/>
      <w:marTop w:val="0"/>
      <w:marBottom w:val="0"/>
      <w:divBdr>
        <w:top w:val="none" w:sz="0" w:space="0" w:color="auto"/>
        <w:left w:val="none" w:sz="0" w:space="0" w:color="auto"/>
        <w:bottom w:val="none" w:sz="0" w:space="0" w:color="auto"/>
        <w:right w:val="none" w:sz="0" w:space="0" w:color="auto"/>
      </w:divBdr>
    </w:div>
    <w:div w:id="898250272">
      <w:bodyDiv w:val="1"/>
      <w:marLeft w:val="0"/>
      <w:marRight w:val="0"/>
      <w:marTop w:val="0"/>
      <w:marBottom w:val="0"/>
      <w:divBdr>
        <w:top w:val="none" w:sz="0" w:space="0" w:color="auto"/>
        <w:left w:val="none" w:sz="0" w:space="0" w:color="auto"/>
        <w:bottom w:val="none" w:sz="0" w:space="0" w:color="auto"/>
        <w:right w:val="none" w:sz="0" w:space="0" w:color="auto"/>
      </w:divBdr>
    </w:div>
    <w:div w:id="906382355">
      <w:bodyDiv w:val="1"/>
      <w:marLeft w:val="0"/>
      <w:marRight w:val="0"/>
      <w:marTop w:val="0"/>
      <w:marBottom w:val="0"/>
      <w:divBdr>
        <w:top w:val="none" w:sz="0" w:space="0" w:color="auto"/>
        <w:left w:val="none" w:sz="0" w:space="0" w:color="auto"/>
        <w:bottom w:val="none" w:sz="0" w:space="0" w:color="auto"/>
        <w:right w:val="none" w:sz="0" w:space="0" w:color="auto"/>
      </w:divBdr>
    </w:div>
    <w:div w:id="906692567">
      <w:bodyDiv w:val="1"/>
      <w:marLeft w:val="0"/>
      <w:marRight w:val="0"/>
      <w:marTop w:val="0"/>
      <w:marBottom w:val="0"/>
      <w:divBdr>
        <w:top w:val="none" w:sz="0" w:space="0" w:color="auto"/>
        <w:left w:val="none" w:sz="0" w:space="0" w:color="auto"/>
        <w:bottom w:val="none" w:sz="0" w:space="0" w:color="auto"/>
        <w:right w:val="none" w:sz="0" w:space="0" w:color="auto"/>
      </w:divBdr>
    </w:div>
    <w:div w:id="907151964">
      <w:bodyDiv w:val="1"/>
      <w:marLeft w:val="0"/>
      <w:marRight w:val="0"/>
      <w:marTop w:val="0"/>
      <w:marBottom w:val="0"/>
      <w:divBdr>
        <w:top w:val="none" w:sz="0" w:space="0" w:color="auto"/>
        <w:left w:val="none" w:sz="0" w:space="0" w:color="auto"/>
        <w:bottom w:val="none" w:sz="0" w:space="0" w:color="auto"/>
        <w:right w:val="none" w:sz="0" w:space="0" w:color="auto"/>
      </w:divBdr>
    </w:div>
    <w:div w:id="923492929">
      <w:bodyDiv w:val="1"/>
      <w:marLeft w:val="0"/>
      <w:marRight w:val="0"/>
      <w:marTop w:val="0"/>
      <w:marBottom w:val="0"/>
      <w:divBdr>
        <w:top w:val="none" w:sz="0" w:space="0" w:color="auto"/>
        <w:left w:val="none" w:sz="0" w:space="0" w:color="auto"/>
        <w:bottom w:val="none" w:sz="0" w:space="0" w:color="auto"/>
        <w:right w:val="none" w:sz="0" w:space="0" w:color="auto"/>
      </w:divBdr>
    </w:div>
    <w:div w:id="935212853">
      <w:bodyDiv w:val="1"/>
      <w:marLeft w:val="0"/>
      <w:marRight w:val="0"/>
      <w:marTop w:val="0"/>
      <w:marBottom w:val="0"/>
      <w:divBdr>
        <w:top w:val="none" w:sz="0" w:space="0" w:color="auto"/>
        <w:left w:val="none" w:sz="0" w:space="0" w:color="auto"/>
        <w:bottom w:val="none" w:sz="0" w:space="0" w:color="auto"/>
        <w:right w:val="none" w:sz="0" w:space="0" w:color="auto"/>
      </w:divBdr>
    </w:div>
    <w:div w:id="948513812">
      <w:bodyDiv w:val="1"/>
      <w:marLeft w:val="0"/>
      <w:marRight w:val="0"/>
      <w:marTop w:val="0"/>
      <w:marBottom w:val="0"/>
      <w:divBdr>
        <w:top w:val="none" w:sz="0" w:space="0" w:color="auto"/>
        <w:left w:val="none" w:sz="0" w:space="0" w:color="auto"/>
        <w:bottom w:val="none" w:sz="0" w:space="0" w:color="auto"/>
        <w:right w:val="none" w:sz="0" w:space="0" w:color="auto"/>
      </w:divBdr>
    </w:div>
    <w:div w:id="955873174">
      <w:bodyDiv w:val="1"/>
      <w:marLeft w:val="0"/>
      <w:marRight w:val="0"/>
      <w:marTop w:val="0"/>
      <w:marBottom w:val="0"/>
      <w:divBdr>
        <w:top w:val="none" w:sz="0" w:space="0" w:color="auto"/>
        <w:left w:val="none" w:sz="0" w:space="0" w:color="auto"/>
        <w:bottom w:val="none" w:sz="0" w:space="0" w:color="auto"/>
        <w:right w:val="none" w:sz="0" w:space="0" w:color="auto"/>
      </w:divBdr>
    </w:div>
    <w:div w:id="958027198">
      <w:bodyDiv w:val="1"/>
      <w:marLeft w:val="0"/>
      <w:marRight w:val="0"/>
      <w:marTop w:val="0"/>
      <w:marBottom w:val="0"/>
      <w:divBdr>
        <w:top w:val="none" w:sz="0" w:space="0" w:color="auto"/>
        <w:left w:val="none" w:sz="0" w:space="0" w:color="auto"/>
        <w:bottom w:val="none" w:sz="0" w:space="0" w:color="auto"/>
        <w:right w:val="none" w:sz="0" w:space="0" w:color="auto"/>
      </w:divBdr>
    </w:div>
    <w:div w:id="958494410">
      <w:bodyDiv w:val="1"/>
      <w:marLeft w:val="0"/>
      <w:marRight w:val="0"/>
      <w:marTop w:val="0"/>
      <w:marBottom w:val="0"/>
      <w:divBdr>
        <w:top w:val="none" w:sz="0" w:space="0" w:color="auto"/>
        <w:left w:val="none" w:sz="0" w:space="0" w:color="auto"/>
        <w:bottom w:val="none" w:sz="0" w:space="0" w:color="auto"/>
        <w:right w:val="none" w:sz="0" w:space="0" w:color="auto"/>
      </w:divBdr>
    </w:div>
    <w:div w:id="962922375">
      <w:bodyDiv w:val="1"/>
      <w:marLeft w:val="0"/>
      <w:marRight w:val="0"/>
      <w:marTop w:val="0"/>
      <w:marBottom w:val="0"/>
      <w:divBdr>
        <w:top w:val="none" w:sz="0" w:space="0" w:color="auto"/>
        <w:left w:val="none" w:sz="0" w:space="0" w:color="auto"/>
        <w:bottom w:val="none" w:sz="0" w:space="0" w:color="auto"/>
        <w:right w:val="none" w:sz="0" w:space="0" w:color="auto"/>
      </w:divBdr>
    </w:div>
    <w:div w:id="965504396">
      <w:bodyDiv w:val="1"/>
      <w:marLeft w:val="0"/>
      <w:marRight w:val="0"/>
      <w:marTop w:val="0"/>
      <w:marBottom w:val="0"/>
      <w:divBdr>
        <w:top w:val="none" w:sz="0" w:space="0" w:color="auto"/>
        <w:left w:val="none" w:sz="0" w:space="0" w:color="auto"/>
        <w:bottom w:val="none" w:sz="0" w:space="0" w:color="auto"/>
        <w:right w:val="none" w:sz="0" w:space="0" w:color="auto"/>
      </w:divBdr>
    </w:div>
    <w:div w:id="967975011">
      <w:bodyDiv w:val="1"/>
      <w:marLeft w:val="0"/>
      <w:marRight w:val="0"/>
      <w:marTop w:val="0"/>
      <w:marBottom w:val="0"/>
      <w:divBdr>
        <w:top w:val="none" w:sz="0" w:space="0" w:color="auto"/>
        <w:left w:val="none" w:sz="0" w:space="0" w:color="auto"/>
        <w:bottom w:val="none" w:sz="0" w:space="0" w:color="auto"/>
        <w:right w:val="none" w:sz="0" w:space="0" w:color="auto"/>
      </w:divBdr>
    </w:div>
    <w:div w:id="978653195">
      <w:bodyDiv w:val="1"/>
      <w:marLeft w:val="0"/>
      <w:marRight w:val="0"/>
      <w:marTop w:val="0"/>
      <w:marBottom w:val="0"/>
      <w:divBdr>
        <w:top w:val="none" w:sz="0" w:space="0" w:color="auto"/>
        <w:left w:val="none" w:sz="0" w:space="0" w:color="auto"/>
        <w:bottom w:val="none" w:sz="0" w:space="0" w:color="auto"/>
        <w:right w:val="none" w:sz="0" w:space="0" w:color="auto"/>
      </w:divBdr>
    </w:div>
    <w:div w:id="983658584">
      <w:bodyDiv w:val="1"/>
      <w:marLeft w:val="0"/>
      <w:marRight w:val="0"/>
      <w:marTop w:val="0"/>
      <w:marBottom w:val="0"/>
      <w:divBdr>
        <w:top w:val="none" w:sz="0" w:space="0" w:color="auto"/>
        <w:left w:val="none" w:sz="0" w:space="0" w:color="auto"/>
        <w:bottom w:val="none" w:sz="0" w:space="0" w:color="auto"/>
        <w:right w:val="none" w:sz="0" w:space="0" w:color="auto"/>
      </w:divBdr>
    </w:div>
    <w:div w:id="988939108">
      <w:bodyDiv w:val="1"/>
      <w:marLeft w:val="0"/>
      <w:marRight w:val="0"/>
      <w:marTop w:val="0"/>
      <w:marBottom w:val="0"/>
      <w:divBdr>
        <w:top w:val="none" w:sz="0" w:space="0" w:color="auto"/>
        <w:left w:val="none" w:sz="0" w:space="0" w:color="auto"/>
        <w:bottom w:val="none" w:sz="0" w:space="0" w:color="auto"/>
        <w:right w:val="none" w:sz="0" w:space="0" w:color="auto"/>
      </w:divBdr>
    </w:div>
    <w:div w:id="994914942">
      <w:bodyDiv w:val="1"/>
      <w:marLeft w:val="0"/>
      <w:marRight w:val="0"/>
      <w:marTop w:val="0"/>
      <w:marBottom w:val="0"/>
      <w:divBdr>
        <w:top w:val="none" w:sz="0" w:space="0" w:color="auto"/>
        <w:left w:val="none" w:sz="0" w:space="0" w:color="auto"/>
        <w:bottom w:val="none" w:sz="0" w:space="0" w:color="auto"/>
        <w:right w:val="none" w:sz="0" w:space="0" w:color="auto"/>
      </w:divBdr>
    </w:div>
    <w:div w:id="1012032272">
      <w:bodyDiv w:val="1"/>
      <w:marLeft w:val="0"/>
      <w:marRight w:val="0"/>
      <w:marTop w:val="0"/>
      <w:marBottom w:val="0"/>
      <w:divBdr>
        <w:top w:val="none" w:sz="0" w:space="0" w:color="auto"/>
        <w:left w:val="none" w:sz="0" w:space="0" w:color="auto"/>
        <w:bottom w:val="none" w:sz="0" w:space="0" w:color="auto"/>
        <w:right w:val="none" w:sz="0" w:space="0" w:color="auto"/>
      </w:divBdr>
      <w:divsChild>
        <w:div w:id="322513918">
          <w:marLeft w:val="216"/>
          <w:marRight w:val="0"/>
          <w:marTop w:val="0"/>
          <w:marBottom w:val="60"/>
          <w:divBdr>
            <w:top w:val="none" w:sz="0" w:space="0" w:color="auto"/>
            <w:left w:val="none" w:sz="0" w:space="0" w:color="auto"/>
            <w:bottom w:val="none" w:sz="0" w:space="0" w:color="auto"/>
            <w:right w:val="none" w:sz="0" w:space="0" w:color="auto"/>
          </w:divBdr>
        </w:div>
      </w:divsChild>
    </w:div>
    <w:div w:id="1014529592">
      <w:bodyDiv w:val="1"/>
      <w:marLeft w:val="0"/>
      <w:marRight w:val="0"/>
      <w:marTop w:val="0"/>
      <w:marBottom w:val="0"/>
      <w:divBdr>
        <w:top w:val="none" w:sz="0" w:space="0" w:color="auto"/>
        <w:left w:val="none" w:sz="0" w:space="0" w:color="auto"/>
        <w:bottom w:val="none" w:sz="0" w:space="0" w:color="auto"/>
        <w:right w:val="none" w:sz="0" w:space="0" w:color="auto"/>
      </w:divBdr>
    </w:div>
    <w:div w:id="1025670423">
      <w:bodyDiv w:val="1"/>
      <w:marLeft w:val="0"/>
      <w:marRight w:val="0"/>
      <w:marTop w:val="0"/>
      <w:marBottom w:val="0"/>
      <w:divBdr>
        <w:top w:val="none" w:sz="0" w:space="0" w:color="auto"/>
        <w:left w:val="none" w:sz="0" w:space="0" w:color="auto"/>
        <w:bottom w:val="none" w:sz="0" w:space="0" w:color="auto"/>
        <w:right w:val="none" w:sz="0" w:space="0" w:color="auto"/>
      </w:divBdr>
    </w:div>
    <w:div w:id="1036856912">
      <w:bodyDiv w:val="1"/>
      <w:marLeft w:val="0"/>
      <w:marRight w:val="0"/>
      <w:marTop w:val="0"/>
      <w:marBottom w:val="0"/>
      <w:divBdr>
        <w:top w:val="none" w:sz="0" w:space="0" w:color="auto"/>
        <w:left w:val="none" w:sz="0" w:space="0" w:color="auto"/>
        <w:bottom w:val="none" w:sz="0" w:space="0" w:color="auto"/>
        <w:right w:val="none" w:sz="0" w:space="0" w:color="auto"/>
      </w:divBdr>
    </w:div>
    <w:div w:id="1037848587">
      <w:bodyDiv w:val="1"/>
      <w:marLeft w:val="0"/>
      <w:marRight w:val="0"/>
      <w:marTop w:val="0"/>
      <w:marBottom w:val="0"/>
      <w:divBdr>
        <w:top w:val="none" w:sz="0" w:space="0" w:color="auto"/>
        <w:left w:val="none" w:sz="0" w:space="0" w:color="auto"/>
        <w:bottom w:val="none" w:sz="0" w:space="0" w:color="auto"/>
        <w:right w:val="none" w:sz="0" w:space="0" w:color="auto"/>
      </w:divBdr>
    </w:div>
    <w:div w:id="1048527636">
      <w:bodyDiv w:val="1"/>
      <w:marLeft w:val="0"/>
      <w:marRight w:val="0"/>
      <w:marTop w:val="0"/>
      <w:marBottom w:val="0"/>
      <w:divBdr>
        <w:top w:val="none" w:sz="0" w:space="0" w:color="auto"/>
        <w:left w:val="none" w:sz="0" w:space="0" w:color="auto"/>
        <w:bottom w:val="none" w:sz="0" w:space="0" w:color="auto"/>
        <w:right w:val="none" w:sz="0" w:space="0" w:color="auto"/>
      </w:divBdr>
    </w:div>
    <w:div w:id="1049839713">
      <w:bodyDiv w:val="1"/>
      <w:marLeft w:val="0"/>
      <w:marRight w:val="0"/>
      <w:marTop w:val="0"/>
      <w:marBottom w:val="0"/>
      <w:divBdr>
        <w:top w:val="none" w:sz="0" w:space="0" w:color="auto"/>
        <w:left w:val="none" w:sz="0" w:space="0" w:color="auto"/>
        <w:bottom w:val="none" w:sz="0" w:space="0" w:color="auto"/>
        <w:right w:val="none" w:sz="0" w:space="0" w:color="auto"/>
      </w:divBdr>
    </w:div>
    <w:div w:id="1059281422">
      <w:bodyDiv w:val="1"/>
      <w:marLeft w:val="0"/>
      <w:marRight w:val="0"/>
      <w:marTop w:val="0"/>
      <w:marBottom w:val="0"/>
      <w:divBdr>
        <w:top w:val="none" w:sz="0" w:space="0" w:color="auto"/>
        <w:left w:val="none" w:sz="0" w:space="0" w:color="auto"/>
        <w:bottom w:val="none" w:sz="0" w:space="0" w:color="auto"/>
        <w:right w:val="none" w:sz="0" w:space="0" w:color="auto"/>
      </w:divBdr>
    </w:div>
    <w:div w:id="1072698861">
      <w:bodyDiv w:val="1"/>
      <w:marLeft w:val="0"/>
      <w:marRight w:val="0"/>
      <w:marTop w:val="0"/>
      <w:marBottom w:val="0"/>
      <w:divBdr>
        <w:top w:val="none" w:sz="0" w:space="0" w:color="auto"/>
        <w:left w:val="none" w:sz="0" w:space="0" w:color="auto"/>
        <w:bottom w:val="none" w:sz="0" w:space="0" w:color="auto"/>
        <w:right w:val="none" w:sz="0" w:space="0" w:color="auto"/>
      </w:divBdr>
    </w:div>
    <w:div w:id="1101686768">
      <w:bodyDiv w:val="1"/>
      <w:marLeft w:val="0"/>
      <w:marRight w:val="0"/>
      <w:marTop w:val="0"/>
      <w:marBottom w:val="0"/>
      <w:divBdr>
        <w:top w:val="none" w:sz="0" w:space="0" w:color="auto"/>
        <w:left w:val="none" w:sz="0" w:space="0" w:color="auto"/>
        <w:bottom w:val="none" w:sz="0" w:space="0" w:color="auto"/>
        <w:right w:val="none" w:sz="0" w:space="0" w:color="auto"/>
      </w:divBdr>
    </w:div>
    <w:div w:id="1164393297">
      <w:bodyDiv w:val="1"/>
      <w:marLeft w:val="0"/>
      <w:marRight w:val="0"/>
      <w:marTop w:val="0"/>
      <w:marBottom w:val="0"/>
      <w:divBdr>
        <w:top w:val="none" w:sz="0" w:space="0" w:color="auto"/>
        <w:left w:val="none" w:sz="0" w:space="0" w:color="auto"/>
        <w:bottom w:val="none" w:sz="0" w:space="0" w:color="auto"/>
        <w:right w:val="none" w:sz="0" w:space="0" w:color="auto"/>
      </w:divBdr>
    </w:div>
    <w:div w:id="1172142682">
      <w:bodyDiv w:val="1"/>
      <w:marLeft w:val="0"/>
      <w:marRight w:val="0"/>
      <w:marTop w:val="0"/>
      <w:marBottom w:val="0"/>
      <w:divBdr>
        <w:top w:val="none" w:sz="0" w:space="0" w:color="auto"/>
        <w:left w:val="none" w:sz="0" w:space="0" w:color="auto"/>
        <w:bottom w:val="none" w:sz="0" w:space="0" w:color="auto"/>
        <w:right w:val="none" w:sz="0" w:space="0" w:color="auto"/>
      </w:divBdr>
    </w:div>
    <w:div w:id="1185940919">
      <w:bodyDiv w:val="1"/>
      <w:marLeft w:val="0"/>
      <w:marRight w:val="0"/>
      <w:marTop w:val="0"/>
      <w:marBottom w:val="0"/>
      <w:divBdr>
        <w:top w:val="none" w:sz="0" w:space="0" w:color="auto"/>
        <w:left w:val="none" w:sz="0" w:space="0" w:color="auto"/>
        <w:bottom w:val="none" w:sz="0" w:space="0" w:color="auto"/>
        <w:right w:val="none" w:sz="0" w:space="0" w:color="auto"/>
      </w:divBdr>
    </w:div>
    <w:div w:id="1200778647">
      <w:bodyDiv w:val="1"/>
      <w:marLeft w:val="0"/>
      <w:marRight w:val="0"/>
      <w:marTop w:val="0"/>
      <w:marBottom w:val="0"/>
      <w:divBdr>
        <w:top w:val="none" w:sz="0" w:space="0" w:color="auto"/>
        <w:left w:val="none" w:sz="0" w:space="0" w:color="auto"/>
        <w:bottom w:val="none" w:sz="0" w:space="0" w:color="auto"/>
        <w:right w:val="none" w:sz="0" w:space="0" w:color="auto"/>
      </w:divBdr>
    </w:div>
    <w:div w:id="1202478267">
      <w:bodyDiv w:val="1"/>
      <w:marLeft w:val="0"/>
      <w:marRight w:val="0"/>
      <w:marTop w:val="0"/>
      <w:marBottom w:val="0"/>
      <w:divBdr>
        <w:top w:val="none" w:sz="0" w:space="0" w:color="auto"/>
        <w:left w:val="none" w:sz="0" w:space="0" w:color="auto"/>
        <w:bottom w:val="none" w:sz="0" w:space="0" w:color="auto"/>
        <w:right w:val="none" w:sz="0" w:space="0" w:color="auto"/>
      </w:divBdr>
    </w:div>
    <w:div w:id="1209301426">
      <w:bodyDiv w:val="1"/>
      <w:marLeft w:val="0"/>
      <w:marRight w:val="0"/>
      <w:marTop w:val="0"/>
      <w:marBottom w:val="0"/>
      <w:divBdr>
        <w:top w:val="none" w:sz="0" w:space="0" w:color="auto"/>
        <w:left w:val="none" w:sz="0" w:space="0" w:color="auto"/>
        <w:bottom w:val="none" w:sz="0" w:space="0" w:color="auto"/>
        <w:right w:val="none" w:sz="0" w:space="0" w:color="auto"/>
      </w:divBdr>
    </w:div>
    <w:div w:id="1216772819">
      <w:bodyDiv w:val="1"/>
      <w:marLeft w:val="0"/>
      <w:marRight w:val="0"/>
      <w:marTop w:val="0"/>
      <w:marBottom w:val="0"/>
      <w:divBdr>
        <w:top w:val="none" w:sz="0" w:space="0" w:color="auto"/>
        <w:left w:val="none" w:sz="0" w:space="0" w:color="auto"/>
        <w:bottom w:val="none" w:sz="0" w:space="0" w:color="auto"/>
        <w:right w:val="none" w:sz="0" w:space="0" w:color="auto"/>
      </w:divBdr>
    </w:div>
    <w:div w:id="1227493148">
      <w:bodyDiv w:val="1"/>
      <w:marLeft w:val="0"/>
      <w:marRight w:val="0"/>
      <w:marTop w:val="0"/>
      <w:marBottom w:val="0"/>
      <w:divBdr>
        <w:top w:val="none" w:sz="0" w:space="0" w:color="auto"/>
        <w:left w:val="none" w:sz="0" w:space="0" w:color="auto"/>
        <w:bottom w:val="none" w:sz="0" w:space="0" w:color="auto"/>
        <w:right w:val="none" w:sz="0" w:space="0" w:color="auto"/>
      </w:divBdr>
    </w:div>
    <w:div w:id="1234973931">
      <w:bodyDiv w:val="1"/>
      <w:marLeft w:val="0"/>
      <w:marRight w:val="0"/>
      <w:marTop w:val="0"/>
      <w:marBottom w:val="0"/>
      <w:divBdr>
        <w:top w:val="none" w:sz="0" w:space="0" w:color="auto"/>
        <w:left w:val="none" w:sz="0" w:space="0" w:color="auto"/>
        <w:bottom w:val="none" w:sz="0" w:space="0" w:color="auto"/>
        <w:right w:val="none" w:sz="0" w:space="0" w:color="auto"/>
      </w:divBdr>
    </w:div>
    <w:div w:id="1236473287">
      <w:bodyDiv w:val="1"/>
      <w:marLeft w:val="0"/>
      <w:marRight w:val="0"/>
      <w:marTop w:val="0"/>
      <w:marBottom w:val="0"/>
      <w:divBdr>
        <w:top w:val="none" w:sz="0" w:space="0" w:color="auto"/>
        <w:left w:val="none" w:sz="0" w:space="0" w:color="auto"/>
        <w:bottom w:val="none" w:sz="0" w:space="0" w:color="auto"/>
        <w:right w:val="none" w:sz="0" w:space="0" w:color="auto"/>
      </w:divBdr>
    </w:div>
    <w:div w:id="1247885219">
      <w:bodyDiv w:val="1"/>
      <w:marLeft w:val="0"/>
      <w:marRight w:val="0"/>
      <w:marTop w:val="0"/>
      <w:marBottom w:val="0"/>
      <w:divBdr>
        <w:top w:val="none" w:sz="0" w:space="0" w:color="auto"/>
        <w:left w:val="none" w:sz="0" w:space="0" w:color="auto"/>
        <w:bottom w:val="none" w:sz="0" w:space="0" w:color="auto"/>
        <w:right w:val="none" w:sz="0" w:space="0" w:color="auto"/>
      </w:divBdr>
    </w:div>
    <w:div w:id="1284309732">
      <w:bodyDiv w:val="1"/>
      <w:marLeft w:val="0"/>
      <w:marRight w:val="0"/>
      <w:marTop w:val="0"/>
      <w:marBottom w:val="0"/>
      <w:divBdr>
        <w:top w:val="none" w:sz="0" w:space="0" w:color="auto"/>
        <w:left w:val="none" w:sz="0" w:space="0" w:color="auto"/>
        <w:bottom w:val="none" w:sz="0" w:space="0" w:color="auto"/>
        <w:right w:val="none" w:sz="0" w:space="0" w:color="auto"/>
      </w:divBdr>
    </w:div>
    <w:div w:id="1284776155">
      <w:bodyDiv w:val="1"/>
      <w:marLeft w:val="0"/>
      <w:marRight w:val="0"/>
      <w:marTop w:val="0"/>
      <w:marBottom w:val="0"/>
      <w:divBdr>
        <w:top w:val="none" w:sz="0" w:space="0" w:color="auto"/>
        <w:left w:val="none" w:sz="0" w:space="0" w:color="auto"/>
        <w:bottom w:val="none" w:sz="0" w:space="0" w:color="auto"/>
        <w:right w:val="none" w:sz="0" w:space="0" w:color="auto"/>
      </w:divBdr>
    </w:div>
    <w:div w:id="1296181590">
      <w:bodyDiv w:val="1"/>
      <w:marLeft w:val="0"/>
      <w:marRight w:val="0"/>
      <w:marTop w:val="0"/>
      <w:marBottom w:val="0"/>
      <w:divBdr>
        <w:top w:val="none" w:sz="0" w:space="0" w:color="auto"/>
        <w:left w:val="none" w:sz="0" w:space="0" w:color="auto"/>
        <w:bottom w:val="none" w:sz="0" w:space="0" w:color="auto"/>
        <w:right w:val="none" w:sz="0" w:space="0" w:color="auto"/>
      </w:divBdr>
    </w:div>
    <w:div w:id="1316646551">
      <w:bodyDiv w:val="1"/>
      <w:marLeft w:val="0"/>
      <w:marRight w:val="0"/>
      <w:marTop w:val="0"/>
      <w:marBottom w:val="0"/>
      <w:divBdr>
        <w:top w:val="none" w:sz="0" w:space="0" w:color="auto"/>
        <w:left w:val="none" w:sz="0" w:space="0" w:color="auto"/>
        <w:bottom w:val="none" w:sz="0" w:space="0" w:color="auto"/>
        <w:right w:val="none" w:sz="0" w:space="0" w:color="auto"/>
      </w:divBdr>
    </w:div>
    <w:div w:id="1322193065">
      <w:bodyDiv w:val="1"/>
      <w:marLeft w:val="0"/>
      <w:marRight w:val="0"/>
      <w:marTop w:val="0"/>
      <w:marBottom w:val="0"/>
      <w:divBdr>
        <w:top w:val="none" w:sz="0" w:space="0" w:color="auto"/>
        <w:left w:val="none" w:sz="0" w:space="0" w:color="auto"/>
        <w:bottom w:val="none" w:sz="0" w:space="0" w:color="auto"/>
        <w:right w:val="none" w:sz="0" w:space="0" w:color="auto"/>
      </w:divBdr>
    </w:div>
    <w:div w:id="1323116838">
      <w:bodyDiv w:val="1"/>
      <w:marLeft w:val="0"/>
      <w:marRight w:val="0"/>
      <w:marTop w:val="0"/>
      <w:marBottom w:val="0"/>
      <w:divBdr>
        <w:top w:val="none" w:sz="0" w:space="0" w:color="auto"/>
        <w:left w:val="none" w:sz="0" w:space="0" w:color="auto"/>
        <w:bottom w:val="none" w:sz="0" w:space="0" w:color="auto"/>
        <w:right w:val="none" w:sz="0" w:space="0" w:color="auto"/>
      </w:divBdr>
    </w:div>
    <w:div w:id="1326863511">
      <w:bodyDiv w:val="1"/>
      <w:marLeft w:val="0"/>
      <w:marRight w:val="0"/>
      <w:marTop w:val="0"/>
      <w:marBottom w:val="0"/>
      <w:divBdr>
        <w:top w:val="none" w:sz="0" w:space="0" w:color="auto"/>
        <w:left w:val="none" w:sz="0" w:space="0" w:color="auto"/>
        <w:bottom w:val="none" w:sz="0" w:space="0" w:color="auto"/>
        <w:right w:val="none" w:sz="0" w:space="0" w:color="auto"/>
      </w:divBdr>
    </w:div>
    <w:div w:id="1329597005">
      <w:bodyDiv w:val="1"/>
      <w:marLeft w:val="0"/>
      <w:marRight w:val="0"/>
      <w:marTop w:val="0"/>
      <w:marBottom w:val="0"/>
      <w:divBdr>
        <w:top w:val="none" w:sz="0" w:space="0" w:color="auto"/>
        <w:left w:val="none" w:sz="0" w:space="0" w:color="auto"/>
        <w:bottom w:val="none" w:sz="0" w:space="0" w:color="auto"/>
        <w:right w:val="none" w:sz="0" w:space="0" w:color="auto"/>
      </w:divBdr>
    </w:div>
    <w:div w:id="1338725088">
      <w:bodyDiv w:val="1"/>
      <w:marLeft w:val="0"/>
      <w:marRight w:val="0"/>
      <w:marTop w:val="0"/>
      <w:marBottom w:val="0"/>
      <w:divBdr>
        <w:top w:val="none" w:sz="0" w:space="0" w:color="auto"/>
        <w:left w:val="none" w:sz="0" w:space="0" w:color="auto"/>
        <w:bottom w:val="none" w:sz="0" w:space="0" w:color="auto"/>
        <w:right w:val="none" w:sz="0" w:space="0" w:color="auto"/>
      </w:divBdr>
    </w:div>
    <w:div w:id="1341422839">
      <w:bodyDiv w:val="1"/>
      <w:marLeft w:val="0"/>
      <w:marRight w:val="0"/>
      <w:marTop w:val="0"/>
      <w:marBottom w:val="0"/>
      <w:divBdr>
        <w:top w:val="none" w:sz="0" w:space="0" w:color="auto"/>
        <w:left w:val="none" w:sz="0" w:space="0" w:color="auto"/>
        <w:bottom w:val="none" w:sz="0" w:space="0" w:color="auto"/>
        <w:right w:val="none" w:sz="0" w:space="0" w:color="auto"/>
      </w:divBdr>
    </w:div>
    <w:div w:id="1364289048">
      <w:bodyDiv w:val="1"/>
      <w:marLeft w:val="0"/>
      <w:marRight w:val="0"/>
      <w:marTop w:val="0"/>
      <w:marBottom w:val="0"/>
      <w:divBdr>
        <w:top w:val="none" w:sz="0" w:space="0" w:color="auto"/>
        <w:left w:val="none" w:sz="0" w:space="0" w:color="auto"/>
        <w:bottom w:val="none" w:sz="0" w:space="0" w:color="auto"/>
        <w:right w:val="none" w:sz="0" w:space="0" w:color="auto"/>
      </w:divBdr>
    </w:div>
    <w:div w:id="1375815196">
      <w:bodyDiv w:val="1"/>
      <w:marLeft w:val="0"/>
      <w:marRight w:val="0"/>
      <w:marTop w:val="0"/>
      <w:marBottom w:val="0"/>
      <w:divBdr>
        <w:top w:val="none" w:sz="0" w:space="0" w:color="auto"/>
        <w:left w:val="none" w:sz="0" w:space="0" w:color="auto"/>
        <w:bottom w:val="none" w:sz="0" w:space="0" w:color="auto"/>
        <w:right w:val="none" w:sz="0" w:space="0" w:color="auto"/>
      </w:divBdr>
    </w:div>
    <w:div w:id="1396977099">
      <w:bodyDiv w:val="1"/>
      <w:marLeft w:val="0"/>
      <w:marRight w:val="0"/>
      <w:marTop w:val="0"/>
      <w:marBottom w:val="0"/>
      <w:divBdr>
        <w:top w:val="none" w:sz="0" w:space="0" w:color="auto"/>
        <w:left w:val="none" w:sz="0" w:space="0" w:color="auto"/>
        <w:bottom w:val="none" w:sz="0" w:space="0" w:color="auto"/>
        <w:right w:val="none" w:sz="0" w:space="0" w:color="auto"/>
      </w:divBdr>
    </w:div>
    <w:div w:id="1405684882">
      <w:bodyDiv w:val="1"/>
      <w:marLeft w:val="0"/>
      <w:marRight w:val="0"/>
      <w:marTop w:val="0"/>
      <w:marBottom w:val="0"/>
      <w:divBdr>
        <w:top w:val="none" w:sz="0" w:space="0" w:color="auto"/>
        <w:left w:val="none" w:sz="0" w:space="0" w:color="auto"/>
        <w:bottom w:val="none" w:sz="0" w:space="0" w:color="auto"/>
        <w:right w:val="none" w:sz="0" w:space="0" w:color="auto"/>
      </w:divBdr>
    </w:div>
    <w:div w:id="1414428776">
      <w:bodyDiv w:val="1"/>
      <w:marLeft w:val="0"/>
      <w:marRight w:val="0"/>
      <w:marTop w:val="0"/>
      <w:marBottom w:val="0"/>
      <w:divBdr>
        <w:top w:val="none" w:sz="0" w:space="0" w:color="auto"/>
        <w:left w:val="none" w:sz="0" w:space="0" w:color="auto"/>
        <w:bottom w:val="none" w:sz="0" w:space="0" w:color="auto"/>
        <w:right w:val="none" w:sz="0" w:space="0" w:color="auto"/>
      </w:divBdr>
    </w:div>
    <w:div w:id="1419518685">
      <w:bodyDiv w:val="1"/>
      <w:marLeft w:val="0"/>
      <w:marRight w:val="0"/>
      <w:marTop w:val="0"/>
      <w:marBottom w:val="0"/>
      <w:divBdr>
        <w:top w:val="none" w:sz="0" w:space="0" w:color="auto"/>
        <w:left w:val="none" w:sz="0" w:space="0" w:color="auto"/>
        <w:bottom w:val="none" w:sz="0" w:space="0" w:color="auto"/>
        <w:right w:val="none" w:sz="0" w:space="0" w:color="auto"/>
      </w:divBdr>
    </w:div>
    <w:div w:id="1425760714">
      <w:bodyDiv w:val="1"/>
      <w:marLeft w:val="0"/>
      <w:marRight w:val="0"/>
      <w:marTop w:val="0"/>
      <w:marBottom w:val="0"/>
      <w:divBdr>
        <w:top w:val="none" w:sz="0" w:space="0" w:color="auto"/>
        <w:left w:val="none" w:sz="0" w:space="0" w:color="auto"/>
        <w:bottom w:val="none" w:sz="0" w:space="0" w:color="auto"/>
        <w:right w:val="none" w:sz="0" w:space="0" w:color="auto"/>
      </w:divBdr>
    </w:div>
    <w:div w:id="1441412292">
      <w:bodyDiv w:val="1"/>
      <w:marLeft w:val="0"/>
      <w:marRight w:val="0"/>
      <w:marTop w:val="0"/>
      <w:marBottom w:val="0"/>
      <w:divBdr>
        <w:top w:val="none" w:sz="0" w:space="0" w:color="auto"/>
        <w:left w:val="none" w:sz="0" w:space="0" w:color="auto"/>
        <w:bottom w:val="none" w:sz="0" w:space="0" w:color="auto"/>
        <w:right w:val="none" w:sz="0" w:space="0" w:color="auto"/>
      </w:divBdr>
    </w:div>
    <w:div w:id="1444763509">
      <w:bodyDiv w:val="1"/>
      <w:marLeft w:val="0"/>
      <w:marRight w:val="0"/>
      <w:marTop w:val="0"/>
      <w:marBottom w:val="0"/>
      <w:divBdr>
        <w:top w:val="none" w:sz="0" w:space="0" w:color="auto"/>
        <w:left w:val="none" w:sz="0" w:space="0" w:color="auto"/>
        <w:bottom w:val="none" w:sz="0" w:space="0" w:color="auto"/>
        <w:right w:val="none" w:sz="0" w:space="0" w:color="auto"/>
      </w:divBdr>
    </w:div>
    <w:div w:id="1458183599">
      <w:bodyDiv w:val="1"/>
      <w:marLeft w:val="0"/>
      <w:marRight w:val="0"/>
      <w:marTop w:val="0"/>
      <w:marBottom w:val="0"/>
      <w:divBdr>
        <w:top w:val="none" w:sz="0" w:space="0" w:color="auto"/>
        <w:left w:val="none" w:sz="0" w:space="0" w:color="auto"/>
        <w:bottom w:val="none" w:sz="0" w:space="0" w:color="auto"/>
        <w:right w:val="none" w:sz="0" w:space="0" w:color="auto"/>
      </w:divBdr>
    </w:div>
    <w:div w:id="1469737238">
      <w:bodyDiv w:val="1"/>
      <w:marLeft w:val="0"/>
      <w:marRight w:val="0"/>
      <w:marTop w:val="0"/>
      <w:marBottom w:val="0"/>
      <w:divBdr>
        <w:top w:val="none" w:sz="0" w:space="0" w:color="auto"/>
        <w:left w:val="none" w:sz="0" w:space="0" w:color="auto"/>
        <w:bottom w:val="none" w:sz="0" w:space="0" w:color="auto"/>
        <w:right w:val="none" w:sz="0" w:space="0" w:color="auto"/>
      </w:divBdr>
    </w:div>
    <w:div w:id="1469979532">
      <w:bodyDiv w:val="1"/>
      <w:marLeft w:val="0"/>
      <w:marRight w:val="0"/>
      <w:marTop w:val="0"/>
      <w:marBottom w:val="0"/>
      <w:divBdr>
        <w:top w:val="none" w:sz="0" w:space="0" w:color="auto"/>
        <w:left w:val="none" w:sz="0" w:space="0" w:color="auto"/>
        <w:bottom w:val="none" w:sz="0" w:space="0" w:color="auto"/>
        <w:right w:val="none" w:sz="0" w:space="0" w:color="auto"/>
      </w:divBdr>
    </w:div>
    <w:div w:id="1483547950">
      <w:bodyDiv w:val="1"/>
      <w:marLeft w:val="0"/>
      <w:marRight w:val="0"/>
      <w:marTop w:val="0"/>
      <w:marBottom w:val="0"/>
      <w:divBdr>
        <w:top w:val="none" w:sz="0" w:space="0" w:color="auto"/>
        <w:left w:val="none" w:sz="0" w:space="0" w:color="auto"/>
        <w:bottom w:val="none" w:sz="0" w:space="0" w:color="auto"/>
        <w:right w:val="none" w:sz="0" w:space="0" w:color="auto"/>
      </w:divBdr>
    </w:div>
    <w:div w:id="1484466229">
      <w:bodyDiv w:val="1"/>
      <w:marLeft w:val="0"/>
      <w:marRight w:val="0"/>
      <w:marTop w:val="0"/>
      <w:marBottom w:val="0"/>
      <w:divBdr>
        <w:top w:val="none" w:sz="0" w:space="0" w:color="auto"/>
        <w:left w:val="none" w:sz="0" w:space="0" w:color="auto"/>
        <w:bottom w:val="none" w:sz="0" w:space="0" w:color="auto"/>
        <w:right w:val="none" w:sz="0" w:space="0" w:color="auto"/>
      </w:divBdr>
    </w:div>
    <w:div w:id="1489515099">
      <w:bodyDiv w:val="1"/>
      <w:marLeft w:val="0"/>
      <w:marRight w:val="0"/>
      <w:marTop w:val="0"/>
      <w:marBottom w:val="0"/>
      <w:divBdr>
        <w:top w:val="none" w:sz="0" w:space="0" w:color="auto"/>
        <w:left w:val="none" w:sz="0" w:space="0" w:color="auto"/>
        <w:bottom w:val="none" w:sz="0" w:space="0" w:color="auto"/>
        <w:right w:val="none" w:sz="0" w:space="0" w:color="auto"/>
      </w:divBdr>
    </w:div>
    <w:div w:id="1508211794">
      <w:bodyDiv w:val="1"/>
      <w:marLeft w:val="0"/>
      <w:marRight w:val="0"/>
      <w:marTop w:val="0"/>
      <w:marBottom w:val="0"/>
      <w:divBdr>
        <w:top w:val="none" w:sz="0" w:space="0" w:color="auto"/>
        <w:left w:val="none" w:sz="0" w:space="0" w:color="auto"/>
        <w:bottom w:val="none" w:sz="0" w:space="0" w:color="auto"/>
        <w:right w:val="none" w:sz="0" w:space="0" w:color="auto"/>
      </w:divBdr>
    </w:div>
    <w:div w:id="1519931921">
      <w:bodyDiv w:val="1"/>
      <w:marLeft w:val="0"/>
      <w:marRight w:val="0"/>
      <w:marTop w:val="0"/>
      <w:marBottom w:val="0"/>
      <w:divBdr>
        <w:top w:val="none" w:sz="0" w:space="0" w:color="auto"/>
        <w:left w:val="none" w:sz="0" w:space="0" w:color="auto"/>
        <w:bottom w:val="none" w:sz="0" w:space="0" w:color="auto"/>
        <w:right w:val="none" w:sz="0" w:space="0" w:color="auto"/>
      </w:divBdr>
    </w:div>
    <w:div w:id="1523936838">
      <w:bodyDiv w:val="1"/>
      <w:marLeft w:val="0"/>
      <w:marRight w:val="0"/>
      <w:marTop w:val="0"/>
      <w:marBottom w:val="0"/>
      <w:divBdr>
        <w:top w:val="none" w:sz="0" w:space="0" w:color="auto"/>
        <w:left w:val="none" w:sz="0" w:space="0" w:color="auto"/>
        <w:bottom w:val="none" w:sz="0" w:space="0" w:color="auto"/>
        <w:right w:val="none" w:sz="0" w:space="0" w:color="auto"/>
      </w:divBdr>
    </w:div>
    <w:div w:id="1538010262">
      <w:bodyDiv w:val="1"/>
      <w:marLeft w:val="0"/>
      <w:marRight w:val="0"/>
      <w:marTop w:val="0"/>
      <w:marBottom w:val="0"/>
      <w:divBdr>
        <w:top w:val="none" w:sz="0" w:space="0" w:color="auto"/>
        <w:left w:val="none" w:sz="0" w:space="0" w:color="auto"/>
        <w:bottom w:val="none" w:sz="0" w:space="0" w:color="auto"/>
        <w:right w:val="none" w:sz="0" w:space="0" w:color="auto"/>
      </w:divBdr>
    </w:div>
    <w:div w:id="1540168300">
      <w:bodyDiv w:val="1"/>
      <w:marLeft w:val="0"/>
      <w:marRight w:val="0"/>
      <w:marTop w:val="0"/>
      <w:marBottom w:val="0"/>
      <w:divBdr>
        <w:top w:val="none" w:sz="0" w:space="0" w:color="auto"/>
        <w:left w:val="none" w:sz="0" w:space="0" w:color="auto"/>
        <w:bottom w:val="none" w:sz="0" w:space="0" w:color="auto"/>
        <w:right w:val="none" w:sz="0" w:space="0" w:color="auto"/>
      </w:divBdr>
    </w:div>
    <w:div w:id="1548762786">
      <w:bodyDiv w:val="1"/>
      <w:marLeft w:val="0"/>
      <w:marRight w:val="0"/>
      <w:marTop w:val="0"/>
      <w:marBottom w:val="0"/>
      <w:divBdr>
        <w:top w:val="none" w:sz="0" w:space="0" w:color="auto"/>
        <w:left w:val="none" w:sz="0" w:space="0" w:color="auto"/>
        <w:bottom w:val="none" w:sz="0" w:space="0" w:color="auto"/>
        <w:right w:val="none" w:sz="0" w:space="0" w:color="auto"/>
      </w:divBdr>
    </w:div>
    <w:div w:id="1555847285">
      <w:bodyDiv w:val="1"/>
      <w:marLeft w:val="0"/>
      <w:marRight w:val="0"/>
      <w:marTop w:val="0"/>
      <w:marBottom w:val="0"/>
      <w:divBdr>
        <w:top w:val="none" w:sz="0" w:space="0" w:color="auto"/>
        <w:left w:val="none" w:sz="0" w:space="0" w:color="auto"/>
        <w:bottom w:val="none" w:sz="0" w:space="0" w:color="auto"/>
        <w:right w:val="none" w:sz="0" w:space="0" w:color="auto"/>
      </w:divBdr>
    </w:div>
    <w:div w:id="1556502047">
      <w:bodyDiv w:val="1"/>
      <w:marLeft w:val="0"/>
      <w:marRight w:val="0"/>
      <w:marTop w:val="0"/>
      <w:marBottom w:val="0"/>
      <w:divBdr>
        <w:top w:val="none" w:sz="0" w:space="0" w:color="auto"/>
        <w:left w:val="none" w:sz="0" w:space="0" w:color="auto"/>
        <w:bottom w:val="none" w:sz="0" w:space="0" w:color="auto"/>
        <w:right w:val="none" w:sz="0" w:space="0" w:color="auto"/>
      </w:divBdr>
    </w:div>
    <w:div w:id="1559779428">
      <w:bodyDiv w:val="1"/>
      <w:marLeft w:val="0"/>
      <w:marRight w:val="0"/>
      <w:marTop w:val="0"/>
      <w:marBottom w:val="0"/>
      <w:divBdr>
        <w:top w:val="none" w:sz="0" w:space="0" w:color="auto"/>
        <w:left w:val="none" w:sz="0" w:space="0" w:color="auto"/>
        <w:bottom w:val="none" w:sz="0" w:space="0" w:color="auto"/>
        <w:right w:val="none" w:sz="0" w:space="0" w:color="auto"/>
      </w:divBdr>
    </w:div>
    <w:div w:id="1578589875">
      <w:bodyDiv w:val="1"/>
      <w:marLeft w:val="0"/>
      <w:marRight w:val="0"/>
      <w:marTop w:val="0"/>
      <w:marBottom w:val="0"/>
      <w:divBdr>
        <w:top w:val="none" w:sz="0" w:space="0" w:color="auto"/>
        <w:left w:val="none" w:sz="0" w:space="0" w:color="auto"/>
        <w:bottom w:val="none" w:sz="0" w:space="0" w:color="auto"/>
        <w:right w:val="none" w:sz="0" w:space="0" w:color="auto"/>
      </w:divBdr>
    </w:div>
    <w:div w:id="1580820760">
      <w:bodyDiv w:val="1"/>
      <w:marLeft w:val="0"/>
      <w:marRight w:val="0"/>
      <w:marTop w:val="0"/>
      <w:marBottom w:val="0"/>
      <w:divBdr>
        <w:top w:val="none" w:sz="0" w:space="0" w:color="auto"/>
        <w:left w:val="none" w:sz="0" w:space="0" w:color="auto"/>
        <w:bottom w:val="none" w:sz="0" w:space="0" w:color="auto"/>
        <w:right w:val="none" w:sz="0" w:space="0" w:color="auto"/>
      </w:divBdr>
    </w:div>
    <w:div w:id="1601599221">
      <w:bodyDiv w:val="1"/>
      <w:marLeft w:val="0"/>
      <w:marRight w:val="0"/>
      <w:marTop w:val="0"/>
      <w:marBottom w:val="0"/>
      <w:divBdr>
        <w:top w:val="none" w:sz="0" w:space="0" w:color="auto"/>
        <w:left w:val="none" w:sz="0" w:space="0" w:color="auto"/>
        <w:bottom w:val="none" w:sz="0" w:space="0" w:color="auto"/>
        <w:right w:val="none" w:sz="0" w:space="0" w:color="auto"/>
      </w:divBdr>
    </w:div>
    <w:div w:id="1622303411">
      <w:bodyDiv w:val="1"/>
      <w:marLeft w:val="0"/>
      <w:marRight w:val="0"/>
      <w:marTop w:val="0"/>
      <w:marBottom w:val="0"/>
      <w:divBdr>
        <w:top w:val="none" w:sz="0" w:space="0" w:color="auto"/>
        <w:left w:val="none" w:sz="0" w:space="0" w:color="auto"/>
        <w:bottom w:val="none" w:sz="0" w:space="0" w:color="auto"/>
        <w:right w:val="none" w:sz="0" w:space="0" w:color="auto"/>
      </w:divBdr>
    </w:div>
    <w:div w:id="1629362610">
      <w:bodyDiv w:val="1"/>
      <w:marLeft w:val="0"/>
      <w:marRight w:val="0"/>
      <w:marTop w:val="0"/>
      <w:marBottom w:val="0"/>
      <w:divBdr>
        <w:top w:val="none" w:sz="0" w:space="0" w:color="auto"/>
        <w:left w:val="none" w:sz="0" w:space="0" w:color="auto"/>
        <w:bottom w:val="none" w:sz="0" w:space="0" w:color="auto"/>
        <w:right w:val="none" w:sz="0" w:space="0" w:color="auto"/>
      </w:divBdr>
    </w:div>
    <w:div w:id="1634214177">
      <w:bodyDiv w:val="1"/>
      <w:marLeft w:val="0"/>
      <w:marRight w:val="0"/>
      <w:marTop w:val="0"/>
      <w:marBottom w:val="0"/>
      <w:divBdr>
        <w:top w:val="none" w:sz="0" w:space="0" w:color="auto"/>
        <w:left w:val="none" w:sz="0" w:space="0" w:color="auto"/>
        <w:bottom w:val="none" w:sz="0" w:space="0" w:color="auto"/>
        <w:right w:val="none" w:sz="0" w:space="0" w:color="auto"/>
      </w:divBdr>
    </w:div>
    <w:div w:id="1671984819">
      <w:bodyDiv w:val="1"/>
      <w:marLeft w:val="0"/>
      <w:marRight w:val="0"/>
      <w:marTop w:val="0"/>
      <w:marBottom w:val="0"/>
      <w:divBdr>
        <w:top w:val="none" w:sz="0" w:space="0" w:color="auto"/>
        <w:left w:val="none" w:sz="0" w:space="0" w:color="auto"/>
        <w:bottom w:val="none" w:sz="0" w:space="0" w:color="auto"/>
        <w:right w:val="none" w:sz="0" w:space="0" w:color="auto"/>
      </w:divBdr>
    </w:div>
    <w:div w:id="1681003053">
      <w:bodyDiv w:val="1"/>
      <w:marLeft w:val="0"/>
      <w:marRight w:val="0"/>
      <w:marTop w:val="0"/>
      <w:marBottom w:val="0"/>
      <w:divBdr>
        <w:top w:val="none" w:sz="0" w:space="0" w:color="auto"/>
        <w:left w:val="none" w:sz="0" w:space="0" w:color="auto"/>
        <w:bottom w:val="none" w:sz="0" w:space="0" w:color="auto"/>
        <w:right w:val="none" w:sz="0" w:space="0" w:color="auto"/>
      </w:divBdr>
    </w:div>
    <w:div w:id="1684631291">
      <w:bodyDiv w:val="1"/>
      <w:marLeft w:val="0"/>
      <w:marRight w:val="0"/>
      <w:marTop w:val="0"/>
      <w:marBottom w:val="0"/>
      <w:divBdr>
        <w:top w:val="none" w:sz="0" w:space="0" w:color="auto"/>
        <w:left w:val="none" w:sz="0" w:space="0" w:color="auto"/>
        <w:bottom w:val="none" w:sz="0" w:space="0" w:color="auto"/>
        <w:right w:val="none" w:sz="0" w:space="0" w:color="auto"/>
      </w:divBdr>
    </w:div>
    <w:div w:id="1690447880">
      <w:bodyDiv w:val="1"/>
      <w:marLeft w:val="0"/>
      <w:marRight w:val="0"/>
      <w:marTop w:val="0"/>
      <w:marBottom w:val="0"/>
      <w:divBdr>
        <w:top w:val="none" w:sz="0" w:space="0" w:color="auto"/>
        <w:left w:val="none" w:sz="0" w:space="0" w:color="auto"/>
        <w:bottom w:val="none" w:sz="0" w:space="0" w:color="auto"/>
        <w:right w:val="none" w:sz="0" w:space="0" w:color="auto"/>
      </w:divBdr>
    </w:div>
    <w:div w:id="1704013660">
      <w:bodyDiv w:val="1"/>
      <w:marLeft w:val="0"/>
      <w:marRight w:val="0"/>
      <w:marTop w:val="0"/>
      <w:marBottom w:val="0"/>
      <w:divBdr>
        <w:top w:val="none" w:sz="0" w:space="0" w:color="auto"/>
        <w:left w:val="none" w:sz="0" w:space="0" w:color="auto"/>
        <w:bottom w:val="none" w:sz="0" w:space="0" w:color="auto"/>
        <w:right w:val="none" w:sz="0" w:space="0" w:color="auto"/>
      </w:divBdr>
    </w:div>
    <w:div w:id="1744987460">
      <w:bodyDiv w:val="1"/>
      <w:marLeft w:val="0"/>
      <w:marRight w:val="0"/>
      <w:marTop w:val="0"/>
      <w:marBottom w:val="0"/>
      <w:divBdr>
        <w:top w:val="none" w:sz="0" w:space="0" w:color="auto"/>
        <w:left w:val="none" w:sz="0" w:space="0" w:color="auto"/>
        <w:bottom w:val="none" w:sz="0" w:space="0" w:color="auto"/>
        <w:right w:val="none" w:sz="0" w:space="0" w:color="auto"/>
      </w:divBdr>
    </w:div>
    <w:div w:id="1760561454">
      <w:bodyDiv w:val="1"/>
      <w:marLeft w:val="0"/>
      <w:marRight w:val="0"/>
      <w:marTop w:val="0"/>
      <w:marBottom w:val="0"/>
      <w:divBdr>
        <w:top w:val="none" w:sz="0" w:space="0" w:color="auto"/>
        <w:left w:val="none" w:sz="0" w:space="0" w:color="auto"/>
        <w:bottom w:val="none" w:sz="0" w:space="0" w:color="auto"/>
        <w:right w:val="none" w:sz="0" w:space="0" w:color="auto"/>
      </w:divBdr>
    </w:div>
    <w:div w:id="1771853202">
      <w:bodyDiv w:val="1"/>
      <w:marLeft w:val="0"/>
      <w:marRight w:val="0"/>
      <w:marTop w:val="0"/>
      <w:marBottom w:val="0"/>
      <w:divBdr>
        <w:top w:val="none" w:sz="0" w:space="0" w:color="auto"/>
        <w:left w:val="none" w:sz="0" w:space="0" w:color="auto"/>
        <w:bottom w:val="none" w:sz="0" w:space="0" w:color="auto"/>
        <w:right w:val="none" w:sz="0" w:space="0" w:color="auto"/>
      </w:divBdr>
    </w:div>
    <w:div w:id="1772162816">
      <w:bodyDiv w:val="1"/>
      <w:marLeft w:val="0"/>
      <w:marRight w:val="0"/>
      <w:marTop w:val="0"/>
      <w:marBottom w:val="0"/>
      <w:divBdr>
        <w:top w:val="none" w:sz="0" w:space="0" w:color="auto"/>
        <w:left w:val="none" w:sz="0" w:space="0" w:color="auto"/>
        <w:bottom w:val="none" w:sz="0" w:space="0" w:color="auto"/>
        <w:right w:val="none" w:sz="0" w:space="0" w:color="auto"/>
      </w:divBdr>
    </w:div>
    <w:div w:id="1795102243">
      <w:bodyDiv w:val="1"/>
      <w:marLeft w:val="0"/>
      <w:marRight w:val="0"/>
      <w:marTop w:val="0"/>
      <w:marBottom w:val="0"/>
      <w:divBdr>
        <w:top w:val="none" w:sz="0" w:space="0" w:color="auto"/>
        <w:left w:val="none" w:sz="0" w:space="0" w:color="auto"/>
        <w:bottom w:val="none" w:sz="0" w:space="0" w:color="auto"/>
        <w:right w:val="none" w:sz="0" w:space="0" w:color="auto"/>
      </w:divBdr>
    </w:div>
    <w:div w:id="1795250580">
      <w:bodyDiv w:val="1"/>
      <w:marLeft w:val="0"/>
      <w:marRight w:val="0"/>
      <w:marTop w:val="0"/>
      <w:marBottom w:val="0"/>
      <w:divBdr>
        <w:top w:val="none" w:sz="0" w:space="0" w:color="auto"/>
        <w:left w:val="none" w:sz="0" w:space="0" w:color="auto"/>
        <w:bottom w:val="none" w:sz="0" w:space="0" w:color="auto"/>
        <w:right w:val="none" w:sz="0" w:space="0" w:color="auto"/>
      </w:divBdr>
    </w:div>
    <w:div w:id="1796290656">
      <w:bodyDiv w:val="1"/>
      <w:marLeft w:val="0"/>
      <w:marRight w:val="0"/>
      <w:marTop w:val="0"/>
      <w:marBottom w:val="0"/>
      <w:divBdr>
        <w:top w:val="none" w:sz="0" w:space="0" w:color="auto"/>
        <w:left w:val="none" w:sz="0" w:space="0" w:color="auto"/>
        <w:bottom w:val="none" w:sz="0" w:space="0" w:color="auto"/>
        <w:right w:val="none" w:sz="0" w:space="0" w:color="auto"/>
      </w:divBdr>
    </w:div>
    <w:div w:id="1806316394">
      <w:bodyDiv w:val="1"/>
      <w:marLeft w:val="0"/>
      <w:marRight w:val="0"/>
      <w:marTop w:val="0"/>
      <w:marBottom w:val="0"/>
      <w:divBdr>
        <w:top w:val="none" w:sz="0" w:space="0" w:color="auto"/>
        <w:left w:val="none" w:sz="0" w:space="0" w:color="auto"/>
        <w:bottom w:val="none" w:sz="0" w:space="0" w:color="auto"/>
        <w:right w:val="none" w:sz="0" w:space="0" w:color="auto"/>
      </w:divBdr>
    </w:div>
    <w:div w:id="1808741612">
      <w:bodyDiv w:val="1"/>
      <w:marLeft w:val="0"/>
      <w:marRight w:val="0"/>
      <w:marTop w:val="0"/>
      <w:marBottom w:val="0"/>
      <w:divBdr>
        <w:top w:val="none" w:sz="0" w:space="0" w:color="auto"/>
        <w:left w:val="none" w:sz="0" w:space="0" w:color="auto"/>
        <w:bottom w:val="none" w:sz="0" w:space="0" w:color="auto"/>
        <w:right w:val="none" w:sz="0" w:space="0" w:color="auto"/>
      </w:divBdr>
    </w:div>
    <w:div w:id="1828203840">
      <w:bodyDiv w:val="1"/>
      <w:marLeft w:val="0"/>
      <w:marRight w:val="0"/>
      <w:marTop w:val="0"/>
      <w:marBottom w:val="0"/>
      <w:divBdr>
        <w:top w:val="none" w:sz="0" w:space="0" w:color="auto"/>
        <w:left w:val="none" w:sz="0" w:space="0" w:color="auto"/>
        <w:bottom w:val="none" w:sz="0" w:space="0" w:color="auto"/>
        <w:right w:val="none" w:sz="0" w:space="0" w:color="auto"/>
      </w:divBdr>
    </w:div>
    <w:div w:id="1843351812">
      <w:bodyDiv w:val="1"/>
      <w:marLeft w:val="0"/>
      <w:marRight w:val="0"/>
      <w:marTop w:val="0"/>
      <w:marBottom w:val="0"/>
      <w:divBdr>
        <w:top w:val="none" w:sz="0" w:space="0" w:color="auto"/>
        <w:left w:val="none" w:sz="0" w:space="0" w:color="auto"/>
        <w:bottom w:val="none" w:sz="0" w:space="0" w:color="auto"/>
        <w:right w:val="none" w:sz="0" w:space="0" w:color="auto"/>
      </w:divBdr>
    </w:div>
    <w:div w:id="1849175515">
      <w:bodyDiv w:val="1"/>
      <w:marLeft w:val="0"/>
      <w:marRight w:val="0"/>
      <w:marTop w:val="0"/>
      <w:marBottom w:val="0"/>
      <w:divBdr>
        <w:top w:val="none" w:sz="0" w:space="0" w:color="auto"/>
        <w:left w:val="none" w:sz="0" w:space="0" w:color="auto"/>
        <w:bottom w:val="none" w:sz="0" w:space="0" w:color="auto"/>
        <w:right w:val="none" w:sz="0" w:space="0" w:color="auto"/>
      </w:divBdr>
    </w:div>
    <w:div w:id="1862275949">
      <w:bodyDiv w:val="1"/>
      <w:marLeft w:val="0"/>
      <w:marRight w:val="0"/>
      <w:marTop w:val="0"/>
      <w:marBottom w:val="0"/>
      <w:divBdr>
        <w:top w:val="none" w:sz="0" w:space="0" w:color="auto"/>
        <w:left w:val="none" w:sz="0" w:space="0" w:color="auto"/>
        <w:bottom w:val="none" w:sz="0" w:space="0" w:color="auto"/>
        <w:right w:val="none" w:sz="0" w:space="0" w:color="auto"/>
      </w:divBdr>
    </w:div>
    <w:div w:id="1872917287">
      <w:bodyDiv w:val="1"/>
      <w:marLeft w:val="0"/>
      <w:marRight w:val="0"/>
      <w:marTop w:val="0"/>
      <w:marBottom w:val="0"/>
      <w:divBdr>
        <w:top w:val="none" w:sz="0" w:space="0" w:color="auto"/>
        <w:left w:val="none" w:sz="0" w:space="0" w:color="auto"/>
        <w:bottom w:val="none" w:sz="0" w:space="0" w:color="auto"/>
        <w:right w:val="none" w:sz="0" w:space="0" w:color="auto"/>
      </w:divBdr>
    </w:div>
    <w:div w:id="1877430039">
      <w:bodyDiv w:val="1"/>
      <w:marLeft w:val="0"/>
      <w:marRight w:val="0"/>
      <w:marTop w:val="0"/>
      <w:marBottom w:val="0"/>
      <w:divBdr>
        <w:top w:val="none" w:sz="0" w:space="0" w:color="auto"/>
        <w:left w:val="none" w:sz="0" w:space="0" w:color="auto"/>
        <w:bottom w:val="none" w:sz="0" w:space="0" w:color="auto"/>
        <w:right w:val="none" w:sz="0" w:space="0" w:color="auto"/>
      </w:divBdr>
    </w:div>
    <w:div w:id="1878279772">
      <w:bodyDiv w:val="1"/>
      <w:marLeft w:val="0"/>
      <w:marRight w:val="0"/>
      <w:marTop w:val="0"/>
      <w:marBottom w:val="0"/>
      <w:divBdr>
        <w:top w:val="none" w:sz="0" w:space="0" w:color="auto"/>
        <w:left w:val="none" w:sz="0" w:space="0" w:color="auto"/>
        <w:bottom w:val="none" w:sz="0" w:space="0" w:color="auto"/>
        <w:right w:val="none" w:sz="0" w:space="0" w:color="auto"/>
      </w:divBdr>
    </w:div>
    <w:div w:id="1879973636">
      <w:bodyDiv w:val="1"/>
      <w:marLeft w:val="0"/>
      <w:marRight w:val="0"/>
      <w:marTop w:val="0"/>
      <w:marBottom w:val="0"/>
      <w:divBdr>
        <w:top w:val="none" w:sz="0" w:space="0" w:color="auto"/>
        <w:left w:val="none" w:sz="0" w:space="0" w:color="auto"/>
        <w:bottom w:val="none" w:sz="0" w:space="0" w:color="auto"/>
        <w:right w:val="none" w:sz="0" w:space="0" w:color="auto"/>
      </w:divBdr>
    </w:div>
    <w:div w:id="1889485905">
      <w:bodyDiv w:val="1"/>
      <w:marLeft w:val="0"/>
      <w:marRight w:val="0"/>
      <w:marTop w:val="0"/>
      <w:marBottom w:val="0"/>
      <w:divBdr>
        <w:top w:val="none" w:sz="0" w:space="0" w:color="auto"/>
        <w:left w:val="none" w:sz="0" w:space="0" w:color="auto"/>
        <w:bottom w:val="none" w:sz="0" w:space="0" w:color="auto"/>
        <w:right w:val="none" w:sz="0" w:space="0" w:color="auto"/>
      </w:divBdr>
    </w:div>
    <w:div w:id="1892426076">
      <w:bodyDiv w:val="1"/>
      <w:marLeft w:val="0"/>
      <w:marRight w:val="0"/>
      <w:marTop w:val="0"/>
      <w:marBottom w:val="0"/>
      <w:divBdr>
        <w:top w:val="none" w:sz="0" w:space="0" w:color="auto"/>
        <w:left w:val="none" w:sz="0" w:space="0" w:color="auto"/>
        <w:bottom w:val="none" w:sz="0" w:space="0" w:color="auto"/>
        <w:right w:val="none" w:sz="0" w:space="0" w:color="auto"/>
      </w:divBdr>
      <w:divsChild>
        <w:div w:id="1264806409">
          <w:marLeft w:val="216"/>
          <w:marRight w:val="0"/>
          <w:marTop w:val="0"/>
          <w:marBottom w:val="60"/>
          <w:divBdr>
            <w:top w:val="none" w:sz="0" w:space="0" w:color="auto"/>
            <w:left w:val="none" w:sz="0" w:space="0" w:color="auto"/>
            <w:bottom w:val="none" w:sz="0" w:space="0" w:color="auto"/>
            <w:right w:val="none" w:sz="0" w:space="0" w:color="auto"/>
          </w:divBdr>
        </w:div>
      </w:divsChild>
    </w:div>
    <w:div w:id="1893272337">
      <w:bodyDiv w:val="1"/>
      <w:marLeft w:val="0"/>
      <w:marRight w:val="0"/>
      <w:marTop w:val="0"/>
      <w:marBottom w:val="0"/>
      <w:divBdr>
        <w:top w:val="none" w:sz="0" w:space="0" w:color="auto"/>
        <w:left w:val="none" w:sz="0" w:space="0" w:color="auto"/>
        <w:bottom w:val="none" w:sz="0" w:space="0" w:color="auto"/>
        <w:right w:val="none" w:sz="0" w:space="0" w:color="auto"/>
      </w:divBdr>
      <w:divsChild>
        <w:div w:id="527377782">
          <w:marLeft w:val="0"/>
          <w:marRight w:val="0"/>
          <w:marTop w:val="0"/>
          <w:marBottom w:val="0"/>
          <w:divBdr>
            <w:top w:val="none" w:sz="0" w:space="0" w:color="auto"/>
            <w:left w:val="none" w:sz="0" w:space="0" w:color="auto"/>
            <w:bottom w:val="none" w:sz="0" w:space="0" w:color="auto"/>
            <w:right w:val="none" w:sz="0" w:space="0" w:color="auto"/>
          </w:divBdr>
        </w:div>
        <w:div w:id="536084956">
          <w:marLeft w:val="0"/>
          <w:marRight w:val="0"/>
          <w:marTop w:val="0"/>
          <w:marBottom w:val="0"/>
          <w:divBdr>
            <w:top w:val="none" w:sz="0" w:space="0" w:color="auto"/>
            <w:left w:val="none" w:sz="0" w:space="0" w:color="auto"/>
            <w:bottom w:val="none" w:sz="0" w:space="0" w:color="auto"/>
            <w:right w:val="none" w:sz="0" w:space="0" w:color="auto"/>
          </w:divBdr>
        </w:div>
        <w:div w:id="553851800">
          <w:marLeft w:val="0"/>
          <w:marRight w:val="0"/>
          <w:marTop w:val="0"/>
          <w:marBottom w:val="0"/>
          <w:divBdr>
            <w:top w:val="none" w:sz="0" w:space="0" w:color="auto"/>
            <w:left w:val="none" w:sz="0" w:space="0" w:color="auto"/>
            <w:bottom w:val="none" w:sz="0" w:space="0" w:color="auto"/>
            <w:right w:val="none" w:sz="0" w:space="0" w:color="auto"/>
          </w:divBdr>
        </w:div>
        <w:div w:id="1519386892">
          <w:marLeft w:val="0"/>
          <w:marRight w:val="0"/>
          <w:marTop w:val="0"/>
          <w:marBottom w:val="0"/>
          <w:divBdr>
            <w:top w:val="none" w:sz="0" w:space="0" w:color="auto"/>
            <w:left w:val="none" w:sz="0" w:space="0" w:color="auto"/>
            <w:bottom w:val="none" w:sz="0" w:space="0" w:color="auto"/>
            <w:right w:val="none" w:sz="0" w:space="0" w:color="auto"/>
          </w:divBdr>
        </w:div>
        <w:div w:id="1693650694">
          <w:marLeft w:val="0"/>
          <w:marRight w:val="0"/>
          <w:marTop w:val="0"/>
          <w:marBottom w:val="0"/>
          <w:divBdr>
            <w:top w:val="none" w:sz="0" w:space="0" w:color="auto"/>
            <w:left w:val="none" w:sz="0" w:space="0" w:color="auto"/>
            <w:bottom w:val="none" w:sz="0" w:space="0" w:color="auto"/>
            <w:right w:val="none" w:sz="0" w:space="0" w:color="auto"/>
          </w:divBdr>
        </w:div>
      </w:divsChild>
    </w:div>
    <w:div w:id="1906330530">
      <w:bodyDiv w:val="1"/>
      <w:marLeft w:val="0"/>
      <w:marRight w:val="0"/>
      <w:marTop w:val="0"/>
      <w:marBottom w:val="0"/>
      <w:divBdr>
        <w:top w:val="none" w:sz="0" w:space="0" w:color="auto"/>
        <w:left w:val="none" w:sz="0" w:space="0" w:color="auto"/>
        <w:bottom w:val="none" w:sz="0" w:space="0" w:color="auto"/>
        <w:right w:val="none" w:sz="0" w:space="0" w:color="auto"/>
      </w:divBdr>
    </w:div>
    <w:div w:id="1912688911">
      <w:bodyDiv w:val="1"/>
      <w:marLeft w:val="0"/>
      <w:marRight w:val="0"/>
      <w:marTop w:val="0"/>
      <w:marBottom w:val="0"/>
      <w:divBdr>
        <w:top w:val="none" w:sz="0" w:space="0" w:color="auto"/>
        <w:left w:val="none" w:sz="0" w:space="0" w:color="auto"/>
        <w:bottom w:val="none" w:sz="0" w:space="0" w:color="auto"/>
        <w:right w:val="none" w:sz="0" w:space="0" w:color="auto"/>
      </w:divBdr>
    </w:div>
    <w:div w:id="1932353471">
      <w:bodyDiv w:val="1"/>
      <w:marLeft w:val="0"/>
      <w:marRight w:val="0"/>
      <w:marTop w:val="0"/>
      <w:marBottom w:val="0"/>
      <w:divBdr>
        <w:top w:val="none" w:sz="0" w:space="0" w:color="auto"/>
        <w:left w:val="none" w:sz="0" w:space="0" w:color="auto"/>
        <w:bottom w:val="none" w:sz="0" w:space="0" w:color="auto"/>
        <w:right w:val="none" w:sz="0" w:space="0" w:color="auto"/>
      </w:divBdr>
    </w:div>
    <w:div w:id="1948730894">
      <w:bodyDiv w:val="1"/>
      <w:marLeft w:val="0"/>
      <w:marRight w:val="0"/>
      <w:marTop w:val="0"/>
      <w:marBottom w:val="0"/>
      <w:divBdr>
        <w:top w:val="none" w:sz="0" w:space="0" w:color="auto"/>
        <w:left w:val="none" w:sz="0" w:space="0" w:color="auto"/>
        <w:bottom w:val="none" w:sz="0" w:space="0" w:color="auto"/>
        <w:right w:val="none" w:sz="0" w:space="0" w:color="auto"/>
      </w:divBdr>
    </w:div>
    <w:div w:id="1954286214">
      <w:bodyDiv w:val="1"/>
      <w:marLeft w:val="0"/>
      <w:marRight w:val="0"/>
      <w:marTop w:val="0"/>
      <w:marBottom w:val="0"/>
      <w:divBdr>
        <w:top w:val="none" w:sz="0" w:space="0" w:color="auto"/>
        <w:left w:val="none" w:sz="0" w:space="0" w:color="auto"/>
        <w:bottom w:val="none" w:sz="0" w:space="0" w:color="auto"/>
        <w:right w:val="none" w:sz="0" w:space="0" w:color="auto"/>
      </w:divBdr>
    </w:div>
    <w:div w:id="1960260420">
      <w:bodyDiv w:val="1"/>
      <w:marLeft w:val="0"/>
      <w:marRight w:val="0"/>
      <w:marTop w:val="0"/>
      <w:marBottom w:val="0"/>
      <w:divBdr>
        <w:top w:val="none" w:sz="0" w:space="0" w:color="auto"/>
        <w:left w:val="none" w:sz="0" w:space="0" w:color="auto"/>
        <w:bottom w:val="none" w:sz="0" w:space="0" w:color="auto"/>
        <w:right w:val="none" w:sz="0" w:space="0" w:color="auto"/>
      </w:divBdr>
    </w:div>
    <w:div w:id="1984964400">
      <w:bodyDiv w:val="1"/>
      <w:marLeft w:val="0"/>
      <w:marRight w:val="0"/>
      <w:marTop w:val="0"/>
      <w:marBottom w:val="0"/>
      <w:divBdr>
        <w:top w:val="none" w:sz="0" w:space="0" w:color="auto"/>
        <w:left w:val="none" w:sz="0" w:space="0" w:color="auto"/>
        <w:bottom w:val="none" w:sz="0" w:space="0" w:color="auto"/>
        <w:right w:val="none" w:sz="0" w:space="0" w:color="auto"/>
      </w:divBdr>
    </w:div>
    <w:div w:id="1985815631">
      <w:bodyDiv w:val="1"/>
      <w:marLeft w:val="0"/>
      <w:marRight w:val="0"/>
      <w:marTop w:val="0"/>
      <w:marBottom w:val="0"/>
      <w:divBdr>
        <w:top w:val="none" w:sz="0" w:space="0" w:color="auto"/>
        <w:left w:val="none" w:sz="0" w:space="0" w:color="auto"/>
        <w:bottom w:val="none" w:sz="0" w:space="0" w:color="auto"/>
        <w:right w:val="none" w:sz="0" w:space="0" w:color="auto"/>
      </w:divBdr>
      <w:divsChild>
        <w:div w:id="15272450">
          <w:marLeft w:val="0"/>
          <w:marRight w:val="0"/>
          <w:marTop w:val="0"/>
          <w:marBottom w:val="0"/>
          <w:divBdr>
            <w:top w:val="none" w:sz="0" w:space="0" w:color="auto"/>
            <w:left w:val="none" w:sz="0" w:space="0" w:color="auto"/>
            <w:bottom w:val="none" w:sz="0" w:space="0" w:color="auto"/>
            <w:right w:val="none" w:sz="0" w:space="0" w:color="auto"/>
          </w:divBdr>
        </w:div>
        <w:div w:id="795416688">
          <w:marLeft w:val="0"/>
          <w:marRight w:val="0"/>
          <w:marTop w:val="0"/>
          <w:marBottom w:val="0"/>
          <w:divBdr>
            <w:top w:val="none" w:sz="0" w:space="0" w:color="auto"/>
            <w:left w:val="none" w:sz="0" w:space="0" w:color="auto"/>
            <w:bottom w:val="none" w:sz="0" w:space="0" w:color="auto"/>
            <w:right w:val="none" w:sz="0" w:space="0" w:color="auto"/>
          </w:divBdr>
        </w:div>
        <w:div w:id="1470319312">
          <w:marLeft w:val="0"/>
          <w:marRight w:val="0"/>
          <w:marTop w:val="0"/>
          <w:marBottom w:val="0"/>
          <w:divBdr>
            <w:top w:val="none" w:sz="0" w:space="0" w:color="auto"/>
            <w:left w:val="none" w:sz="0" w:space="0" w:color="auto"/>
            <w:bottom w:val="none" w:sz="0" w:space="0" w:color="auto"/>
            <w:right w:val="none" w:sz="0" w:space="0" w:color="auto"/>
          </w:divBdr>
        </w:div>
        <w:div w:id="1863980106">
          <w:marLeft w:val="0"/>
          <w:marRight w:val="0"/>
          <w:marTop w:val="0"/>
          <w:marBottom w:val="0"/>
          <w:divBdr>
            <w:top w:val="none" w:sz="0" w:space="0" w:color="auto"/>
            <w:left w:val="none" w:sz="0" w:space="0" w:color="auto"/>
            <w:bottom w:val="none" w:sz="0" w:space="0" w:color="auto"/>
            <w:right w:val="none" w:sz="0" w:space="0" w:color="auto"/>
          </w:divBdr>
        </w:div>
        <w:div w:id="2020161111">
          <w:marLeft w:val="0"/>
          <w:marRight w:val="0"/>
          <w:marTop w:val="0"/>
          <w:marBottom w:val="0"/>
          <w:divBdr>
            <w:top w:val="none" w:sz="0" w:space="0" w:color="auto"/>
            <w:left w:val="none" w:sz="0" w:space="0" w:color="auto"/>
            <w:bottom w:val="none" w:sz="0" w:space="0" w:color="auto"/>
            <w:right w:val="none" w:sz="0" w:space="0" w:color="auto"/>
          </w:divBdr>
        </w:div>
      </w:divsChild>
    </w:div>
    <w:div w:id="1995331981">
      <w:bodyDiv w:val="1"/>
      <w:marLeft w:val="0"/>
      <w:marRight w:val="0"/>
      <w:marTop w:val="0"/>
      <w:marBottom w:val="0"/>
      <w:divBdr>
        <w:top w:val="none" w:sz="0" w:space="0" w:color="auto"/>
        <w:left w:val="none" w:sz="0" w:space="0" w:color="auto"/>
        <w:bottom w:val="none" w:sz="0" w:space="0" w:color="auto"/>
        <w:right w:val="none" w:sz="0" w:space="0" w:color="auto"/>
      </w:divBdr>
    </w:div>
    <w:div w:id="1998069585">
      <w:bodyDiv w:val="1"/>
      <w:marLeft w:val="0"/>
      <w:marRight w:val="0"/>
      <w:marTop w:val="0"/>
      <w:marBottom w:val="0"/>
      <w:divBdr>
        <w:top w:val="none" w:sz="0" w:space="0" w:color="auto"/>
        <w:left w:val="none" w:sz="0" w:space="0" w:color="auto"/>
        <w:bottom w:val="none" w:sz="0" w:space="0" w:color="auto"/>
        <w:right w:val="none" w:sz="0" w:space="0" w:color="auto"/>
      </w:divBdr>
    </w:div>
    <w:div w:id="2003005947">
      <w:bodyDiv w:val="1"/>
      <w:marLeft w:val="0"/>
      <w:marRight w:val="0"/>
      <w:marTop w:val="0"/>
      <w:marBottom w:val="0"/>
      <w:divBdr>
        <w:top w:val="none" w:sz="0" w:space="0" w:color="auto"/>
        <w:left w:val="none" w:sz="0" w:space="0" w:color="auto"/>
        <w:bottom w:val="none" w:sz="0" w:space="0" w:color="auto"/>
        <w:right w:val="none" w:sz="0" w:space="0" w:color="auto"/>
      </w:divBdr>
    </w:div>
    <w:div w:id="2016960010">
      <w:bodyDiv w:val="1"/>
      <w:marLeft w:val="0"/>
      <w:marRight w:val="0"/>
      <w:marTop w:val="0"/>
      <w:marBottom w:val="0"/>
      <w:divBdr>
        <w:top w:val="none" w:sz="0" w:space="0" w:color="auto"/>
        <w:left w:val="none" w:sz="0" w:space="0" w:color="auto"/>
        <w:bottom w:val="none" w:sz="0" w:space="0" w:color="auto"/>
        <w:right w:val="none" w:sz="0" w:space="0" w:color="auto"/>
      </w:divBdr>
    </w:div>
    <w:div w:id="2023119292">
      <w:bodyDiv w:val="1"/>
      <w:marLeft w:val="0"/>
      <w:marRight w:val="0"/>
      <w:marTop w:val="0"/>
      <w:marBottom w:val="0"/>
      <w:divBdr>
        <w:top w:val="none" w:sz="0" w:space="0" w:color="auto"/>
        <w:left w:val="none" w:sz="0" w:space="0" w:color="auto"/>
        <w:bottom w:val="none" w:sz="0" w:space="0" w:color="auto"/>
        <w:right w:val="none" w:sz="0" w:space="0" w:color="auto"/>
      </w:divBdr>
    </w:div>
    <w:div w:id="2036073506">
      <w:bodyDiv w:val="1"/>
      <w:marLeft w:val="0"/>
      <w:marRight w:val="0"/>
      <w:marTop w:val="0"/>
      <w:marBottom w:val="0"/>
      <w:divBdr>
        <w:top w:val="none" w:sz="0" w:space="0" w:color="auto"/>
        <w:left w:val="none" w:sz="0" w:space="0" w:color="auto"/>
        <w:bottom w:val="none" w:sz="0" w:space="0" w:color="auto"/>
        <w:right w:val="none" w:sz="0" w:space="0" w:color="auto"/>
      </w:divBdr>
    </w:div>
    <w:div w:id="2037660670">
      <w:bodyDiv w:val="1"/>
      <w:marLeft w:val="0"/>
      <w:marRight w:val="0"/>
      <w:marTop w:val="0"/>
      <w:marBottom w:val="0"/>
      <w:divBdr>
        <w:top w:val="none" w:sz="0" w:space="0" w:color="auto"/>
        <w:left w:val="none" w:sz="0" w:space="0" w:color="auto"/>
        <w:bottom w:val="none" w:sz="0" w:space="0" w:color="auto"/>
        <w:right w:val="none" w:sz="0" w:space="0" w:color="auto"/>
      </w:divBdr>
    </w:div>
    <w:div w:id="2039503056">
      <w:bodyDiv w:val="1"/>
      <w:marLeft w:val="0"/>
      <w:marRight w:val="0"/>
      <w:marTop w:val="0"/>
      <w:marBottom w:val="0"/>
      <w:divBdr>
        <w:top w:val="none" w:sz="0" w:space="0" w:color="auto"/>
        <w:left w:val="none" w:sz="0" w:space="0" w:color="auto"/>
        <w:bottom w:val="none" w:sz="0" w:space="0" w:color="auto"/>
        <w:right w:val="none" w:sz="0" w:space="0" w:color="auto"/>
      </w:divBdr>
    </w:div>
    <w:div w:id="2047831906">
      <w:bodyDiv w:val="1"/>
      <w:marLeft w:val="0"/>
      <w:marRight w:val="0"/>
      <w:marTop w:val="0"/>
      <w:marBottom w:val="0"/>
      <w:divBdr>
        <w:top w:val="none" w:sz="0" w:space="0" w:color="auto"/>
        <w:left w:val="none" w:sz="0" w:space="0" w:color="auto"/>
        <w:bottom w:val="none" w:sz="0" w:space="0" w:color="auto"/>
        <w:right w:val="none" w:sz="0" w:space="0" w:color="auto"/>
      </w:divBdr>
    </w:div>
    <w:div w:id="2048753227">
      <w:bodyDiv w:val="1"/>
      <w:marLeft w:val="0"/>
      <w:marRight w:val="0"/>
      <w:marTop w:val="0"/>
      <w:marBottom w:val="0"/>
      <w:divBdr>
        <w:top w:val="none" w:sz="0" w:space="0" w:color="auto"/>
        <w:left w:val="none" w:sz="0" w:space="0" w:color="auto"/>
        <w:bottom w:val="none" w:sz="0" w:space="0" w:color="auto"/>
        <w:right w:val="none" w:sz="0" w:space="0" w:color="auto"/>
      </w:divBdr>
    </w:div>
    <w:div w:id="2076004987">
      <w:bodyDiv w:val="1"/>
      <w:marLeft w:val="0"/>
      <w:marRight w:val="0"/>
      <w:marTop w:val="0"/>
      <w:marBottom w:val="0"/>
      <w:divBdr>
        <w:top w:val="none" w:sz="0" w:space="0" w:color="auto"/>
        <w:left w:val="none" w:sz="0" w:space="0" w:color="auto"/>
        <w:bottom w:val="none" w:sz="0" w:space="0" w:color="auto"/>
        <w:right w:val="none" w:sz="0" w:space="0" w:color="auto"/>
      </w:divBdr>
    </w:div>
    <w:div w:id="2077240935">
      <w:bodyDiv w:val="1"/>
      <w:marLeft w:val="0"/>
      <w:marRight w:val="0"/>
      <w:marTop w:val="0"/>
      <w:marBottom w:val="0"/>
      <w:divBdr>
        <w:top w:val="none" w:sz="0" w:space="0" w:color="auto"/>
        <w:left w:val="none" w:sz="0" w:space="0" w:color="auto"/>
        <w:bottom w:val="none" w:sz="0" w:space="0" w:color="auto"/>
        <w:right w:val="none" w:sz="0" w:space="0" w:color="auto"/>
      </w:divBdr>
    </w:div>
    <w:div w:id="2083940037">
      <w:bodyDiv w:val="1"/>
      <w:marLeft w:val="0"/>
      <w:marRight w:val="0"/>
      <w:marTop w:val="0"/>
      <w:marBottom w:val="0"/>
      <w:divBdr>
        <w:top w:val="none" w:sz="0" w:space="0" w:color="auto"/>
        <w:left w:val="none" w:sz="0" w:space="0" w:color="auto"/>
        <w:bottom w:val="none" w:sz="0" w:space="0" w:color="auto"/>
        <w:right w:val="none" w:sz="0" w:space="0" w:color="auto"/>
      </w:divBdr>
    </w:div>
    <w:div w:id="2097290012">
      <w:bodyDiv w:val="1"/>
      <w:marLeft w:val="0"/>
      <w:marRight w:val="0"/>
      <w:marTop w:val="0"/>
      <w:marBottom w:val="0"/>
      <w:divBdr>
        <w:top w:val="none" w:sz="0" w:space="0" w:color="auto"/>
        <w:left w:val="none" w:sz="0" w:space="0" w:color="auto"/>
        <w:bottom w:val="none" w:sz="0" w:space="0" w:color="auto"/>
        <w:right w:val="none" w:sz="0" w:space="0" w:color="auto"/>
      </w:divBdr>
    </w:div>
    <w:div w:id="2115051306">
      <w:bodyDiv w:val="1"/>
      <w:marLeft w:val="0"/>
      <w:marRight w:val="0"/>
      <w:marTop w:val="0"/>
      <w:marBottom w:val="0"/>
      <w:divBdr>
        <w:top w:val="none" w:sz="0" w:space="0" w:color="auto"/>
        <w:left w:val="none" w:sz="0" w:space="0" w:color="auto"/>
        <w:bottom w:val="none" w:sz="0" w:space="0" w:color="auto"/>
        <w:right w:val="none" w:sz="0" w:space="0" w:color="auto"/>
      </w:divBdr>
    </w:div>
    <w:div w:id="2120449199">
      <w:bodyDiv w:val="1"/>
      <w:marLeft w:val="0"/>
      <w:marRight w:val="0"/>
      <w:marTop w:val="0"/>
      <w:marBottom w:val="0"/>
      <w:divBdr>
        <w:top w:val="none" w:sz="0" w:space="0" w:color="auto"/>
        <w:left w:val="none" w:sz="0" w:space="0" w:color="auto"/>
        <w:bottom w:val="none" w:sz="0" w:space="0" w:color="auto"/>
        <w:right w:val="none" w:sz="0" w:space="0" w:color="auto"/>
      </w:divBdr>
    </w:div>
    <w:div w:id="2121366549">
      <w:bodyDiv w:val="1"/>
      <w:marLeft w:val="0"/>
      <w:marRight w:val="0"/>
      <w:marTop w:val="0"/>
      <w:marBottom w:val="0"/>
      <w:divBdr>
        <w:top w:val="none" w:sz="0" w:space="0" w:color="auto"/>
        <w:left w:val="none" w:sz="0" w:space="0" w:color="auto"/>
        <w:bottom w:val="none" w:sz="0" w:space="0" w:color="auto"/>
        <w:right w:val="none" w:sz="0" w:space="0" w:color="auto"/>
      </w:divBdr>
    </w:div>
    <w:div w:id="2125147513">
      <w:bodyDiv w:val="1"/>
      <w:marLeft w:val="0"/>
      <w:marRight w:val="0"/>
      <w:marTop w:val="0"/>
      <w:marBottom w:val="0"/>
      <w:divBdr>
        <w:top w:val="none" w:sz="0" w:space="0" w:color="auto"/>
        <w:left w:val="none" w:sz="0" w:space="0" w:color="auto"/>
        <w:bottom w:val="none" w:sz="0" w:space="0" w:color="auto"/>
        <w:right w:val="none" w:sz="0" w:space="0" w:color="auto"/>
      </w:divBdr>
      <w:divsChild>
        <w:div w:id="22559434">
          <w:marLeft w:val="0"/>
          <w:marRight w:val="0"/>
          <w:marTop w:val="80"/>
          <w:marBottom w:val="80"/>
          <w:divBdr>
            <w:top w:val="none" w:sz="0" w:space="0" w:color="auto"/>
            <w:left w:val="none" w:sz="0" w:space="0" w:color="auto"/>
            <w:bottom w:val="none" w:sz="0" w:space="0" w:color="auto"/>
            <w:right w:val="none" w:sz="0" w:space="0" w:color="auto"/>
          </w:divBdr>
        </w:div>
        <w:div w:id="227955830">
          <w:marLeft w:val="0"/>
          <w:marRight w:val="0"/>
          <w:marTop w:val="80"/>
          <w:marBottom w:val="80"/>
          <w:divBdr>
            <w:top w:val="none" w:sz="0" w:space="0" w:color="auto"/>
            <w:left w:val="none" w:sz="0" w:space="0" w:color="auto"/>
            <w:bottom w:val="none" w:sz="0" w:space="0" w:color="auto"/>
            <w:right w:val="none" w:sz="0" w:space="0" w:color="auto"/>
          </w:divBdr>
        </w:div>
        <w:div w:id="228658964">
          <w:marLeft w:val="0"/>
          <w:marRight w:val="0"/>
          <w:marTop w:val="80"/>
          <w:marBottom w:val="80"/>
          <w:divBdr>
            <w:top w:val="none" w:sz="0" w:space="0" w:color="auto"/>
            <w:left w:val="none" w:sz="0" w:space="0" w:color="auto"/>
            <w:bottom w:val="none" w:sz="0" w:space="0" w:color="auto"/>
            <w:right w:val="none" w:sz="0" w:space="0" w:color="auto"/>
          </w:divBdr>
        </w:div>
        <w:div w:id="1462965890">
          <w:marLeft w:val="0"/>
          <w:marRight w:val="0"/>
          <w:marTop w:val="80"/>
          <w:marBottom w:val="80"/>
          <w:divBdr>
            <w:top w:val="none" w:sz="0" w:space="0" w:color="auto"/>
            <w:left w:val="none" w:sz="0" w:space="0" w:color="auto"/>
            <w:bottom w:val="none" w:sz="0" w:space="0" w:color="auto"/>
            <w:right w:val="none" w:sz="0" w:space="0" w:color="auto"/>
          </w:divBdr>
        </w:div>
      </w:divsChild>
    </w:div>
    <w:div w:id="2125342135">
      <w:bodyDiv w:val="1"/>
      <w:marLeft w:val="0"/>
      <w:marRight w:val="0"/>
      <w:marTop w:val="0"/>
      <w:marBottom w:val="0"/>
      <w:divBdr>
        <w:top w:val="none" w:sz="0" w:space="0" w:color="auto"/>
        <w:left w:val="none" w:sz="0" w:space="0" w:color="auto"/>
        <w:bottom w:val="none" w:sz="0" w:space="0" w:color="auto"/>
        <w:right w:val="none" w:sz="0" w:space="0" w:color="auto"/>
      </w:divBdr>
    </w:div>
    <w:div w:id="2129738993">
      <w:bodyDiv w:val="1"/>
      <w:marLeft w:val="0"/>
      <w:marRight w:val="0"/>
      <w:marTop w:val="0"/>
      <w:marBottom w:val="0"/>
      <w:divBdr>
        <w:top w:val="none" w:sz="0" w:space="0" w:color="auto"/>
        <w:left w:val="none" w:sz="0" w:space="0" w:color="auto"/>
        <w:bottom w:val="none" w:sz="0" w:space="0" w:color="auto"/>
        <w:right w:val="none" w:sz="0" w:space="0" w:color="auto"/>
      </w:divBdr>
      <w:divsChild>
        <w:div w:id="250360335">
          <w:marLeft w:val="0"/>
          <w:marRight w:val="0"/>
          <w:marTop w:val="80"/>
          <w:marBottom w:val="80"/>
          <w:divBdr>
            <w:top w:val="none" w:sz="0" w:space="0" w:color="auto"/>
            <w:left w:val="none" w:sz="0" w:space="0" w:color="auto"/>
            <w:bottom w:val="none" w:sz="0" w:space="0" w:color="auto"/>
            <w:right w:val="none" w:sz="0" w:space="0" w:color="auto"/>
          </w:divBdr>
        </w:div>
        <w:div w:id="408429902">
          <w:marLeft w:val="0"/>
          <w:marRight w:val="0"/>
          <w:marTop w:val="80"/>
          <w:marBottom w:val="80"/>
          <w:divBdr>
            <w:top w:val="none" w:sz="0" w:space="0" w:color="auto"/>
            <w:left w:val="none" w:sz="0" w:space="0" w:color="auto"/>
            <w:bottom w:val="none" w:sz="0" w:space="0" w:color="auto"/>
            <w:right w:val="none" w:sz="0" w:space="0" w:color="auto"/>
          </w:divBdr>
        </w:div>
        <w:div w:id="452556031">
          <w:marLeft w:val="0"/>
          <w:marRight w:val="0"/>
          <w:marTop w:val="80"/>
          <w:marBottom w:val="80"/>
          <w:divBdr>
            <w:top w:val="none" w:sz="0" w:space="0" w:color="auto"/>
            <w:left w:val="none" w:sz="0" w:space="0" w:color="auto"/>
            <w:bottom w:val="none" w:sz="0" w:space="0" w:color="auto"/>
            <w:right w:val="none" w:sz="0" w:space="0" w:color="auto"/>
          </w:divBdr>
        </w:div>
        <w:div w:id="958337055">
          <w:marLeft w:val="0"/>
          <w:marRight w:val="0"/>
          <w:marTop w:val="80"/>
          <w:marBottom w:val="80"/>
          <w:divBdr>
            <w:top w:val="none" w:sz="0" w:space="0" w:color="auto"/>
            <w:left w:val="none" w:sz="0" w:space="0" w:color="auto"/>
            <w:bottom w:val="none" w:sz="0" w:space="0" w:color="auto"/>
            <w:right w:val="none" w:sz="0" w:space="0" w:color="auto"/>
          </w:divBdr>
        </w:div>
      </w:divsChild>
    </w:div>
    <w:div w:id="2131705857">
      <w:bodyDiv w:val="1"/>
      <w:marLeft w:val="0"/>
      <w:marRight w:val="0"/>
      <w:marTop w:val="0"/>
      <w:marBottom w:val="0"/>
      <w:divBdr>
        <w:top w:val="none" w:sz="0" w:space="0" w:color="auto"/>
        <w:left w:val="none" w:sz="0" w:space="0" w:color="auto"/>
        <w:bottom w:val="none" w:sz="0" w:space="0" w:color="auto"/>
        <w:right w:val="none" w:sz="0" w:space="0" w:color="auto"/>
      </w:divBdr>
    </w:div>
    <w:div w:id="2142459841">
      <w:bodyDiv w:val="1"/>
      <w:marLeft w:val="0"/>
      <w:marRight w:val="0"/>
      <w:marTop w:val="0"/>
      <w:marBottom w:val="0"/>
      <w:divBdr>
        <w:top w:val="none" w:sz="0" w:space="0" w:color="auto"/>
        <w:left w:val="none" w:sz="0" w:space="0" w:color="auto"/>
        <w:bottom w:val="none" w:sz="0" w:space="0" w:color="auto"/>
        <w:right w:val="none" w:sz="0" w:space="0" w:color="auto"/>
      </w:divBdr>
    </w:div>
    <w:div w:id="2143224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footer" Target="footer7.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header" Target="header6.xml"/><Relationship Id="rId30" Type="http://schemas.openxmlformats.org/officeDocument/2006/relationships/header" Target="header7.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Action Plan Colour Scheme">
      <a:dk1>
        <a:srgbClr val="000000"/>
      </a:dk1>
      <a:lt1>
        <a:srgbClr val="FFFFFF"/>
      </a:lt1>
      <a:dk2>
        <a:srgbClr val="081E3E"/>
      </a:dk2>
      <a:lt2>
        <a:srgbClr val="E7E7E7"/>
      </a:lt2>
      <a:accent1>
        <a:srgbClr val="3AAFA9"/>
      </a:accent1>
      <a:accent2>
        <a:srgbClr val="FF7751"/>
      </a:accent2>
      <a:accent3>
        <a:srgbClr val="FFC72C"/>
      </a:accent3>
      <a:accent4>
        <a:srgbClr val="D2D755"/>
      </a:accent4>
      <a:accent5>
        <a:srgbClr val="17242A"/>
      </a:accent5>
      <a:accent6>
        <a:srgbClr val="FFFFFF"/>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1">
          <a:schemeClr val="accent3"/>
        </a:lnRef>
        <a:fillRef idx="2">
          <a:schemeClr val="accent3"/>
        </a:fillRef>
        <a:effectRef idx="1">
          <a:schemeClr val="accent3"/>
        </a:effectRef>
        <a:fontRef idx="minor">
          <a:schemeClr val="dk1"/>
        </a:fontRef>
      </a:style>
    </a:spDef>
    <a:txDef>
      <a:spPr>
        <a:solidFill>
          <a:prstClr val="white"/>
        </a:solidFill>
        <a:ln>
          <a:noFill/>
        </a:ln>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TURABIAN.XSL" StyleName="Turabian" Version="6">
  <b:Source>
    <b:Tag>Off15</b:Tag>
    <b:SourceType>Report</b:SourceType>
    <b:Guid>{2A55A7C0-594A-4611-A026-DA7F90C7D909}</b:Guid>
    <b:Author>
      <b:Author>
        <b:Corporate>Office of Northern Australia</b:Corporate>
      </b:Author>
    </b:Author>
    <b:Title>Our North, Our Future: White Paper on Developing Northern Australia</b:Title>
    <b:Year>2015</b:Year>
    <b:Publisher>Office of Northern Australia</b:Publisher>
    <b:City>Canberra</b:City>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D4F97C-EBD1-4328-8572-9404F4DF69DD}">
  <ds:schemaRefs>
    <ds:schemaRef ds:uri="http://schemas.openxmlformats.org/officeDocument/2006/bibliography"/>
  </ds:schemaRefs>
</ds:datastoreItem>
</file>

<file path=docMetadata/LabelInfo.xml><?xml version="1.0" encoding="utf-8"?>
<clbl:labelList xmlns:clbl="http://schemas.microsoft.com/office/2020/mipLabelMetadata">
  <clbl:label id="{1e08a618-4c1e-4517-8ef1-59cb63d68e36}" enabled="1" method="Privileged" siteId="{aa21b640-bac2-456d-8505-f2cc07f51784}" contentBits="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16</Pages>
  <Words>7490</Words>
  <Characters>42698</Characters>
  <Application>Microsoft Office Word</Application>
  <DocSecurity>8</DocSecurity>
  <Lines>355</Lines>
  <Paragraphs>100</Paragraphs>
  <ScaleCrop>false</ScaleCrop>
  <HeadingPairs>
    <vt:vector size="2" baseType="variant">
      <vt:variant>
        <vt:lpstr>Title</vt:lpstr>
      </vt:variant>
      <vt:variant>
        <vt:i4>1</vt:i4>
      </vt:variant>
    </vt:vector>
  </HeadingPairs>
  <TitlesOfParts>
    <vt:vector size="1" baseType="lpstr">
      <vt:lpstr>Northern Australia Action Plan 2024-2029: Annual Progress Report 2025</vt:lpstr>
    </vt:vector>
  </TitlesOfParts>
  <Manager/>
  <Company/>
  <LinksUpToDate>false</LinksUpToDate>
  <CharactersWithSpaces>50088</CharactersWithSpaces>
  <SharedDoc>false</SharedDoc>
  <HyperlinkBase/>
  <HLinks>
    <vt:vector size="6" baseType="variant">
      <vt:variant>
        <vt:i4>2293872</vt:i4>
      </vt:variant>
      <vt:variant>
        <vt:i4>0</vt:i4>
      </vt:variant>
      <vt:variant>
        <vt:i4>0</vt:i4>
      </vt:variant>
      <vt:variant>
        <vt:i4>5</vt:i4>
      </vt:variant>
      <vt:variant>
        <vt:lpwstr>https://ministers.dewr.gov.au/watt/northern-territory-welcomes-first-palm-scheme-workers-early-childhood-education-and-care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Australia Action Plan 2024-2029: Annual Progress Report 2025</dc:title>
  <dc:subject>Development of northern Australia</dc:subject>
  <dc:creator>Australian Government, Department of Infrastructure, Transport, Regional Development, Communications, Sport and the Arts</dc:creator>
  <cp:keywords>Northern Australia, Economic Development, First Nations, Annual Progress Report</cp:keywords>
  <dc:description/>
  <cp:lastModifiedBy/>
  <cp:revision>1</cp:revision>
  <dcterms:created xsi:type="dcterms:W3CDTF">2025-11-14T05:16:00Z</dcterms:created>
  <dcterms:modified xsi:type="dcterms:W3CDTF">2025-11-14T05:34:00Z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469767e5,20099e2a,727aae2e,68b58c3f,423b8fad,6bfc3dc2,7356af55</vt:lpwstr>
  </property>
  <property fmtid="{D5CDD505-2E9C-101B-9397-08002B2CF9AE}" pid="3" name="ClassificationContentMarkingHeaderFontProps">
    <vt:lpwstr>#ff0000,14,Calibri</vt:lpwstr>
  </property>
  <property fmtid="{D5CDD505-2E9C-101B-9397-08002B2CF9AE}" pid="4" name="ClassificationContentMarkingHeaderText">
    <vt:lpwstr>UNOFFICIAL</vt:lpwstr>
  </property>
  <property fmtid="{D5CDD505-2E9C-101B-9397-08002B2CF9AE}" pid="5" name="ClassificationContentMarkingFooterShapeIds">
    <vt:lpwstr>5a230606,704f52b3,7c4b1b18,17f075e7,5e578a5d,420f80,59d1b6e5</vt:lpwstr>
  </property>
  <property fmtid="{D5CDD505-2E9C-101B-9397-08002B2CF9AE}" pid="6" name="ClassificationContentMarkingFooterFontProps">
    <vt:lpwstr>#ff0000,14,Calibri</vt:lpwstr>
  </property>
  <property fmtid="{D5CDD505-2E9C-101B-9397-08002B2CF9AE}" pid="7" name="ClassificationContentMarkingFooterText">
    <vt:lpwstr>UNOFFICIAL</vt:lpwstr>
  </property>
</Properties>
</file>