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E2896" w14:textId="2757CB19" w:rsidR="00F61408" w:rsidRPr="00455191" w:rsidRDefault="00F61408" w:rsidP="00F61408">
      <w:pPr>
        <w:pStyle w:val="Heading1"/>
      </w:pPr>
      <w:r w:rsidRPr="00455191">
        <w:t>Methods of converting the type-approval CO</w:t>
      </w:r>
      <w:r w:rsidRPr="00455191">
        <w:rPr>
          <w:vertAlign w:val="subscript"/>
        </w:rPr>
        <w:t>2</w:t>
      </w:r>
      <w:r w:rsidRPr="00455191">
        <w:t xml:space="preserve"> emission values of light vehicles for Australia’s New Vehicle Efficiency Standard</w:t>
      </w:r>
    </w:p>
    <w:p w14:paraId="5B6D2AF6" w14:textId="11892543" w:rsidR="00B715FA" w:rsidRPr="005D4BA8" w:rsidRDefault="0007724B" w:rsidP="005D4BA8">
      <w:r w:rsidRPr="005D4BA8">
        <w:t xml:space="preserve">Prepared </w:t>
      </w:r>
      <w:r w:rsidR="00325B2B" w:rsidRPr="005D4BA8">
        <w:t>by The International Council on Clean Transportation</w:t>
      </w:r>
      <w:r w:rsidR="00773368" w:rsidRPr="005D4BA8">
        <w:t xml:space="preserve"> </w:t>
      </w:r>
    </w:p>
    <w:p w14:paraId="24EAAA72" w14:textId="0F9F9D4B" w:rsidR="00773368" w:rsidRPr="00455191" w:rsidRDefault="00773368" w:rsidP="00B55BEC">
      <w:pPr>
        <w:pStyle w:val="Heading2"/>
      </w:pPr>
      <w:r w:rsidRPr="00455191">
        <w:t>Introduction</w:t>
      </w:r>
    </w:p>
    <w:p w14:paraId="2ECD4A5F" w14:textId="0FB24453" w:rsidR="00D6088A" w:rsidRPr="00455191" w:rsidRDefault="00AD4AE8" w:rsidP="00F61408">
      <w:pPr>
        <w:rPr>
          <w:sz w:val="24"/>
          <w:szCs w:val="24"/>
        </w:rPr>
      </w:pPr>
      <w:r w:rsidRPr="00455191">
        <w:t>Australia’s measur</w:t>
      </w:r>
      <w:r w:rsidR="001B68F0" w:rsidRPr="00455191">
        <w:t>ement of</w:t>
      </w:r>
      <w:r w:rsidRPr="00455191">
        <w:t xml:space="preserve"> fuel consumption and emissions</w:t>
      </w:r>
      <w:r w:rsidR="001B68F0" w:rsidRPr="00455191">
        <w:t xml:space="preserve"> of light-duty vehicles</w:t>
      </w:r>
      <w:r w:rsidRPr="00455191">
        <w:t xml:space="preserve"> </w:t>
      </w:r>
      <w:r w:rsidR="00CC0EB1" w:rsidRPr="00455191">
        <w:t>(LDVs)</w:t>
      </w:r>
      <w:r w:rsidRPr="00455191">
        <w:t xml:space="preserve"> </w:t>
      </w:r>
      <w:r w:rsidR="00E57ED0" w:rsidRPr="00455191">
        <w:t>ha</w:t>
      </w:r>
      <w:r w:rsidR="00233813" w:rsidRPr="00455191">
        <w:t>s</w:t>
      </w:r>
      <w:r w:rsidR="00E57ED0" w:rsidRPr="00455191">
        <w:t xml:space="preserve"> been</w:t>
      </w:r>
      <w:r w:rsidRPr="00455191">
        <w:t xml:space="preserve"> based on the </w:t>
      </w:r>
      <w:r w:rsidR="00C41467" w:rsidRPr="00455191">
        <w:rPr>
          <w:lang w:val="en-AU"/>
        </w:rPr>
        <w:t>New European Driving Cycle (</w:t>
      </w:r>
      <w:r w:rsidRPr="00455191">
        <w:t>NEDC</w:t>
      </w:r>
      <w:r w:rsidR="00262E11" w:rsidRPr="00455191">
        <w:t>;</w:t>
      </w:r>
      <w:r w:rsidR="0086734F" w:rsidRPr="00455191">
        <w:t xml:space="preserve"> </w:t>
      </w:r>
      <w:r w:rsidR="00C27FF7" w:rsidRPr="00455191">
        <w:rPr>
          <w:noProof/>
        </w:rPr>
        <w:t>Australian Government, 2021)</w:t>
      </w:r>
      <w:r w:rsidR="00861482" w:rsidRPr="00455191">
        <w:t xml:space="preserve">. </w:t>
      </w:r>
      <w:r w:rsidR="002E1F50" w:rsidRPr="00455191">
        <w:t>R</w:t>
      </w:r>
      <w:r w:rsidR="004C4139" w:rsidRPr="00455191">
        <w:t>egulatory agencies use t</w:t>
      </w:r>
      <w:r w:rsidR="00861482" w:rsidRPr="00455191">
        <w:t xml:space="preserve">hese values </w:t>
      </w:r>
      <w:r w:rsidR="00F16035" w:rsidRPr="00455191">
        <w:t xml:space="preserve">to determine compliance </w:t>
      </w:r>
      <w:r w:rsidR="002E1F50" w:rsidRPr="00455191">
        <w:t>with</w:t>
      </w:r>
      <w:r w:rsidR="00F16035" w:rsidRPr="00455191">
        <w:t xml:space="preserve"> emission standards and </w:t>
      </w:r>
      <w:r w:rsidR="00861482" w:rsidRPr="00455191">
        <w:t xml:space="preserve">to show fuel consumption and </w:t>
      </w:r>
      <w:r w:rsidR="00E80D36" w:rsidRPr="00455191">
        <w:t>carbon dioxide (</w:t>
      </w:r>
      <w:r w:rsidR="00861482" w:rsidRPr="00455191">
        <w:t>CO</w:t>
      </w:r>
      <w:r w:rsidR="00861482" w:rsidRPr="00455191">
        <w:rPr>
          <w:vertAlign w:val="subscript"/>
        </w:rPr>
        <w:t>2</w:t>
      </w:r>
      <w:r w:rsidR="00E80D36" w:rsidRPr="00455191">
        <w:t xml:space="preserve">) </w:t>
      </w:r>
      <w:r w:rsidR="00861482" w:rsidRPr="00455191">
        <w:t>emission value</w:t>
      </w:r>
      <w:r w:rsidR="002A5DBD" w:rsidRPr="00455191">
        <w:t>s</w:t>
      </w:r>
      <w:r w:rsidR="00861482" w:rsidRPr="00455191">
        <w:t xml:space="preserve"> on the </w:t>
      </w:r>
      <w:r w:rsidR="009E5BA3" w:rsidRPr="00A617C2">
        <w:t xml:space="preserve">fuel consumption </w:t>
      </w:r>
      <w:r w:rsidR="00861482" w:rsidRPr="00A617C2">
        <w:t>label</w:t>
      </w:r>
      <w:r w:rsidR="00A0776E" w:rsidRPr="006D7C7C">
        <w:rPr>
          <w:highlight w:val="yellow"/>
        </w:rPr>
        <w:t xml:space="preserve"> </w:t>
      </w:r>
      <w:r w:rsidR="00A0776E" w:rsidRPr="00E11137">
        <w:t>mandated by Australian Design Rule (ADR) 81/02</w:t>
      </w:r>
      <w:r w:rsidRPr="00E11137">
        <w:t>.</w:t>
      </w:r>
    </w:p>
    <w:p w14:paraId="4F09E002" w14:textId="7897549C" w:rsidR="00AD4AE8" w:rsidRPr="00455191" w:rsidRDefault="00AD4AE8" w:rsidP="00F61408">
      <w:pPr>
        <w:rPr>
          <w:sz w:val="24"/>
          <w:szCs w:val="24"/>
        </w:rPr>
      </w:pPr>
      <w:r w:rsidRPr="00455191">
        <w:t>In April 2024, Australia</w:t>
      </w:r>
      <w:r w:rsidR="00393626" w:rsidRPr="00455191">
        <w:t>’s Minister for Infrastructure, Transport, Regional Development, and Local Government</w:t>
      </w:r>
      <w:r w:rsidRPr="00455191">
        <w:t xml:space="preserve"> adopted Australian Design Rule </w:t>
      </w:r>
      <w:r w:rsidR="00826EDB" w:rsidRPr="00455191">
        <w:t xml:space="preserve">(ADR) </w:t>
      </w:r>
      <w:r w:rsidRPr="00455191">
        <w:t>79/05</w:t>
      </w:r>
      <w:r w:rsidR="00757A5E" w:rsidRPr="00455191">
        <w:t>,</w:t>
      </w:r>
      <w:r w:rsidRPr="00455191">
        <w:t xml:space="preserve"> mandating Euro 6d</w:t>
      </w:r>
      <w:r w:rsidR="00816D16" w:rsidRPr="00455191">
        <w:t>-</w:t>
      </w:r>
      <w:r w:rsidRPr="00455191">
        <w:t xml:space="preserve">equivalent </w:t>
      </w:r>
      <w:r w:rsidR="002F123D" w:rsidRPr="00455191">
        <w:t xml:space="preserve">emission </w:t>
      </w:r>
      <w:r w:rsidRPr="00455191">
        <w:t xml:space="preserve">standards for newly approved </w:t>
      </w:r>
      <w:r w:rsidR="006C0B38" w:rsidRPr="00455191">
        <w:t xml:space="preserve">light vehicle </w:t>
      </w:r>
      <w:r w:rsidRPr="00455191">
        <w:t>models</w:t>
      </w:r>
      <w:r w:rsidR="00B75567" w:rsidRPr="00455191">
        <w:t xml:space="preserve"> </w:t>
      </w:r>
      <w:r w:rsidR="002D3998" w:rsidRPr="00455191">
        <w:t xml:space="preserve">imported </w:t>
      </w:r>
      <w:r w:rsidRPr="00455191">
        <w:t xml:space="preserve">from December 2025 and all new vehicles </w:t>
      </w:r>
      <w:r w:rsidR="003622C2" w:rsidRPr="00455191">
        <w:t xml:space="preserve">imported </w:t>
      </w:r>
      <w:r w:rsidRPr="00455191">
        <w:t>from July 2028</w:t>
      </w:r>
      <w:r w:rsidR="00A80A7B" w:rsidRPr="00455191">
        <w:t xml:space="preserve"> </w:t>
      </w:r>
      <w:r w:rsidR="00E22CFD" w:rsidRPr="00455191">
        <w:rPr>
          <w:noProof/>
        </w:rPr>
        <w:t>(Australian Government, 2024b)</w:t>
      </w:r>
      <w:r w:rsidRPr="00455191">
        <w:t>.</w:t>
      </w:r>
      <w:r w:rsidR="008120EE" w:rsidRPr="00455191">
        <w:rPr>
          <w:rStyle w:val="FootnoteReference"/>
        </w:rPr>
        <w:footnoteReference w:id="2"/>
      </w:r>
      <w:r w:rsidR="001E57C5" w:rsidRPr="00455191">
        <w:rPr>
          <w:sz w:val="24"/>
          <w:szCs w:val="24"/>
        </w:rPr>
        <w:t xml:space="preserve"> </w:t>
      </w:r>
      <w:r w:rsidR="0099091F" w:rsidRPr="00455191">
        <w:t>T</w:t>
      </w:r>
      <w:r w:rsidR="004638FC" w:rsidRPr="00455191">
        <w:t xml:space="preserve">o comply with </w:t>
      </w:r>
      <w:r w:rsidRPr="00455191">
        <w:t>ADR 79/05</w:t>
      </w:r>
      <w:r w:rsidR="004638FC" w:rsidRPr="00455191">
        <w:t>, vehicles</w:t>
      </w:r>
      <w:r w:rsidRPr="00455191">
        <w:t xml:space="preserve"> m</w:t>
      </w:r>
      <w:r w:rsidR="00161A5F" w:rsidRPr="00455191">
        <w:t>ust</w:t>
      </w:r>
      <w:r w:rsidRPr="00455191">
        <w:t xml:space="preserve"> be tested in accordance with either </w:t>
      </w:r>
      <w:r w:rsidR="000A326B" w:rsidRPr="00455191">
        <w:t xml:space="preserve">the </w:t>
      </w:r>
      <w:r w:rsidRPr="00455191">
        <w:t>4</w:t>
      </w:r>
      <w:r w:rsidR="0044290E" w:rsidRPr="00455191">
        <w:t>-</w:t>
      </w:r>
      <w:r w:rsidRPr="00455191">
        <w:t xml:space="preserve">phase </w:t>
      </w:r>
      <w:r w:rsidR="003C754C" w:rsidRPr="00455191">
        <w:rPr>
          <w:lang w:val="en-NZ"/>
        </w:rPr>
        <w:t xml:space="preserve">Worldwide </w:t>
      </w:r>
      <w:r w:rsidR="00B46395" w:rsidRPr="00455191">
        <w:rPr>
          <w:lang w:val="en-AU"/>
        </w:rPr>
        <w:t>h</w:t>
      </w:r>
      <w:r w:rsidR="003C754C" w:rsidRPr="00455191">
        <w:rPr>
          <w:lang w:val="en-AU"/>
        </w:rPr>
        <w:t xml:space="preserve">armonized Light </w:t>
      </w:r>
      <w:r w:rsidR="00B46395" w:rsidRPr="00455191">
        <w:rPr>
          <w:lang w:val="en-AU"/>
        </w:rPr>
        <w:t>v</w:t>
      </w:r>
      <w:r w:rsidR="003C754C" w:rsidRPr="00455191">
        <w:rPr>
          <w:lang w:val="en-AU"/>
        </w:rPr>
        <w:t>ehicle Test Procedure (</w:t>
      </w:r>
      <w:r w:rsidR="00204E5E" w:rsidRPr="00455191">
        <w:rPr>
          <w:lang w:val="en-AU"/>
        </w:rPr>
        <w:t>4p-</w:t>
      </w:r>
      <w:r w:rsidRPr="00455191">
        <w:t>WLTP</w:t>
      </w:r>
      <w:r w:rsidR="003C754C" w:rsidRPr="00455191">
        <w:t>)</w:t>
      </w:r>
      <w:r w:rsidRPr="00455191">
        <w:t xml:space="preserve">, </w:t>
      </w:r>
      <w:r w:rsidR="000A326B" w:rsidRPr="00455191">
        <w:t xml:space="preserve">the </w:t>
      </w:r>
      <w:r w:rsidRPr="00455191">
        <w:t>3</w:t>
      </w:r>
      <w:r w:rsidR="0044290E" w:rsidRPr="00455191">
        <w:t>-</w:t>
      </w:r>
      <w:r w:rsidRPr="00455191">
        <w:t>phase WLTP</w:t>
      </w:r>
      <w:r w:rsidR="00204E5E" w:rsidRPr="00455191">
        <w:t xml:space="preserve"> (3p-WLTP)</w:t>
      </w:r>
      <w:r w:rsidR="0044290E" w:rsidRPr="00455191">
        <w:t>,</w:t>
      </w:r>
      <w:r w:rsidRPr="00455191">
        <w:t xml:space="preserve"> or </w:t>
      </w:r>
      <w:r w:rsidR="00F81734" w:rsidRPr="00455191">
        <w:t xml:space="preserve">the </w:t>
      </w:r>
      <w:r w:rsidR="00C134FD" w:rsidRPr="00455191">
        <w:rPr>
          <w:lang w:val="en-AU"/>
        </w:rPr>
        <w:t>U.S.</w:t>
      </w:r>
      <w:r w:rsidR="004B06F1" w:rsidRPr="00455191">
        <w:rPr>
          <w:lang w:val="en-AU"/>
        </w:rPr>
        <w:t xml:space="preserve"> </w:t>
      </w:r>
      <w:r w:rsidR="004F24B5">
        <w:rPr>
          <w:lang w:val="en-AU"/>
        </w:rPr>
        <w:t xml:space="preserve">2-cycle </w:t>
      </w:r>
      <w:r w:rsidR="001F5D86" w:rsidRPr="0019080C">
        <w:rPr>
          <w:lang w:val="en-AU"/>
        </w:rPr>
        <w:t>test procedures</w:t>
      </w:r>
      <w:r w:rsidRPr="00455191">
        <w:t>.</w:t>
      </w:r>
    </w:p>
    <w:p w14:paraId="036EEB2B" w14:textId="6DB48DD1" w:rsidR="00082F93" w:rsidRPr="00455191" w:rsidRDefault="003E7C2E" w:rsidP="00F61408">
      <w:r w:rsidRPr="006D7C7C">
        <w:t xml:space="preserve">As existing vehicle models may continue to comply with NEDC testing requirements until July 2028, </w:t>
      </w:r>
      <w:r w:rsidR="00367DCF" w:rsidRPr="006D7C7C">
        <w:t xml:space="preserve">Australia’s </w:t>
      </w:r>
      <w:r w:rsidR="00EB3E4A" w:rsidRPr="006D7C7C">
        <w:t>New Vehicle Efficiency Standard</w:t>
      </w:r>
      <w:r w:rsidR="00AD4AE8" w:rsidRPr="006D7C7C">
        <w:t xml:space="preserve"> </w:t>
      </w:r>
      <w:r w:rsidR="00EB3E4A" w:rsidRPr="006D7C7C">
        <w:t>(</w:t>
      </w:r>
      <w:r w:rsidR="00463802" w:rsidRPr="006D7C7C">
        <w:t>NVES</w:t>
      </w:r>
      <w:r w:rsidR="00EB3E4A" w:rsidRPr="006D7C7C">
        <w:t>)</w:t>
      </w:r>
      <w:r w:rsidR="00CC44CB" w:rsidRPr="006D7C7C">
        <w:t>,</w:t>
      </w:r>
      <w:r w:rsidR="00AD4AE8" w:rsidRPr="006D7C7C">
        <w:t xml:space="preserve"> </w:t>
      </w:r>
      <w:r w:rsidR="0099369F" w:rsidRPr="006D7C7C">
        <w:t>which commenced on January</w:t>
      </w:r>
      <w:r w:rsidR="00E11137" w:rsidRPr="006D7C7C">
        <w:t xml:space="preserve"> 1,</w:t>
      </w:r>
      <w:r w:rsidR="0099369F" w:rsidRPr="006D7C7C">
        <w:t xml:space="preserve"> 2025</w:t>
      </w:r>
      <w:r w:rsidR="00CC44CB" w:rsidRPr="006D7C7C">
        <w:t>,</w:t>
      </w:r>
      <w:r w:rsidR="00426B71" w:rsidRPr="006D7C7C">
        <w:t xml:space="preserve"> define</w:t>
      </w:r>
      <w:r w:rsidR="005E191C" w:rsidRPr="006D7C7C">
        <w:t>s</w:t>
      </w:r>
      <w:r w:rsidR="00AD4AE8" w:rsidRPr="006D7C7C">
        <w:t xml:space="preserve"> </w:t>
      </w:r>
      <w:r w:rsidR="00525066" w:rsidRPr="006D7C7C">
        <w:t xml:space="preserve">LDV </w:t>
      </w:r>
      <w:r w:rsidR="00461201" w:rsidRPr="006D7C7C">
        <w:t>CO</w:t>
      </w:r>
      <w:r w:rsidR="00461201" w:rsidRPr="006D7C7C">
        <w:rPr>
          <w:vertAlign w:val="subscript"/>
        </w:rPr>
        <w:t>2</w:t>
      </w:r>
      <w:r w:rsidR="00461201" w:rsidRPr="006D7C7C">
        <w:t xml:space="preserve"> </w:t>
      </w:r>
      <w:r w:rsidR="00AD4AE8" w:rsidRPr="006D7C7C">
        <w:t>targets for 2025</w:t>
      </w:r>
      <w:r w:rsidR="00C46EFA" w:rsidRPr="006D7C7C">
        <w:t>–</w:t>
      </w:r>
      <w:r w:rsidR="00AD4AE8" w:rsidRPr="006D7C7C">
        <w:t>2029</w:t>
      </w:r>
      <w:r w:rsidR="00AD4AE8" w:rsidRPr="006D7C7C" w:rsidDel="005E58E7">
        <w:t xml:space="preserve"> </w:t>
      </w:r>
      <w:r w:rsidR="00AB1C07" w:rsidRPr="006D7C7C">
        <w:t>based on the</w:t>
      </w:r>
      <w:r w:rsidR="00AD4AE8" w:rsidRPr="006D7C7C">
        <w:t xml:space="preserve"> NEDC </w:t>
      </w:r>
      <w:r w:rsidR="00E22CFD" w:rsidRPr="006D7C7C">
        <w:rPr>
          <w:noProof/>
        </w:rPr>
        <w:t>(Australian Government, 2024a)</w:t>
      </w:r>
      <w:r w:rsidR="00AD4AE8" w:rsidRPr="006D7C7C">
        <w:t xml:space="preserve">. </w:t>
      </w:r>
      <w:r w:rsidR="00FA1D7D" w:rsidRPr="006D7C7C">
        <w:t>To enable newly approved vehicle models tested to the stricter standards mandated by ADR 79/05 comply with the NVES, the government advised it would develop a conversion procedure to enable an NEDC equivalent CO</w:t>
      </w:r>
      <w:r w:rsidR="00FA1D7D" w:rsidRPr="006D7C7C">
        <w:rPr>
          <w:vertAlign w:val="subscript"/>
        </w:rPr>
        <w:t>2</w:t>
      </w:r>
      <w:r w:rsidR="00FA1D7D" w:rsidRPr="006D7C7C">
        <w:t xml:space="preserve"> value to be calculated for these vehicles.</w:t>
      </w:r>
      <w:r w:rsidR="00933988" w:rsidRPr="006D7C7C">
        <w:t xml:space="preserve"> </w:t>
      </w:r>
      <w:r w:rsidR="007C5D1C" w:rsidRPr="006D7C7C">
        <w:t>With this conversion procedure,</w:t>
      </w:r>
      <w:r w:rsidR="00F02DAC" w:rsidRPr="006D7C7C">
        <w:t xml:space="preserve"> </w:t>
      </w:r>
      <w:r w:rsidR="00B44E03" w:rsidRPr="006D7C7C">
        <w:t>new models comply</w:t>
      </w:r>
      <w:r w:rsidR="00F246C4" w:rsidRPr="006D7C7C">
        <w:t>ing</w:t>
      </w:r>
      <w:r w:rsidR="00C446AF" w:rsidRPr="006D7C7C">
        <w:t xml:space="preserve"> </w:t>
      </w:r>
      <w:r w:rsidR="007E5AE0" w:rsidRPr="006D7C7C">
        <w:t>with</w:t>
      </w:r>
      <w:r w:rsidR="00C446AF" w:rsidRPr="006D7C7C">
        <w:t xml:space="preserve"> </w:t>
      </w:r>
      <w:r w:rsidR="001B3DF9" w:rsidRPr="006D7C7C">
        <w:t>ADR</w:t>
      </w:r>
      <w:r w:rsidR="007343A6" w:rsidRPr="006D7C7C">
        <w:t xml:space="preserve"> </w:t>
      </w:r>
      <w:r w:rsidR="001B3DF9" w:rsidRPr="006D7C7C">
        <w:t>7</w:t>
      </w:r>
      <w:r w:rsidR="007343A6" w:rsidRPr="006D7C7C">
        <w:t>9</w:t>
      </w:r>
      <w:r w:rsidR="001B3DF9" w:rsidRPr="006D7C7C">
        <w:t>/05</w:t>
      </w:r>
      <w:r w:rsidR="007E4461" w:rsidRPr="006D7C7C">
        <w:t xml:space="preserve"> under</w:t>
      </w:r>
      <w:r w:rsidR="00B44E03" w:rsidRPr="006D7C7C">
        <w:t xml:space="preserve"> </w:t>
      </w:r>
      <w:r w:rsidR="007E5AE0" w:rsidRPr="006D7C7C">
        <w:t xml:space="preserve">the </w:t>
      </w:r>
      <w:r w:rsidR="00B44E03" w:rsidRPr="006D7C7C">
        <w:t>WLTP or U</w:t>
      </w:r>
      <w:r w:rsidR="00016916" w:rsidRPr="006D7C7C">
        <w:t>.</w:t>
      </w:r>
      <w:r w:rsidR="00B44E03" w:rsidRPr="006D7C7C">
        <w:t>S</w:t>
      </w:r>
      <w:r w:rsidR="00016916" w:rsidRPr="006D7C7C">
        <w:t>.</w:t>
      </w:r>
      <w:r w:rsidR="00B44E03" w:rsidRPr="006D7C7C">
        <w:t xml:space="preserve"> </w:t>
      </w:r>
      <w:r w:rsidR="00003601" w:rsidRPr="006D7C7C">
        <w:t xml:space="preserve">standards </w:t>
      </w:r>
      <w:r w:rsidR="006974E9" w:rsidRPr="006D7C7C">
        <w:t xml:space="preserve">would </w:t>
      </w:r>
      <w:r w:rsidR="00B44E03" w:rsidRPr="006D7C7C">
        <w:t xml:space="preserve">not </w:t>
      </w:r>
      <w:r w:rsidR="00D4705A" w:rsidRPr="006D7C7C">
        <w:t>require</w:t>
      </w:r>
      <w:r w:rsidR="00B44E03" w:rsidRPr="006D7C7C">
        <w:t xml:space="preserve"> </w:t>
      </w:r>
      <w:r w:rsidR="006C02DD" w:rsidRPr="006D7C7C">
        <w:t>physical vehicle testing to</w:t>
      </w:r>
      <w:r w:rsidR="000944BE" w:rsidRPr="006D7C7C">
        <w:t xml:space="preserve"> </w:t>
      </w:r>
      <w:r w:rsidR="00DB3B52" w:rsidRPr="006D7C7C">
        <w:t xml:space="preserve">the </w:t>
      </w:r>
      <w:r w:rsidR="000944BE" w:rsidRPr="006D7C7C">
        <w:t>NEDC</w:t>
      </w:r>
      <w:r w:rsidR="00B44E03" w:rsidRPr="006D7C7C">
        <w:t xml:space="preserve"> to comply with the NVES</w:t>
      </w:r>
      <w:r w:rsidR="00D54153" w:rsidRPr="006D7C7C">
        <w:t>.</w:t>
      </w:r>
    </w:p>
    <w:p w14:paraId="0A4FB22D" w14:textId="64884DD9" w:rsidR="0004128F" w:rsidRPr="00455191" w:rsidRDefault="00AF6F7D" w:rsidP="00F61408">
      <w:r>
        <w:t>T</w:t>
      </w:r>
      <w:r w:rsidR="0004128F" w:rsidRPr="00E1500E">
        <w:t xml:space="preserve">he </w:t>
      </w:r>
      <w:r w:rsidR="00EA7F2F" w:rsidRPr="00E1500E">
        <w:t>Department of Infrastructure, Transport, Regional Development, Communications and the Arts engaged the</w:t>
      </w:r>
      <w:r w:rsidR="00EA7F2F" w:rsidRPr="00455191">
        <w:t xml:space="preserve"> </w:t>
      </w:r>
      <w:r w:rsidR="0004128F" w:rsidRPr="00455191">
        <w:t xml:space="preserve">International Council on Clean Transportation (ICCT) </w:t>
      </w:r>
      <w:r w:rsidR="00044558" w:rsidRPr="00E1500E">
        <w:t>in December 2024</w:t>
      </w:r>
      <w:r w:rsidR="00044558">
        <w:t xml:space="preserve"> </w:t>
      </w:r>
      <w:r w:rsidR="0004128F" w:rsidRPr="00455191">
        <w:t xml:space="preserve">to develop a detailed methodology for </w:t>
      </w:r>
      <w:r w:rsidR="00B46DA9" w:rsidRPr="00455191">
        <w:t xml:space="preserve">the </w:t>
      </w:r>
      <w:r w:rsidR="0004128F" w:rsidRPr="00455191">
        <w:t>conversion of official type-approval CO</w:t>
      </w:r>
      <w:r w:rsidR="0004128F" w:rsidRPr="00455191">
        <w:rPr>
          <w:vertAlign w:val="subscript"/>
        </w:rPr>
        <w:t>2</w:t>
      </w:r>
      <w:r w:rsidR="0004128F" w:rsidRPr="00455191">
        <w:t xml:space="preserve"> emissions between regulatory test cycles. </w:t>
      </w:r>
      <w:r w:rsidR="0004128F" w:rsidRPr="00455191">
        <w:rPr>
          <w:lang w:val="en-NZ"/>
        </w:rPr>
        <w:t>The methodology will be used to convert the CO</w:t>
      </w:r>
      <w:r w:rsidR="0004128F" w:rsidRPr="00455191">
        <w:rPr>
          <w:vertAlign w:val="subscript"/>
          <w:lang w:val="en-NZ"/>
        </w:rPr>
        <w:t>2</w:t>
      </w:r>
      <w:r w:rsidR="0004128F" w:rsidRPr="00455191">
        <w:rPr>
          <w:lang w:val="en-NZ"/>
        </w:rPr>
        <w:t xml:space="preserve"> emission values of vehicles type-approved under the </w:t>
      </w:r>
      <w:r w:rsidR="00227ECD" w:rsidRPr="00455191">
        <w:rPr>
          <w:lang w:val="en-AU"/>
        </w:rPr>
        <w:t>4-phase and 3-phase</w:t>
      </w:r>
      <w:r w:rsidR="00227ECD" w:rsidRPr="00455191">
        <w:rPr>
          <w:bCs/>
          <w:lang w:val="en-AU"/>
        </w:rPr>
        <w:t xml:space="preserve"> </w:t>
      </w:r>
      <w:r w:rsidR="0004128F" w:rsidRPr="00455191">
        <w:rPr>
          <w:bCs/>
          <w:lang w:val="en-AU"/>
        </w:rPr>
        <w:t>WLTP</w:t>
      </w:r>
      <w:r w:rsidR="0004128F" w:rsidRPr="00455191">
        <w:rPr>
          <w:lang w:val="en-AU"/>
        </w:rPr>
        <w:t xml:space="preserve"> and the </w:t>
      </w:r>
      <w:r w:rsidR="00C134FD" w:rsidRPr="00455191">
        <w:rPr>
          <w:lang w:val="en-AU"/>
        </w:rPr>
        <w:t xml:space="preserve">U.S. 2-cycle </w:t>
      </w:r>
      <w:r w:rsidR="00A073A7">
        <w:rPr>
          <w:lang w:val="en-AU"/>
        </w:rPr>
        <w:t xml:space="preserve">test </w:t>
      </w:r>
      <w:r w:rsidR="0004128F" w:rsidRPr="00455191">
        <w:rPr>
          <w:lang w:val="en-AU"/>
        </w:rPr>
        <w:t>to the equivalent g</w:t>
      </w:r>
      <w:r w:rsidR="00A3349D" w:rsidRPr="00455191">
        <w:rPr>
          <w:lang w:val="en-AU"/>
        </w:rPr>
        <w:t xml:space="preserve"> </w:t>
      </w:r>
      <w:r w:rsidR="0004128F" w:rsidRPr="00455191">
        <w:rPr>
          <w:lang w:val="en-AU"/>
        </w:rPr>
        <w:t>CO</w:t>
      </w:r>
      <w:r w:rsidR="0004128F" w:rsidRPr="00455191">
        <w:rPr>
          <w:vertAlign w:val="subscript"/>
          <w:lang w:val="en-AU"/>
        </w:rPr>
        <w:t>2</w:t>
      </w:r>
      <w:r w:rsidR="0004128F" w:rsidRPr="00455191">
        <w:rPr>
          <w:lang w:val="en-AU"/>
        </w:rPr>
        <w:t>/km emissions under the NEDC.</w:t>
      </w:r>
      <w:r w:rsidR="007326CA" w:rsidRPr="00455191">
        <w:rPr>
          <w:lang w:val="en-AU"/>
        </w:rPr>
        <w:t xml:space="preserve"> </w:t>
      </w:r>
      <w:r w:rsidR="004C4B6C" w:rsidRPr="00E1500E">
        <w:rPr>
          <w:lang w:val="en-AU"/>
        </w:rPr>
        <w:t>Due to the inherent uncertainty in such calculations, manufacturers of vehicle models complying with ADR 79/05 will still be able to comply with the NVES by performing physical vehicle testing if preferred</w:t>
      </w:r>
      <w:r w:rsidR="00A67281">
        <w:rPr>
          <w:lang w:val="en-AU"/>
        </w:rPr>
        <w:t>.</w:t>
      </w:r>
    </w:p>
    <w:p w14:paraId="5328DF0C" w14:textId="542126E1" w:rsidR="00F55476" w:rsidRPr="00455191" w:rsidRDefault="00C430D3" w:rsidP="00547317">
      <w:pPr>
        <w:keepLines/>
      </w:pPr>
      <w:bookmarkStart w:id="0" w:name="OLE_LINK1"/>
      <w:r w:rsidRPr="00455191">
        <w:lastRenderedPageBreak/>
        <w:t xml:space="preserve">This </w:t>
      </w:r>
      <w:r w:rsidR="00FA37EC" w:rsidRPr="00455191">
        <w:t xml:space="preserve">report </w:t>
      </w:r>
      <w:r w:rsidR="00F87AC2" w:rsidRPr="00455191">
        <w:t>develop</w:t>
      </w:r>
      <w:r w:rsidR="005B5B23" w:rsidRPr="00455191">
        <w:t>s</w:t>
      </w:r>
      <w:r w:rsidR="00F87AC2" w:rsidRPr="00455191">
        <w:t xml:space="preserve"> </w:t>
      </w:r>
      <w:r w:rsidR="00D50984" w:rsidRPr="00455191">
        <w:t xml:space="preserve">a series of </w:t>
      </w:r>
      <w:r w:rsidR="00FA37EC" w:rsidRPr="00455191">
        <w:t>conversion factor</w:t>
      </w:r>
      <w:r w:rsidR="009C1007" w:rsidRPr="00455191">
        <w:t>s</w:t>
      </w:r>
      <w:r w:rsidR="002A3968" w:rsidRPr="00455191">
        <w:t xml:space="preserve"> that Australia can adopt to determine compliance </w:t>
      </w:r>
      <w:r w:rsidR="00320BBD" w:rsidRPr="00455191">
        <w:t>with the NVES</w:t>
      </w:r>
      <w:r w:rsidR="003E020A" w:rsidRPr="00455191">
        <w:t xml:space="preserve"> for light vehicles</w:t>
      </w:r>
      <w:r w:rsidR="00320BBD" w:rsidRPr="00455191">
        <w:t xml:space="preserve"> on </w:t>
      </w:r>
      <w:r w:rsidR="003D680C" w:rsidRPr="00455191">
        <w:t>a</w:t>
      </w:r>
      <w:r w:rsidR="009834A7" w:rsidRPr="00455191">
        <w:t>n</w:t>
      </w:r>
      <w:r w:rsidR="003D680C" w:rsidRPr="00455191">
        <w:t xml:space="preserve"> NEDC CO</w:t>
      </w:r>
      <w:r w:rsidR="003D680C" w:rsidRPr="00455191">
        <w:rPr>
          <w:vertAlign w:val="subscript"/>
        </w:rPr>
        <w:t>2</w:t>
      </w:r>
      <w:r w:rsidR="009B147D" w:rsidRPr="00455191">
        <w:t>-</w:t>
      </w:r>
      <w:r w:rsidR="003D680C" w:rsidRPr="00455191">
        <w:t>equivalent basis</w:t>
      </w:r>
      <w:r w:rsidR="000C014D" w:rsidRPr="00455191">
        <w:t>.</w:t>
      </w:r>
      <w:r w:rsidR="000E117B" w:rsidRPr="00455191">
        <w:t xml:space="preserve"> </w:t>
      </w:r>
      <w:bookmarkEnd w:id="0"/>
      <w:r w:rsidR="005B73CD" w:rsidRPr="00455191">
        <w:t>The report is organized as</w:t>
      </w:r>
      <w:r w:rsidR="00FA792F" w:rsidRPr="00455191">
        <w:t xml:space="preserve"> follows</w:t>
      </w:r>
      <w:r w:rsidR="00E3564C" w:rsidRPr="00455191">
        <w:t>.</w:t>
      </w:r>
      <w:r w:rsidR="00BD1E68" w:rsidRPr="00455191">
        <w:t xml:space="preserve"> </w:t>
      </w:r>
      <w:r w:rsidR="009C7409" w:rsidRPr="00455191">
        <w:t xml:space="preserve">Section </w:t>
      </w:r>
      <w:r w:rsidR="00AF36FA" w:rsidRPr="00455191">
        <w:t xml:space="preserve">2 </w:t>
      </w:r>
      <w:r w:rsidR="00435E57" w:rsidRPr="00455191">
        <w:t xml:space="preserve">provides </w:t>
      </w:r>
      <w:r w:rsidR="008874B2" w:rsidRPr="00455191">
        <w:t>an overview</w:t>
      </w:r>
      <w:r w:rsidR="00435E57" w:rsidRPr="00455191">
        <w:t xml:space="preserve"> </w:t>
      </w:r>
      <w:r w:rsidR="009C1A5E" w:rsidRPr="00455191">
        <w:t xml:space="preserve">of the selected test </w:t>
      </w:r>
      <w:r w:rsidR="008F5DD1" w:rsidRPr="00455191">
        <w:t>cycles</w:t>
      </w:r>
      <w:r w:rsidR="009C1A5E" w:rsidRPr="00455191">
        <w:t xml:space="preserve"> </w:t>
      </w:r>
      <w:r w:rsidR="00032E9E" w:rsidRPr="00455191">
        <w:t>and</w:t>
      </w:r>
      <w:r w:rsidR="00FF63C8" w:rsidRPr="00455191">
        <w:t xml:space="preserve"> </w:t>
      </w:r>
      <w:r w:rsidR="00A10E28" w:rsidRPr="00455191">
        <w:t xml:space="preserve">cycle </w:t>
      </w:r>
      <w:r w:rsidR="00FF63C8" w:rsidRPr="00455191">
        <w:t>conversion method</w:t>
      </w:r>
      <w:r w:rsidR="005066E0" w:rsidRPr="00455191">
        <w:t>ologie</w:t>
      </w:r>
      <w:r w:rsidR="00FF63C8" w:rsidRPr="00455191">
        <w:t>s</w:t>
      </w:r>
      <w:r w:rsidR="005A4997" w:rsidRPr="00455191">
        <w:t>.</w:t>
      </w:r>
      <w:r w:rsidR="00500A5A" w:rsidRPr="00455191">
        <w:t xml:space="preserve"> Section 3</w:t>
      </w:r>
      <w:r w:rsidR="00397D12" w:rsidRPr="00455191">
        <w:t xml:space="preserve"> </w:t>
      </w:r>
      <w:r w:rsidR="00A046AE" w:rsidRPr="00455191">
        <w:t>analy</w:t>
      </w:r>
      <w:r w:rsidR="000256CA" w:rsidRPr="00455191">
        <w:t>zes</w:t>
      </w:r>
      <w:r w:rsidR="009F2DA7" w:rsidRPr="00455191">
        <w:t xml:space="preserve"> the current </w:t>
      </w:r>
      <w:r w:rsidR="00E83334" w:rsidRPr="00455191">
        <w:t>Australian light-duty vehicle market</w:t>
      </w:r>
      <w:r w:rsidR="000B32B8" w:rsidRPr="00455191">
        <w:t xml:space="preserve"> </w:t>
      </w:r>
      <w:r w:rsidR="00A82C3D" w:rsidRPr="00455191">
        <w:t>by</w:t>
      </w:r>
      <w:r w:rsidR="009B011D" w:rsidRPr="00455191">
        <w:t xml:space="preserve"> vehicle </w:t>
      </w:r>
      <w:r w:rsidR="000D2E46" w:rsidRPr="00455191">
        <w:t>category</w:t>
      </w:r>
      <w:r w:rsidR="00DD6BAE" w:rsidRPr="00455191">
        <w:t>,</w:t>
      </w:r>
      <w:r w:rsidR="000D2E46" w:rsidRPr="00455191">
        <w:t xml:space="preserve"> fuel</w:t>
      </w:r>
      <w:r w:rsidR="00473DC4" w:rsidRPr="00455191">
        <w:t xml:space="preserve"> and </w:t>
      </w:r>
      <w:r w:rsidR="000D2E46" w:rsidRPr="00455191">
        <w:t xml:space="preserve">powertrain </w:t>
      </w:r>
      <w:r w:rsidR="00DD6BAE" w:rsidRPr="00455191">
        <w:t>type</w:t>
      </w:r>
      <w:r w:rsidR="00135788" w:rsidRPr="00455191">
        <w:t>,</w:t>
      </w:r>
      <w:r w:rsidR="007C5611" w:rsidRPr="00455191">
        <w:t xml:space="preserve"> </w:t>
      </w:r>
      <w:r w:rsidR="00DD6BAE" w:rsidRPr="00455191">
        <w:t>and</w:t>
      </w:r>
      <w:r w:rsidR="007C5611" w:rsidRPr="00455191">
        <w:t xml:space="preserve"> brand</w:t>
      </w:r>
      <w:r w:rsidR="00B82495" w:rsidRPr="00455191">
        <w:t>,</w:t>
      </w:r>
      <w:r w:rsidR="00E90BC1" w:rsidRPr="00455191">
        <w:t xml:space="preserve"> </w:t>
      </w:r>
      <w:r w:rsidR="006C7138" w:rsidRPr="00455191">
        <w:t>and assesses</w:t>
      </w:r>
      <w:r w:rsidR="00DD6BAE" w:rsidRPr="00455191">
        <w:t xml:space="preserve"> </w:t>
      </w:r>
      <w:r w:rsidR="004727F4" w:rsidRPr="00455191">
        <w:t xml:space="preserve">trends </w:t>
      </w:r>
      <w:r w:rsidR="00DD6BAE" w:rsidRPr="00455191">
        <w:t>in</w:t>
      </w:r>
      <w:r w:rsidR="004727F4" w:rsidRPr="00455191">
        <w:t xml:space="preserve"> CO</w:t>
      </w:r>
      <w:r w:rsidR="004727F4" w:rsidRPr="00455191">
        <w:rPr>
          <w:vertAlign w:val="subscript"/>
        </w:rPr>
        <w:t>2</w:t>
      </w:r>
      <w:r w:rsidR="004727F4" w:rsidRPr="00455191">
        <w:t xml:space="preserve"> emissions</w:t>
      </w:r>
      <w:r w:rsidR="00406050" w:rsidRPr="00455191">
        <w:t>.</w:t>
      </w:r>
      <w:r w:rsidR="002C62F8" w:rsidRPr="00455191">
        <w:t xml:space="preserve"> </w:t>
      </w:r>
      <w:r w:rsidR="00EA6B70" w:rsidRPr="00455191">
        <w:t xml:space="preserve">Section 4 </w:t>
      </w:r>
      <w:r w:rsidR="00731C61" w:rsidRPr="00455191">
        <w:t>describes</w:t>
      </w:r>
      <w:r w:rsidR="00EA6B70" w:rsidRPr="00455191" w:rsidDel="00731C61">
        <w:t xml:space="preserve"> </w:t>
      </w:r>
      <w:r w:rsidR="00EA6B70" w:rsidRPr="00455191">
        <w:t xml:space="preserve">the </w:t>
      </w:r>
      <w:r w:rsidR="005844BD" w:rsidRPr="00455191">
        <w:t>methods</w:t>
      </w:r>
      <w:r w:rsidR="00775936" w:rsidRPr="00455191">
        <w:t xml:space="preserve"> and data used</w:t>
      </w:r>
      <w:r w:rsidR="005844BD" w:rsidRPr="00455191">
        <w:t xml:space="preserve"> </w:t>
      </w:r>
      <w:r w:rsidR="006F161D" w:rsidRPr="00455191">
        <w:t xml:space="preserve">for </w:t>
      </w:r>
      <w:r w:rsidR="00B332DF" w:rsidRPr="00455191">
        <w:t xml:space="preserve">developing </w:t>
      </w:r>
      <w:r w:rsidR="002A669A">
        <w:t>the</w:t>
      </w:r>
      <w:r w:rsidR="002A669A" w:rsidRPr="00455191">
        <w:t xml:space="preserve"> </w:t>
      </w:r>
      <w:r w:rsidR="00D32F50" w:rsidRPr="00455191">
        <w:t>conversion</w:t>
      </w:r>
      <w:r w:rsidR="00AB797B" w:rsidRPr="00455191">
        <w:t xml:space="preserve"> protocol.</w:t>
      </w:r>
      <w:r w:rsidR="00435708" w:rsidRPr="00455191">
        <w:t xml:space="preserve"> Section 5 </w:t>
      </w:r>
      <w:r w:rsidR="00F95FEC" w:rsidRPr="00455191">
        <w:t>summarizes</w:t>
      </w:r>
      <w:r w:rsidR="006C40E8" w:rsidRPr="00455191">
        <w:t xml:space="preserve"> the final set</w:t>
      </w:r>
      <w:r w:rsidR="00C02030" w:rsidRPr="00455191">
        <w:t>s</w:t>
      </w:r>
      <w:r w:rsidR="006C40E8" w:rsidRPr="00455191">
        <w:t xml:space="preserve"> of cycle conversion </w:t>
      </w:r>
      <w:r w:rsidR="0092131D" w:rsidRPr="00455191">
        <w:t>algorithms</w:t>
      </w:r>
      <w:r w:rsidR="0092131D" w:rsidRPr="00455191" w:rsidDel="00471788">
        <w:t xml:space="preserve"> </w:t>
      </w:r>
      <w:r w:rsidR="00B4758B" w:rsidRPr="00455191" w:rsidDel="00471788">
        <w:t xml:space="preserve">and </w:t>
      </w:r>
      <w:r w:rsidR="00B40BDA" w:rsidRPr="00455191">
        <w:t>exam</w:t>
      </w:r>
      <w:r w:rsidR="00D42D50" w:rsidRPr="00455191">
        <w:t>ine</w:t>
      </w:r>
      <w:r w:rsidR="008A42EE" w:rsidRPr="00455191">
        <w:t>s</w:t>
      </w:r>
      <w:r w:rsidR="00896B96" w:rsidRPr="00455191" w:rsidDel="00E07389">
        <w:t xml:space="preserve"> </w:t>
      </w:r>
      <w:r w:rsidR="00896B96" w:rsidRPr="00455191">
        <w:t>the robustness of</w:t>
      </w:r>
      <w:r w:rsidR="00DA1612" w:rsidRPr="00455191">
        <w:t xml:space="preserve"> the conversion algorithms</w:t>
      </w:r>
      <w:r w:rsidR="00EE2FF2" w:rsidRPr="00455191">
        <w:t xml:space="preserve"> through</w:t>
      </w:r>
      <w:r w:rsidR="00E07389" w:rsidRPr="00455191">
        <w:t xml:space="preserve"> verification exercises</w:t>
      </w:r>
      <w:r w:rsidR="00DA1612" w:rsidRPr="00455191">
        <w:t>.</w:t>
      </w:r>
    </w:p>
    <w:p w14:paraId="50F8CE8D" w14:textId="263924D6" w:rsidR="00773368" w:rsidRPr="00455191" w:rsidRDefault="00965A40" w:rsidP="00B55BEC">
      <w:pPr>
        <w:pStyle w:val="Heading2"/>
      </w:pPr>
      <w:r w:rsidRPr="00455191">
        <w:t>Overview of t</w:t>
      </w:r>
      <w:r w:rsidR="00751A70" w:rsidRPr="00455191">
        <w:t xml:space="preserve">est </w:t>
      </w:r>
      <w:r w:rsidR="00C0677A" w:rsidRPr="00455191">
        <w:t>cycles</w:t>
      </w:r>
      <w:r w:rsidR="00A3559D" w:rsidRPr="00455191">
        <w:t xml:space="preserve"> and</w:t>
      </w:r>
      <w:r w:rsidR="00751A70" w:rsidRPr="00455191">
        <w:t xml:space="preserve"> conversion</w:t>
      </w:r>
      <w:r w:rsidR="00A3559D" w:rsidRPr="00455191">
        <w:t xml:space="preserve"> methodolog</w:t>
      </w:r>
      <w:r w:rsidR="00751A70" w:rsidRPr="00455191">
        <w:t>ies</w:t>
      </w:r>
      <w:r w:rsidR="00A3559D" w:rsidRPr="00455191">
        <w:t xml:space="preserve"> </w:t>
      </w:r>
    </w:p>
    <w:p w14:paraId="3D2077A2" w14:textId="604891B4" w:rsidR="00187A81" w:rsidRPr="00F61408" w:rsidRDefault="008C3F9C" w:rsidP="00B55BEC">
      <w:pPr>
        <w:pStyle w:val="Heading3"/>
      </w:pPr>
      <w:r w:rsidRPr="00F61408">
        <w:t xml:space="preserve">2.1 </w:t>
      </w:r>
      <w:r w:rsidR="00191A2D" w:rsidRPr="00F61408">
        <w:t>Geographic coverage</w:t>
      </w:r>
    </w:p>
    <w:p w14:paraId="427814A9" w14:textId="2AC1F33D" w:rsidR="00F2369F" w:rsidRPr="00455191" w:rsidRDefault="00666557" w:rsidP="00F61408">
      <w:r w:rsidRPr="00455191">
        <w:fldChar w:fldCharType="begin" w:fldLock="1"/>
      </w:r>
      <w:r w:rsidRPr="00455191">
        <w:instrText xml:space="preserve"> REF _Ref192113626 \h </w:instrText>
      </w:r>
      <w:r w:rsidR="00455191">
        <w:instrText xml:space="preserve"> \* MERGEFORMAT </w:instrText>
      </w:r>
      <w:r w:rsidRPr="00455191">
        <w:fldChar w:fldCharType="separate"/>
      </w:r>
      <w:r w:rsidR="005867AA" w:rsidRPr="00455191">
        <w:t xml:space="preserve">Table </w:t>
      </w:r>
      <w:r w:rsidR="005867AA" w:rsidRPr="00455191">
        <w:rPr>
          <w:noProof/>
        </w:rPr>
        <w:t>1</w:t>
      </w:r>
      <w:r w:rsidRPr="00455191">
        <w:fldChar w:fldCharType="end"/>
      </w:r>
      <w:r w:rsidR="00F2369F" w:rsidRPr="00455191">
        <w:t xml:space="preserve"> shows the list of countries </w:t>
      </w:r>
      <w:r w:rsidR="00345329" w:rsidRPr="00455191">
        <w:t xml:space="preserve">and </w:t>
      </w:r>
      <w:r w:rsidR="00F2369F" w:rsidRPr="00455191">
        <w:t xml:space="preserve">regions that use the WLTP </w:t>
      </w:r>
      <w:r w:rsidR="00431AC4" w:rsidRPr="00455191">
        <w:t xml:space="preserve">or </w:t>
      </w:r>
      <w:r w:rsidR="00F2369F" w:rsidRPr="00455191">
        <w:t xml:space="preserve">the U.S. 2-cycle </w:t>
      </w:r>
      <w:r w:rsidR="003549B7" w:rsidRPr="00455191">
        <w:t xml:space="preserve">type approval </w:t>
      </w:r>
      <w:r w:rsidR="00F2369F" w:rsidRPr="00455191">
        <w:t>test</w:t>
      </w:r>
      <w:r w:rsidR="003A0D6E" w:rsidRPr="00455191">
        <w:t xml:space="preserve"> procedures</w:t>
      </w:r>
      <w:r w:rsidR="00F2369F" w:rsidRPr="00455191">
        <w:t xml:space="preserve"> as of 2024</w:t>
      </w:r>
      <w:r w:rsidR="00753EDE" w:rsidRPr="00455191">
        <w:t xml:space="preserve"> </w:t>
      </w:r>
      <w:r w:rsidR="002113AE" w:rsidRPr="00455191">
        <w:rPr>
          <w:rFonts w:eastAsia="SimSun"/>
          <w:szCs w:val="24"/>
        </w:rPr>
        <w:t>(ICCT</w:t>
      </w:r>
      <w:r w:rsidR="00EB00EB" w:rsidRPr="00455191">
        <w:rPr>
          <w:rFonts w:eastAsia="SimSun"/>
          <w:szCs w:val="24"/>
        </w:rPr>
        <w:t>, n.d.</w:t>
      </w:r>
      <w:r w:rsidR="002113AE" w:rsidRPr="00455191">
        <w:rPr>
          <w:rFonts w:eastAsia="SimSun"/>
          <w:szCs w:val="24"/>
        </w:rPr>
        <w:t>)</w:t>
      </w:r>
      <w:r w:rsidR="00301D51" w:rsidRPr="00455191">
        <w:t>.</w:t>
      </w:r>
      <w:r w:rsidR="00F2369F" w:rsidRPr="00455191">
        <w:t xml:space="preserve"> </w:t>
      </w:r>
      <w:r w:rsidR="00B13A34" w:rsidRPr="00455191">
        <w:t>These</w:t>
      </w:r>
      <w:r w:rsidR="00F2369F" w:rsidRPr="00455191">
        <w:t xml:space="preserve"> test cycles cover all major vehicle manufacturing markets </w:t>
      </w:r>
      <w:r w:rsidR="007408AF" w:rsidRPr="00455191">
        <w:t xml:space="preserve">that have adopted </w:t>
      </w:r>
      <w:r w:rsidR="00F2369F" w:rsidRPr="00455191">
        <w:t>mandatory CO</w:t>
      </w:r>
      <w:r w:rsidR="00F2369F" w:rsidRPr="00455191">
        <w:rPr>
          <w:vertAlign w:val="subscript"/>
        </w:rPr>
        <w:t>2</w:t>
      </w:r>
      <w:r w:rsidR="00F2369F" w:rsidRPr="00455191">
        <w:t xml:space="preserve"> emission regulations</w:t>
      </w:r>
      <w:r w:rsidR="002A5D92" w:rsidRPr="00455191">
        <w:t>.</w:t>
      </w:r>
      <w:r w:rsidR="00F2369F" w:rsidRPr="00455191">
        <w:rPr>
          <w:rStyle w:val="FootnoteReference"/>
        </w:rPr>
        <w:footnoteReference w:id="3"/>
      </w:r>
      <w:r w:rsidR="00F2369F" w:rsidRPr="00455191">
        <w:t xml:space="preserve"> </w:t>
      </w:r>
      <w:r w:rsidR="00B13A34" w:rsidRPr="00455191">
        <w:t>This</w:t>
      </w:r>
      <w:r w:rsidR="007408AF" w:rsidRPr="00455191">
        <w:t xml:space="preserve"> </w:t>
      </w:r>
      <w:r w:rsidR="00B13A34" w:rsidRPr="00455191">
        <w:t>includes</w:t>
      </w:r>
      <w:r w:rsidR="00F2369F" w:rsidRPr="00455191">
        <w:t xml:space="preserve"> </w:t>
      </w:r>
      <w:r w:rsidR="007408AF" w:rsidRPr="00455191">
        <w:t xml:space="preserve">most of </w:t>
      </w:r>
      <w:r w:rsidR="00F2369F" w:rsidRPr="00455191">
        <w:t>the top</w:t>
      </w:r>
      <w:r w:rsidR="00CD5586" w:rsidRPr="00455191">
        <w:t xml:space="preserve"> markets from which</w:t>
      </w:r>
      <w:r w:rsidR="00F2369F" w:rsidRPr="00455191">
        <w:t xml:space="preserve"> Australia</w:t>
      </w:r>
      <w:r w:rsidR="00CD5586" w:rsidRPr="00455191">
        <w:t xml:space="preserve"> imports vehicles</w:t>
      </w:r>
      <w:r w:rsidR="005E3723" w:rsidRPr="00455191">
        <w:t>, including</w:t>
      </w:r>
      <w:r w:rsidR="00F2369F" w:rsidRPr="00455191">
        <w:t xml:space="preserve"> </w:t>
      </w:r>
      <w:r w:rsidR="00846766">
        <w:t xml:space="preserve">China, </w:t>
      </w:r>
      <w:r w:rsidR="00F471B2">
        <w:t xml:space="preserve">the European Union, </w:t>
      </w:r>
      <w:r w:rsidR="00310C74" w:rsidRPr="00455191">
        <w:t xml:space="preserve">Japan, </w:t>
      </w:r>
      <w:r w:rsidR="00C31734" w:rsidRPr="00455191">
        <w:t xml:space="preserve">South Korea, </w:t>
      </w:r>
      <w:r w:rsidR="00C4715B" w:rsidRPr="00455191">
        <w:t>and</w:t>
      </w:r>
      <w:r w:rsidR="00AD5D13" w:rsidRPr="00455191">
        <w:t xml:space="preserve"> the </w:t>
      </w:r>
      <w:r w:rsidR="00C676ED" w:rsidRPr="00455191">
        <w:t>United States</w:t>
      </w:r>
      <w:r w:rsidR="00F2369F" w:rsidRPr="00455191">
        <w:t>.</w:t>
      </w:r>
      <w:r w:rsidR="00F2369F" w:rsidRPr="00455191">
        <w:rPr>
          <w:rStyle w:val="FootnoteReference"/>
        </w:rPr>
        <w:footnoteReference w:id="4"/>
      </w:r>
    </w:p>
    <w:p w14:paraId="48436EA8" w14:textId="27690EC0" w:rsidR="008F4307" w:rsidRPr="000E2ED1" w:rsidRDefault="00F2369F" w:rsidP="003A174C">
      <w:pPr>
        <w:pStyle w:val="Tablecaption"/>
      </w:pPr>
      <w:bookmarkStart w:id="1" w:name="_Ref192113626"/>
      <w:r w:rsidRPr="000E2ED1">
        <w:t xml:space="preserve">Table </w:t>
      </w:r>
      <w:r w:rsidR="005867AA" w:rsidRPr="000E2ED1">
        <w:fldChar w:fldCharType="begin"/>
      </w:r>
      <w:r w:rsidR="005867AA" w:rsidRPr="000E2ED1">
        <w:instrText xml:space="preserve"> SEQ Table \* ARABIC </w:instrText>
      </w:r>
      <w:r w:rsidR="005867AA" w:rsidRPr="000E2ED1">
        <w:fldChar w:fldCharType="separate"/>
      </w:r>
      <w:r w:rsidR="00EB15AE">
        <w:rPr>
          <w:noProof/>
        </w:rPr>
        <w:t>1</w:t>
      </w:r>
      <w:r w:rsidR="005867AA" w:rsidRPr="000E2ED1">
        <w:fldChar w:fldCharType="end"/>
      </w:r>
      <w:bookmarkEnd w:id="1"/>
      <w:r w:rsidRPr="000E2ED1">
        <w:t xml:space="preserve"> </w:t>
      </w:r>
      <w:r w:rsidR="00EA3183">
        <w:br/>
      </w:r>
      <w:r w:rsidR="001E3A22">
        <w:t>Test procedur</w:t>
      </w:r>
      <w:r w:rsidR="00DC47F5">
        <w:t>e</w:t>
      </w:r>
      <w:r w:rsidR="00132EC7">
        <w:t>s</w:t>
      </w:r>
      <w:r w:rsidR="00DC47F5">
        <w:t xml:space="preserve"> used for </w:t>
      </w:r>
      <w:r w:rsidR="00132EC7">
        <w:t>light-duty vehicle</w:t>
      </w:r>
      <w:r w:rsidR="00132EC7" w:rsidRPr="000E2ED1">
        <w:t xml:space="preserve"> </w:t>
      </w:r>
      <w:r w:rsidRPr="000E2ED1">
        <w:t>CO</w:t>
      </w:r>
      <w:r w:rsidRPr="000E2ED1">
        <w:rPr>
          <w:vertAlign w:val="subscript"/>
        </w:rPr>
        <w:t>2</w:t>
      </w:r>
      <w:r w:rsidRPr="000E2ED1">
        <w:t xml:space="preserve"> </w:t>
      </w:r>
      <w:r w:rsidR="008611BB">
        <w:t xml:space="preserve">emissions </w:t>
      </w:r>
      <w:r w:rsidRPr="000E2ED1">
        <w:t>compliance</w:t>
      </w:r>
      <w:r>
        <w:t xml:space="preserve"> </w:t>
      </w:r>
      <w:r w:rsidR="00CE32E1">
        <w:t>in select</w:t>
      </w:r>
      <w:r w:rsidR="00F54EBE">
        <w:t>ed</w:t>
      </w:r>
      <w:r w:rsidR="00CE32E1">
        <w:t xml:space="preserve"> countries</w:t>
      </w:r>
    </w:p>
    <w:tbl>
      <w:tblPr>
        <w:tblStyle w:val="DefaultTable11"/>
        <w:tblW w:w="4790" w:type="pct"/>
        <w:tblCellMar>
          <w:top w:w="28" w:type="dxa"/>
          <w:bottom w:w="28" w:type="dxa"/>
        </w:tblCellMar>
        <w:tblLook w:val="04A0" w:firstRow="1" w:lastRow="0" w:firstColumn="1" w:lastColumn="0" w:noHBand="0" w:noVBand="1"/>
        <w:tblDescription w:val="Table 1 &#10;Test procedures used for light-duty vehicle CO2 emissions compliance in selected countries&#10;"/>
      </w:tblPr>
      <w:tblGrid>
        <w:gridCol w:w="1984"/>
        <w:gridCol w:w="7229"/>
      </w:tblGrid>
      <w:tr w:rsidR="008F4307" w:rsidRPr="00654F9E" w14:paraId="36B26E49" w14:textId="77777777" w:rsidTr="003A174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7" w:type="pct"/>
            <w:vAlign w:val="center"/>
          </w:tcPr>
          <w:p w14:paraId="5DF90A95" w14:textId="52A5A37C" w:rsidR="008F4307" w:rsidRPr="008E534F" w:rsidRDefault="008F4307" w:rsidP="003A174C">
            <w:pPr>
              <w:pStyle w:val="Tablerowcolumnheading"/>
              <w:keepNext/>
              <w:spacing w:before="0" w:after="0"/>
              <w:rPr>
                <w:b/>
                <w:szCs w:val="22"/>
              </w:rPr>
            </w:pPr>
            <w:r>
              <w:rPr>
                <w:b/>
                <w:szCs w:val="22"/>
              </w:rPr>
              <w:t>Test procedure</w:t>
            </w:r>
          </w:p>
        </w:tc>
        <w:tc>
          <w:tcPr>
            <w:tcW w:w="3923" w:type="pct"/>
            <w:vAlign w:val="center"/>
          </w:tcPr>
          <w:p w14:paraId="3617D105" w14:textId="0738E99E" w:rsidR="008F4307" w:rsidRPr="008E534F" w:rsidRDefault="008F4307" w:rsidP="003A174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Pr>
                <w:b/>
                <w:szCs w:val="22"/>
              </w:rPr>
              <w:t>Country/region</w:t>
            </w:r>
          </w:p>
        </w:tc>
      </w:tr>
      <w:tr w:rsidR="008F4307" w:rsidRPr="00654F9E" w14:paraId="1E98E316" w14:textId="77777777" w:rsidTr="003A174C">
        <w:trPr>
          <w:cantSplit/>
        </w:trPr>
        <w:tc>
          <w:tcPr>
            <w:cnfStyle w:val="001000000000" w:firstRow="0" w:lastRow="0" w:firstColumn="1" w:lastColumn="0" w:oddVBand="0" w:evenVBand="0" w:oddHBand="0" w:evenHBand="0" w:firstRowFirstColumn="0" w:firstRowLastColumn="0" w:lastRowFirstColumn="0" w:lastRowLastColumn="0"/>
            <w:tcW w:w="1077" w:type="pct"/>
            <w:vAlign w:val="center"/>
          </w:tcPr>
          <w:p w14:paraId="763DA77B" w14:textId="421437E5" w:rsidR="008F4307" w:rsidRPr="00784126" w:rsidRDefault="008F4307" w:rsidP="003A174C">
            <w:pPr>
              <w:spacing w:before="0" w:after="0"/>
            </w:pPr>
            <w:r w:rsidRPr="00455191">
              <w:t>4p-WLTP</w:t>
            </w:r>
          </w:p>
        </w:tc>
        <w:tc>
          <w:tcPr>
            <w:tcW w:w="3923" w:type="pct"/>
            <w:vAlign w:val="center"/>
          </w:tcPr>
          <w:p w14:paraId="364F0608" w14:textId="3A5B219A" w:rsidR="008F4307" w:rsidRPr="00784126" w:rsidRDefault="008F4307" w:rsidP="003A174C">
            <w:pPr>
              <w:spacing w:before="0" w:after="0"/>
              <w:cnfStyle w:val="000000000000" w:firstRow="0" w:lastRow="0" w:firstColumn="0" w:lastColumn="0" w:oddVBand="0" w:evenVBand="0" w:oddHBand="0" w:evenHBand="0" w:firstRowFirstColumn="0" w:firstRowLastColumn="0" w:lastRowFirstColumn="0" w:lastRowLastColumn="0"/>
            </w:pPr>
            <w:r w:rsidRPr="00455191">
              <w:t>China, European Union, Iceland, Norway, Switzerland, United</w:t>
            </w:r>
            <w:r>
              <w:t> </w:t>
            </w:r>
            <w:r w:rsidRPr="00455191">
              <w:t>Kingdom</w:t>
            </w:r>
          </w:p>
        </w:tc>
      </w:tr>
      <w:tr w:rsidR="008F4307" w:rsidRPr="00654F9E" w14:paraId="3522E4FA" w14:textId="77777777" w:rsidTr="003A17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7" w:type="pct"/>
            <w:vAlign w:val="center"/>
          </w:tcPr>
          <w:p w14:paraId="6A4C75B7" w14:textId="1BB0947C" w:rsidR="008F4307" w:rsidRPr="00784126" w:rsidRDefault="008F4307" w:rsidP="003A174C">
            <w:pPr>
              <w:spacing w:before="0" w:after="0"/>
            </w:pPr>
            <w:r w:rsidRPr="00455191">
              <w:t>3p-WLTP</w:t>
            </w:r>
          </w:p>
        </w:tc>
        <w:tc>
          <w:tcPr>
            <w:tcW w:w="3923" w:type="pct"/>
            <w:vAlign w:val="center"/>
          </w:tcPr>
          <w:p w14:paraId="124CEC90" w14:textId="14910187" w:rsidR="008F4307" w:rsidRPr="00784126" w:rsidRDefault="008F4307" w:rsidP="003A174C">
            <w:pPr>
              <w:spacing w:before="0" w:after="0"/>
              <w:cnfStyle w:val="000000010000" w:firstRow="0" w:lastRow="0" w:firstColumn="0" w:lastColumn="0" w:oddVBand="0" w:evenVBand="0" w:oddHBand="0" w:evenHBand="1" w:firstRowFirstColumn="0" w:firstRowLastColumn="0" w:lastRowFirstColumn="0" w:lastRowLastColumn="0"/>
            </w:pPr>
            <w:r w:rsidRPr="00455191">
              <w:t>Japan, New Zealand</w:t>
            </w:r>
          </w:p>
        </w:tc>
      </w:tr>
      <w:tr w:rsidR="008F4307" w:rsidRPr="00654F9E" w14:paraId="3E5D7084" w14:textId="77777777" w:rsidTr="003A174C">
        <w:trPr>
          <w:cantSplit/>
        </w:trPr>
        <w:tc>
          <w:tcPr>
            <w:cnfStyle w:val="001000000000" w:firstRow="0" w:lastRow="0" w:firstColumn="1" w:lastColumn="0" w:oddVBand="0" w:evenVBand="0" w:oddHBand="0" w:evenHBand="0" w:firstRowFirstColumn="0" w:firstRowLastColumn="0" w:lastRowFirstColumn="0" w:lastRowLastColumn="0"/>
            <w:tcW w:w="1077" w:type="pct"/>
            <w:vAlign w:val="center"/>
          </w:tcPr>
          <w:p w14:paraId="16B72509" w14:textId="37F3CD41" w:rsidR="008F4307" w:rsidRPr="00784126" w:rsidRDefault="008F4307" w:rsidP="003A174C">
            <w:pPr>
              <w:spacing w:before="0" w:after="0"/>
            </w:pPr>
            <w:r w:rsidRPr="00455191">
              <w:t>U.S. 2-cycle</w:t>
            </w:r>
          </w:p>
        </w:tc>
        <w:tc>
          <w:tcPr>
            <w:tcW w:w="3923" w:type="pct"/>
            <w:vAlign w:val="center"/>
          </w:tcPr>
          <w:p w14:paraId="0B14986C" w14:textId="1FFEF5E2" w:rsidR="008F4307" w:rsidRPr="00784126" w:rsidRDefault="008F4307" w:rsidP="003A174C">
            <w:pPr>
              <w:spacing w:before="0" w:after="0"/>
              <w:cnfStyle w:val="000000000000" w:firstRow="0" w:lastRow="0" w:firstColumn="0" w:lastColumn="0" w:oddVBand="0" w:evenVBand="0" w:oddHBand="0" w:evenHBand="0" w:firstRowFirstColumn="0" w:firstRowLastColumn="0" w:lastRowFirstColumn="0" w:lastRowLastColumn="0"/>
            </w:pPr>
            <w:r w:rsidRPr="00455191">
              <w:t>Brazil, Canada, Mexico, South Korea, United States</w:t>
            </w:r>
          </w:p>
        </w:tc>
      </w:tr>
    </w:tbl>
    <w:p w14:paraId="055F51B4" w14:textId="6F0DE4D9" w:rsidR="00CA1BBA" w:rsidRPr="00455191" w:rsidRDefault="00A61270" w:rsidP="00B55BEC">
      <w:pPr>
        <w:pStyle w:val="Heading3"/>
        <w:spacing w:before="240"/>
      </w:pPr>
      <w:r w:rsidRPr="00455191">
        <w:t xml:space="preserve">2.2 </w:t>
      </w:r>
      <w:r w:rsidR="00CA1BBA" w:rsidRPr="00455191">
        <w:t xml:space="preserve">Review of </w:t>
      </w:r>
      <w:r w:rsidR="00F92ED3" w:rsidRPr="00455191">
        <w:t xml:space="preserve">selected </w:t>
      </w:r>
      <w:r w:rsidR="00CA1BBA" w:rsidRPr="00455191">
        <w:t>test cycles</w:t>
      </w:r>
    </w:p>
    <w:p w14:paraId="525D6342" w14:textId="4AE0D057" w:rsidR="00EA6BD0" w:rsidRPr="00455191" w:rsidRDefault="00666889" w:rsidP="00B55BEC">
      <w:pPr>
        <w:pStyle w:val="Heading4"/>
      </w:pPr>
      <w:r w:rsidRPr="00455191">
        <w:t xml:space="preserve">2.2.1 </w:t>
      </w:r>
      <w:r w:rsidR="00EA6BD0" w:rsidRPr="00455191">
        <w:t>W</w:t>
      </w:r>
      <w:r w:rsidR="005B75FC" w:rsidRPr="005B75FC">
        <w:t>orldwide harmonized Light vehicle Test Procedure</w:t>
      </w:r>
    </w:p>
    <w:p w14:paraId="5EC930F4" w14:textId="2DDCD8A8" w:rsidR="006644C5" w:rsidRPr="00455191" w:rsidRDefault="00434416" w:rsidP="00F61408">
      <w:r w:rsidRPr="00455191">
        <w:t>Under t</w:t>
      </w:r>
      <w:r w:rsidR="00593C86" w:rsidRPr="00455191">
        <w:t xml:space="preserve">he WLTP, </w:t>
      </w:r>
      <w:r w:rsidR="0023283B" w:rsidRPr="00455191">
        <w:t xml:space="preserve">defined </w:t>
      </w:r>
      <w:r w:rsidR="00FB18D0" w:rsidRPr="00455191">
        <w:t xml:space="preserve">in </w:t>
      </w:r>
      <w:r w:rsidR="00A904DB" w:rsidRPr="00455191">
        <w:t>U.N. Economic Commission for Europe (</w:t>
      </w:r>
      <w:r w:rsidR="0023283B" w:rsidRPr="00455191">
        <w:t>UNECE</w:t>
      </w:r>
      <w:r w:rsidR="00A904DB" w:rsidRPr="00455191">
        <w:t>)</w:t>
      </w:r>
      <w:r w:rsidR="0023283B" w:rsidRPr="00455191">
        <w:t xml:space="preserve"> Regulation No 154</w:t>
      </w:r>
      <w:r w:rsidR="00BF392D" w:rsidRPr="00455191">
        <w:t xml:space="preserve"> (2021)</w:t>
      </w:r>
      <w:r w:rsidR="00C27D7B" w:rsidRPr="00455191">
        <w:t>,</w:t>
      </w:r>
      <w:r w:rsidR="008B45A6" w:rsidRPr="00455191">
        <w:t xml:space="preserve"> </w:t>
      </w:r>
      <w:r w:rsidR="001053B3" w:rsidRPr="00455191">
        <w:t>the</w:t>
      </w:r>
      <w:r w:rsidR="008B45A6" w:rsidRPr="00455191">
        <w:t xml:space="preserve"> CO</w:t>
      </w:r>
      <w:r w:rsidR="008B45A6" w:rsidRPr="00455191">
        <w:rPr>
          <w:vertAlign w:val="subscript"/>
        </w:rPr>
        <w:t>2</w:t>
      </w:r>
      <w:r w:rsidR="008B45A6" w:rsidRPr="00455191">
        <w:t xml:space="preserve"> emissions </w:t>
      </w:r>
      <w:r w:rsidR="001D1859" w:rsidRPr="00455191">
        <w:t xml:space="preserve">and fuel consumption </w:t>
      </w:r>
      <w:r w:rsidR="008B45A6" w:rsidRPr="00455191">
        <w:t xml:space="preserve">of cars and vans are determined </w:t>
      </w:r>
      <w:r w:rsidR="00403ABE" w:rsidRPr="00455191">
        <w:t xml:space="preserve">by </w:t>
      </w:r>
      <w:r w:rsidR="0006593A" w:rsidRPr="00455191">
        <w:t xml:space="preserve">performing </w:t>
      </w:r>
      <w:r w:rsidR="000D1EA1" w:rsidRPr="00455191">
        <w:t xml:space="preserve">the </w:t>
      </w:r>
      <w:r w:rsidR="00DE2804" w:rsidRPr="00455191">
        <w:t>Worldwide harmonized Light vehicle Test Cycle</w:t>
      </w:r>
      <w:r w:rsidR="001D7774" w:rsidRPr="00455191">
        <w:t xml:space="preserve"> </w:t>
      </w:r>
      <w:r w:rsidR="000D1EA1" w:rsidRPr="00455191">
        <w:t>(</w:t>
      </w:r>
      <w:r w:rsidR="001D7774" w:rsidRPr="00455191">
        <w:t>WLTC</w:t>
      </w:r>
      <w:r w:rsidR="000D1EA1" w:rsidRPr="00455191">
        <w:t>)</w:t>
      </w:r>
      <w:r w:rsidR="00403ABE" w:rsidRPr="00455191">
        <w:t xml:space="preserve"> on a chassis dynamometer</w:t>
      </w:r>
      <w:r w:rsidR="00DE2804" w:rsidRPr="00455191">
        <w:t>.</w:t>
      </w:r>
      <w:r w:rsidR="00BF392D" w:rsidRPr="00455191">
        <w:t xml:space="preserve"> </w:t>
      </w:r>
      <w:r w:rsidR="001D7774" w:rsidRPr="00455191">
        <w:t xml:space="preserve">The WLTC consists of </w:t>
      </w:r>
      <w:r w:rsidR="00A02350" w:rsidRPr="00455191">
        <w:t xml:space="preserve">four </w:t>
      </w:r>
      <w:r w:rsidR="001D7774" w:rsidRPr="00455191">
        <w:t>phases</w:t>
      </w:r>
      <w:r w:rsidR="005C3825">
        <w:t>—</w:t>
      </w:r>
      <w:r w:rsidR="00F83B35">
        <w:t>low, medium, high, and extra-high—</w:t>
      </w:r>
      <w:r w:rsidR="003E7B0F" w:rsidRPr="00455191">
        <w:t>that</w:t>
      </w:r>
      <w:r w:rsidR="001D7774" w:rsidRPr="00455191">
        <w:t xml:space="preserve"> </w:t>
      </w:r>
      <w:r w:rsidR="00081574" w:rsidRPr="00455191">
        <w:t xml:space="preserve">represent different </w:t>
      </w:r>
      <w:r w:rsidR="00C23988" w:rsidRPr="00455191">
        <w:t xml:space="preserve">driving </w:t>
      </w:r>
      <w:r w:rsidR="00310DD5" w:rsidRPr="00455191">
        <w:t>conditions</w:t>
      </w:r>
      <w:r w:rsidR="00775A5F" w:rsidRPr="00455191">
        <w:t xml:space="preserve">. </w:t>
      </w:r>
      <w:r w:rsidR="00F92731">
        <w:t>China and t</w:t>
      </w:r>
      <w:r w:rsidR="001568BE" w:rsidRPr="00455191">
        <w:t xml:space="preserve">he </w:t>
      </w:r>
      <w:r w:rsidR="00775A5F" w:rsidRPr="00455191">
        <w:t>European Union</w:t>
      </w:r>
      <w:r w:rsidR="0048116F" w:rsidRPr="00455191">
        <w:t xml:space="preserve"> </w:t>
      </w:r>
      <w:r w:rsidR="002E4F47" w:rsidRPr="00455191">
        <w:t>follow</w:t>
      </w:r>
      <w:r w:rsidR="00775A5F" w:rsidRPr="00455191">
        <w:t xml:space="preserve"> the </w:t>
      </w:r>
      <w:r w:rsidR="00FB3ACA" w:rsidRPr="00455191">
        <w:t>Level 1A</w:t>
      </w:r>
      <w:r w:rsidR="00974898" w:rsidRPr="00455191">
        <w:t xml:space="preserve"> </w:t>
      </w:r>
      <w:r w:rsidR="00D46037" w:rsidRPr="00455191">
        <w:t>provision</w:t>
      </w:r>
      <w:r w:rsidR="00923343" w:rsidRPr="00455191">
        <w:t xml:space="preserve"> </w:t>
      </w:r>
      <w:r w:rsidR="00974898" w:rsidRPr="00455191">
        <w:t>of UN Regulation 154</w:t>
      </w:r>
      <w:r w:rsidR="00FB3ACA" w:rsidRPr="00455191">
        <w:t>, which require</w:t>
      </w:r>
      <w:r w:rsidR="00C706B5" w:rsidRPr="00455191">
        <w:t>s</w:t>
      </w:r>
      <w:r w:rsidR="00FB3ACA" w:rsidRPr="00455191">
        <w:t xml:space="preserve"> </w:t>
      </w:r>
      <w:r w:rsidR="0057655D" w:rsidRPr="00455191">
        <w:t>emissions testing</w:t>
      </w:r>
      <w:r w:rsidR="00FB3ACA" w:rsidRPr="00455191">
        <w:t xml:space="preserve"> </w:t>
      </w:r>
      <w:r w:rsidR="0057655D" w:rsidRPr="00455191">
        <w:t>on</w:t>
      </w:r>
      <w:r w:rsidR="00FB3ACA" w:rsidRPr="00455191">
        <w:t xml:space="preserve"> </w:t>
      </w:r>
      <w:r w:rsidR="00C10809" w:rsidRPr="00455191">
        <w:t xml:space="preserve">all </w:t>
      </w:r>
      <w:r w:rsidR="00571B57" w:rsidRPr="00455191">
        <w:t xml:space="preserve">four </w:t>
      </w:r>
      <w:r w:rsidR="00C10809" w:rsidRPr="00455191">
        <w:t>phases of the WLTC. Japan</w:t>
      </w:r>
      <w:r w:rsidR="0048116F" w:rsidRPr="00455191">
        <w:t xml:space="preserve"> and New Zealand</w:t>
      </w:r>
      <w:r w:rsidR="001568BE" w:rsidRPr="00455191">
        <w:t xml:space="preserve"> </w:t>
      </w:r>
      <w:r w:rsidR="00330758" w:rsidRPr="00455191">
        <w:t>follow</w:t>
      </w:r>
      <w:r w:rsidR="00C10809" w:rsidRPr="00455191">
        <w:t xml:space="preserve"> </w:t>
      </w:r>
      <w:r w:rsidR="008C4840">
        <w:t xml:space="preserve">the </w:t>
      </w:r>
      <w:r w:rsidR="00C10809" w:rsidRPr="00455191">
        <w:t>Level 1B</w:t>
      </w:r>
      <w:r w:rsidR="008C4840">
        <w:t xml:space="preserve"> provision</w:t>
      </w:r>
      <w:r w:rsidR="001568BE" w:rsidRPr="00455191">
        <w:t>,</w:t>
      </w:r>
      <w:r w:rsidR="00C10809" w:rsidRPr="00455191">
        <w:t xml:space="preserve"> which entail</w:t>
      </w:r>
      <w:r w:rsidR="00C706B5" w:rsidRPr="00455191">
        <w:t>s</w:t>
      </w:r>
      <w:r w:rsidR="00C10809" w:rsidRPr="00455191">
        <w:t xml:space="preserve"> driving the first </w:t>
      </w:r>
      <w:r w:rsidR="001568BE" w:rsidRPr="00455191">
        <w:t xml:space="preserve">three </w:t>
      </w:r>
      <w:r w:rsidR="00C10809" w:rsidRPr="00455191">
        <w:t xml:space="preserve">phases </w:t>
      </w:r>
      <w:r w:rsidR="00E75A37" w:rsidRPr="00455191">
        <w:t>(low, medium, and high)</w:t>
      </w:r>
      <w:r w:rsidR="00C10809" w:rsidRPr="00455191">
        <w:t>.</w:t>
      </w:r>
    </w:p>
    <w:p w14:paraId="123A45ED" w14:textId="7F351F45" w:rsidR="0017638B" w:rsidRPr="00455191" w:rsidRDefault="00BD06EC" w:rsidP="00F61408">
      <w:r w:rsidRPr="00455191">
        <w:t>U</w:t>
      </w:r>
      <w:r w:rsidR="00C07B04" w:rsidRPr="00455191">
        <w:t>nder</w:t>
      </w:r>
      <w:r w:rsidRPr="00455191">
        <w:t xml:space="preserve"> the</w:t>
      </w:r>
      <w:r w:rsidR="00C07B04" w:rsidRPr="00455191">
        <w:t xml:space="preserve"> NEDC</w:t>
      </w:r>
      <w:r w:rsidRPr="00455191">
        <w:t>,</w:t>
      </w:r>
      <w:r w:rsidR="00C07B04" w:rsidRPr="00455191">
        <w:t xml:space="preserve"> all vehicles of </w:t>
      </w:r>
      <w:r w:rsidR="00950593" w:rsidRPr="00455191">
        <w:t xml:space="preserve">the same </w:t>
      </w:r>
      <w:r w:rsidR="00833F4C" w:rsidRPr="00455191">
        <w:t xml:space="preserve">vehicle </w:t>
      </w:r>
      <w:r w:rsidR="00F66E8A" w:rsidRPr="00455191">
        <w:t>type receive the same CO</w:t>
      </w:r>
      <w:r w:rsidR="00F66E8A" w:rsidRPr="00455191">
        <w:rPr>
          <w:vertAlign w:val="subscript"/>
        </w:rPr>
        <w:t>2</w:t>
      </w:r>
      <w:r w:rsidR="00F66E8A" w:rsidRPr="00455191">
        <w:t xml:space="preserve"> emissions value</w:t>
      </w:r>
      <w:r w:rsidR="00013B4D">
        <w:t xml:space="preserve"> for the purpose of emission</w:t>
      </w:r>
      <w:r w:rsidR="00707DF6">
        <w:t>s</w:t>
      </w:r>
      <w:r w:rsidR="00013B4D">
        <w:t xml:space="preserve"> classification</w:t>
      </w:r>
      <w:r w:rsidR="005A52A4" w:rsidRPr="00455191">
        <w:t>;</w:t>
      </w:r>
      <w:r w:rsidR="00F66E8A" w:rsidRPr="00455191">
        <w:t xml:space="preserve"> </w:t>
      </w:r>
      <w:r w:rsidR="005A52A4" w:rsidRPr="00455191">
        <w:t xml:space="preserve">under the WLTP, however, </w:t>
      </w:r>
      <w:r w:rsidR="008C033D" w:rsidRPr="00455191">
        <w:t xml:space="preserve">each </w:t>
      </w:r>
      <w:r w:rsidR="00F66E8A" w:rsidRPr="00455191">
        <w:t xml:space="preserve">vehicle </w:t>
      </w:r>
      <w:r w:rsidR="005A52A4" w:rsidRPr="00455191">
        <w:t xml:space="preserve">receives </w:t>
      </w:r>
      <w:r w:rsidR="008C033D" w:rsidRPr="00455191">
        <w:t>a</w:t>
      </w:r>
      <w:r w:rsidR="007679B3" w:rsidRPr="00455191">
        <w:t xml:space="preserve"> specific</w:t>
      </w:r>
      <w:r w:rsidR="008637BA" w:rsidRPr="00455191">
        <w:t xml:space="preserve"> </w:t>
      </w:r>
      <w:r w:rsidR="008C033D" w:rsidRPr="00455191">
        <w:t>CO</w:t>
      </w:r>
      <w:r w:rsidR="008C033D" w:rsidRPr="00455191">
        <w:rPr>
          <w:vertAlign w:val="subscript"/>
        </w:rPr>
        <w:t>2</w:t>
      </w:r>
      <w:r w:rsidR="008C033D" w:rsidRPr="00455191">
        <w:t xml:space="preserve"> emission value</w:t>
      </w:r>
      <w:r w:rsidR="00165048" w:rsidRPr="00455191">
        <w:t>.</w:t>
      </w:r>
      <w:r w:rsidR="002A6A84" w:rsidRPr="00455191">
        <w:rPr>
          <w:rStyle w:val="FootnoteReference"/>
        </w:rPr>
        <w:footnoteReference w:id="5"/>
      </w:r>
      <w:r w:rsidR="00165048" w:rsidRPr="00455191">
        <w:t xml:space="preserve"> </w:t>
      </w:r>
      <w:r w:rsidR="008B3420" w:rsidRPr="00455191">
        <w:t xml:space="preserve">The </w:t>
      </w:r>
      <w:r w:rsidR="007C7F8C" w:rsidRPr="00455191">
        <w:t>WLTP CO</w:t>
      </w:r>
      <w:r w:rsidR="007C7F8C" w:rsidRPr="00455191">
        <w:rPr>
          <w:vertAlign w:val="subscript"/>
        </w:rPr>
        <w:t>2</w:t>
      </w:r>
      <w:r w:rsidR="007C7F8C" w:rsidRPr="00455191">
        <w:t xml:space="preserve"> emissions value considers</w:t>
      </w:r>
      <w:r w:rsidR="006E5ED8" w:rsidRPr="00455191">
        <w:t xml:space="preserve"> the </w:t>
      </w:r>
      <w:r w:rsidR="005D416D" w:rsidRPr="00455191">
        <w:t xml:space="preserve">vehicle’s </w:t>
      </w:r>
      <w:r w:rsidR="007C7F8C" w:rsidRPr="00455191">
        <w:t xml:space="preserve">rolling </w:t>
      </w:r>
      <w:r w:rsidR="0026429D" w:rsidRPr="00455191">
        <w:t xml:space="preserve">resistance, </w:t>
      </w:r>
      <w:r w:rsidR="007C7F8C" w:rsidRPr="00455191">
        <w:t>aerodynamic resistance</w:t>
      </w:r>
      <w:r w:rsidR="0065655B" w:rsidRPr="00455191">
        <w:t>,</w:t>
      </w:r>
      <w:r w:rsidR="0026429D" w:rsidRPr="00455191">
        <w:t xml:space="preserve"> </w:t>
      </w:r>
      <w:r w:rsidR="00A24316" w:rsidRPr="00455191">
        <w:t xml:space="preserve">and </w:t>
      </w:r>
      <w:r w:rsidR="00513029" w:rsidRPr="00455191">
        <w:t xml:space="preserve">test mass, which </w:t>
      </w:r>
      <w:r w:rsidR="00E730E7" w:rsidRPr="00455191">
        <w:t xml:space="preserve">under the WLTP </w:t>
      </w:r>
      <w:r w:rsidR="00B24149" w:rsidRPr="00455191">
        <w:t xml:space="preserve">includes </w:t>
      </w:r>
      <w:r w:rsidR="00F22CA8" w:rsidRPr="00455191">
        <w:t xml:space="preserve">not only </w:t>
      </w:r>
      <w:r w:rsidR="00513029" w:rsidRPr="00455191">
        <w:t xml:space="preserve">the mass in running order </w:t>
      </w:r>
      <w:r w:rsidR="007332C7" w:rsidRPr="00455191">
        <w:t>(</w:t>
      </w:r>
      <w:r w:rsidR="00513029" w:rsidRPr="00455191">
        <w:t xml:space="preserve">used under </w:t>
      </w:r>
      <w:r w:rsidR="007332C7" w:rsidRPr="00455191">
        <w:t xml:space="preserve">the </w:t>
      </w:r>
      <w:r w:rsidR="00513029" w:rsidRPr="00455191">
        <w:t>NEDC</w:t>
      </w:r>
      <w:r w:rsidR="007332C7" w:rsidRPr="00455191">
        <w:t>)</w:t>
      </w:r>
      <w:r w:rsidR="00513029" w:rsidRPr="00455191">
        <w:t xml:space="preserve"> </w:t>
      </w:r>
      <w:r w:rsidR="00F22CA8" w:rsidRPr="00455191">
        <w:t xml:space="preserve">but </w:t>
      </w:r>
      <w:r w:rsidR="00513029" w:rsidRPr="00455191">
        <w:t xml:space="preserve">also the mass of </w:t>
      </w:r>
      <w:r w:rsidR="007332C7" w:rsidRPr="00455191">
        <w:t xml:space="preserve">any </w:t>
      </w:r>
      <w:r w:rsidR="00513029" w:rsidRPr="00455191">
        <w:t xml:space="preserve">optional equipment and a representable payload. </w:t>
      </w:r>
      <w:r w:rsidR="00165048" w:rsidRPr="00455191">
        <w:t xml:space="preserve">To minimize the test burden, </w:t>
      </w:r>
      <w:r w:rsidR="005D0584" w:rsidRPr="00455191">
        <w:t>vehicles are grouped in</w:t>
      </w:r>
      <w:r w:rsidR="00150932" w:rsidRPr="00455191">
        <w:t>to</w:t>
      </w:r>
      <w:r w:rsidR="005D0584" w:rsidRPr="00455191">
        <w:t xml:space="preserve"> CO</w:t>
      </w:r>
      <w:r w:rsidR="005D0584" w:rsidRPr="00455191">
        <w:rPr>
          <w:vertAlign w:val="subscript"/>
        </w:rPr>
        <w:t>2</w:t>
      </w:r>
      <w:r w:rsidR="005D0584" w:rsidRPr="00455191">
        <w:t xml:space="preserve"> families and</w:t>
      </w:r>
      <w:r w:rsidR="00865C33" w:rsidRPr="00455191">
        <w:t xml:space="preserve"> </w:t>
      </w:r>
      <w:r w:rsidR="002B7730" w:rsidRPr="00455191">
        <w:t xml:space="preserve">no </w:t>
      </w:r>
      <w:r w:rsidR="002B7730" w:rsidRPr="00455191">
        <w:lastRenderedPageBreak/>
        <w:t>more than</w:t>
      </w:r>
      <w:r w:rsidR="00865C33" w:rsidRPr="00455191">
        <w:t xml:space="preserve"> three vehicle</w:t>
      </w:r>
      <w:r w:rsidR="00B33C7B" w:rsidRPr="00455191">
        <w:t xml:space="preserve"> configurations</w:t>
      </w:r>
      <w:r w:rsidR="00865C33" w:rsidRPr="00455191">
        <w:t xml:space="preserve"> of </w:t>
      </w:r>
      <w:r w:rsidR="00B33C7B" w:rsidRPr="00455191">
        <w:t>each family</w:t>
      </w:r>
      <w:r w:rsidR="00865C33" w:rsidRPr="00455191">
        <w:t xml:space="preserve"> are tested</w:t>
      </w:r>
      <w:r w:rsidR="00B33C7B" w:rsidRPr="00455191">
        <w:t xml:space="preserve"> in the laboratory</w:t>
      </w:r>
      <w:r w:rsidR="00865C33" w:rsidRPr="00455191">
        <w:t>. The CO</w:t>
      </w:r>
      <w:r w:rsidR="00865C33" w:rsidRPr="00455191">
        <w:rPr>
          <w:vertAlign w:val="subscript"/>
        </w:rPr>
        <w:t>2</w:t>
      </w:r>
      <w:r w:rsidR="00865C33" w:rsidRPr="00455191">
        <w:t xml:space="preserve"> emissions of all other vehicles </w:t>
      </w:r>
      <w:r w:rsidR="002B7730" w:rsidRPr="00455191">
        <w:t>in</w:t>
      </w:r>
      <w:r w:rsidR="00865C33" w:rsidRPr="00455191">
        <w:t xml:space="preserve"> </w:t>
      </w:r>
      <w:r w:rsidR="0046187C" w:rsidRPr="00455191">
        <w:t xml:space="preserve">the </w:t>
      </w:r>
      <w:r w:rsidR="00865C33" w:rsidRPr="00455191">
        <w:t xml:space="preserve">family are </w:t>
      </w:r>
      <w:r w:rsidR="001B23B4" w:rsidRPr="00455191">
        <w:t xml:space="preserve">then </w:t>
      </w:r>
      <w:r w:rsidR="00865C33" w:rsidRPr="00455191">
        <w:t xml:space="preserve">determined by linear interpolation between the </w:t>
      </w:r>
      <w:r w:rsidR="00EB570C" w:rsidRPr="00455191">
        <w:t>emission</w:t>
      </w:r>
      <w:r w:rsidR="000F03BD" w:rsidRPr="00455191">
        <w:t xml:space="preserve"> values of </w:t>
      </w:r>
      <w:r w:rsidR="00EB570C" w:rsidRPr="00455191">
        <w:t xml:space="preserve">the </w:t>
      </w:r>
      <w:r w:rsidR="000F03BD" w:rsidRPr="00455191">
        <w:t>test</w:t>
      </w:r>
      <w:r w:rsidR="00EB570C" w:rsidRPr="00455191">
        <w:t>ed</w:t>
      </w:r>
      <w:r w:rsidR="000F03BD" w:rsidRPr="00455191">
        <w:t xml:space="preserve"> </w:t>
      </w:r>
      <w:r w:rsidR="00EB570C" w:rsidRPr="00455191">
        <w:t>vehicles</w:t>
      </w:r>
      <w:r w:rsidR="00EB570C" w:rsidRPr="00455191" w:rsidDel="00F06ADC">
        <w:t>.</w:t>
      </w:r>
      <w:r w:rsidR="007D6F40" w:rsidRPr="00455191">
        <w:t xml:space="preserve"> The interpolation is based on</w:t>
      </w:r>
      <w:r w:rsidR="0014657E" w:rsidRPr="00455191">
        <w:t xml:space="preserve"> the vehicles</w:t>
      </w:r>
      <w:r w:rsidR="00313743" w:rsidRPr="00455191">
        <w:t>’</w:t>
      </w:r>
      <w:r w:rsidR="0014657E" w:rsidRPr="00455191">
        <w:t xml:space="preserve"> </w:t>
      </w:r>
      <w:r w:rsidR="007157B7" w:rsidRPr="00455191">
        <w:t>cycle energy demand</w:t>
      </w:r>
      <w:r w:rsidR="00B12811" w:rsidRPr="00455191">
        <w:t>—</w:t>
      </w:r>
      <w:r w:rsidR="007157B7" w:rsidRPr="00455191">
        <w:t>that is</w:t>
      </w:r>
      <w:r w:rsidR="00B12811" w:rsidRPr="00455191">
        <w:t>,</w:t>
      </w:r>
      <w:r w:rsidR="007157B7" w:rsidRPr="00455191">
        <w:t xml:space="preserve"> the </w:t>
      </w:r>
      <w:r w:rsidR="00430DB8" w:rsidRPr="00455191">
        <w:t xml:space="preserve">mechanical </w:t>
      </w:r>
      <w:r w:rsidR="00742EB9" w:rsidRPr="00455191">
        <w:t xml:space="preserve">energy </w:t>
      </w:r>
      <w:r w:rsidR="008614CB" w:rsidRPr="00455191">
        <w:t xml:space="preserve">required </w:t>
      </w:r>
      <w:r w:rsidR="00B12811" w:rsidRPr="00455191">
        <w:t xml:space="preserve">to </w:t>
      </w:r>
      <w:r w:rsidR="00485007" w:rsidRPr="00455191">
        <w:t>driv</w:t>
      </w:r>
      <w:r w:rsidR="00B12811" w:rsidRPr="00455191">
        <w:t>e</w:t>
      </w:r>
      <w:r w:rsidR="00485007" w:rsidRPr="00455191">
        <w:t xml:space="preserve"> </w:t>
      </w:r>
      <w:r w:rsidR="008614CB" w:rsidRPr="00455191">
        <w:t>the WLTC</w:t>
      </w:r>
      <w:r w:rsidR="000F03BD" w:rsidRPr="00455191">
        <w:t>.</w:t>
      </w:r>
      <w:r w:rsidR="00B14123" w:rsidRPr="00455191">
        <w:t xml:space="preserve"> </w:t>
      </w:r>
      <w:r w:rsidR="0006593A" w:rsidRPr="00455191">
        <w:t xml:space="preserve">The </w:t>
      </w:r>
      <w:r w:rsidR="003E6A3B" w:rsidRPr="00455191">
        <w:t>WLTC is performed at an ambient temperature of 23</w:t>
      </w:r>
      <w:r w:rsidR="00F06ADC" w:rsidRPr="00455191">
        <w:t xml:space="preserve"> </w:t>
      </w:r>
      <w:r w:rsidR="003E6A3B" w:rsidRPr="00455191">
        <w:t>°C</w:t>
      </w:r>
      <w:r w:rsidR="004B58B4" w:rsidRPr="00455191">
        <w:t xml:space="preserve">. </w:t>
      </w:r>
    </w:p>
    <w:p w14:paraId="39D09F75" w14:textId="569A5A30" w:rsidR="00843283" w:rsidRPr="00455191" w:rsidRDefault="00330474" w:rsidP="00F61408">
      <w:r>
        <w:t>E</w:t>
      </w:r>
      <w:r w:rsidR="00CB48A4" w:rsidRPr="00455191">
        <w:t xml:space="preserve">missions are continuously sampled during </w:t>
      </w:r>
      <w:r w:rsidR="003379C9" w:rsidRPr="00455191">
        <w:t xml:space="preserve">each phase of </w:t>
      </w:r>
      <w:r w:rsidR="00CB48A4" w:rsidRPr="00455191">
        <w:t xml:space="preserve">the </w:t>
      </w:r>
      <w:r w:rsidR="00F52358" w:rsidRPr="00455191">
        <w:t>laboratory test</w:t>
      </w:r>
      <w:r w:rsidR="008964DF" w:rsidRPr="00455191">
        <w:t xml:space="preserve">. </w:t>
      </w:r>
      <w:r w:rsidR="00486AF7" w:rsidRPr="00455191">
        <w:t>M</w:t>
      </w:r>
      <w:r w:rsidR="00A6602A" w:rsidRPr="00455191">
        <w:t xml:space="preserve">easured </w:t>
      </w:r>
      <w:r w:rsidR="008964DF" w:rsidRPr="00455191">
        <w:t>CO</w:t>
      </w:r>
      <w:r w:rsidR="008964DF" w:rsidRPr="00455191">
        <w:rPr>
          <w:vertAlign w:val="subscript"/>
        </w:rPr>
        <w:t>2</w:t>
      </w:r>
      <w:r w:rsidR="008964DF" w:rsidRPr="00455191">
        <w:t xml:space="preserve"> emissions are correct</w:t>
      </w:r>
      <w:r w:rsidR="006D0597" w:rsidRPr="00455191">
        <w:t xml:space="preserve">ed </w:t>
      </w:r>
      <w:r w:rsidR="00273304" w:rsidRPr="00455191">
        <w:t xml:space="preserve">for changes in </w:t>
      </w:r>
      <w:r w:rsidR="004F631F" w:rsidRPr="00455191">
        <w:t>battery charge level</w:t>
      </w:r>
      <w:r w:rsidR="005777F4" w:rsidRPr="00455191">
        <w:t xml:space="preserve"> and</w:t>
      </w:r>
      <w:r w:rsidR="004F631F" w:rsidRPr="00455191">
        <w:t xml:space="preserve"> </w:t>
      </w:r>
      <w:r w:rsidR="0050158F" w:rsidRPr="00455191">
        <w:t xml:space="preserve">emissions during the </w:t>
      </w:r>
      <w:r w:rsidR="0053227C" w:rsidRPr="00455191">
        <w:t xml:space="preserve">periodic regeneration of </w:t>
      </w:r>
      <w:r w:rsidR="00F349F5" w:rsidRPr="00455191">
        <w:t>aftertreatment devices</w:t>
      </w:r>
      <w:r w:rsidR="008228FF" w:rsidRPr="00455191">
        <w:t xml:space="preserve">. </w:t>
      </w:r>
      <w:r w:rsidR="0090517D">
        <w:t>F</w:t>
      </w:r>
      <w:r w:rsidR="007B07C7" w:rsidRPr="00455191">
        <w:t xml:space="preserve">or </w:t>
      </w:r>
      <w:r w:rsidR="008228FF" w:rsidRPr="00455191">
        <w:t>Level 1A</w:t>
      </w:r>
      <w:r w:rsidR="007B07C7" w:rsidRPr="00455191">
        <w:t xml:space="preserve"> type-approvals</w:t>
      </w:r>
      <w:r w:rsidR="008228FF" w:rsidRPr="00455191">
        <w:t>,</w:t>
      </w:r>
      <w:r w:rsidR="00A6602A" w:rsidRPr="00455191">
        <w:t xml:space="preserve"> </w:t>
      </w:r>
      <w:r w:rsidR="007B07C7" w:rsidRPr="00455191">
        <w:t>corrections are applied</w:t>
      </w:r>
      <w:r w:rsidR="00A6602A" w:rsidRPr="00455191">
        <w:t xml:space="preserve"> </w:t>
      </w:r>
      <w:r w:rsidR="007B07C7" w:rsidRPr="00455191">
        <w:t>for</w:t>
      </w:r>
      <w:r w:rsidR="00A15178" w:rsidRPr="00455191">
        <w:t xml:space="preserve"> </w:t>
      </w:r>
      <w:r w:rsidR="00A6602A" w:rsidRPr="00455191">
        <w:t xml:space="preserve">differences in ambient temperature </w:t>
      </w:r>
      <w:r w:rsidR="00774254">
        <w:t>in addition to</w:t>
      </w:r>
      <w:r w:rsidR="002505BD" w:rsidRPr="00455191">
        <w:t xml:space="preserve"> deviations between actual driven speed and distance and the reference values</w:t>
      </w:r>
      <w:r w:rsidR="00933FA4" w:rsidRPr="00455191">
        <w:t>.</w:t>
      </w:r>
      <w:r w:rsidR="00ED4F32" w:rsidRPr="00455191">
        <w:rPr>
          <w:rFonts w:hint="eastAsia"/>
        </w:rPr>
        <w:t xml:space="preserve"> </w:t>
      </w:r>
    </w:p>
    <w:p w14:paraId="724F7C05" w14:textId="037C0BCA" w:rsidR="005E4DB3" w:rsidRPr="00455191" w:rsidRDefault="0075484B" w:rsidP="00F61408">
      <w:r w:rsidRPr="00455191">
        <w:t>During the type-approval process, manufacturers declare CO</w:t>
      </w:r>
      <w:r w:rsidRPr="00455191">
        <w:rPr>
          <w:vertAlign w:val="subscript"/>
        </w:rPr>
        <w:t>2</w:t>
      </w:r>
      <w:r w:rsidRPr="00455191">
        <w:t xml:space="preserve"> values </w:t>
      </w:r>
      <w:r w:rsidR="009A6B6A" w:rsidRPr="00455191">
        <w:t xml:space="preserve">for </w:t>
      </w:r>
      <w:r w:rsidRPr="00455191">
        <w:t xml:space="preserve">the vehicles </w:t>
      </w:r>
      <w:r w:rsidR="007816C1" w:rsidRPr="00455191">
        <w:t>tested</w:t>
      </w:r>
      <w:r w:rsidR="009A6B6A" w:rsidRPr="00455191">
        <w:t xml:space="preserve">. </w:t>
      </w:r>
      <w:r w:rsidR="00753A8C" w:rsidRPr="00455191">
        <w:t>If t</w:t>
      </w:r>
      <w:r w:rsidR="007C1D2D" w:rsidRPr="00455191">
        <w:t xml:space="preserve">he </w:t>
      </w:r>
      <w:r w:rsidR="00773965" w:rsidRPr="00455191">
        <w:t>measured CO</w:t>
      </w:r>
      <w:r w:rsidR="00773965" w:rsidRPr="00455191">
        <w:rPr>
          <w:vertAlign w:val="subscript"/>
        </w:rPr>
        <w:t>2</w:t>
      </w:r>
      <w:r w:rsidR="00773965" w:rsidRPr="00455191">
        <w:t xml:space="preserve"> emission value </w:t>
      </w:r>
      <w:r w:rsidR="006D14B8" w:rsidRPr="00455191">
        <w:t>(</w:t>
      </w:r>
      <w:r w:rsidR="00A62907" w:rsidRPr="00455191">
        <w:t>after correction</w:t>
      </w:r>
      <w:r w:rsidR="006D14B8" w:rsidRPr="00455191">
        <w:t>)</w:t>
      </w:r>
      <w:r w:rsidR="00A62907" w:rsidRPr="00455191">
        <w:t xml:space="preserve"> </w:t>
      </w:r>
      <w:r w:rsidR="00773965" w:rsidRPr="00455191" w:rsidDel="00B37E77">
        <w:t>is</w:t>
      </w:r>
      <w:r w:rsidR="00A62907" w:rsidRPr="00455191">
        <w:t xml:space="preserve"> </w:t>
      </w:r>
      <w:r w:rsidR="00E76991" w:rsidRPr="00455191">
        <w:t xml:space="preserve">equal </w:t>
      </w:r>
      <w:r w:rsidR="007267C1" w:rsidRPr="00455191">
        <w:t xml:space="preserve">to </w:t>
      </w:r>
      <w:r w:rsidR="00E76991" w:rsidRPr="00455191">
        <w:t xml:space="preserve">or lower than </w:t>
      </w:r>
      <w:r w:rsidR="00773965" w:rsidRPr="00455191">
        <w:t>the value declared by the manufacturer</w:t>
      </w:r>
      <w:r w:rsidR="00FC446D" w:rsidRPr="00455191">
        <w:t xml:space="preserve">, the declared value becomes the official </w:t>
      </w:r>
      <w:r w:rsidR="00C26804" w:rsidRPr="00455191">
        <w:t>type-approval value.</w:t>
      </w:r>
      <w:r w:rsidR="001C4000" w:rsidRPr="00455191">
        <w:t xml:space="preserve"> </w:t>
      </w:r>
      <w:r w:rsidR="00B410E4" w:rsidRPr="00455191">
        <w:t xml:space="preserve">The declared value contains a margin </w:t>
      </w:r>
      <w:r w:rsidR="00672647" w:rsidRPr="00455191">
        <w:t xml:space="preserve">to ensure that </w:t>
      </w:r>
      <w:r w:rsidR="00A1486A" w:rsidRPr="00455191">
        <w:t>the CO</w:t>
      </w:r>
      <w:r w:rsidR="00A1486A" w:rsidRPr="00455191">
        <w:rPr>
          <w:vertAlign w:val="subscript"/>
        </w:rPr>
        <w:t>2</w:t>
      </w:r>
      <w:r w:rsidR="00A1486A" w:rsidRPr="00455191">
        <w:t xml:space="preserve"> emissions of </w:t>
      </w:r>
      <w:r w:rsidR="00672647" w:rsidRPr="00455191">
        <w:t xml:space="preserve">vehicles </w:t>
      </w:r>
      <w:r w:rsidR="00A1486A" w:rsidRPr="00455191">
        <w:t xml:space="preserve">measured during </w:t>
      </w:r>
      <w:r w:rsidR="00672647" w:rsidRPr="00455191">
        <w:t xml:space="preserve">conformity of production </w:t>
      </w:r>
      <w:r w:rsidR="00A1486A" w:rsidRPr="00455191">
        <w:t xml:space="preserve">tests </w:t>
      </w:r>
      <w:r w:rsidR="007816C1" w:rsidRPr="00455191">
        <w:t xml:space="preserve">are </w:t>
      </w:r>
      <w:r w:rsidR="00A1486A" w:rsidRPr="00455191">
        <w:t>below</w:t>
      </w:r>
      <w:r w:rsidR="00B410E4" w:rsidRPr="00455191">
        <w:t xml:space="preserve"> </w:t>
      </w:r>
      <w:r w:rsidR="00BC1A29" w:rsidRPr="00455191">
        <w:t xml:space="preserve">the declared </w:t>
      </w:r>
      <w:r w:rsidR="00D066E7" w:rsidRPr="00455191">
        <w:t>value</w:t>
      </w:r>
      <w:r w:rsidR="00BC1A29" w:rsidRPr="00455191">
        <w:t xml:space="preserve">, as the vehicle would otherwise not be compliant. </w:t>
      </w:r>
      <w:r w:rsidR="00093EBE" w:rsidRPr="00455191">
        <w:t>However, a</w:t>
      </w:r>
      <w:r w:rsidR="00442D29" w:rsidRPr="00455191">
        <w:t xml:space="preserve">s manufacturers aim for </w:t>
      </w:r>
      <w:r w:rsidR="00BB47DD" w:rsidRPr="00455191">
        <w:t>official CO</w:t>
      </w:r>
      <w:r w:rsidR="00BB47DD" w:rsidRPr="00455191">
        <w:rPr>
          <w:vertAlign w:val="subscript"/>
        </w:rPr>
        <w:t>2</w:t>
      </w:r>
      <w:r w:rsidR="00BB47DD" w:rsidRPr="00455191">
        <w:t xml:space="preserve"> emission values to be </w:t>
      </w:r>
      <w:r w:rsidR="00442D29" w:rsidRPr="00455191">
        <w:t xml:space="preserve">as low as possible, the declared value </w:t>
      </w:r>
      <w:r w:rsidR="005B6C21" w:rsidRPr="00455191">
        <w:t xml:space="preserve">is </w:t>
      </w:r>
      <w:r w:rsidR="00733AAC" w:rsidRPr="00455191">
        <w:t xml:space="preserve">usually only slightly higher than the expected measured value. </w:t>
      </w:r>
    </w:p>
    <w:p w14:paraId="6A0DFB85" w14:textId="78AB89FB" w:rsidR="009E4EE1" w:rsidRPr="00455191" w:rsidRDefault="005E4DB3" w:rsidP="00F61408">
      <w:r w:rsidRPr="00455191">
        <w:t xml:space="preserve">For </w:t>
      </w:r>
      <w:r w:rsidR="00201248" w:rsidRPr="00455191">
        <w:t>vehicles registered in 2020</w:t>
      </w:r>
      <w:r w:rsidRPr="00455191">
        <w:t xml:space="preserve">, </w:t>
      </w:r>
      <w:r w:rsidR="00404279" w:rsidRPr="00455191">
        <w:t>the NEDC CO</w:t>
      </w:r>
      <w:r w:rsidR="00404279" w:rsidRPr="00455191">
        <w:rPr>
          <w:vertAlign w:val="subscript"/>
        </w:rPr>
        <w:t>2</w:t>
      </w:r>
      <w:r w:rsidR="00404279" w:rsidRPr="00455191">
        <w:t xml:space="preserve"> emission</w:t>
      </w:r>
      <w:r w:rsidR="00842887" w:rsidRPr="00455191">
        <w:t>s</w:t>
      </w:r>
      <w:r w:rsidR="00404279" w:rsidRPr="00455191">
        <w:t xml:space="preserve"> were </w:t>
      </w:r>
      <w:r w:rsidR="00672D5A" w:rsidRPr="00455191">
        <w:t xml:space="preserve">still </w:t>
      </w:r>
      <w:r w:rsidR="00490264">
        <w:t>used to</w:t>
      </w:r>
      <w:r w:rsidR="00404279" w:rsidRPr="00455191">
        <w:t xml:space="preserve"> determin</w:t>
      </w:r>
      <w:r w:rsidR="00490264">
        <w:t>e</w:t>
      </w:r>
      <w:r w:rsidR="00404279" w:rsidRPr="00455191">
        <w:t xml:space="preserve"> manufacturer CO</w:t>
      </w:r>
      <w:r w:rsidR="00404279" w:rsidRPr="00455191">
        <w:rPr>
          <w:vertAlign w:val="subscript"/>
        </w:rPr>
        <w:t>2</w:t>
      </w:r>
      <w:r w:rsidR="00404279" w:rsidRPr="00455191">
        <w:t xml:space="preserve"> performance</w:t>
      </w:r>
      <w:r w:rsidR="00C4122D">
        <w:t>, and</w:t>
      </w:r>
      <w:r w:rsidR="00404279" w:rsidRPr="00455191">
        <w:t xml:space="preserve"> </w:t>
      </w:r>
      <w:r w:rsidR="00C4122D">
        <w:t>t</w:t>
      </w:r>
      <w:r w:rsidR="00404279" w:rsidRPr="00455191">
        <w:t>he WLTP CO</w:t>
      </w:r>
      <w:r w:rsidR="00404279" w:rsidRPr="00455191">
        <w:rPr>
          <w:vertAlign w:val="subscript"/>
        </w:rPr>
        <w:t>2</w:t>
      </w:r>
      <w:r w:rsidR="00404279" w:rsidRPr="00455191">
        <w:t xml:space="preserve"> values were </w:t>
      </w:r>
      <w:r w:rsidR="00D0118C" w:rsidRPr="00455191">
        <w:t xml:space="preserve">only </w:t>
      </w:r>
      <w:r w:rsidR="00404279" w:rsidRPr="00455191">
        <w:t>used to</w:t>
      </w:r>
      <w:r w:rsidR="003D61EC" w:rsidRPr="00455191">
        <w:t xml:space="preserve"> determine </w:t>
      </w:r>
      <w:r w:rsidR="00D0118C" w:rsidRPr="00455191">
        <w:t xml:space="preserve">each </w:t>
      </w:r>
      <w:r w:rsidR="009A6E73" w:rsidRPr="00455191">
        <w:t>manufacturer’s</w:t>
      </w:r>
      <w:r w:rsidR="00D0118C" w:rsidRPr="00455191">
        <w:t xml:space="preserve"> WLTP CO</w:t>
      </w:r>
      <w:r w:rsidR="00D0118C" w:rsidRPr="00455191">
        <w:rPr>
          <w:vertAlign w:val="subscript"/>
        </w:rPr>
        <w:t>2</w:t>
      </w:r>
      <w:r w:rsidR="00D0118C" w:rsidRPr="00455191">
        <w:t xml:space="preserve"> target in the period 2021</w:t>
      </w:r>
      <w:r w:rsidR="00525C62" w:rsidRPr="00455191">
        <w:t>–</w:t>
      </w:r>
      <w:r w:rsidR="00D0118C" w:rsidRPr="00455191">
        <w:t>2024</w:t>
      </w:r>
      <w:r w:rsidR="002425F0" w:rsidRPr="00455191">
        <w:t>. For this purpose, the manufacturer’s</w:t>
      </w:r>
      <w:r w:rsidR="00D0118C" w:rsidRPr="00455191">
        <w:t xml:space="preserve"> 2020 NEDC CO</w:t>
      </w:r>
      <w:r w:rsidR="00D0118C" w:rsidRPr="00455191">
        <w:rPr>
          <w:vertAlign w:val="subscript"/>
        </w:rPr>
        <w:t>2</w:t>
      </w:r>
      <w:r w:rsidR="00D0118C" w:rsidRPr="00455191">
        <w:t xml:space="preserve"> target </w:t>
      </w:r>
      <w:r w:rsidR="00E27026" w:rsidRPr="00455191">
        <w:t xml:space="preserve">was multiplied </w:t>
      </w:r>
      <w:r w:rsidR="000E438D" w:rsidRPr="00455191">
        <w:t>with</w:t>
      </w:r>
      <w:r w:rsidR="00525C62" w:rsidRPr="00455191">
        <w:t xml:space="preserve"> </w:t>
      </w:r>
      <w:r w:rsidR="00D0118C" w:rsidRPr="00455191">
        <w:t xml:space="preserve">the ratio of </w:t>
      </w:r>
      <w:r w:rsidR="00F440EA" w:rsidRPr="00455191">
        <w:t xml:space="preserve">average </w:t>
      </w:r>
      <w:r w:rsidR="00D0118C" w:rsidRPr="00455191">
        <w:t xml:space="preserve">WLTP </w:t>
      </w:r>
      <w:r w:rsidR="00F440EA" w:rsidRPr="00455191">
        <w:t>CO</w:t>
      </w:r>
      <w:r w:rsidR="00F440EA" w:rsidRPr="0078315D">
        <w:rPr>
          <w:vertAlign w:val="subscript"/>
        </w:rPr>
        <w:t>2</w:t>
      </w:r>
      <w:r w:rsidR="00F440EA" w:rsidRPr="00455191">
        <w:t xml:space="preserve"> emissions </w:t>
      </w:r>
      <w:r w:rsidR="00E329B0" w:rsidRPr="00455191">
        <w:t xml:space="preserve">and </w:t>
      </w:r>
      <w:r w:rsidR="00F440EA" w:rsidRPr="00455191">
        <w:t xml:space="preserve">average </w:t>
      </w:r>
      <w:r w:rsidR="00D0118C" w:rsidRPr="00455191">
        <w:t>NEDC CO</w:t>
      </w:r>
      <w:r w:rsidR="00D0118C" w:rsidRPr="00455191">
        <w:rPr>
          <w:vertAlign w:val="subscript"/>
        </w:rPr>
        <w:t>2</w:t>
      </w:r>
      <w:r w:rsidR="00D0118C" w:rsidRPr="00455191">
        <w:t xml:space="preserve"> emission</w:t>
      </w:r>
      <w:r w:rsidR="00525C62" w:rsidRPr="00455191">
        <w:t>s</w:t>
      </w:r>
      <w:r w:rsidR="00F06642" w:rsidRPr="00455191">
        <w:t xml:space="preserve"> of all vehicles sold by the </w:t>
      </w:r>
      <w:r w:rsidR="000E438D" w:rsidRPr="00455191">
        <w:t>manufacturer</w:t>
      </w:r>
      <w:r w:rsidR="00F06642" w:rsidRPr="00455191">
        <w:t xml:space="preserve"> in 2020</w:t>
      </w:r>
      <w:r w:rsidR="00D0118C" w:rsidRPr="00455191">
        <w:t>.</w:t>
      </w:r>
      <w:r w:rsidR="00404279" w:rsidRPr="00455191">
        <w:t xml:space="preserve"> </w:t>
      </w:r>
      <w:r w:rsidR="00D0118C" w:rsidRPr="00455191">
        <w:t xml:space="preserve">This </w:t>
      </w:r>
      <w:r w:rsidR="008741EB" w:rsidRPr="00455191">
        <w:t xml:space="preserve">meant </w:t>
      </w:r>
      <w:r w:rsidR="00D0118C" w:rsidRPr="00455191">
        <w:t>that the higher the WLTP</w:t>
      </w:r>
      <w:r w:rsidR="00525C62" w:rsidRPr="00455191">
        <w:t>-</w:t>
      </w:r>
      <w:r w:rsidR="00D0118C" w:rsidRPr="00455191">
        <w:t>to</w:t>
      </w:r>
      <w:r w:rsidR="00525C62" w:rsidRPr="00455191">
        <w:t>-</w:t>
      </w:r>
      <w:r w:rsidR="00D0118C" w:rsidRPr="00455191">
        <w:t xml:space="preserve">NEDC ratio was in 2020, the higher the target value </w:t>
      </w:r>
      <w:r w:rsidR="00C46550" w:rsidRPr="00455191">
        <w:t xml:space="preserve">would be </w:t>
      </w:r>
      <w:r w:rsidR="00D0118C" w:rsidRPr="00455191">
        <w:t xml:space="preserve">in </w:t>
      </w:r>
      <w:r w:rsidR="00C119BA" w:rsidRPr="00455191">
        <w:t>the following years</w:t>
      </w:r>
      <w:r w:rsidR="00D71672" w:rsidRPr="00455191">
        <w:t>.</w:t>
      </w:r>
      <w:r w:rsidR="008F470E" w:rsidRPr="00455191">
        <w:t xml:space="preserve"> </w:t>
      </w:r>
      <w:r w:rsidR="00D71672" w:rsidRPr="00455191">
        <w:t>Consequently</w:t>
      </w:r>
      <w:r w:rsidR="00C119BA" w:rsidRPr="00455191">
        <w:t>, manufacturer</w:t>
      </w:r>
      <w:r w:rsidR="007E11B7" w:rsidRPr="00455191">
        <w:t>s</w:t>
      </w:r>
      <w:r w:rsidR="0089495C" w:rsidRPr="00455191">
        <w:t xml:space="preserve"> </w:t>
      </w:r>
      <w:r w:rsidR="00C119BA" w:rsidRPr="00455191">
        <w:t xml:space="preserve">had an incentive to </w:t>
      </w:r>
      <w:r w:rsidR="00A93462" w:rsidRPr="00455191">
        <w:t>declare higher WLTP values</w:t>
      </w:r>
      <w:r w:rsidR="003171AF" w:rsidRPr="00455191">
        <w:t xml:space="preserve"> </w:t>
      </w:r>
      <w:r w:rsidR="00D91230">
        <w:t>to lessen compliance burden</w:t>
      </w:r>
      <w:r w:rsidR="003171AF" w:rsidRPr="00455191">
        <w:t xml:space="preserve">. </w:t>
      </w:r>
      <w:r w:rsidR="001212D2" w:rsidRPr="00455191">
        <w:t xml:space="preserve">To counteract this potential loophole, the European </w:t>
      </w:r>
      <w:r w:rsidR="00844C4E" w:rsidRPr="00455191">
        <w:t>Commission</w:t>
      </w:r>
      <w:r w:rsidR="001212D2" w:rsidRPr="00455191">
        <w:t xml:space="preserve"> decided to </w:t>
      </w:r>
      <w:r w:rsidR="006939FB" w:rsidRPr="00455191">
        <w:t xml:space="preserve">also </w:t>
      </w:r>
      <w:r w:rsidR="00A40D4C" w:rsidRPr="00455191">
        <w:t>collect the measured WLTP CO</w:t>
      </w:r>
      <w:r w:rsidR="00A40D4C" w:rsidRPr="00455191">
        <w:rPr>
          <w:vertAlign w:val="subscript"/>
        </w:rPr>
        <w:t>2</w:t>
      </w:r>
      <w:r w:rsidR="00A40D4C" w:rsidRPr="00455191">
        <w:t xml:space="preserve"> emission values. </w:t>
      </w:r>
      <w:r w:rsidR="001E7A9E" w:rsidRPr="00455191">
        <w:t xml:space="preserve">The Commission published the measured and declared WLTP values </w:t>
      </w:r>
      <w:r w:rsidR="00A40D4C" w:rsidRPr="00455191">
        <w:t>collected in 2020</w:t>
      </w:r>
      <w:r w:rsidR="006939FB" w:rsidRPr="00455191">
        <w:t>,</w:t>
      </w:r>
      <w:r w:rsidR="00A40D4C" w:rsidRPr="00455191">
        <w:t xml:space="preserve"> aggregated </w:t>
      </w:r>
      <w:r w:rsidR="00A45250" w:rsidRPr="00455191">
        <w:t xml:space="preserve">by </w:t>
      </w:r>
      <w:r w:rsidR="001E7A9E" w:rsidRPr="00455191">
        <w:t>manufacturer</w:t>
      </w:r>
      <w:r w:rsidR="00B07956" w:rsidRPr="00455191">
        <w:t xml:space="preserve"> </w:t>
      </w:r>
      <w:r w:rsidR="001459FA" w:rsidRPr="00455191">
        <w:rPr>
          <w:noProof/>
        </w:rPr>
        <w:t>(European Commission, 2023a)</w:t>
      </w:r>
      <w:r w:rsidR="006939FB" w:rsidRPr="00455191">
        <w:t>.</w:t>
      </w:r>
      <w:r w:rsidR="00CD59E1" w:rsidRPr="00455191">
        <w:t xml:space="preserve"> </w:t>
      </w:r>
      <w:r w:rsidR="00A40D4C" w:rsidRPr="00455191">
        <w:t>On average,</w:t>
      </w:r>
      <w:r w:rsidR="001E7A9E" w:rsidRPr="00455191">
        <w:t xml:space="preserve"> the declared values </w:t>
      </w:r>
      <w:r w:rsidR="00A40D4C" w:rsidRPr="00455191">
        <w:t>exceed</w:t>
      </w:r>
      <w:r w:rsidR="00A45250" w:rsidRPr="00455191">
        <w:t>ed</w:t>
      </w:r>
      <w:r w:rsidR="001E7A9E" w:rsidRPr="00455191">
        <w:t xml:space="preserve"> the measured values by 4.8% for passenger cars and 5.1% for light commercial vehicles. Th</w:t>
      </w:r>
      <w:r w:rsidR="00B532CB" w:rsidRPr="00455191">
        <w:t>is</w:t>
      </w:r>
      <w:r w:rsidR="001E7A9E" w:rsidRPr="00455191">
        <w:t xml:space="preserve"> over-declaration </w:t>
      </w:r>
      <w:r w:rsidR="00B532CB" w:rsidRPr="00455191">
        <w:t>range</w:t>
      </w:r>
      <w:r w:rsidR="00A45250" w:rsidRPr="00455191">
        <w:t>d</w:t>
      </w:r>
      <w:r w:rsidR="001E7A9E" w:rsidRPr="00455191">
        <w:t xml:space="preserve"> from 1% to 11% for passenger cars and from 0% to 12% for light commercial vehicles across the manufacturers.</w:t>
      </w:r>
      <w:r w:rsidR="00F61408">
        <w:rPr>
          <w:rStyle w:val="CommentReference"/>
        </w:rPr>
        <w:t xml:space="preserve"> </w:t>
      </w:r>
      <w:r w:rsidR="00C6425C" w:rsidRPr="00455191">
        <w:t xml:space="preserve">We corrected for these differences in over-declaration as explained in Section </w:t>
      </w:r>
      <w:r w:rsidR="00C6425C" w:rsidRPr="00455191">
        <w:fldChar w:fldCharType="begin" w:fldLock="1"/>
      </w:r>
      <w:r w:rsidR="00C6425C" w:rsidRPr="00455191">
        <w:instrText xml:space="preserve"> REF _Ref194324509 \r \h </w:instrText>
      </w:r>
      <w:r w:rsidR="00455191">
        <w:instrText xml:space="preserve"> \* MERGEFORMAT </w:instrText>
      </w:r>
      <w:r w:rsidR="00C6425C" w:rsidRPr="00455191">
        <w:fldChar w:fldCharType="separate"/>
      </w:r>
      <w:r w:rsidR="00C6425C" w:rsidRPr="00455191">
        <w:t>4</w:t>
      </w:r>
      <w:r w:rsidR="00C6425C" w:rsidRPr="00455191">
        <w:fldChar w:fldCharType="end"/>
      </w:r>
      <w:r w:rsidR="00C6425C" w:rsidRPr="00455191">
        <w:t>.</w:t>
      </w:r>
    </w:p>
    <w:p w14:paraId="5A673ED8" w14:textId="6923453B" w:rsidR="007C1D2D" w:rsidRPr="00455191" w:rsidRDefault="00A813F6" w:rsidP="00F61408">
      <w:r w:rsidRPr="00455191">
        <w:rPr>
          <w:rStyle w:val="Strong"/>
        </w:rPr>
        <w:t>P</w:t>
      </w:r>
      <w:r w:rsidR="00A15178" w:rsidRPr="00455191">
        <w:rPr>
          <w:rStyle w:val="Strong"/>
        </w:rPr>
        <w:t>lug-in hybrid vehicles</w:t>
      </w:r>
      <w:r w:rsidR="00CE5E6F" w:rsidRPr="00455191">
        <w:rPr>
          <w:rStyle w:val="Strong"/>
        </w:rPr>
        <w:t xml:space="preserve"> </w:t>
      </w:r>
      <w:r w:rsidR="00024479">
        <w:rPr>
          <w:rStyle w:val="Strong"/>
          <w:b w:val="0"/>
          <w:bCs w:val="0"/>
        </w:rPr>
        <w:t>(</w:t>
      </w:r>
      <w:r w:rsidR="00D1086D" w:rsidRPr="00455191">
        <w:t>PHEVs</w:t>
      </w:r>
      <w:r w:rsidR="00024479">
        <w:t>)</w:t>
      </w:r>
      <w:r w:rsidR="00A15178" w:rsidRPr="00455191" w:rsidDel="00D1086D">
        <w:t>,</w:t>
      </w:r>
      <w:r w:rsidR="0010684D" w:rsidRPr="00455191">
        <w:t xml:space="preserve"> referred to as off-vehicle charging hybrid electric vehicles in the WLTP regulation</w:t>
      </w:r>
      <w:r w:rsidR="00010933" w:rsidRPr="00455191">
        <w:t xml:space="preserve"> (</w:t>
      </w:r>
      <w:r w:rsidR="0082586C" w:rsidRPr="00455191">
        <w:t>UNECE Regulation No 154, 2021</w:t>
      </w:r>
      <w:r w:rsidR="00010933" w:rsidRPr="00455191">
        <w:t>)</w:t>
      </w:r>
      <w:r w:rsidR="0010684D" w:rsidRPr="00455191">
        <w:t xml:space="preserve">, </w:t>
      </w:r>
      <w:r w:rsidR="00D41243" w:rsidRPr="00455191">
        <w:t>are tested in two operating modes</w:t>
      </w:r>
      <w:r w:rsidR="009F6225" w:rsidRPr="00455191">
        <w:t xml:space="preserve"> to determine the</w:t>
      </w:r>
      <w:r w:rsidR="00B37C64" w:rsidRPr="00455191">
        <w:t>ir</w:t>
      </w:r>
      <w:r w:rsidR="009F6225" w:rsidRPr="00455191">
        <w:t xml:space="preserve"> official </w:t>
      </w:r>
      <w:r w:rsidR="00E35E3A" w:rsidRPr="00455191">
        <w:t>CO</w:t>
      </w:r>
      <w:r w:rsidR="00E35E3A" w:rsidRPr="00455191">
        <w:rPr>
          <w:vertAlign w:val="subscript"/>
        </w:rPr>
        <w:t>2</w:t>
      </w:r>
      <w:r w:rsidR="00E35E3A" w:rsidRPr="00455191">
        <w:t xml:space="preserve"> emission</w:t>
      </w:r>
      <w:r w:rsidR="00027915" w:rsidRPr="00455191">
        <w:t xml:space="preserve"> value, as shown in </w:t>
      </w:r>
      <w:r w:rsidR="00027915" w:rsidRPr="00455191">
        <w:fldChar w:fldCharType="begin" w:fldLock="1"/>
      </w:r>
      <w:r w:rsidR="00027915" w:rsidRPr="00455191">
        <w:instrText xml:space="preserve"> REF _Ref187399233 \h </w:instrText>
      </w:r>
      <w:r w:rsidR="0040564D" w:rsidRPr="00455191">
        <w:instrText xml:space="preserve"> \* MERGEFORMAT </w:instrText>
      </w:r>
      <w:r w:rsidR="00027915" w:rsidRPr="00455191">
        <w:fldChar w:fldCharType="separate"/>
      </w:r>
      <w:r w:rsidR="005867AA" w:rsidRPr="00455191">
        <w:t>Figure 1</w:t>
      </w:r>
      <w:r w:rsidR="00027915" w:rsidRPr="00455191">
        <w:fldChar w:fldCharType="end"/>
      </w:r>
      <w:r w:rsidR="00027915" w:rsidRPr="00455191">
        <w:t xml:space="preserve">. </w:t>
      </w:r>
      <w:r w:rsidR="00C11B8C" w:rsidRPr="00455191">
        <w:t xml:space="preserve">The </w:t>
      </w:r>
      <w:r w:rsidR="00CD6C4A" w:rsidRPr="00455191">
        <w:t>first</w:t>
      </w:r>
      <w:r w:rsidR="00C11B8C" w:rsidRPr="00455191">
        <w:t xml:space="preserve"> </w:t>
      </w:r>
      <w:r w:rsidR="00EF19F1" w:rsidRPr="00455191">
        <w:t>test</w:t>
      </w:r>
      <w:r w:rsidR="00CD6C4A" w:rsidRPr="00455191">
        <w:t>,</w:t>
      </w:r>
      <w:r w:rsidR="00EF19F1" w:rsidRPr="00455191">
        <w:t xml:space="preserve"> </w:t>
      </w:r>
      <w:r w:rsidR="005F589F">
        <w:t>pe</w:t>
      </w:r>
      <w:r w:rsidR="00106E5C">
        <w:t>r</w:t>
      </w:r>
      <w:r w:rsidR="005F589F">
        <w:t>formed</w:t>
      </w:r>
      <w:r w:rsidR="00EF19F1" w:rsidRPr="00455191">
        <w:t xml:space="preserve"> in charge</w:t>
      </w:r>
      <w:r w:rsidR="001F7BC9" w:rsidRPr="00455191">
        <w:t>-</w:t>
      </w:r>
      <w:r w:rsidR="00EF19F1" w:rsidRPr="00455191">
        <w:t>depleting mode</w:t>
      </w:r>
      <w:r w:rsidR="00CD6C4A" w:rsidRPr="00455191">
        <w:t>,</w:t>
      </w:r>
      <w:r w:rsidR="00C11B8C" w:rsidRPr="00455191">
        <w:t xml:space="preserve"> is</w:t>
      </w:r>
      <w:r w:rsidR="00023911" w:rsidRPr="00455191">
        <w:t xml:space="preserve"> </w:t>
      </w:r>
      <w:r w:rsidR="001D70B5" w:rsidRPr="00455191">
        <w:t xml:space="preserve">cold </w:t>
      </w:r>
      <w:r w:rsidR="00023911" w:rsidRPr="00455191">
        <w:t xml:space="preserve">started with a </w:t>
      </w:r>
      <w:r w:rsidR="00DC744A" w:rsidRPr="00455191">
        <w:t>fully charged</w:t>
      </w:r>
      <w:r w:rsidR="001D70B5" w:rsidRPr="00455191">
        <w:t xml:space="preserve"> battery</w:t>
      </w:r>
      <w:r w:rsidR="00B37C64" w:rsidRPr="00455191">
        <w:t>,</w:t>
      </w:r>
      <w:r w:rsidR="001D70B5" w:rsidRPr="00455191">
        <w:t xml:space="preserve"> and consecutive WLTCs are performed until the battery is depleted</w:t>
      </w:r>
      <w:r w:rsidR="00441814" w:rsidRPr="00455191">
        <w:t xml:space="preserve">. </w:t>
      </w:r>
      <w:r w:rsidR="00786F2D" w:rsidRPr="00455191">
        <w:t xml:space="preserve">In </w:t>
      </w:r>
      <w:r w:rsidR="00B37C64" w:rsidRPr="00455191">
        <w:t>this</w:t>
      </w:r>
      <w:r w:rsidR="00786F2D" w:rsidRPr="00455191">
        <w:t xml:space="preserve"> mode, </w:t>
      </w:r>
      <w:r w:rsidR="0015758D" w:rsidRPr="00455191">
        <w:t>t</w:t>
      </w:r>
      <w:r w:rsidR="00786F2D" w:rsidRPr="00455191">
        <w:t xml:space="preserve">he vehicle </w:t>
      </w:r>
      <w:r w:rsidR="005A4560" w:rsidRPr="00455191">
        <w:t xml:space="preserve">primarily </w:t>
      </w:r>
      <w:r w:rsidR="00786F2D" w:rsidRPr="00455191">
        <w:t>use</w:t>
      </w:r>
      <w:r w:rsidR="002C6453" w:rsidRPr="00455191">
        <w:t xml:space="preserve">s </w:t>
      </w:r>
      <w:r w:rsidR="00786F2D" w:rsidRPr="00455191">
        <w:t xml:space="preserve">the electric motor </w:t>
      </w:r>
      <w:r w:rsidR="005B46DC" w:rsidRPr="00455191">
        <w:t>to power the vehicle</w:t>
      </w:r>
      <w:r w:rsidR="005A4560" w:rsidRPr="00455191">
        <w:t>,</w:t>
      </w:r>
      <w:r w:rsidR="005B46DC" w:rsidRPr="00455191">
        <w:t xml:space="preserve"> </w:t>
      </w:r>
      <w:r w:rsidR="003D3968" w:rsidRPr="00455191">
        <w:t xml:space="preserve">but </w:t>
      </w:r>
      <w:r w:rsidR="00786F2D" w:rsidRPr="00455191">
        <w:t xml:space="preserve">the combustion engine </w:t>
      </w:r>
      <w:r w:rsidR="003D3968" w:rsidRPr="00455191">
        <w:t>can also be used</w:t>
      </w:r>
      <w:r w:rsidR="009E7E8A" w:rsidRPr="00455191">
        <w:t>;</w:t>
      </w:r>
      <w:r w:rsidR="00786F2D" w:rsidRPr="00455191">
        <w:t xml:space="preserve"> </w:t>
      </w:r>
      <w:r w:rsidR="009E7E8A" w:rsidRPr="00455191">
        <w:t>c</w:t>
      </w:r>
      <w:r w:rsidR="00786F2D" w:rsidRPr="00455191">
        <w:t xml:space="preserve">onsequently, </w:t>
      </w:r>
      <w:r w:rsidR="00393096">
        <w:t xml:space="preserve">the measured </w:t>
      </w:r>
      <w:r w:rsidR="00786F2D" w:rsidRPr="00455191">
        <w:t>CO</w:t>
      </w:r>
      <w:r w:rsidR="00786F2D" w:rsidRPr="00455191">
        <w:rPr>
          <w:vertAlign w:val="subscript"/>
        </w:rPr>
        <w:t>2</w:t>
      </w:r>
      <w:r w:rsidR="00786F2D" w:rsidRPr="00455191">
        <w:t xml:space="preserve"> emissions are </w:t>
      </w:r>
      <w:r w:rsidR="00273DB3" w:rsidRPr="00455191">
        <w:t>very</w:t>
      </w:r>
      <w:r w:rsidR="00A8503E" w:rsidRPr="00455191">
        <w:t xml:space="preserve"> low.</w:t>
      </w:r>
      <w:r w:rsidR="0090406B" w:rsidRPr="00455191">
        <w:t xml:space="preserve"> </w:t>
      </w:r>
      <w:r w:rsidR="000145B8" w:rsidRPr="00455191">
        <w:t>The second test</w:t>
      </w:r>
      <w:r w:rsidR="00CD6C4A" w:rsidRPr="00455191">
        <w:t>, in charge</w:t>
      </w:r>
      <w:r w:rsidR="001F7BC9" w:rsidRPr="00455191">
        <w:t>-</w:t>
      </w:r>
      <w:r w:rsidR="00CD6C4A" w:rsidRPr="00455191">
        <w:t>sustaining mode,</w:t>
      </w:r>
      <w:r w:rsidR="000145B8" w:rsidRPr="00455191">
        <w:t xml:space="preserve"> is a cold started WLTC performed with </w:t>
      </w:r>
      <w:r w:rsidR="00245E1C" w:rsidRPr="00455191">
        <w:t xml:space="preserve">an empty </w:t>
      </w:r>
      <w:r w:rsidR="00441814" w:rsidRPr="00455191">
        <w:t>battery.</w:t>
      </w:r>
      <w:r w:rsidR="00245E1C" w:rsidRPr="00455191">
        <w:t xml:space="preserve"> In this mode, the vehicle </w:t>
      </w:r>
      <w:r w:rsidR="00040C66" w:rsidRPr="00455191">
        <w:t xml:space="preserve">can </w:t>
      </w:r>
      <w:r w:rsidR="00245E1C" w:rsidRPr="00455191">
        <w:t>operate as a conventional hybrid vehicle</w:t>
      </w:r>
      <w:r w:rsidR="00DF7F0C" w:rsidRPr="00455191">
        <w:t xml:space="preserve">, </w:t>
      </w:r>
      <w:r w:rsidR="00B31B18" w:rsidRPr="00455191">
        <w:t>with similar CO</w:t>
      </w:r>
      <w:r w:rsidR="00B31B18" w:rsidRPr="00455191">
        <w:rPr>
          <w:vertAlign w:val="subscript"/>
        </w:rPr>
        <w:t>2</w:t>
      </w:r>
      <w:r w:rsidR="00B31B18" w:rsidRPr="00455191">
        <w:t xml:space="preserve"> emissions.</w:t>
      </w:r>
      <w:r w:rsidR="00DF7F0C" w:rsidRPr="00455191">
        <w:t xml:space="preserve"> </w:t>
      </w:r>
    </w:p>
    <w:p w14:paraId="692C7DDA" w14:textId="5D95A61E" w:rsidR="00A813F6" w:rsidRPr="000E2ED1" w:rsidRDefault="00A813F6" w:rsidP="003A174C">
      <w:pPr>
        <w:pStyle w:val="Tablecaption"/>
      </w:pPr>
      <w:bookmarkStart w:id="2" w:name="_Ref187399233"/>
      <w:r w:rsidRPr="000E2ED1">
        <w:lastRenderedPageBreak/>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1</w:t>
      </w:r>
      <w:r w:rsidR="005867AA" w:rsidRPr="000E2ED1">
        <w:fldChar w:fldCharType="end"/>
      </w:r>
      <w:bookmarkEnd w:id="2"/>
      <w:r w:rsidRPr="000E2ED1">
        <w:t xml:space="preserve"> </w:t>
      </w:r>
      <w:r w:rsidR="00D06DB4">
        <w:br/>
      </w:r>
      <w:r w:rsidRPr="000E2ED1">
        <w:t xml:space="preserve">Determination of </w:t>
      </w:r>
      <w:r w:rsidR="00744DE4">
        <w:t>plug-in hybrid</w:t>
      </w:r>
      <w:r w:rsidR="00744DE4" w:rsidRPr="000E2ED1">
        <w:t xml:space="preserve"> </w:t>
      </w:r>
      <w:r w:rsidRPr="000E2ED1">
        <w:t>type-approval CO</w:t>
      </w:r>
      <w:r w:rsidRPr="000E2ED1">
        <w:rPr>
          <w:vertAlign w:val="subscript"/>
        </w:rPr>
        <w:t>2</w:t>
      </w:r>
      <w:r w:rsidRPr="000E2ED1">
        <w:t xml:space="preserve"> emission values under </w:t>
      </w:r>
      <w:r w:rsidR="00DE4945" w:rsidRPr="000E2ED1">
        <w:t xml:space="preserve">the </w:t>
      </w:r>
      <w:r w:rsidRPr="000E2ED1">
        <w:t>WLTP</w:t>
      </w:r>
    </w:p>
    <w:p w14:paraId="16DE1B07" w14:textId="1021F011" w:rsidR="00A15178" w:rsidRPr="00455191" w:rsidRDefault="00FA629B" w:rsidP="00F61408">
      <w:r w:rsidRPr="00455191">
        <w:rPr>
          <w:noProof/>
        </w:rPr>
        <w:drawing>
          <wp:inline distT="0" distB="0" distL="0" distR="0" wp14:anchorId="010370B4" wp14:editId="71EBB337">
            <wp:extent cx="4095750" cy="2346305"/>
            <wp:effectExtent l="0" t="0" r="0" b="0"/>
            <wp:docPr id="347586459" name="Picture 1" descr="A diagram showing how the type-approval CO2 emissions for a PHEV is determined under WLTP test proced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86459" name="Picture 1" descr="A diagram showing how the type-approval CO2 emissions for a PHEV is determined under WLTP test procedure.&#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1118" cy="2383752"/>
                    </a:xfrm>
                    <a:prstGeom prst="rect">
                      <a:avLst/>
                    </a:prstGeom>
                  </pic:spPr>
                </pic:pic>
              </a:graphicData>
            </a:graphic>
          </wp:inline>
        </w:drawing>
      </w:r>
    </w:p>
    <w:p w14:paraId="513BDBE9" w14:textId="515AFE6E" w:rsidR="007115E5" w:rsidRPr="00455191" w:rsidRDefault="00291162" w:rsidP="00F61408">
      <w:r w:rsidRPr="00455191">
        <w:t xml:space="preserve">To </w:t>
      </w:r>
      <w:r w:rsidR="00CE5E6F" w:rsidRPr="00455191">
        <w:t>calculat</w:t>
      </w:r>
      <w:r w:rsidRPr="00455191">
        <w:t>e</w:t>
      </w:r>
      <w:r w:rsidR="00CE5E6F" w:rsidRPr="00455191">
        <w:t xml:space="preserve"> official PHEV </w:t>
      </w:r>
      <w:r w:rsidR="007A04D0" w:rsidRPr="00455191">
        <w:t xml:space="preserve">WLTP </w:t>
      </w:r>
      <w:r w:rsidR="00CE5E6F" w:rsidRPr="00455191">
        <w:t>CO</w:t>
      </w:r>
      <w:r w:rsidR="00CE5E6F" w:rsidRPr="00455191">
        <w:rPr>
          <w:vertAlign w:val="subscript"/>
        </w:rPr>
        <w:t>2</w:t>
      </w:r>
      <w:r w:rsidR="00CE5E6F" w:rsidRPr="00455191">
        <w:t xml:space="preserve"> type-approval values</w:t>
      </w:r>
      <w:r w:rsidR="007A04D0" w:rsidRPr="00455191">
        <w:t xml:space="preserve"> </w:t>
      </w:r>
      <w:r w:rsidRPr="00455191">
        <w:t>(</w:t>
      </w:r>
      <w:r w:rsidR="007A04D0" w:rsidRPr="00455191">
        <w:t>CO</w:t>
      </w:r>
      <w:r w:rsidR="007A04D0" w:rsidRPr="00455191">
        <w:rPr>
          <w:vertAlign w:val="subscript"/>
        </w:rPr>
        <w:t>2,type-approval,WLTP</w:t>
      </w:r>
      <w:r w:rsidRPr="00455191">
        <w:t>),</w:t>
      </w:r>
      <w:r w:rsidR="00CE5E6F" w:rsidRPr="00455191">
        <w:t xml:space="preserve"> the CO</w:t>
      </w:r>
      <w:r w:rsidR="00CE5E6F" w:rsidRPr="00455191">
        <w:rPr>
          <w:vertAlign w:val="subscript"/>
        </w:rPr>
        <w:t>2</w:t>
      </w:r>
      <w:r w:rsidR="00CE5E6F" w:rsidRPr="00455191">
        <w:t xml:space="preserve"> emissions determined in </w:t>
      </w:r>
      <w:r w:rsidR="00C5761D" w:rsidRPr="00455191">
        <w:t>charge</w:t>
      </w:r>
      <w:r w:rsidR="001F7BC9" w:rsidRPr="00455191">
        <w:t>-</w:t>
      </w:r>
      <w:r w:rsidR="00C5761D" w:rsidRPr="00455191">
        <w:t xml:space="preserve">depleting </w:t>
      </w:r>
      <w:r w:rsidR="007A04D0" w:rsidRPr="00455191">
        <w:t xml:space="preserve">mode </w:t>
      </w:r>
      <w:r w:rsidR="00D9342E" w:rsidRPr="00455191">
        <w:t>(</w:t>
      </w:r>
      <w:r w:rsidR="007A04D0" w:rsidRPr="00455191">
        <w:t>CO</w:t>
      </w:r>
      <w:r w:rsidR="007A04D0" w:rsidRPr="00455191">
        <w:rPr>
          <w:vertAlign w:val="subscript"/>
        </w:rPr>
        <w:t>2,charge-depleting</w:t>
      </w:r>
      <w:r w:rsidR="00D9342E" w:rsidRPr="00455191">
        <w:t xml:space="preserve">) </w:t>
      </w:r>
      <w:r w:rsidR="00C5761D" w:rsidRPr="00455191">
        <w:t>and charge</w:t>
      </w:r>
      <w:r w:rsidR="001F7BC9" w:rsidRPr="00455191">
        <w:t>-</w:t>
      </w:r>
      <w:r w:rsidR="00C5761D" w:rsidRPr="00455191">
        <w:t>sustaining</w:t>
      </w:r>
      <w:r w:rsidR="00CE5E6F" w:rsidRPr="00455191">
        <w:t xml:space="preserve"> mode </w:t>
      </w:r>
      <w:r w:rsidR="00D9342E" w:rsidRPr="00455191">
        <w:t>(</w:t>
      </w:r>
      <w:r w:rsidR="007A04D0" w:rsidRPr="00455191">
        <w:t>CO</w:t>
      </w:r>
      <w:r w:rsidR="007A04D0" w:rsidRPr="00455191">
        <w:rPr>
          <w:vertAlign w:val="subscript"/>
        </w:rPr>
        <w:t>2,charge-sustaining</w:t>
      </w:r>
      <w:r w:rsidR="00D9342E" w:rsidRPr="00455191">
        <w:t xml:space="preserve">) </w:t>
      </w:r>
      <w:r w:rsidR="00CE5E6F" w:rsidRPr="00455191">
        <w:t>are weighted using a utility factor (UF</w:t>
      </w:r>
      <w:r w:rsidR="00DC02D7" w:rsidRPr="00455191">
        <w:t>)</w:t>
      </w:r>
      <w:r w:rsidR="00CA5793" w:rsidRPr="00455191">
        <w:t xml:space="preserve">, as shown in </w:t>
      </w:r>
      <w:r w:rsidR="00EB4640">
        <w:t>E</w:t>
      </w:r>
      <w:r w:rsidR="007A04D0" w:rsidRPr="00455191">
        <w:t xml:space="preserve">quation </w:t>
      </w:r>
      <w:r w:rsidR="007A04D0" w:rsidRPr="00455191">
        <w:fldChar w:fldCharType="begin" w:fldLock="1"/>
      </w:r>
      <w:r w:rsidR="007A04D0" w:rsidRPr="00455191">
        <w:instrText xml:space="preserve"> REF _Ref192839133 \h </w:instrText>
      </w:r>
      <w:r w:rsidR="00455191">
        <w:instrText xml:space="preserve"> \* MERGEFORMAT </w:instrText>
      </w:r>
      <w:r w:rsidR="007A04D0" w:rsidRPr="00455191">
        <w:fldChar w:fldCharType="separate"/>
      </w:r>
      <w:r w:rsidR="005867AA" w:rsidRPr="00455191">
        <w:rPr>
          <w:noProof/>
        </w:rPr>
        <w:t>1</w:t>
      </w:r>
      <w:r w:rsidR="007A04D0" w:rsidRPr="00455191">
        <w:fldChar w:fldCharType="end"/>
      </w:r>
      <w:r w:rsidR="007A04D0" w:rsidRPr="00455191">
        <w:t>.</w:t>
      </w:r>
    </w:p>
    <w:tbl>
      <w:tblPr>
        <w:tblW w:w="0" w:type="auto"/>
        <w:tblCellMar>
          <w:left w:w="0" w:type="dxa"/>
          <w:right w:w="0" w:type="dxa"/>
        </w:tblCellMar>
        <w:tblLook w:val="04A0" w:firstRow="1" w:lastRow="0" w:firstColumn="1" w:lastColumn="0" w:noHBand="0" w:noVBand="1"/>
      </w:tblPr>
      <w:tblGrid>
        <w:gridCol w:w="9000"/>
        <w:gridCol w:w="350"/>
      </w:tblGrid>
      <w:tr w:rsidR="007115E5" w:rsidRPr="00455191" w14:paraId="73BC4091" w14:textId="77777777" w:rsidTr="00D10C53">
        <w:tc>
          <w:tcPr>
            <w:tcW w:w="9000" w:type="dxa"/>
            <w:vAlign w:val="center"/>
          </w:tcPr>
          <w:p w14:paraId="02249F7C" w14:textId="7220088D" w:rsidR="007115E5" w:rsidRPr="00455191" w:rsidRDefault="00002137" w:rsidP="00F61408">
            <m:oMathPara>
              <m:oMath>
                <m:r>
                  <w:rPr>
                    <w:rFonts w:ascii="Cambria Math" w:hAnsi="Cambria Math"/>
                  </w:rPr>
                  <m:t>C</m:t>
                </m:r>
                <m:sSub>
                  <m:sSubPr>
                    <m:ctrlPr>
                      <w:rPr>
                        <w:rFonts w:ascii="Cambria Math" w:hAnsi="Cambria Math"/>
                      </w:rPr>
                    </m:ctrlPr>
                  </m:sSubPr>
                  <m:e>
                    <m:r>
                      <w:rPr>
                        <w:rFonts w:ascii="Cambria Math" w:hAnsi="Cambria Math"/>
                      </w:rPr>
                      <m:t>O</m:t>
                    </m:r>
                  </m:e>
                  <m:sub>
                    <m:r>
                      <m:rPr>
                        <m:sty m:val="p"/>
                      </m:rPr>
                      <w:rPr>
                        <w:rFonts w:ascii="Cambria Math" w:hAnsi="Cambria Math"/>
                      </w:rPr>
                      <m:t xml:space="preserve">2,  </m:t>
                    </m:r>
                    <m:r>
                      <w:rPr>
                        <w:rFonts w:ascii="Cambria Math" w:hAnsi="Cambria Math"/>
                      </w:rPr>
                      <m:t>type</m:t>
                    </m:r>
                    <m:r>
                      <m:rPr>
                        <m:sty m:val="p"/>
                      </m:rPr>
                      <w:rPr>
                        <w:rFonts w:ascii="Cambria Math" w:hAnsi="Cambria Math"/>
                      </w:rPr>
                      <m:t>-</m:t>
                    </m:r>
                    <m:r>
                      <w:rPr>
                        <w:rFonts w:ascii="Cambria Math" w:hAnsi="Cambria Math"/>
                      </w:rPr>
                      <m:t>approval</m:t>
                    </m:r>
                    <m:r>
                      <m:rPr>
                        <m:sty m:val="p"/>
                      </m:rPr>
                      <w:rPr>
                        <w:rFonts w:ascii="Cambria Math" w:hAnsi="Cambria Math"/>
                      </w:rPr>
                      <m:t>,</m:t>
                    </m:r>
                    <m:r>
                      <w:rPr>
                        <w:rFonts w:ascii="Cambria Math" w:hAnsi="Cambria Math"/>
                      </w:rPr>
                      <m:t>WLTP</m:t>
                    </m:r>
                  </m:sub>
                </m:sSub>
                <m:r>
                  <m:rPr>
                    <m:sty m:val="p"/>
                  </m:rPr>
                  <w:rPr>
                    <w:rFonts w:ascii="Cambria Math" w:hAnsi="Cambria Math"/>
                  </w:rPr>
                  <m:t>=</m:t>
                </m:r>
                <m:r>
                  <w:rPr>
                    <w:rFonts w:ascii="Cambria Math" w:hAnsi="Cambria Math"/>
                  </w:rPr>
                  <m:t>UF</m:t>
                </m:r>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O</m:t>
                    </m:r>
                  </m:e>
                  <m:sub>
                    <m:r>
                      <m:rPr>
                        <m:sty m:val="p"/>
                      </m:rPr>
                      <w:rPr>
                        <w:rFonts w:ascii="Cambria Math" w:hAnsi="Cambria Math"/>
                      </w:rPr>
                      <m:t>2,</m:t>
                    </m:r>
                    <m:r>
                      <w:rPr>
                        <w:rFonts w:ascii="Cambria Math" w:hAnsi="Cambria Math"/>
                      </w:rPr>
                      <m:t>charge</m:t>
                    </m:r>
                    <m:r>
                      <m:rPr>
                        <m:sty m:val="p"/>
                      </m:rPr>
                      <w:rPr>
                        <w:rFonts w:ascii="Cambria Math" w:hAnsi="Cambria Math"/>
                      </w:rPr>
                      <m:t>-</m:t>
                    </m:r>
                    <m:r>
                      <w:rPr>
                        <w:rFonts w:ascii="Cambria Math" w:hAnsi="Cambria Math"/>
                      </w:rPr>
                      <m:t>depleting</m:t>
                    </m:r>
                    <m:r>
                      <m:rPr>
                        <m:sty m:val="p"/>
                      </m:rPr>
                      <w:rPr>
                        <w:rFonts w:ascii="Cambria Math" w:hAnsi="Cambria Math"/>
                      </w:rPr>
                      <m:t xml:space="preserve">, </m:t>
                    </m:r>
                    <m:r>
                      <w:rPr>
                        <w:rFonts w:ascii="Cambria Math" w:hAnsi="Cambria Math"/>
                      </w:rPr>
                      <m:t>WLTP</m:t>
                    </m:r>
                  </m:sub>
                </m:sSub>
                <m:r>
                  <m:rPr>
                    <m:sty m:val="p"/>
                  </m:rPr>
                  <w:rPr>
                    <w:rFonts w:ascii="Cambria Math" w:hAnsi="Cambria Math"/>
                  </w:rPr>
                  <m:t>+(1-</m:t>
                </m:r>
                <m:r>
                  <w:rPr>
                    <w:rFonts w:ascii="Cambria Math" w:hAnsi="Cambria Math"/>
                  </w:rPr>
                  <m:t>UF</m:t>
                </m:r>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O</m:t>
                    </m:r>
                  </m:e>
                  <m:sub>
                    <m:r>
                      <m:rPr>
                        <m:sty m:val="p"/>
                      </m:rPr>
                      <w:rPr>
                        <w:rFonts w:ascii="Cambria Math" w:hAnsi="Cambria Math"/>
                      </w:rPr>
                      <m:t xml:space="preserve">2, </m:t>
                    </m:r>
                    <m:r>
                      <w:rPr>
                        <w:rFonts w:ascii="Cambria Math" w:hAnsi="Cambria Math"/>
                      </w:rPr>
                      <m:t>charge</m:t>
                    </m:r>
                    <m:r>
                      <m:rPr>
                        <m:sty m:val="p"/>
                      </m:rPr>
                      <w:rPr>
                        <w:rFonts w:ascii="Cambria Math" w:hAnsi="Cambria Math"/>
                      </w:rPr>
                      <m:t>-</m:t>
                    </m:r>
                    <m:r>
                      <w:rPr>
                        <w:rFonts w:ascii="Cambria Math" w:hAnsi="Cambria Math"/>
                      </w:rPr>
                      <m:t>sustaining</m:t>
                    </m:r>
                    <m:r>
                      <m:rPr>
                        <m:sty m:val="p"/>
                      </m:rPr>
                      <w:rPr>
                        <w:rFonts w:ascii="Cambria Math" w:hAnsi="Cambria Math"/>
                      </w:rPr>
                      <m:t>,</m:t>
                    </m:r>
                    <m:r>
                      <w:rPr>
                        <w:rFonts w:ascii="Cambria Math" w:hAnsi="Cambria Math"/>
                      </w:rPr>
                      <m:t>WLTP</m:t>
                    </m:r>
                  </m:sub>
                </m:sSub>
              </m:oMath>
            </m:oMathPara>
          </w:p>
        </w:tc>
        <w:tc>
          <w:tcPr>
            <w:tcW w:w="350" w:type="dxa"/>
            <w:vAlign w:val="center"/>
          </w:tcPr>
          <w:p w14:paraId="52070E4B" w14:textId="6F86F7B6" w:rsidR="007115E5" w:rsidRPr="00455191" w:rsidRDefault="007A04D0" w:rsidP="00F61408">
            <w:bookmarkStart w:id="3" w:name="_Ref192839133"/>
            <w:r w:rsidRPr="00455191">
              <w:t>(</w:t>
            </w:r>
            <w:r w:rsidR="00AA763B">
              <w:fldChar w:fldCharType="begin"/>
            </w:r>
            <w:r w:rsidR="00AA763B">
              <w:instrText xml:space="preserve"> SEQ Equation \* ARABIC </w:instrText>
            </w:r>
            <w:r w:rsidR="00AA763B">
              <w:fldChar w:fldCharType="separate"/>
            </w:r>
            <w:r w:rsidR="00EB15AE">
              <w:rPr>
                <w:noProof/>
              </w:rPr>
              <w:t>1</w:t>
            </w:r>
            <w:r w:rsidR="00AA763B">
              <w:rPr>
                <w:noProof/>
              </w:rPr>
              <w:fldChar w:fldCharType="end"/>
            </w:r>
            <w:r w:rsidRPr="00455191">
              <w:t>)</w:t>
            </w:r>
            <w:bookmarkEnd w:id="3"/>
          </w:p>
        </w:tc>
      </w:tr>
    </w:tbl>
    <w:p w14:paraId="5495DFCD" w14:textId="2836BDD3" w:rsidR="00CE5E6F" w:rsidRPr="00455191" w:rsidRDefault="00CE5E6F" w:rsidP="00F61408">
      <w:r w:rsidRPr="00455191">
        <w:t xml:space="preserve">The UF ranges from 0 to 1 and describes the </w:t>
      </w:r>
      <w:r w:rsidR="00DC02D7" w:rsidRPr="00455191">
        <w:t xml:space="preserve">distance </w:t>
      </w:r>
      <w:r w:rsidRPr="00455191">
        <w:t>share</w:t>
      </w:r>
      <w:r w:rsidR="00E9441B" w:rsidRPr="00455191">
        <w:t xml:space="preserve"> </w:t>
      </w:r>
      <w:r w:rsidRPr="00455191">
        <w:t xml:space="preserve">a PHEV is expected </w:t>
      </w:r>
      <w:r w:rsidR="00DC02D7" w:rsidRPr="00455191">
        <w:t>to be operated</w:t>
      </w:r>
      <w:r w:rsidR="00E9441B" w:rsidRPr="00455191">
        <w:t xml:space="preserve"> in </w:t>
      </w:r>
      <w:r w:rsidRPr="00455191">
        <w:t>charge</w:t>
      </w:r>
      <w:r w:rsidR="001F7BC9" w:rsidRPr="00455191">
        <w:t>-</w:t>
      </w:r>
      <w:r w:rsidRPr="00455191">
        <w:t xml:space="preserve">depleting mode. </w:t>
      </w:r>
      <w:r w:rsidR="00DC02D7" w:rsidRPr="00455191">
        <w:t xml:space="preserve">The higher the UF, the longer the range that the </w:t>
      </w:r>
      <w:r w:rsidR="00FC04A9" w:rsidRPr="00455191">
        <w:t xml:space="preserve">PHEV can </w:t>
      </w:r>
      <w:r w:rsidR="00DC02D7" w:rsidRPr="00455191">
        <w:t>operate</w:t>
      </w:r>
      <w:r w:rsidR="00FC04A9" w:rsidRPr="00455191">
        <w:t xml:space="preserve"> in charge</w:t>
      </w:r>
      <w:r w:rsidR="001F7BC9" w:rsidRPr="00455191">
        <w:t>-</w:t>
      </w:r>
      <w:r w:rsidR="00FC04A9" w:rsidRPr="00455191">
        <w:t>depleting mode</w:t>
      </w:r>
      <w:r w:rsidR="00864DC8" w:rsidRPr="00455191">
        <w:t xml:space="preserve"> and</w:t>
      </w:r>
      <w:r w:rsidR="00255F5A" w:rsidRPr="00455191">
        <w:t xml:space="preserve"> the lower </w:t>
      </w:r>
      <w:r w:rsidR="00DC02D7" w:rsidRPr="00455191">
        <w:t>the official PHEV</w:t>
      </w:r>
      <w:r w:rsidR="00255F5A" w:rsidRPr="00455191">
        <w:t xml:space="preserve"> CO</w:t>
      </w:r>
      <w:r w:rsidR="00255F5A" w:rsidRPr="00455191">
        <w:rPr>
          <w:vertAlign w:val="subscript"/>
        </w:rPr>
        <w:t>2</w:t>
      </w:r>
      <w:r w:rsidR="00255F5A" w:rsidRPr="00455191">
        <w:t xml:space="preserve"> emission value.</w:t>
      </w:r>
      <w:r w:rsidR="00DC02D7" w:rsidRPr="00455191">
        <w:t xml:space="preserve"> </w:t>
      </w:r>
      <w:r w:rsidR="00DC02D7" w:rsidRPr="00455191">
        <w:fldChar w:fldCharType="begin" w:fldLock="1"/>
      </w:r>
      <w:r w:rsidR="00DC02D7" w:rsidRPr="00455191">
        <w:instrText xml:space="preserve"> REF _Ref187321616 \h  \* MERGEFORMAT </w:instrText>
      </w:r>
      <w:r w:rsidR="00DC02D7" w:rsidRPr="00455191">
        <w:fldChar w:fldCharType="separate"/>
      </w:r>
      <w:r w:rsidR="005867AA" w:rsidRPr="00455191">
        <w:t>Figure 2</w:t>
      </w:r>
      <w:r w:rsidR="00DC02D7" w:rsidRPr="00455191">
        <w:fldChar w:fldCharType="end"/>
      </w:r>
      <w:r w:rsidR="00DC02D7" w:rsidRPr="00455191">
        <w:t xml:space="preserve"> shows the UF curves </w:t>
      </w:r>
      <w:r w:rsidR="0014719E" w:rsidRPr="00455191">
        <w:t>used in the E</w:t>
      </w:r>
      <w:r w:rsidR="00684124" w:rsidRPr="00455191">
        <w:t xml:space="preserve">uropean </w:t>
      </w:r>
      <w:r w:rsidR="0014719E" w:rsidRPr="00455191">
        <w:t>U</w:t>
      </w:r>
      <w:r w:rsidR="00684124" w:rsidRPr="00455191">
        <w:t>nion</w:t>
      </w:r>
      <w:r w:rsidR="0014719E" w:rsidRPr="00455191">
        <w:t xml:space="preserve"> for WLTP type-approval of </w:t>
      </w:r>
      <w:r w:rsidR="0039200B" w:rsidRPr="00455191">
        <w:t>light-duty PHEVs</w:t>
      </w:r>
      <w:r w:rsidR="00684124" w:rsidRPr="00455191">
        <w:t xml:space="preserve"> and </w:t>
      </w:r>
      <w:r w:rsidR="00DC02D7" w:rsidRPr="00455191">
        <w:t xml:space="preserve">the UF curve used in Japan </w:t>
      </w:r>
      <w:r w:rsidR="00116FA8" w:rsidRPr="00455191">
        <w:t xml:space="preserve">for </w:t>
      </w:r>
      <w:r w:rsidR="00B9627D" w:rsidRPr="00455191">
        <w:t xml:space="preserve">its </w:t>
      </w:r>
      <w:r w:rsidR="00116FA8" w:rsidRPr="00455191">
        <w:t>2030 fuel economy standards</w:t>
      </w:r>
      <w:r w:rsidR="00DC02D7" w:rsidRPr="00455191">
        <w:t>.</w:t>
      </w:r>
    </w:p>
    <w:p w14:paraId="36EB8AA4" w14:textId="274DB88D" w:rsidR="00CE5E6F" w:rsidRPr="000E2ED1" w:rsidRDefault="00CE5E6F" w:rsidP="003A174C">
      <w:pPr>
        <w:pStyle w:val="Tablecaption"/>
      </w:pPr>
      <w:bookmarkStart w:id="4" w:name="_Ref187321616"/>
      <w:r w:rsidRPr="000E2ED1">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2</w:t>
      </w:r>
      <w:r w:rsidR="005867AA" w:rsidRPr="000E2ED1">
        <w:fldChar w:fldCharType="end"/>
      </w:r>
      <w:bookmarkEnd w:id="4"/>
      <w:r w:rsidRPr="000E2ED1">
        <w:t xml:space="preserve"> </w:t>
      </w:r>
      <w:r w:rsidR="00D66633">
        <w:br/>
      </w:r>
      <w:r w:rsidR="00B9627D" w:rsidRPr="000E2ED1">
        <w:t>U</w:t>
      </w:r>
      <w:r w:rsidR="00D66633">
        <w:t>tility factor</w:t>
      </w:r>
      <w:r w:rsidRPr="000E2ED1">
        <w:t xml:space="preserve"> curves used in the E</w:t>
      </w:r>
      <w:r w:rsidR="00B9627D" w:rsidRPr="000E2ED1">
        <w:t xml:space="preserve">uropean </w:t>
      </w:r>
      <w:r w:rsidRPr="000E2ED1">
        <w:t>U</w:t>
      </w:r>
      <w:r w:rsidR="00B9627D" w:rsidRPr="000E2ED1">
        <w:t>nion</w:t>
      </w:r>
      <w:r w:rsidRPr="000E2ED1">
        <w:t xml:space="preserve"> </w:t>
      </w:r>
      <w:r w:rsidR="00BA3C22" w:rsidRPr="000E2ED1">
        <w:t xml:space="preserve">for WLTP type-approval </w:t>
      </w:r>
      <w:r w:rsidRPr="000E2ED1">
        <w:t xml:space="preserve">of </w:t>
      </w:r>
      <w:r w:rsidR="00AF7C2C">
        <w:t>plug-in hybrid vehicle</w:t>
      </w:r>
      <w:r w:rsidR="00AF7C2C" w:rsidRPr="000E2ED1">
        <w:t xml:space="preserve">s </w:t>
      </w:r>
      <w:r w:rsidR="00E144FB" w:rsidRPr="000E2ED1">
        <w:t>and in</w:t>
      </w:r>
      <w:r w:rsidR="00BA3C22" w:rsidRPr="000E2ED1">
        <w:t xml:space="preserve"> Japan </w:t>
      </w:r>
      <w:r w:rsidR="00E144FB" w:rsidRPr="000E2ED1">
        <w:t xml:space="preserve">for </w:t>
      </w:r>
      <w:r w:rsidR="00BA3C22" w:rsidRPr="000E2ED1">
        <w:t>2030 fuel economy standards</w:t>
      </w:r>
    </w:p>
    <w:p w14:paraId="053280E3" w14:textId="77777777" w:rsidR="00CE5E6F" w:rsidRPr="00455191" w:rsidRDefault="00CE5E6F" w:rsidP="00F61408">
      <w:r w:rsidRPr="00455191">
        <w:rPr>
          <w:noProof/>
        </w:rPr>
        <w:drawing>
          <wp:inline distT="0" distB="0" distL="0" distR="0" wp14:anchorId="7D8726A1" wp14:editId="67AD60F6">
            <wp:extent cx="5829300" cy="2469876"/>
            <wp:effectExtent l="0" t="0" r="0" b="6985"/>
            <wp:docPr id="984944056" name="Picture 1" descr="Figure 2 - Diagram illustrating the utility factors used to determine the weighted CO2 emissions value for plug in hybrid vehicles. These factor increase in line with the vehicle's battery range in charge depleting mode. The utility factors that will apply in Europe in the future anticipate lower proportion of usage in electric mode than current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44056" name="Picture 1" descr="Figure 2 - Diagram illustrating the utility factors used to determine the weighted CO2 emissions value for plug in hybrid vehicles. These factor increase in line with the vehicle's battery range in charge depleting mode. The utility factors that will apply in Europe in the future anticipate lower proportion of usage in electric mode than current standards."/>
                    <pic:cNvPicPr/>
                  </pic:nvPicPr>
                  <pic:blipFill rotWithShape="1">
                    <a:blip r:embed="rId12">
                      <a:extLst>
                        <a:ext uri="{96DAC541-7B7A-43D3-8B79-37D633B846F1}">
                          <asvg:svgBlip xmlns:asvg="http://schemas.microsoft.com/office/drawing/2016/SVG/main" r:embed="rId13"/>
                        </a:ext>
                      </a:extLst>
                    </a:blip>
                    <a:srcRect l="1025" t="3788" r="-22" b="2643"/>
                    <a:stretch/>
                  </pic:blipFill>
                  <pic:spPr bwMode="auto">
                    <a:xfrm>
                      <a:off x="0" y="0"/>
                      <a:ext cx="5848092" cy="2477838"/>
                    </a:xfrm>
                    <a:prstGeom prst="rect">
                      <a:avLst/>
                    </a:prstGeom>
                    <a:ln>
                      <a:noFill/>
                    </a:ln>
                    <a:extLst>
                      <a:ext uri="{53640926-AAD7-44D8-BBD7-CCE9431645EC}">
                        <a14:shadowObscured xmlns:a14="http://schemas.microsoft.com/office/drawing/2010/main"/>
                      </a:ext>
                    </a:extLst>
                  </pic:spPr>
                </pic:pic>
              </a:graphicData>
            </a:graphic>
          </wp:inline>
        </w:drawing>
      </w:r>
    </w:p>
    <w:p w14:paraId="5DBE9DCA" w14:textId="6D36F69D" w:rsidR="00EC53F6" w:rsidRPr="00455191" w:rsidRDefault="00A36EE8" w:rsidP="00F61408">
      <w:r w:rsidRPr="00455191">
        <w:t>Before switching to WLTP</w:t>
      </w:r>
      <w:r w:rsidR="00393B69" w:rsidRPr="00455191">
        <w:t>,</w:t>
      </w:r>
      <w:r w:rsidRPr="00455191">
        <w:t xml:space="preserve"> </w:t>
      </w:r>
      <w:r w:rsidR="009E6249" w:rsidRPr="00455191">
        <w:t xml:space="preserve">official </w:t>
      </w:r>
      <w:r w:rsidR="00393B69" w:rsidRPr="00455191">
        <w:t>PHEV CO</w:t>
      </w:r>
      <w:r w:rsidR="00393B69" w:rsidRPr="00455191">
        <w:rPr>
          <w:vertAlign w:val="subscript"/>
        </w:rPr>
        <w:t>2</w:t>
      </w:r>
      <w:r w:rsidR="00393B69" w:rsidRPr="00455191">
        <w:t xml:space="preserve"> emission</w:t>
      </w:r>
      <w:r w:rsidR="009E6249" w:rsidRPr="00455191">
        <w:t xml:space="preserve"> values</w:t>
      </w:r>
      <w:r w:rsidR="00393B69" w:rsidRPr="00455191">
        <w:t xml:space="preserve"> </w:t>
      </w:r>
      <w:r w:rsidR="003D4853" w:rsidRPr="00455191">
        <w:t xml:space="preserve">were </w:t>
      </w:r>
      <w:r w:rsidR="009E6249" w:rsidRPr="00455191">
        <w:t xml:space="preserve">calculated under the </w:t>
      </w:r>
      <w:r w:rsidR="00CA52BF" w:rsidRPr="00455191">
        <w:t xml:space="preserve">NEDC </w:t>
      </w:r>
      <w:r w:rsidR="006A75C9" w:rsidRPr="00455191">
        <w:t xml:space="preserve">type-approval </w:t>
      </w:r>
      <w:r w:rsidR="009974E9" w:rsidRPr="00455191">
        <w:t>procedure</w:t>
      </w:r>
      <w:r w:rsidR="00393B69" w:rsidRPr="00455191">
        <w:t xml:space="preserve"> </w:t>
      </w:r>
      <w:r w:rsidR="009E6249" w:rsidRPr="00455191">
        <w:t>using</w:t>
      </w:r>
      <w:r w:rsidR="00EC53F6" w:rsidRPr="00455191">
        <w:t xml:space="preserve"> equation (</w:t>
      </w:r>
      <w:r w:rsidR="00EC53F6" w:rsidRPr="00455191">
        <w:fldChar w:fldCharType="begin" w:fldLock="1"/>
      </w:r>
      <w:r w:rsidR="00EC53F6" w:rsidRPr="00455191">
        <w:instrText xml:space="preserve"> REF _Ref192841954 \h </w:instrText>
      </w:r>
      <w:r w:rsidR="00455191">
        <w:instrText xml:space="preserve"> \* MERGEFORMAT </w:instrText>
      </w:r>
      <w:r w:rsidR="00EC53F6" w:rsidRPr="00455191">
        <w:fldChar w:fldCharType="separate"/>
      </w:r>
      <w:r w:rsidR="00EC53F6" w:rsidRPr="00455191">
        <w:rPr>
          <w:noProof/>
        </w:rPr>
        <w:t>2</w:t>
      </w:r>
      <w:r w:rsidR="00EC53F6" w:rsidRPr="00455191">
        <w:fldChar w:fldCharType="end"/>
      </w:r>
      <w:r w:rsidR="00EC53F6" w:rsidRPr="00455191">
        <w:t xml:space="preserve">) </w:t>
      </w:r>
      <w:r w:rsidR="00EC53F6" w:rsidRPr="00455191">
        <w:rPr>
          <w:noProof/>
        </w:rPr>
        <w:t>(UNECE R 101, 2013)</w:t>
      </w:r>
      <w:r w:rsidR="00EC53F6" w:rsidRPr="00455191">
        <w:t>:</w:t>
      </w:r>
    </w:p>
    <w:tbl>
      <w:tblPr>
        <w:tblW w:w="0" w:type="auto"/>
        <w:tblLook w:val="04A0" w:firstRow="1" w:lastRow="0" w:firstColumn="1" w:lastColumn="0" w:noHBand="0" w:noVBand="1"/>
      </w:tblPr>
      <w:tblGrid>
        <w:gridCol w:w="8812"/>
        <w:gridCol w:w="532"/>
      </w:tblGrid>
      <w:tr w:rsidR="005A7599" w:rsidRPr="00455191" w14:paraId="058E85A3" w14:textId="77777777" w:rsidTr="00F61408">
        <w:tc>
          <w:tcPr>
            <w:tcW w:w="8812" w:type="dxa"/>
          </w:tcPr>
          <w:p w14:paraId="74B839AD" w14:textId="77777777" w:rsidR="00EC53F6" w:rsidRPr="00455191" w:rsidRDefault="00000000" w:rsidP="00F61408">
            <w:pPr>
              <w:rPr>
                <w:bCs/>
              </w:rPr>
            </w:pPr>
            <m:oMathPara>
              <m:oMath>
                <m:sSub>
                  <m:sSubPr>
                    <m:ctrlPr>
                      <w:rPr>
                        <w:rFonts w:ascii="Cambria Math" w:hAnsi="Cambria Math"/>
                        <w:bCs/>
                      </w:rPr>
                    </m:ctrlPr>
                  </m:sSubPr>
                  <m:e>
                    <m:r>
                      <w:rPr>
                        <w:rFonts w:ascii="Cambria Math" w:hAnsi="Cambria Math"/>
                      </w:rPr>
                      <m:t>CO</m:t>
                    </m:r>
                  </m:e>
                  <m:sub>
                    <m:r>
                      <m:rPr>
                        <m:sty m:val="p"/>
                      </m:rPr>
                      <w:rPr>
                        <w:rFonts w:ascii="Cambria Math" w:hAnsi="Cambria Math"/>
                      </w:rPr>
                      <m:t>2,</m:t>
                    </m:r>
                    <m:r>
                      <w:rPr>
                        <w:rFonts w:ascii="Cambria Math" w:hAnsi="Cambria Math"/>
                      </w:rPr>
                      <m:t>type</m:t>
                    </m:r>
                    <m:r>
                      <m:rPr>
                        <m:sty m:val="p"/>
                      </m:rPr>
                      <w:rPr>
                        <w:rFonts w:ascii="Cambria Math" w:hAnsi="Cambria Math"/>
                      </w:rPr>
                      <m:t>-</m:t>
                    </m:r>
                    <m:r>
                      <w:rPr>
                        <w:rFonts w:ascii="Cambria Math" w:hAnsi="Cambria Math"/>
                      </w:rPr>
                      <m:t>approval</m:t>
                    </m:r>
                    <m:r>
                      <m:rPr>
                        <m:sty m:val="p"/>
                      </m:rPr>
                      <w:rPr>
                        <w:rFonts w:ascii="Cambria Math" w:hAnsi="Cambria Math"/>
                      </w:rPr>
                      <m:t>,</m:t>
                    </m:r>
                    <m:r>
                      <w:rPr>
                        <w:rFonts w:ascii="Cambria Math" w:hAnsi="Cambria Math"/>
                      </w:rPr>
                      <m:t>NEDC</m:t>
                    </m:r>
                  </m:sub>
                </m:sSub>
                <m:r>
                  <m:rPr>
                    <m:sty m:val="p"/>
                  </m:rPr>
                  <w:rPr>
                    <w:rFonts w:ascii="Cambria Math" w:hAnsi="Cambria Math"/>
                  </w:rPr>
                  <m:t>=</m:t>
                </m:r>
                <m:sSub>
                  <m:sSubPr>
                    <m:ctrlPr>
                      <w:rPr>
                        <w:rFonts w:ascii="Cambria Math" w:hAnsi="Cambria Math"/>
                        <w:bCs/>
                      </w:rPr>
                    </m:ctrlPr>
                  </m:sSubPr>
                  <m:e>
                    <m:r>
                      <w:rPr>
                        <w:rFonts w:ascii="Cambria Math" w:hAnsi="Cambria Math"/>
                      </w:rPr>
                      <m:t>CO</m:t>
                    </m:r>
                  </m:e>
                  <m:sub>
                    <m:r>
                      <m:rPr>
                        <m:sty m:val="p"/>
                      </m:rPr>
                      <w:rPr>
                        <w:rFonts w:ascii="Cambria Math" w:hAnsi="Cambria Math"/>
                      </w:rPr>
                      <m:t>2,</m:t>
                    </m:r>
                    <m:r>
                      <w:rPr>
                        <w:rFonts w:ascii="Cambria Math" w:hAnsi="Cambria Math"/>
                      </w:rPr>
                      <m:t>charge</m:t>
                    </m:r>
                    <m:r>
                      <m:rPr>
                        <m:sty m:val="p"/>
                      </m:rPr>
                      <w:rPr>
                        <w:rFonts w:ascii="Cambria Math" w:hAnsi="Cambria Math"/>
                      </w:rPr>
                      <m:t>-</m:t>
                    </m:r>
                    <m:r>
                      <w:rPr>
                        <w:rFonts w:ascii="Cambria Math" w:hAnsi="Cambria Math"/>
                      </w:rPr>
                      <m:t>sustaining</m:t>
                    </m:r>
                    <m:r>
                      <m:rPr>
                        <m:sty m:val="p"/>
                      </m:rPr>
                      <w:rPr>
                        <w:rFonts w:ascii="Cambria Math" w:hAnsi="Cambria Math"/>
                      </w:rPr>
                      <m:t>,</m:t>
                    </m:r>
                    <m:r>
                      <w:rPr>
                        <w:rFonts w:ascii="Cambria Math" w:hAnsi="Cambria Math"/>
                      </w:rPr>
                      <m:t>NEDC</m:t>
                    </m:r>
                  </m:sub>
                </m:sSub>
                <m:r>
                  <m:rPr>
                    <m:sty m:val="p"/>
                  </m:rPr>
                  <w:rPr>
                    <w:rFonts w:ascii="Cambria Math" w:hAnsi="Cambria Math"/>
                  </w:rPr>
                  <m:t>∙</m:t>
                </m:r>
                <m:f>
                  <m:fPr>
                    <m:ctrlPr>
                      <w:rPr>
                        <w:rFonts w:ascii="Cambria Math" w:hAnsi="Cambria Math"/>
                        <w:bCs/>
                      </w:rPr>
                    </m:ctrlPr>
                  </m:fPr>
                  <m:num>
                    <m:r>
                      <m:rPr>
                        <m:sty m:val="p"/>
                      </m:rPr>
                      <w:rPr>
                        <w:rFonts w:ascii="Cambria Math" w:hAnsi="Cambria Math"/>
                      </w:rPr>
                      <m:t>25</m:t>
                    </m:r>
                    <m:r>
                      <w:rPr>
                        <w:rFonts w:ascii="Cambria Math" w:hAnsi="Cambria Math"/>
                      </w:rPr>
                      <m:t>km</m:t>
                    </m:r>
                  </m:num>
                  <m:den>
                    <m:r>
                      <w:rPr>
                        <w:rFonts w:ascii="Cambria Math" w:hAnsi="Cambria Math"/>
                      </w:rPr>
                      <m:t>Rang</m:t>
                    </m:r>
                    <m:sSub>
                      <m:sSubPr>
                        <m:ctrlPr>
                          <w:rPr>
                            <w:rFonts w:ascii="Cambria Math" w:hAnsi="Cambria Math"/>
                            <w:bCs/>
                            <w:lang w:eastAsia="en-GB"/>
                          </w:rPr>
                        </m:ctrlPr>
                      </m:sSubPr>
                      <m:e>
                        <m:r>
                          <w:rPr>
                            <w:rFonts w:ascii="Cambria Math" w:hAnsi="Cambria Math"/>
                          </w:rPr>
                          <m:t>e</m:t>
                        </m:r>
                        <m:ctrlPr>
                          <w:rPr>
                            <w:rFonts w:ascii="Cambria Math" w:hAnsi="Cambria Math"/>
                            <w:bCs/>
                          </w:rPr>
                        </m:ctrlPr>
                      </m:e>
                      <m:sub>
                        <m:r>
                          <w:rPr>
                            <w:rFonts w:ascii="Cambria Math" w:hAnsi="Cambria Math"/>
                          </w:rPr>
                          <m:t>charge</m:t>
                        </m:r>
                        <m:r>
                          <m:rPr>
                            <m:sty m:val="p"/>
                          </m:rPr>
                          <w:rPr>
                            <w:rFonts w:ascii="Cambria Math" w:hAnsi="Cambria Math"/>
                          </w:rPr>
                          <m:t>-</m:t>
                        </m:r>
                        <m:r>
                          <w:rPr>
                            <w:rFonts w:ascii="Cambria Math" w:hAnsi="Cambria Math"/>
                          </w:rPr>
                          <m:t>depleting</m:t>
                        </m:r>
                      </m:sub>
                    </m:sSub>
                    <m:r>
                      <m:rPr>
                        <m:sty m:val="p"/>
                      </m:rPr>
                      <w:rPr>
                        <w:rFonts w:ascii="Cambria Math" w:hAnsi="Cambria Math"/>
                      </w:rPr>
                      <m:t>+25</m:t>
                    </m:r>
                    <m:r>
                      <w:rPr>
                        <w:rFonts w:ascii="Cambria Math" w:hAnsi="Cambria Math"/>
                      </w:rPr>
                      <m:t>km</m:t>
                    </m:r>
                  </m:den>
                </m:f>
              </m:oMath>
            </m:oMathPara>
          </w:p>
        </w:tc>
        <w:tc>
          <w:tcPr>
            <w:tcW w:w="532" w:type="dxa"/>
            <w:vAlign w:val="center"/>
          </w:tcPr>
          <w:p w14:paraId="5A89A63F" w14:textId="78B90B0A" w:rsidR="00EC53F6" w:rsidRPr="00455191" w:rsidRDefault="00EC53F6" w:rsidP="00F61408">
            <w:r w:rsidRPr="00455191">
              <w:t>(</w:t>
            </w:r>
            <w:r w:rsidR="00AA763B">
              <w:fldChar w:fldCharType="begin"/>
            </w:r>
            <w:r w:rsidR="00AA763B">
              <w:instrText xml:space="preserve"> SEQ Equation \* ARABIC </w:instrText>
            </w:r>
            <w:r w:rsidR="00AA763B">
              <w:fldChar w:fldCharType="separate"/>
            </w:r>
            <w:bookmarkStart w:id="5" w:name="_Ref192841954"/>
            <w:r w:rsidR="00EB15AE">
              <w:rPr>
                <w:noProof/>
              </w:rPr>
              <w:t>2</w:t>
            </w:r>
            <w:bookmarkEnd w:id="5"/>
            <w:r w:rsidR="00AA763B">
              <w:rPr>
                <w:noProof/>
              </w:rPr>
              <w:fldChar w:fldCharType="end"/>
            </w:r>
            <w:r w:rsidRPr="00455191">
              <w:t>)</w:t>
            </w:r>
          </w:p>
        </w:tc>
      </w:tr>
    </w:tbl>
    <w:p w14:paraId="43F5EE67" w14:textId="028B19A8" w:rsidR="005764BB" w:rsidRPr="00455191" w:rsidRDefault="005764BB" w:rsidP="00F61408">
      <w:r w:rsidRPr="00455191">
        <w:t xml:space="preserve">Where </w:t>
      </w:r>
      <m:oMath>
        <m:sSub>
          <m:sSubPr>
            <m:ctrlPr>
              <w:rPr>
                <w:rFonts w:ascii="Cambria Math" w:hAnsi="Cambria Math"/>
                <w:i/>
              </w:rPr>
            </m:ctrlPr>
          </m:sSubPr>
          <m:e>
            <m:r>
              <w:rPr>
                <w:rFonts w:ascii="Cambria Math" w:hAnsi="Cambria Math"/>
              </w:rPr>
              <m:t>CO</m:t>
            </m:r>
          </m:e>
          <m:sub>
            <m:r>
              <w:rPr>
                <w:rFonts w:ascii="Cambria Math" w:hAnsi="Cambria Math"/>
              </w:rPr>
              <m:t>2,charge-sustaining,NEDC</m:t>
            </m:r>
          </m:sub>
        </m:sSub>
      </m:oMath>
      <w:r w:rsidRPr="00455191">
        <w:t xml:space="preserve"> </w:t>
      </w:r>
      <w:r w:rsidR="00D300E7" w:rsidRPr="00455191">
        <w:t>is</w:t>
      </w:r>
      <w:r w:rsidRPr="00455191">
        <w:t xml:space="preserve"> g CO</w:t>
      </w:r>
      <w:r w:rsidRPr="00455191">
        <w:rPr>
          <w:vertAlign w:val="subscript"/>
        </w:rPr>
        <w:t>2</w:t>
      </w:r>
      <w:r w:rsidRPr="00455191">
        <w:t xml:space="preserve">/km emissions </w:t>
      </w:r>
      <w:r w:rsidR="007C16DC" w:rsidRPr="00455191">
        <w:t xml:space="preserve">measured </w:t>
      </w:r>
      <w:r w:rsidRPr="00455191">
        <w:t xml:space="preserve">in </w:t>
      </w:r>
      <w:r w:rsidR="00371C91">
        <w:t xml:space="preserve">charge sustaining </w:t>
      </w:r>
      <w:r w:rsidRPr="00455191">
        <w:t xml:space="preserve">mode and </w:t>
      </w:r>
      <m:oMath>
        <m:r>
          <w:rPr>
            <w:rFonts w:ascii="Cambria Math" w:hAnsi="Cambria Math"/>
          </w:rPr>
          <m:t>Rang</m:t>
        </m:r>
        <m:sSub>
          <m:sSubPr>
            <m:ctrlPr>
              <w:rPr>
                <w:rFonts w:ascii="Cambria Math" w:hAnsi="Cambria Math"/>
                <w:bCs/>
                <w:i/>
                <w:lang w:eastAsia="en-GB"/>
              </w:rPr>
            </m:ctrlPr>
          </m:sSubPr>
          <m:e>
            <m:r>
              <w:rPr>
                <w:rFonts w:ascii="Cambria Math" w:hAnsi="Cambria Math"/>
              </w:rPr>
              <m:t>e</m:t>
            </m:r>
            <m:ctrlPr>
              <w:rPr>
                <w:rFonts w:ascii="Cambria Math" w:hAnsi="Cambria Math"/>
                <w:bCs/>
                <w:i/>
              </w:rPr>
            </m:ctrlPr>
          </m:e>
          <m:sub>
            <m:r>
              <w:rPr>
                <w:rFonts w:ascii="Cambria Math" w:hAnsi="Cambria Math"/>
              </w:rPr>
              <m:t>charge-depleting</m:t>
            </m:r>
          </m:sub>
        </m:sSub>
      </m:oMath>
      <w:r w:rsidRPr="00455191">
        <w:t xml:space="preserve"> is the </w:t>
      </w:r>
      <w:r w:rsidR="00BE1C40" w:rsidRPr="00455191">
        <w:t xml:space="preserve">electric range in </w:t>
      </w:r>
      <w:r w:rsidR="004E1B80">
        <w:t>charge depleting</w:t>
      </w:r>
      <w:r w:rsidR="004E1B80" w:rsidRPr="00455191">
        <w:t xml:space="preserve"> </w:t>
      </w:r>
      <w:r w:rsidR="00BE1C40" w:rsidRPr="00455191">
        <w:t xml:space="preserve">mode </w:t>
      </w:r>
      <w:r w:rsidR="001C1B08" w:rsidRPr="00455191">
        <w:t>(</w:t>
      </w:r>
      <w:r w:rsidRPr="00455191">
        <w:t>equivalent all electric range</w:t>
      </w:r>
      <w:r w:rsidR="001C1B08" w:rsidRPr="00455191">
        <w:t>)</w:t>
      </w:r>
      <w:r w:rsidRPr="00455191">
        <w:t xml:space="preserve"> in </w:t>
      </w:r>
      <w:r w:rsidR="00DB582B" w:rsidRPr="00455191">
        <w:t>kilometers</w:t>
      </w:r>
      <w:r w:rsidRPr="00455191">
        <w:t>.</w:t>
      </w:r>
    </w:p>
    <w:p w14:paraId="47339DDD" w14:textId="4F2B904E" w:rsidR="00924B6D" w:rsidRPr="00455191" w:rsidRDefault="007748CB" w:rsidP="00F61408">
      <w:r w:rsidRPr="00455191">
        <w:t xml:space="preserve">Since the </w:t>
      </w:r>
      <w:r w:rsidR="00F424A4" w:rsidRPr="00455191">
        <w:t xml:space="preserve">introduction of </w:t>
      </w:r>
      <w:r w:rsidRPr="00455191">
        <w:t>WLTP</w:t>
      </w:r>
      <w:r w:rsidR="00F424A4" w:rsidRPr="00455191">
        <w:t xml:space="preserve">, the </w:t>
      </w:r>
      <w:r w:rsidR="005A0B30" w:rsidRPr="00455191">
        <w:t>E</w:t>
      </w:r>
      <w:r w:rsidR="00F94FA1" w:rsidRPr="00455191">
        <w:t xml:space="preserve">uropean </w:t>
      </w:r>
      <w:r w:rsidR="005A0B30" w:rsidRPr="00455191">
        <w:t>U</w:t>
      </w:r>
      <w:r w:rsidR="00F94FA1" w:rsidRPr="00455191">
        <w:t>nion</w:t>
      </w:r>
      <w:r w:rsidR="005A0B30" w:rsidRPr="00455191">
        <w:t xml:space="preserve"> us</w:t>
      </w:r>
      <w:r w:rsidR="00371A86" w:rsidRPr="00455191">
        <w:t>ed</w:t>
      </w:r>
      <w:r w:rsidR="005A0B30" w:rsidRPr="00455191">
        <w:t xml:space="preserve"> the </w:t>
      </w:r>
      <w:r w:rsidR="00EF3E04" w:rsidRPr="00455191">
        <w:t>same</w:t>
      </w:r>
      <w:r w:rsidR="005A0B30" w:rsidRPr="00455191">
        <w:t xml:space="preserve"> UF curve for PHEV type</w:t>
      </w:r>
      <w:r w:rsidR="00F94FA1" w:rsidRPr="00455191">
        <w:t>-</w:t>
      </w:r>
      <w:r w:rsidR="005A0B30" w:rsidRPr="00455191">
        <w:t xml:space="preserve">approval </w:t>
      </w:r>
      <w:r w:rsidR="00904B5F" w:rsidRPr="00455191">
        <w:t xml:space="preserve">through </w:t>
      </w:r>
      <w:r w:rsidR="00D80B98" w:rsidRPr="00455191">
        <w:t>2024</w:t>
      </w:r>
      <w:r w:rsidR="005A0B30" w:rsidRPr="00455191">
        <w:t xml:space="preserve">. </w:t>
      </w:r>
      <w:r w:rsidR="00414A52" w:rsidRPr="00455191">
        <w:t>However, r</w:t>
      </w:r>
      <w:r w:rsidR="00822F8F" w:rsidRPr="00455191">
        <w:t xml:space="preserve">esearch has shown that </w:t>
      </w:r>
      <w:r w:rsidR="005A0B30" w:rsidRPr="00455191">
        <w:t xml:space="preserve">the UF curve </w:t>
      </w:r>
      <w:r w:rsidR="00B75509">
        <w:t xml:space="preserve">for the </w:t>
      </w:r>
      <w:r w:rsidR="00B75509" w:rsidRPr="00455191">
        <w:t xml:space="preserve">Euro 6d-Temp </w:t>
      </w:r>
      <w:r w:rsidR="00B75509">
        <w:t xml:space="preserve">standards </w:t>
      </w:r>
      <w:r w:rsidR="005A0B30" w:rsidRPr="00455191">
        <w:t>significantly overestimate</w:t>
      </w:r>
      <w:r w:rsidR="00822F8F" w:rsidRPr="00455191">
        <w:t>s</w:t>
      </w:r>
      <w:r w:rsidR="005A0B30" w:rsidRPr="00455191">
        <w:t xml:space="preserve"> the real-world </w:t>
      </w:r>
      <w:r w:rsidR="00822F8F" w:rsidRPr="00455191">
        <w:t xml:space="preserve">driving share in </w:t>
      </w:r>
      <w:r w:rsidR="005A0B30" w:rsidRPr="00455191">
        <w:t>charge</w:t>
      </w:r>
      <w:r w:rsidR="001F7BC9" w:rsidRPr="00455191">
        <w:t>-</w:t>
      </w:r>
      <w:r w:rsidR="005A0B30" w:rsidRPr="00455191">
        <w:t>depleting mode</w:t>
      </w:r>
      <w:r w:rsidR="00095476" w:rsidRPr="00455191">
        <w:t xml:space="preserve"> and</w:t>
      </w:r>
      <w:r w:rsidR="005A0B30" w:rsidRPr="00455191">
        <w:t xml:space="preserve"> thereby </w:t>
      </w:r>
      <w:r w:rsidR="00822F8F" w:rsidRPr="00455191">
        <w:t>underestimat</w:t>
      </w:r>
      <w:r w:rsidR="00095476" w:rsidRPr="00455191">
        <w:t>es</w:t>
      </w:r>
      <w:r w:rsidR="00822F8F" w:rsidRPr="00455191">
        <w:t xml:space="preserve"> </w:t>
      </w:r>
      <w:r w:rsidR="005A0B30" w:rsidRPr="00455191">
        <w:t>the actual CO</w:t>
      </w:r>
      <w:r w:rsidR="005A0B30" w:rsidRPr="00455191">
        <w:rPr>
          <w:vertAlign w:val="subscript"/>
        </w:rPr>
        <w:t>2</w:t>
      </w:r>
      <w:r w:rsidR="005A0B30" w:rsidRPr="00455191">
        <w:t xml:space="preserve"> emissions of PHEVs</w:t>
      </w:r>
      <w:r w:rsidR="00282E23" w:rsidRPr="00455191">
        <w:t xml:space="preserve">, which </w:t>
      </w:r>
      <w:r w:rsidR="006A1900">
        <w:t xml:space="preserve">have been estimated to be </w:t>
      </w:r>
      <w:r w:rsidR="00597E1A" w:rsidRPr="00455191">
        <w:t xml:space="preserve">more than 3 times higher than the type-approval </w:t>
      </w:r>
      <w:r w:rsidR="005A0B30" w:rsidRPr="00455191">
        <w:t>values</w:t>
      </w:r>
      <w:r w:rsidR="00727100" w:rsidRPr="00455191">
        <w:t xml:space="preserve"> </w:t>
      </w:r>
      <w:r w:rsidR="00A90A08" w:rsidRPr="00455191">
        <w:rPr>
          <w:rFonts w:eastAsia="SimSun"/>
          <w:szCs w:val="24"/>
        </w:rPr>
        <w:t>(</w:t>
      </w:r>
      <w:proofErr w:type="spellStart"/>
      <w:r w:rsidR="00A90A08" w:rsidRPr="00455191">
        <w:rPr>
          <w:rFonts w:eastAsia="SimSun"/>
          <w:szCs w:val="24"/>
        </w:rPr>
        <w:t>Plötz</w:t>
      </w:r>
      <w:proofErr w:type="spellEnd"/>
      <w:r w:rsidR="00A90A08" w:rsidRPr="00455191">
        <w:rPr>
          <w:rFonts w:eastAsia="SimSun"/>
          <w:szCs w:val="24"/>
        </w:rPr>
        <w:t xml:space="preserve"> et al., 2022</w:t>
      </w:r>
      <w:r w:rsidR="00A90A08" w:rsidRPr="00455191">
        <w:t xml:space="preserve">; </w:t>
      </w:r>
      <w:r w:rsidR="005F2E03" w:rsidRPr="00455191">
        <w:t xml:space="preserve">European </w:t>
      </w:r>
      <w:r w:rsidR="002A2D76" w:rsidRPr="00455191">
        <w:t>Environment Agency</w:t>
      </w:r>
      <w:r w:rsidR="005F2E03" w:rsidRPr="00455191">
        <w:t>, n.d.)</w:t>
      </w:r>
      <w:r w:rsidR="005A0B30" w:rsidRPr="00455191">
        <w:t xml:space="preserve">. </w:t>
      </w:r>
      <w:r w:rsidR="004F31F1" w:rsidRPr="00455191">
        <w:t xml:space="preserve">The large gap </w:t>
      </w:r>
      <w:r w:rsidR="00680723" w:rsidRPr="00455191">
        <w:t xml:space="preserve">between real-world and type-approval </w:t>
      </w:r>
      <w:r w:rsidR="004465FD" w:rsidRPr="00455191">
        <w:t>CO</w:t>
      </w:r>
      <w:r w:rsidR="004465FD" w:rsidRPr="0078315D">
        <w:rPr>
          <w:vertAlign w:val="subscript"/>
        </w:rPr>
        <w:t>2</w:t>
      </w:r>
      <w:r w:rsidR="004465FD" w:rsidRPr="00455191">
        <w:t xml:space="preserve"> emissions </w:t>
      </w:r>
      <w:r w:rsidR="007C7B95" w:rsidRPr="00455191">
        <w:t>was found to be</w:t>
      </w:r>
      <w:r w:rsidR="00457A6C" w:rsidRPr="00455191">
        <w:t xml:space="preserve"> mainly caused by the following factors: </w:t>
      </w:r>
    </w:p>
    <w:p w14:paraId="6E24B82C" w14:textId="0A114691" w:rsidR="00B663C2" w:rsidRPr="00455191" w:rsidRDefault="00457A6C" w:rsidP="00547317">
      <w:pPr>
        <w:pStyle w:val="Listparagraphbullets"/>
      </w:pPr>
      <w:r w:rsidRPr="00455191">
        <w:t>The</w:t>
      </w:r>
      <w:r w:rsidR="001B77E0" w:rsidRPr="00455191">
        <w:t xml:space="preserve"> real-world electric range</w:t>
      </w:r>
      <w:r w:rsidR="003610FA" w:rsidRPr="00455191">
        <w:t xml:space="preserve"> </w:t>
      </w:r>
      <w:r w:rsidR="00D46F8A" w:rsidRPr="00455191">
        <w:t xml:space="preserve">is shorter </w:t>
      </w:r>
      <w:r w:rsidR="00315460" w:rsidRPr="00455191">
        <w:t xml:space="preserve">than </w:t>
      </w:r>
      <w:r w:rsidR="00D46F8A" w:rsidRPr="00455191">
        <w:t xml:space="preserve">the value </w:t>
      </w:r>
      <w:r w:rsidR="00315460" w:rsidRPr="00455191">
        <w:t>measured during type-approval</w:t>
      </w:r>
      <w:r w:rsidR="00924B6D" w:rsidRPr="00455191">
        <w:t>.</w:t>
      </w:r>
    </w:p>
    <w:p w14:paraId="0F5D3FF4" w14:textId="297F89B6" w:rsidR="00924B6D" w:rsidRPr="00455191" w:rsidRDefault="009B57EB" w:rsidP="00547317">
      <w:pPr>
        <w:pStyle w:val="Listparagraphbullets"/>
      </w:pPr>
      <w:r w:rsidRPr="00455191">
        <w:t xml:space="preserve">When driving long distance trips, the electric range </w:t>
      </w:r>
      <w:r w:rsidR="006233AE" w:rsidRPr="00455191">
        <w:t>is exceeded</w:t>
      </w:r>
      <w:r w:rsidR="000E31C5" w:rsidRPr="00455191">
        <w:t>,</w:t>
      </w:r>
      <w:r w:rsidR="006233AE" w:rsidRPr="00455191">
        <w:t xml:space="preserve"> and </w:t>
      </w:r>
      <w:r w:rsidR="0040036D" w:rsidRPr="00455191">
        <w:t xml:space="preserve">large </w:t>
      </w:r>
      <w:r w:rsidR="000E31C5" w:rsidRPr="00455191">
        <w:t>portions of the total distance</w:t>
      </w:r>
      <w:r w:rsidR="00D41C8C" w:rsidRPr="00455191">
        <w:t xml:space="preserve"> are </w:t>
      </w:r>
      <w:r w:rsidR="005C00FD" w:rsidRPr="00455191">
        <w:t>driven</w:t>
      </w:r>
      <w:r w:rsidR="00D41C8C" w:rsidRPr="00455191">
        <w:t xml:space="preserve"> using the combustion engine.</w:t>
      </w:r>
    </w:p>
    <w:p w14:paraId="70E1C66F" w14:textId="0B067F67" w:rsidR="000E31C5" w:rsidRPr="00455191" w:rsidRDefault="00765A50" w:rsidP="00547317">
      <w:pPr>
        <w:pStyle w:val="Listparagraphbullets"/>
      </w:pPr>
      <w:r w:rsidRPr="00455191">
        <w:t xml:space="preserve">Vehicles are not fully charged every day, as assumed when defining </w:t>
      </w:r>
      <w:r w:rsidR="002C7EB3" w:rsidRPr="00455191">
        <w:t>the UF curve.</w:t>
      </w:r>
      <w:r w:rsidR="007572D4" w:rsidRPr="00455191">
        <w:t xml:space="preserve"> </w:t>
      </w:r>
    </w:p>
    <w:p w14:paraId="0B54B39B" w14:textId="6295085D" w:rsidR="002C7EB3" w:rsidRPr="00455191" w:rsidRDefault="009F7750" w:rsidP="00547317">
      <w:pPr>
        <w:pStyle w:val="Listparagraphbullets"/>
      </w:pPr>
      <w:r w:rsidRPr="00455191">
        <w:t>As for other combustion engine vehicles, t</w:t>
      </w:r>
      <w:r w:rsidR="00F14FFF" w:rsidRPr="00455191">
        <w:t xml:space="preserve">he </w:t>
      </w:r>
      <w:r w:rsidRPr="00455191">
        <w:t xml:space="preserve">real-world </w:t>
      </w:r>
      <w:r w:rsidR="00F14FFF" w:rsidRPr="00455191">
        <w:t>CO</w:t>
      </w:r>
      <w:r w:rsidR="00F14FFF" w:rsidRPr="0078315D">
        <w:rPr>
          <w:vertAlign w:val="subscript"/>
        </w:rPr>
        <w:t>2</w:t>
      </w:r>
      <w:r w:rsidR="00F14FFF" w:rsidRPr="00455191">
        <w:t xml:space="preserve"> emissions </w:t>
      </w:r>
      <w:r w:rsidRPr="00455191">
        <w:t>in charge-sustaining mode are higher than the type-approval values.</w:t>
      </w:r>
    </w:p>
    <w:p w14:paraId="37A4E271" w14:textId="21478486" w:rsidR="00CD70F6" w:rsidRPr="00455191" w:rsidRDefault="0072659A" w:rsidP="00F61408">
      <w:r w:rsidRPr="00455191">
        <w:t>T</w:t>
      </w:r>
      <w:r w:rsidR="00CD70F6" w:rsidRPr="00455191">
        <w:t>he effect</w:t>
      </w:r>
      <w:r w:rsidRPr="00455191">
        <w:t>s</w:t>
      </w:r>
      <w:r w:rsidR="00CD70F6" w:rsidRPr="00455191">
        <w:t xml:space="preserve"> of </w:t>
      </w:r>
      <w:r w:rsidR="00272B90" w:rsidRPr="00455191">
        <w:t>less charging</w:t>
      </w:r>
      <w:r w:rsidRPr="00455191">
        <w:t xml:space="preserve">, </w:t>
      </w:r>
      <w:r w:rsidR="0026591C" w:rsidRPr="00455191">
        <w:t xml:space="preserve">long distance </w:t>
      </w:r>
      <w:r w:rsidR="00272B90" w:rsidRPr="00455191">
        <w:t>driving</w:t>
      </w:r>
      <w:r w:rsidR="00D70E28">
        <w:t>,</w:t>
      </w:r>
      <w:r w:rsidR="00272B90" w:rsidRPr="00455191">
        <w:t xml:space="preserve"> </w:t>
      </w:r>
      <w:r w:rsidRPr="00455191">
        <w:t xml:space="preserve">and higher fuel consumption in charge-sustaining mode </w:t>
      </w:r>
      <w:r w:rsidR="005E12B1">
        <w:t>have been found to be more</w:t>
      </w:r>
      <w:r w:rsidR="005B7AF5" w:rsidRPr="00455191">
        <w:t xml:space="preserve"> pronounced for company cars than for </w:t>
      </w:r>
      <w:r w:rsidR="005E60F4" w:rsidRPr="00455191">
        <w:t xml:space="preserve">privately owned vehicles. </w:t>
      </w:r>
      <w:r w:rsidR="00DD3EB0" w:rsidRPr="00455191">
        <w:t xml:space="preserve">This is </w:t>
      </w:r>
      <w:r w:rsidR="005635BC" w:rsidRPr="00455191">
        <w:t>largely</w:t>
      </w:r>
      <w:r w:rsidR="00DD3EB0" w:rsidRPr="00455191">
        <w:t xml:space="preserve"> </w:t>
      </w:r>
      <w:r w:rsidR="00692317" w:rsidRPr="00A917DB">
        <w:t xml:space="preserve">due </w:t>
      </w:r>
      <w:r w:rsidR="00C70B82" w:rsidRPr="00A917DB">
        <w:t>to</w:t>
      </w:r>
      <w:r w:rsidR="00C70B82">
        <w:t xml:space="preserve"> </w:t>
      </w:r>
      <w:r w:rsidR="00C27C67" w:rsidRPr="00455191">
        <w:t xml:space="preserve">adverse </w:t>
      </w:r>
      <w:r w:rsidR="007C181D" w:rsidRPr="00455191">
        <w:t>fiscal incentives</w:t>
      </w:r>
      <w:r w:rsidR="005635BC" w:rsidRPr="00455191">
        <w:t xml:space="preserve"> </w:t>
      </w:r>
      <w:r w:rsidR="00A242ED" w:rsidRPr="00455191">
        <w:t xml:space="preserve">that </w:t>
      </w:r>
      <w:r w:rsidR="001B60CE" w:rsidRPr="00455191">
        <w:t>favored</w:t>
      </w:r>
      <w:r w:rsidR="00A242ED" w:rsidRPr="00455191">
        <w:t xml:space="preserve"> </w:t>
      </w:r>
      <w:r w:rsidR="00BE2F2D" w:rsidRPr="00455191">
        <w:t xml:space="preserve">PHEVs over combustion engine vehicles, even though </w:t>
      </w:r>
      <w:r w:rsidR="00A43CA0" w:rsidRPr="00455191">
        <w:t xml:space="preserve">PHEVs are not suited for </w:t>
      </w:r>
      <w:r w:rsidR="00F9039A" w:rsidRPr="00455191">
        <w:t>many company car use cases</w:t>
      </w:r>
      <w:r w:rsidR="000A3B70">
        <w:t>,</w:t>
      </w:r>
      <w:r w:rsidR="00F9039A" w:rsidRPr="00455191">
        <w:t xml:space="preserve"> </w:t>
      </w:r>
      <w:r w:rsidR="000A3B70" w:rsidRPr="00496420">
        <w:t>which are</w:t>
      </w:r>
      <w:r w:rsidR="000A3B70">
        <w:t xml:space="preserve"> </w:t>
      </w:r>
      <w:r w:rsidR="00F9039A" w:rsidRPr="00455191">
        <w:t>associated with</w:t>
      </w:r>
      <w:r w:rsidR="00351FB3" w:rsidRPr="00455191">
        <w:t xml:space="preserve"> </w:t>
      </w:r>
      <w:r w:rsidR="005755E9" w:rsidRPr="00455191">
        <w:t>frequent long</w:t>
      </w:r>
      <w:r w:rsidR="00F9039A" w:rsidRPr="00455191">
        <w:t>-</w:t>
      </w:r>
      <w:r w:rsidR="005755E9" w:rsidRPr="00455191">
        <w:t>distance driving</w:t>
      </w:r>
      <w:r w:rsidR="00F9039A" w:rsidRPr="00455191">
        <w:t xml:space="preserve">. Furthermore, </w:t>
      </w:r>
      <w:r w:rsidR="00B26964" w:rsidRPr="00455191">
        <w:t xml:space="preserve">company cars </w:t>
      </w:r>
      <w:r w:rsidR="00F9039A" w:rsidRPr="00455191">
        <w:t xml:space="preserve">often come with </w:t>
      </w:r>
      <w:r w:rsidR="002321A0" w:rsidRPr="00455191">
        <w:t xml:space="preserve">fuel </w:t>
      </w:r>
      <w:r w:rsidR="00C22498" w:rsidRPr="00455191">
        <w:t>cards</w:t>
      </w:r>
      <w:r w:rsidR="00B42917" w:rsidRPr="00455191">
        <w:t>, which allows free</w:t>
      </w:r>
      <w:r w:rsidR="006C210B" w:rsidRPr="00455191">
        <w:t xml:space="preserve"> refueling for both private and work purposes</w:t>
      </w:r>
      <w:r w:rsidR="00D72777" w:rsidRPr="00455191">
        <w:t>, and thereby disincentiviz</w:t>
      </w:r>
      <w:r w:rsidR="00565B16" w:rsidRPr="00455191">
        <w:t>e</w:t>
      </w:r>
      <w:r w:rsidR="005F2D95">
        <w:t>s</w:t>
      </w:r>
      <w:r w:rsidR="00D72777" w:rsidRPr="00455191">
        <w:t xml:space="preserve"> </w:t>
      </w:r>
      <w:r w:rsidR="009346EB" w:rsidRPr="00455191">
        <w:t>the</w:t>
      </w:r>
      <w:r w:rsidR="009972CA" w:rsidRPr="00455191">
        <w:t xml:space="preserve"> operation on electricity.</w:t>
      </w:r>
    </w:p>
    <w:p w14:paraId="1E304F27" w14:textId="5DB3ECD7" w:rsidR="005A0B30" w:rsidRPr="00455191" w:rsidRDefault="00597E1A" w:rsidP="00F61408">
      <w:r w:rsidRPr="00455191">
        <w:t xml:space="preserve">To </w:t>
      </w:r>
      <w:r w:rsidR="00D03481" w:rsidRPr="00455191">
        <w:t>obtain more representative type-approval CO</w:t>
      </w:r>
      <w:r w:rsidR="00D03481" w:rsidRPr="00455191">
        <w:rPr>
          <w:vertAlign w:val="subscript"/>
        </w:rPr>
        <w:t>2</w:t>
      </w:r>
      <w:r w:rsidR="00D03481" w:rsidRPr="00455191">
        <w:t xml:space="preserve"> emissions for PHEVs, the</w:t>
      </w:r>
      <w:r w:rsidR="005A0B30" w:rsidRPr="00455191">
        <w:t xml:space="preserve"> European Commission </w:t>
      </w:r>
      <w:r w:rsidR="00D03481" w:rsidRPr="00455191">
        <w:t>introduce</w:t>
      </w:r>
      <w:r w:rsidR="00C82943" w:rsidRPr="00455191">
        <w:t>d</w:t>
      </w:r>
      <w:r w:rsidR="00D03481" w:rsidRPr="00455191">
        <w:t xml:space="preserve"> </w:t>
      </w:r>
      <w:r w:rsidR="005A0B30" w:rsidRPr="00455191">
        <w:t xml:space="preserve">revised UF curves </w:t>
      </w:r>
      <w:r w:rsidR="00A17B03" w:rsidRPr="00455191">
        <w:t xml:space="preserve">for cars type-approved under Euro 6e-bis </w:t>
      </w:r>
      <w:r w:rsidR="000A5B48" w:rsidRPr="00455191">
        <w:t>emission standards</w:t>
      </w:r>
      <w:r w:rsidR="005A0B30" w:rsidRPr="00455191">
        <w:t xml:space="preserve"> and </w:t>
      </w:r>
      <w:r w:rsidR="000A5B48" w:rsidRPr="00455191">
        <w:t>Euro 6e-bis-FCM</w:t>
      </w:r>
      <w:r w:rsidR="005A0B30" w:rsidRPr="00455191">
        <w:t xml:space="preserve"> </w:t>
      </w:r>
      <w:r w:rsidR="00D03481" w:rsidRPr="00455191">
        <w:t xml:space="preserve">by </w:t>
      </w:r>
      <w:r w:rsidR="005A0B30" w:rsidRPr="00455191">
        <w:t>2025 and 2027, respectively</w:t>
      </w:r>
      <w:r w:rsidR="00C72013" w:rsidRPr="00455191">
        <w:t xml:space="preserve"> </w:t>
      </w:r>
      <w:r w:rsidR="005B06E4" w:rsidRPr="00455191">
        <w:rPr>
          <w:noProof/>
        </w:rPr>
        <w:t>(Dornoff, 2022)</w:t>
      </w:r>
      <w:r w:rsidR="005A0B30" w:rsidRPr="00455191">
        <w:t xml:space="preserve">. </w:t>
      </w:r>
      <w:r w:rsidR="00D96F6D" w:rsidRPr="00455191">
        <w:t xml:space="preserve">The </w:t>
      </w:r>
      <w:r w:rsidR="009242D8" w:rsidRPr="00455191">
        <w:t>Euro 6e-bis-FCM curve is currently under review,</w:t>
      </w:r>
      <w:r w:rsidR="009242D8" w:rsidRPr="00455191" w:rsidDel="0012188A">
        <w:t xml:space="preserve"> </w:t>
      </w:r>
      <w:r w:rsidR="0012188A" w:rsidRPr="00455191">
        <w:t>considering</w:t>
      </w:r>
      <w:r w:rsidR="009242D8" w:rsidRPr="00455191">
        <w:t xml:space="preserve"> real-world CO</w:t>
      </w:r>
      <w:r w:rsidR="009242D8" w:rsidRPr="00455191">
        <w:rPr>
          <w:vertAlign w:val="subscript"/>
        </w:rPr>
        <w:t>2</w:t>
      </w:r>
      <w:r w:rsidR="009242D8" w:rsidRPr="00455191">
        <w:t xml:space="preserve"> emission data collected by the European Commission.</w:t>
      </w:r>
      <w:r w:rsidR="000A5B48" w:rsidRPr="00455191">
        <w:t xml:space="preserve"> </w:t>
      </w:r>
      <w:r w:rsidR="00FF1BD6" w:rsidRPr="00455191">
        <w:t xml:space="preserve">As </w:t>
      </w:r>
      <w:r w:rsidR="000A5B48" w:rsidRPr="00455191">
        <w:t xml:space="preserve">the introduction </w:t>
      </w:r>
      <w:r w:rsidR="009242D8" w:rsidRPr="00455191">
        <w:t xml:space="preserve">of Euro 7 </w:t>
      </w:r>
      <w:r w:rsidR="00EF4FD6" w:rsidRPr="00455191">
        <w:t xml:space="preserve">for light-duty vehicles </w:t>
      </w:r>
      <w:r w:rsidR="000808F1" w:rsidRPr="00455191">
        <w:t xml:space="preserve">is now expected </w:t>
      </w:r>
      <w:r w:rsidR="00EF4FD6" w:rsidRPr="00455191">
        <w:t>by the end of 2026</w:t>
      </w:r>
      <w:r w:rsidR="000808F1" w:rsidRPr="00455191">
        <w:t>—</w:t>
      </w:r>
      <w:r w:rsidR="003C2C50" w:rsidRPr="00455191">
        <w:t>that is</w:t>
      </w:r>
      <w:r w:rsidR="000808F1" w:rsidRPr="00455191">
        <w:t>,</w:t>
      </w:r>
      <w:r w:rsidR="003C2C50" w:rsidRPr="00455191">
        <w:t xml:space="preserve"> before </w:t>
      </w:r>
      <w:r w:rsidR="00A96CC2" w:rsidRPr="00455191">
        <w:t xml:space="preserve">Euro 6e-bis-FCM would have </w:t>
      </w:r>
      <w:r w:rsidR="000808F1" w:rsidRPr="00455191">
        <w:t>gone into effect—</w:t>
      </w:r>
      <w:r w:rsidR="00EF4FD6" w:rsidRPr="00455191">
        <w:t xml:space="preserve">the </w:t>
      </w:r>
      <w:r w:rsidR="00257158" w:rsidRPr="00455191">
        <w:t>UF curve developed for</w:t>
      </w:r>
      <w:r w:rsidR="00EF4FD6" w:rsidRPr="00455191">
        <w:t xml:space="preserve"> </w:t>
      </w:r>
      <w:r w:rsidR="003C2C50" w:rsidRPr="00455191">
        <w:t>Euro 6e-bis-FCM is expected to apply to Euro 7 vehicles.</w:t>
      </w:r>
    </w:p>
    <w:p w14:paraId="75D63CE8" w14:textId="5A91D97B" w:rsidR="00CE5E6F" w:rsidRPr="00455191" w:rsidRDefault="005A0B30" w:rsidP="00F61408">
      <w:r w:rsidRPr="00455191">
        <w:fldChar w:fldCharType="begin" w:fldLock="1"/>
      </w:r>
      <w:r w:rsidRPr="00455191">
        <w:instrText xml:space="preserve"> REF _Ref192443248 \h </w:instrText>
      </w:r>
      <w:r w:rsidR="00AB2D70" w:rsidRPr="00455191">
        <w:instrText xml:space="preserve"> \* MERGEFORMAT </w:instrText>
      </w:r>
      <w:r w:rsidRPr="00455191">
        <w:fldChar w:fldCharType="separate"/>
      </w:r>
      <w:r w:rsidR="005867AA" w:rsidRPr="00455191">
        <w:t xml:space="preserve">Figure </w:t>
      </w:r>
      <w:r w:rsidR="005867AA" w:rsidRPr="00455191">
        <w:rPr>
          <w:noProof/>
        </w:rPr>
        <w:t>3</w:t>
      </w:r>
      <w:r w:rsidRPr="00455191">
        <w:fldChar w:fldCharType="end"/>
      </w:r>
      <w:r w:rsidRPr="00455191">
        <w:t xml:space="preserve"> shows the </w:t>
      </w:r>
      <w:r w:rsidR="009073D6" w:rsidRPr="00455191">
        <w:t xml:space="preserve">estimated </w:t>
      </w:r>
      <w:r w:rsidRPr="00455191">
        <w:t xml:space="preserve">effect of the adjusted </w:t>
      </w:r>
      <w:r w:rsidR="006574AB">
        <w:t>UF</w:t>
      </w:r>
      <w:r w:rsidRPr="00455191">
        <w:t xml:space="preserve"> curves on the official WLTP CO</w:t>
      </w:r>
      <w:r w:rsidRPr="00455191">
        <w:rPr>
          <w:vertAlign w:val="subscript"/>
        </w:rPr>
        <w:t>2</w:t>
      </w:r>
      <w:r w:rsidRPr="00455191">
        <w:t xml:space="preserve"> emission values</w:t>
      </w:r>
      <w:r w:rsidR="009073D6" w:rsidRPr="00455191">
        <w:t xml:space="preserve">, depending on the </w:t>
      </w:r>
      <w:r w:rsidR="00394939" w:rsidRPr="00455191">
        <w:t>range a PHEV can drive in charge-depleting mode</w:t>
      </w:r>
      <w:r w:rsidRPr="00455191">
        <w:t xml:space="preserve">. </w:t>
      </w:r>
      <w:r w:rsidR="00D24866" w:rsidRPr="00455191">
        <w:t>It shows that t</w:t>
      </w:r>
      <w:r w:rsidR="00AD0BF3" w:rsidRPr="00455191">
        <w:t>he same vehicle</w:t>
      </w:r>
      <w:r w:rsidR="008C0FD5" w:rsidRPr="00455191">
        <w:t xml:space="preserve"> </w:t>
      </w:r>
      <w:r w:rsidR="00032947" w:rsidRPr="00455191">
        <w:t xml:space="preserve">type-approved </w:t>
      </w:r>
      <w:r w:rsidR="00475B1A" w:rsidRPr="00455191">
        <w:t>under Euro 6e-bis and Euro 6e-bis</w:t>
      </w:r>
      <w:r w:rsidR="00DB2A60" w:rsidRPr="00455191">
        <w:t>-FCM</w:t>
      </w:r>
      <w:r w:rsidR="00475B1A" w:rsidRPr="00455191">
        <w:t xml:space="preserve"> </w:t>
      </w:r>
      <w:r w:rsidR="00D24866" w:rsidRPr="00455191">
        <w:t xml:space="preserve">would </w:t>
      </w:r>
      <w:r w:rsidR="00ED124D" w:rsidRPr="00455191">
        <w:t xml:space="preserve">have </w:t>
      </w:r>
      <w:r w:rsidR="008C0FD5" w:rsidRPr="00455191">
        <w:t>higher official WLTP CO</w:t>
      </w:r>
      <w:r w:rsidR="008C0FD5" w:rsidRPr="00455191">
        <w:rPr>
          <w:vertAlign w:val="subscript"/>
        </w:rPr>
        <w:t>2</w:t>
      </w:r>
      <w:r w:rsidR="008C0FD5" w:rsidRPr="00455191">
        <w:t xml:space="preserve"> emission values</w:t>
      </w:r>
      <w:r w:rsidR="008C0FD5" w:rsidRPr="00455191" w:rsidDel="00394939">
        <w:t xml:space="preserve"> </w:t>
      </w:r>
      <w:r w:rsidR="00D24866" w:rsidRPr="00455191">
        <w:t xml:space="preserve">due to the </w:t>
      </w:r>
      <w:r w:rsidR="008C0FD5" w:rsidRPr="00455191">
        <w:t>new UF curves, thereby reducing the gap between real-world an</w:t>
      </w:r>
      <w:r w:rsidR="0046345F" w:rsidRPr="00455191">
        <w:t>d</w:t>
      </w:r>
      <w:r w:rsidR="008C0FD5" w:rsidRPr="00455191">
        <w:t xml:space="preserve"> type-approval values.</w:t>
      </w:r>
    </w:p>
    <w:p w14:paraId="273B25EF" w14:textId="3BFEE4FF" w:rsidR="002D16B1" w:rsidRPr="000E2ED1" w:rsidRDefault="002D16B1" w:rsidP="003A174C">
      <w:pPr>
        <w:pStyle w:val="Tablecaption"/>
      </w:pPr>
      <w:bookmarkStart w:id="6" w:name="_Ref192443248"/>
      <w:r w:rsidRPr="000E2ED1">
        <w:lastRenderedPageBreak/>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3</w:t>
      </w:r>
      <w:r w:rsidR="005867AA" w:rsidRPr="000E2ED1">
        <w:fldChar w:fldCharType="end"/>
      </w:r>
      <w:bookmarkEnd w:id="6"/>
      <w:r w:rsidRPr="000E2ED1">
        <w:t xml:space="preserve"> </w:t>
      </w:r>
      <w:r w:rsidR="00441978">
        <w:br/>
      </w:r>
      <w:r w:rsidR="0099471B" w:rsidRPr="000E2ED1">
        <w:t>Estimated</w:t>
      </w:r>
      <w:r w:rsidRPr="000E2ED1">
        <w:t xml:space="preserve"> effect of utility factor adjustment on official </w:t>
      </w:r>
      <w:r w:rsidR="00672995">
        <w:t>plug-in hybrid vehicle</w:t>
      </w:r>
      <w:r w:rsidR="00672995" w:rsidRPr="000E2ED1">
        <w:t xml:space="preserve"> </w:t>
      </w:r>
      <w:r w:rsidRPr="000E2ED1">
        <w:t>CO</w:t>
      </w:r>
      <w:r w:rsidRPr="000E2ED1">
        <w:rPr>
          <w:vertAlign w:val="subscript"/>
        </w:rPr>
        <w:t>2</w:t>
      </w:r>
      <w:r w:rsidRPr="000E2ED1">
        <w:t xml:space="preserve"> emission values</w:t>
      </w:r>
    </w:p>
    <w:p w14:paraId="61DC71AE" w14:textId="483C8FF2" w:rsidR="00C92EDA" w:rsidRPr="00455191" w:rsidRDefault="00CA5793" w:rsidP="00F61408">
      <w:r w:rsidRPr="00455191">
        <w:rPr>
          <w:noProof/>
        </w:rPr>
        <w:drawing>
          <wp:inline distT="0" distB="0" distL="0" distR="0" wp14:anchorId="1CEAB841" wp14:editId="5BDD6D72">
            <wp:extent cx="5943600" cy="3543935"/>
            <wp:effectExtent l="0" t="0" r="0" b="0"/>
            <wp:docPr id="1603216305" name="Picture 1" descr="Figure 3 - diagram illustrating the anticipated effect on CO2 emission values for plug-in hybrids when the new utility factors are fully implemented in the European Union. These lines show that CO2 emission values estimated for plug-in hybrids will be significantly higher when the new utility factors apply in 2025 and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16305" name="Picture 1" descr="Figure 3 - diagram illustrating the anticipated effect on CO2 emission values for plug-in hybrids when the new utility factors are fully implemented in the European Union. These lines show that CO2 emission values estimated for plug-in hybrids will be significantly higher when the new utility factors apply in 2025 and 2027."/>
                    <pic:cNvPicPr/>
                  </pic:nvPicPr>
                  <pic:blipFill>
                    <a:blip r:embed="rId14"/>
                    <a:stretch>
                      <a:fillRect/>
                    </a:stretch>
                  </pic:blipFill>
                  <pic:spPr>
                    <a:xfrm>
                      <a:off x="0" y="0"/>
                      <a:ext cx="5943600" cy="3543935"/>
                    </a:xfrm>
                    <a:prstGeom prst="rect">
                      <a:avLst/>
                    </a:prstGeom>
                  </pic:spPr>
                </pic:pic>
              </a:graphicData>
            </a:graphic>
          </wp:inline>
        </w:drawing>
      </w:r>
    </w:p>
    <w:p w14:paraId="424CDDEC" w14:textId="361E21D8" w:rsidR="00821676" w:rsidRPr="00455191" w:rsidRDefault="00EF081F" w:rsidP="00B55BEC">
      <w:pPr>
        <w:pStyle w:val="Heading4"/>
      </w:pPr>
      <w:r w:rsidRPr="00455191">
        <w:t xml:space="preserve">2.2.2 </w:t>
      </w:r>
      <w:r w:rsidR="00821676" w:rsidRPr="00455191">
        <w:t>U</w:t>
      </w:r>
      <w:r w:rsidR="00732E51" w:rsidRPr="00455191">
        <w:t>.</w:t>
      </w:r>
      <w:r w:rsidR="00821676" w:rsidRPr="00455191">
        <w:t>S</w:t>
      </w:r>
      <w:r w:rsidR="00732E51" w:rsidRPr="00455191">
        <w:t>.</w:t>
      </w:r>
      <w:r w:rsidR="00821676" w:rsidRPr="00455191">
        <w:t xml:space="preserve"> 2-cycle</w:t>
      </w:r>
    </w:p>
    <w:p w14:paraId="581A2278" w14:textId="75985696" w:rsidR="00E6531D" w:rsidRPr="00455191" w:rsidRDefault="00CB3846" w:rsidP="00F61408">
      <w:pPr>
        <w:keepLines/>
      </w:pPr>
      <w:r w:rsidRPr="00455191">
        <w:t>The U.S. 2-cycle tests are u</w:t>
      </w:r>
      <w:r w:rsidR="000C5BFA" w:rsidRPr="00455191">
        <w:t xml:space="preserve">sed to determine compliance </w:t>
      </w:r>
      <w:r w:rsidR="0066258D" w:rsidRPr="00455191">
        <w:t xml:space="preserve">with </w:t>
      </w:r>
      <w:r w:rsidR="006771BB" w:rsidRPr="00455191">
        <w:t>U.S. greenhouse gas</w:t>
      </w:r>
      <w:r w:rsidR="0096330C" w:rsidRPr="00455191">
        <w:t xml:space="preserve"> standards and </w:t>
      </w:r>
      <w:r w:rsidR="00953C2F" w:rsidRPr="00455191">
        <w:t>c</w:t>
      </w:r>
      <w:r w:rsidR="004D22FB" w:rsidRPr="00455191">
        <w:t xml:space="preserve">orporate </w:t>
      </w:r>
      <w:r w:rsidR="00953C2F" w:rsidRPr="00455191">
        <w:t>a</w:t>
      </w:r>
      <w:r w:rsidR="004D22FB" w:rsidRPr="00455191">
        <w:t>verage</w:t>
      </w:r>
      <w:r w:rsidR="006A7CAA" w:rsidRPr="00455191">
        <w:t xml:space="preserve"> </w:t>
      </w:r>
      <w:r w:rsidR="00953C2F" w:rsidRPr="00455191">
        <w:t>f</w:t>
      </w:r>
      <w:r w:rsidR="004D22FB" w:rsidRPr="00455191">
        <w:t xml:space="preserve">uel </w:t>
      </w:r>
      <w:r w:rsidR="00953C2F" w:rsidRPr="00455191">
        <w:t>e</w:t>
      </w:r>
      <w:r w:rsidR="004D22FB" w:rsidRPr="00455191">
        <w:t>conomy standards</w:t>
      </w:r>
      <w:r w:rsidR="00E647EB" w:rsidRPr="00455191">
        <w:t xml:space="preserve"> </w:t>
      </w:r>
      <w:r w:rsidR="0028395E" w:rsidRPr="00455191">
        <w:rPr>
          <w:noProof/>
        </w:rPr>
        <w:t>(U.S. Environmental Protection Agency, 2024)</w:t>
      </w:r>
      <w:r w:rsidR="004D22FB" w:rsidRPr="00455191">
        <w:t>.</w:t>
      </w:r>
      <w:r w:rsidR="006A7CAA" w:rsidRPr="00455191">
        <w:t xml:space="preserve"> </w:t>
      </w:r>
      <w:r w:rsidR="00CC30F5" w:rsidRPr="00455191">
        <w:t xml:space="preserve">The tests </w:t>
      </w:r>
      <w:r w:rsidR="004454A6" w:rsidRPr="00455191">
        <w:t>consist of</w:t>
      </w:r>
      <w:r w:rsidR="00925E34" w:rsidRPr="00455191">
        <w:t xml:space="preserve"> </w:t>
      </w:r>
      <w:r w:rsidR="00B06A19" w:rsidRPr="00455191">
        <w:t xml:space="preserve">emission </w:t>
      </w:r>
      <w:r w:rsidR="00E13B3C" w:rsidRPr="00455191">
        <w:t xml:space="preserve">measurements on </w:t>
      </w:r>
      <w:r w:rsidR="00A761AB" w:rsidRPr="00455191">
        <w:t>two separate drive cycles</w:t>
      </w:r>
      <w:r w:rsidR="00C37955" w:rsidRPr="00455191">
        <w:t xml:space="preserve">: </w:t>
      </w:r>
      <w:r w:rsidR="001730F3" w:rsidRPr="00455191">
        <w:t xml:space="preserve">the </w:t>
      </w:r>
      <w:r w:rsidR="00C37955" w:rsidRPr="00455191">
        <w:t>Federal Test Procedure (FTP)</w:t>
      </w:r>
      <w:r w:rsidR="00954201" w:rsidRPr="00455191">
        <w:t>,</w:t>
      </w:r>
      <w:r w:rsidR="009F1683" w:rsidRPr="00455191">
        <w:t xml:space="preserve"> referred to as </w:t>
      </w:r>
      <w:r w:rsidR="001730F3" w:rsidRPr="00455191">
        <w:t xml:space="preserve">the </w:t>
      </w:r>
      <w:r w:rsidR="00C37955" w:rsidRPr="00455191">
        <w:t>“</w:t>
      </w:r>
      <w:r w:rsidR="007E3988">
        <w:t>c</w:t>
      </w:r>
      <w:r w:rsidR="00C37955" w:rsidRPr="00455191">
        <w:t xml:space="preserve">ity” </w:t>
      </w:r>
      <w:r w:rsidR="00661177" w:rsidRPr="00455191">
        <w:t>test</w:t>
      </w:r>
      <w:r w:rsidR="00B93B6D" w:rsidRPr="00455191">
        <w:t xml:space="preserve">, and </w:t>
      </w:r>
      <w:r w:rsidR="001730F3" w:rsidRPr="00455191">
        <w:t xml:space="preserve">the </w:t>
      </w:r>
      <w:r w:rsidR="00A80745" w:rsidRPr="00455191">
        <w:t>Highway Fuel Economy Test</w:t>
      </w:r>
      <w:r w:rsidR="00B2492F" w:rsidRPr="00455191">
        <w:t xml:space="preserve"> (HWFET)</w:t>
      </w:r>
      <w:r w:rsidR="00411D02" w:rsidRPr="00455191">
        <w:t xml:space="preserve">, referred to as </w:t>
      </w:r>
      <w:r w:rsidR="001C6C6D">
        <w:t>the</w:t>
      </w:r>
      <w:r w:rsidR="00411D02" w:rsidRPr="00455191">
        <w:t xml:space="preserve"> “</w:t>
      </w:r>
      <w:r w:rsidR="001C6C6D">
        <w:t>h</w:t>
      </w:r>
      <w:r w:rsidR="00411D02" w:rsidRPr="00455191">
        <w:t xml:space="preserve">ighway” </w:t>
      </w:r>
      <w:r w:rsidR="00661177" w:rsidRPr="00455191">
        <w:t>test</w:t>
      </w:r>
      <w:r w:rsidR="00411D02" w:rsidRPr="00455191">
        <w:t>.</w:t>
      </w:r>
      <w:r w:rsidR="00352B7E" w:rsidRPr="00455191">
        <w:t xml:space="preserve"> </w:t>
      </w:r>
    </w:p>
    <w:p w14:paraId="63055881" w14:textId="79EFC85E" w:rsidR="004C7185" w:rsidRPr="00455191" w:rsidRDefault="00767BC9" w:rsidP="00F61408">
      <w:r w:rsidRPr="00455191">
        <w:t>The FTP comprise</w:t>
      </w:r>
      <w:r w:rsidR="001730F3" w:rsidRPr="00455191">
        <w:t>s</w:t>
      </w:r>
      <w:r w:rsidRPr="00455191">
        <w:t xml:space="preserve"> three </w:t>
      </w:r>
      <w:r w:rsidR="000F1ACA" w:rsidRPr="00455191">
        <w:t>phases (</w:t>
      </w:r>
      <w:r w:rsidRPr="00455191">
        <w:t>“bags”</w:t>
      </w:r>
      <w:r w:rsidR="000F1ACA" w:rsidRPr="00455191">
        <w:t xml:space="preserve">) </w:t>
      </w:r>
      <w:r w:rsidR="00995C2C" w:rsidRPr="00455191">
        <w:t>of</w:t>
      </w:r>
      <w:r w:rsidR="001827FD" w:rsidRPr="00455191">
        <w:t xml:space="preserve"> </w:t>
      </w:r>
      <w:r w:rsidR="00995C2C" w:rsidRPr="00455191">
        <w:t>emission measurement</w:t>
      </w:r>
      <w:r w:rsidR="00FE0A8C">
        <w:t>s</w:t>
      </w:r>
      <w:r w:rsidR="002B58FD" w:rsidRPr="00455191">
        <w:t xml:space="preserve"> </w:t>
      </w:r>
      <w:r w:rsidR="003870D3" w:rsidRPr="00455191">
        <w:rPr>
          <w:noProof/>
        </w:rPr>
        <w:t>(U.S. Environmental Protection Agency, 2015)</w:t>
      </w:r>
      <w:r w:rsidRPr="00455191">
        <w:t xml:space="preserve">. Bag 1 </w:t>
      </w:r>
      <w:r w:rsidR="00821D85" w:rsidRPr="00455191">
        <w:t xml:space="preserve">begins with </w:t>
      </w:r>
      <w:r w:rsidRPr="00455191">
        <w:t xml:space="preserve">a cold start preceded by </w:t>
      </w:r>
      <w:r w:rsidR="008954A5" w:rsidRPr="00455191">
        <w:t xml:space="preserve">a </w:t>
      </w:r>
      <w:r w:rsidRPr="00455191">
        <w:t>12</w:t>
      </w:r>
      <w:r w:rsidR="00166890">
        <w:t xml:space="preserve">- to </w:t>
      </w:r>
      <w:r w:rsidRPr="00455191">
        <w:t>36</w:t>
      </w:r>
      <w:r w:rsidR="00166890">
        <w:t>-</w:t>
      </w:r>
      <w:r w:rsidRPr="00455191">
        <w:t>hour soak period</w:t>
      </w:r>
      <w:r w:rsidR="004B7655">
        <w:t>,</w:t>
      </w:r>
      <w:r w:rsidRPr="00455191">
        <w:t xml:space="preserve"> during which the vehicle engine is off</w:t>
      </w:r>
      <w:r w:rsidR="00B37C15" w:rsidRPr="00455191">
        <w:t xml:space="preserve"> </w:t>
      </w:r>
      <w:r w:rsidR="00254F27" w:rsidRPr="00455191">
        <w:rPr>
          <w:noProof/>
        </w:rPr>
        <w:t>(</w:t>
      </w:r>
      <w:r w:rsidR="000407F2" w:rsidRPr="000407F2">
        <w:rPr>
          <w:noProof/>
        </w:rPr>
        <w:t>Exhaust emission test procedures</w:t>
      </w:r>
      <w:r w:rsidR="0065224C">
        <w:rPr>
          <w:noProof/>
        </w:rPr>
        <w:t>, 2023</w:t>
      </w:r>
      <w:r w:rsidR="00254F27" w:rsidRPr="00455191">
        <w:rPr>
          <w:noProof/>
        </w:rPr>
        <w:t>)</w:t>
      </w:r>
      <w:r w:rsidRPr="00455191">
        <w:t xml:space="preserve">. Bag 2 is conducted immediately after Bag 1 and is referred to as the “hot stabilized” phase. </w:t>
      </w:r>
      <w:r w:rsidR="00EC60CC" w:rsidRPr="00455191">
        <w:t>T</w:t>
      </w:r>
      <w:r w:rsidRPr="00455191">
        <w:t xml:space="preserve">he engine is </w:t>
      </w:r>
      <w:r w:rsidR="00EC60CC" w:rsidRPr="00455191">
        <w:t xml:space="preserve">then </w:t>
      </w:r>
      <w:r w:rsidRPr="00455191">
        <w:t>shut off for 9</w:t>
      </w:r>
      <w:r w:rsidR="00EC60CC" w:rsidRPr="00455191">
        <w:t>–</w:t>
      </w:r>
      <w:r w:rsidRPr="00455191">
        <w:t xml:space="preserve">11 minutes prior to the Bag 3 test, which is referred to as the “hot start” phase. </w:t>
      </w:r>
      <w:r w:rsidR="005A0E34" w:rsidRPr="00455191">
        <w:t xml:space="preserve">Bags 1 and 3 have identical durations and speed versus time traces, </w:t>
      </w:r>
      <w:r w:rsidR="00952541" w:rsidRPr="00455191">
        <w:t>differ</w:t>
      </w:r>
      <w:r w:rsidR="00E923E0" w:rsidRPr="00455191">
        <w:t>ing</w:t>
      </w:r>
      <w:r w:rsidR="00952541" w:rsidRPr="00455191">
        <w:t xml:space="preserve"> only in </w:t>
      </w:r>
      <w:r w:rsidR="00E923E0" w:rsidRPr="00455191">
        <w:t>their</w:t>
      </w:r>
      <w:r w:rsidR="00952541" w:rsidRPr="00455191">
        <w:t xml:space="preserve"> </w:t>
      </w:r>
      <w:r w:rsidR="00A75D4F" w:rsidRPr="00455191">
        <w:t>start</w:t>
      </w:r>
      <w:r w:rsidR="00E923E0" w:rsidRPr="00455191">
        <w:t xml:space="preserve"> condition</w:t>
      </w:r>
      <w:r w:rsidR="005332C2" w:rsidRPr="00455191">
        <w:t xml:space="preserve"> (cold or hot)</w:t>
      </w:r>
      <w:r w:rsidR="00A75D4F" w:rsidRPr="00455191">
        <w:t>.</w:t>
      </w:r>
      <w:r w:rsidR="00A44D0C" w:rsidRPr="00455191">
        <w:t xml:space="preserve"> </w:t>
      </w:r>
      <w:r w:rsidR="003B4EAA">
        <w:t xml:space="preserve">The </w:t>
      </w:r>
      <w:r w:rsidRPr="00455191">
        <w:t>FTP emission rates are based on a weighted combination of emissions measured in each of the three bags</w:t>
      </w:r>
      <w:r w:rsidR="00337839" w:rsidRPr="00455191">
        <w:t>.</w:t>
      </w:r>
      <w:r w:rsidR="00D34E09" w:rsidRPr="00455191" w:rsidDel="00D34E09">
        <w:t xml:space="preserve"> </w:t>
      </w:r>
    </w:p>
    <w:p w14:paraId="30A83F9F" w14:textId="3D4690B3" w:rsidR="005F448E" w:rsidRPr="00455191" w:rsidRDefault="00D34E09" w:rsidP="00F61408">
      <w:r w:rsidRPr="00455191">
        <w:t>T</w:t>
      </w:r>
      <w:r w:rsidR="00DA3147" w:rsidRPr="00455191">
        <w:t xml:space="preserve">he </w:t>
      </w:r>
      <w:r w:rsidR="00E6531D" w:rsidRPr="00455191">
        <w:t>H</w:t>
      </w:r>
      <w:r w:rsidR="00CE0F91" w:rsidRPr="00455191">
        <w:t>W</w:t>
      </w:r>
      <w:r w:rsidR="00E6531D" w:rsidRPr="00455191">
        <w:t>FET</w:t>
      </w:r>
      <w:r w:rsidR="000570DE" w:rsidRPr="00455191">
        <w:t xml:space="preserve"> cycle</w:t>
      </w:r>
      <w:r w:rsidR="003502BF" w:rsidRPr="00455191">
        <w:t xml:space="preserve"> </w:t>
      </w:r>
      <w:r w:rsidR="005D1AD5" w:rsidRPr="00455191">
        <w:t xml:space="preserve">represents </w:t>
      </w:r>
      <w:r w:rsidR="00862C13" w:rsidRPr="00455191">
        <w:t>highway driving.</w:t>
      </w:r>
      <w:r w:rsidR="003502BF" w:rsidRPr="00455191">
        <w:t xml:space="preserve"> </w:t>
      </w:r>
      <w:r w:rsidR="008A414E" w:rsidRPr="00455191">
        <w:t xml:space="preserve">It </w:t>
      </w:r>
      <w:r w:rsidR="001539CC" w:rsidRPr="00455191">
        <w:t>consists of</w:t>
      </w:r>
      <w:r w:rsidR="007C7467" w:rsidRPr="00455191">
        <w:t xml:space="preserve"> </w:t>
      </w:r>
      <w:r w:rsidR="00CF38D6" w:rsidRPr="00455191">
        <w:t>a hot</w:t>
      </w:r>
      <w:r w:rsidR="0057325D" w:rsidRPr="00455191">
        <w:t>-</w:t>
      </w:r>
      <w:r w:rsidR="00CF38D6" w:rsidRPr="00455191">
        <w:t>start test</w:t>
      </w:r>
      <w:r w:rsidR="0057325D" w:rsidRPr="00455191">
        <w:t>, where</w:t>
      </w:r>
      <w:r w:rsidR="00227F22" w:rsidRPr="00455191">
        <w:t>by</w:t>
      </w:r>
      <w:r w:rsidR="0057325D" w:rsidRPr="00455191">
        <w:t xml:space="preserve"> m</w:t>
      </w:r>
      <w:r w:rsidR="00CF38D6" w:rsidRPr="00455191">
        <w:t>easurements start after a preconditioning cycle of the same schedule with a break of not more than 17 s</w:t>
      </w:r>
      <w:r w:rsidR="009D6513" w:rsidRPr="00455191">
        <w:t>econds</w:t>
      </w:r>
      <w:r w:rsidR="00030A75" w:rsidRPr="00455191">
        <w:t xml:space="preserve"> </w:t>
      </w:r>
      <w:r w:rsidR="000B53DE" w:rsidRPr="00455191">
        <w:rPr>
          <w:noProof/>
        </w:rPr>
        <w:t>(DieselNet</w:t>
      </w:r>
      <w:r w:rsidR="00227F22" w:rsidRPr="00455191">
        <w:rPr>
          <w:noProof/>
        </w:rPr>
        <w:t>, n.d.;</w:t>
      </w:r>
      <w:r w:rsidR="000B53DE" w:rsidRPr="00455191">
        <w:t xml:space="preserve"> </w:t>
      </w:r>
      <w:r w:rsidR="000B53DE" w:rsidRPr="00455191">
        <w:rPr>
          <w:noProof/>
        </w:rPr>
        <w:t>U.S. Environmental Protection Agency, 2015)</w:t>
      </w:r>
      <w:r w:rsidR="00CF38D6" w:rsidRPr="00455191">
        <w:t>.</w:t>
      </w:r>
      <w:r w:rsidR="005C4D14" w:rsidRPr="00455191">
        <w:t xml:space="preserve"> </w:t>
      </w:r>
      <w:r w:rsidR="005F448E" w:rsidRPr="00455191">
        <w:t>The combined 2-cycle CO</w:t>
      </w:r>
      <w:r w:rsidR="005F448E" w:rsidRPr="00455191">
        <w:rPr>
          <w:vertAlign w:val="subscript"/>
        </w:rPr>
        <w:t>2</w:t>
      </w:r>
      <w:r w:rsidR="005F448E" w:rsidRPr="00455191">
        <w:t xml:space="preserve"> values are derived by weighting the emission measurements at 55% for city and 45% for highway driving.</w:t>
      </w:r>
    </w:p>
    <w:p w14:paraId="46D93CE3" w14:textId="00132B1E" w:rsidR="0096327F" w:rsidRPr="00455191" w:rsidRDefault="001429E9" w:rsidP="00F61408">
      <w:r w:rsidRPr="00455191">
        <w:t>At the time of certification, manufacturers may use the CO</w:t>
      </w:r>
      <w:r w:rsidRPr="00455191">
        <w:rPr>
          <w:vertAlign w:val="subscript"/>
        </w:rPr>
        <w:t>2</w:t>
      </w:r>
      <w:r w:rsidRPr="00455191">
        <w:t xml:space="preserve"> emission</w:t>
      </w:r>
      <w:r w:rsidR="00A9542F">
        <w:t>s</w:t>
      </w:r>
      <w:r w:rsidRPr="00455191">
        <w:t xml:space="preserve"> level from the </w:t>
      </w:r>
      <w:r w:rsidR="00015F5F" w:rsidRPr="00455191">
        <w:t>‘‘worst case’’</w:t>
      </w:r>
      <w:r w:rsidR="00F7191A" w:rsidRPr="00455191">
        <w:t xml:space="preserve"> </w:t>
      </w:r>
      <w:r w:rsidR="00B057EC" w:rsidRPr="00455191">
        <w:t>vehicle</w:t>
      </w:r>
      <w:r w:rsidRPr="00455191">
        <w:t xml:space="preserve"> as a surrogate </w:t>
      </w:r>
      <w:r w:rsidR="0036572F" w:rsidRPr="00455191">
        <w:t>for</w:t>
      </w:r>
      <w:r w:rsidRPr="00455191">
        <w:t xml:space="preserve"> </w:t>
      </w:r>
      <w:proofErr w:type="gramStart"/>
      <w:r w:rsidRPr="00455191">
        <w:t>all of</w:t>
      </w:r>
      <w:proofErr w:type="gramEnd"/>
      <w:r w:rsidRPr="00455191">
        <w:t xml:space="preserve"> the models in the test group. </w:t>
      </w:r>
      <w:r w:rsidR="006C20BE" w:rsidRPr="00455191">
        <w:t>A test group</w:t>
      </w:r>
      <w:r w:rsidR="00D83165" w:rsidRPr="00455191">
        <w:t xml:space="preserve"> </w:t>
      </w:r>
      <w:r w:rsidR="006C20BE" w:rsidRPr="00455191">
        <w:t xml:space="preserve">typically includes </w:t>
      </w:r>
      <w:r w:rsidR="006C20BE" w:rsidRPr="00455191" w:rsidDel="000F574D">
        <w:t xml:space="preserve">model </w:t>
      </w:r>
      <w:r w:rsidR="000F574D" w:rsidRPr="00455191">
        <w:lastRenderedPageBreak/>
        <w:t>variants</w:t>
      </w:r>
      <w:r w:rsidR="006C20BE" w:rsidRPr="00455191">
        <w:t xml:space="preserve"> that share critical</w:t>
      </w:r>
      <w:r w:rsidR="00D83165" w:rsidRPr="00455191">
        <w:t xml:space="preserve"> </w:t>
      </w:r>
      <w:r w:rsidR="006C20BE" w:rsidRPr="00455191">
        <w:t>emission-related features</w:t>
      </w:r>
      <w:r w:rsidR="00417237" w:rsidRPr="00455191">
        <w:t>.</w:t>
      </w:r>
      <w:r w:rsidR="009E6924" w:rsidRPr="00455191">
        <w:rPr>
          <w:rStyle w:val="FootnoteReference"/>
        </w:rPr>
        <w:footnoteReference w:id="6"/>
      </w:r>
      <w:r w:rsidR="006D315A" w:rsidRPr="00455191">
        <w:t xml:space="preserve"> As a condition of the certificate, this surrogate CO</w:t>
      </w:r>
      <w:r w:rsidR="006D315A" w:rsidRPr="00455191">
        <w:rPr>
          <w:vertAlign w:val="subscript"/>
        </w:rPr>
        <w:t>2</w:t>
      </w:r>
      <w:r w:rsidR="006D315A" w:rsidRPr="00455191">
        <w:t xml:space="preserve"> emissions value will generally be replaced with actual, model-level CO</w:t>
      </w:r>
      <w:r w:rsidR="006D315A" w:rsidRPr="00455191">
        <w:rPr>
          <w:vertAlign w:val="subscript"/>
        </w:rPr>
        <w:t>2</w:t>
      </w:r>
      <w:r w:rsidR="006D315A" w:rsidRPr="00455191">
        <w:t xml:space="preserve"> values based on results from </w:t>
      </w:r>
      <w:r w:rsidR="00802618">
        <w:t>Corporate Average Fuel Economy (</w:t>
      </w:r>
      <w:r w:rsidR="007D50E5" w:rsidRPr="00455191">
        <w:t>CAFE</w:t>
      </w:r>
      <w:r w:rsidR="00802618">
        <w:t>)</w:t>
      </w:r>
      <w:r w:rsidR="006D315A" w:rsidRPr="00455191">
        <w:t xml:space="preserve"> testing that occurs later in the model year</w:t>
      </w:r>
      <w:r w:rsidR="00521F53" w:rsidRPr="00455191">
        <w:t>.</w:t>
      </w:r>
      <w:r w:rsidR="00B95107" w:rsidRPr="00455191">
        <w:rPr>
          <w:rStyle w:val="FootnoteReference"/>
        </w:rPr>
        <w:footnoteReference w:id="7"/>
      </w:r>
    </w:p>
    <w:p w14:paraId="32E54602" w14:textId="7A69DC9C" w:rsidR="00F44DBF" w:rsidRPr="00455191" w:rsidRDefault="00521F53" w:rsidP="00F61408">
      <w:r w:rsidRPr="00455191">
        <w:t xml:space="preserve">To </w:t>
      </w:r>
      <w:r w:rsidR="00FB6190" w:rsidRPr="00455191">
        <w:t>calculat</w:t>
      </w:r>
      <w:r w:rsidRPr="00455191">
        <w:t>e</w:t>
      </w:r>
      <w:r w:rsidR="00FB6190" w:rsidRPr="00455191">
        <w:t xml:space="preserve"> PHEV CO</w:t>
      </w:r>
      <w:r w:rsidR="00FB6190" w:rsidRPr="00455191">
        <w:rPr>
          <w:vertAlign w:val="subscript"/>
        </w:rPr>
        <w:t>2</w:t>
      </w:r>
      <w:r w:rsidR="00FB6190" w:rsidRPr="00455191">
        <w:t xml:space="preserve"> type-approval values</w:t>
      </w:r>
      <w:r w:rsidR="0071569B" w:rsidRPr="00455191">
        <w:t xml:space="preserve"> for compliance assessment,</w:t>
      </w:r>
      <w:r w:rsidR="00FB6190" w:rsidRPr="00455191">
        <w:t xml:space="preserve"> </w:t>
      </w:r>
      <w:r w:rsidR="0096327F" w:rsidRPr="00455191">
        <w:t>PHEVs are tested in both charge</w:t>
      </w:r>
      <w:r w:rsidR="00FC665B" w:rsidRPr="00455191">
        <w:t>-</w:t>
      </w:r>
      <w:r w:rsidR="0096327F" w:rsidRPr="00455191">
        <w:t>depleting and charge</w:t>
      </w:r>
      <w:r w:rsidR="00FC665B" w:rsidRPr="00455191">
        <w:t>-</w:t>
      </w:r>
      <w:r w:rsidR="0096327F" w:rsidRPr="00455191">
        <w:t>sustaining operation to determine</w:t>
      </w:r>
      <w:r w:rsidR="00A01983" w:rsidRPr="00455191">
        <w:t xml:space="preserve"> CO</w:t>
      </w:r>
      <w:r w:rsidR="00A01983" w:rsidRPr="00455191">
        <w:rPr>
          <w:vertAlign w:val="subscript"/>
        </w:rPr>
        <w:t>2</w:t>
      </w:r>
      <w:r w:rsidR="00A01983" w:rsidRPr="00455191">
        <w:t xml:space="preserve"> emissions in each mode and</w:t>
      </w:r>
      <w:r w:rsidR="0096327F" w:rsidRPr="00455191">
        <w:t xml:space="preserve"> the electrical range of the vehicle.</w:t>
      </w:r>
      <w:r w:rsidR="00D002EB" w:rsidRPr="00455191">
        <w:t xml:space="preserve"> </w:t>
      </w:r>
      <w:r w:rsidR="00F44DBF" w:rsidRPr="00455191">
        <w:t xml:space="preserve">The methodology for determining </w:t>
      </w:r>
      <w:r w:rsidR="00E573BD" w:rsidRPr="00455191">
        <w:t xml:space="preserve">the </w:t>
      </w:r>
      <w:r w:rsidR="00F44DBF" w:rsidRPr="00455191">
        <w:t xml:space="preserve">UF </w:t>
      </w:r>
      <w:r w:rsidR="00B95B47">
        <w:t xml:space="preserve">for PHEVs </w:t>
      </w:r>
      <w:r w:rsidR="00F44DBF" w:rsidRPr="00455191">
        <w:t xml:space="preserve">in the </w:t>
      </w:r>
      <w:r w:rsidR="00E573BD" w:rsidRPr="00455191">
        <w:t>United States</w:t>
      </w:r>
      <w:r w:rsidR="00F44DBF" w:rsidRPr="00455191">
        <w:t xml:space="preserve"> is very similar to that used in Europe, apart from differences in </w:t>
      </w:r>
      <w:r w:rsidR="00650C94">
        <w:t xml:space="preserve">the </w:t>
      </w:r>
      <w:r w:rsidR="00F44DBF" w:rsidRPr="00455191">
        <w:t>test cycle and UF curve equation coefficients.</w:t>
      </w:r>
      <w:r w:rsidR="00E704F8" w:rsidRPr="00455191">
        <w:t xml:space="preserve"> The </w:t>
      </w:r>
      <w:r w:rsidR="0043731E" w:rsidRPr="00455191">
        <w:t>United States</w:t>
      </w:r>
      <w:r w:rsidR="00E704F8" w:rsidRPr="00455191">
        <w:t xml:space="preserve"> has </w:t>
      </w:r>
      <w:r w:rsidR="00634AFF" w:rsidRPr="00455191">
        <w:t>two sets of utility factors</w:t>
      </w:r>
      <w:r w:rsidR="0043731E" w:rsidRPr="00455191">
        <w:t>:</w:t>
      </w:r>
      <w:r w:rsidR="00634AFF" w:rsidRPr="00455191">
        <w:t xml:space="preserve"> one for the </w:t>
      </w:r>
      <w:r w:rsidR="008E6634" w:rsidRPr="00455191">
        <w:t>FTP</w:t>
      </w:r>
      <w:r w:rsidR="0043731E" w:rsidRPr="00455191">
        <w:t xml:space="preserve"> and</w:t>
      </w:r>
      <w:r w:rsidR="00634AFF" w:rsidRPr="00455191">
        <w:t xml:space="preserve"> one for </w:t>
      </w:r>
      <w:r w:rsidR="0043731E" w:rsidRPr="00455191">
        <w:t xml:space="preserve">the </w:t>
      </w:r>
      <w:r w:rsidR="008E6634" w:rsidRPr="00455191">
        <w:t>HWFET</w:t>
      </w:r>
      <w:r w:rsidR="00634AFF" w:rsidRPr="00455191">
        <w:t>.</w:t>
      </w:r>
    </w:p>
    <w:p w14:paraId="6A06E68D" w14:textId="3CD94923" w:rsidR="00773368" w:rsidRPr="00455191" w:rsidRDefault="00EF081F" w:rsidP="00B55BEC">
      <w:pPr>
        <w:pStyle w:val="Heading3"/>
      </w:pPr>
      <w:r w:rsidRPr="00455191">
        <w:t xml:space="preserve">2.3 </w:t>
      </w:r>
      <w:r w:rsidR="004117F6" w:rsidRPr="00455191">
        <w:t xml:space="preserve">Review of </w:t>
      </w:r>
      <w:r w:rsidR="00385C93" w:rsidRPr="00455191">
        <w:t xml:space="preserve">test </w:t>
      </w:r>
      <w:r w:rsidR="00740F98" w:rsidRPr="00455191">
        <w:t>cycle conversion method</w:t>
      </w:r>
      <w:r w:rsidR="00A67951" w:rsidRPr="00455191">
        <w:t>s</w:t>
      </w:r>
    </w:p>
    <w:p w14:paraId="09F2D139" w14:textId="0FF59F58" w:rsidR="00385C93" w:rsidRPr="00455191" w:rsidRDefault="00302D9B" w:rsidP="00B55BEC">
      <w:pPr>
        <w:pStyle w:val="Heading4"/>
      </w:pPr>
      <w:r w:rsidRPr="00455191">
        <w:t xml:space="preserve">2.3.1 </w:t>
      </w:r>
      <w:r w:rsidR="00385C93" w:rsidRPr="00455191">
        <w:t>CO</w:t>
      </w:r>
      <w:r w:rsidR="00385C93" w:rsidRPr="00455191">
        <w:rPr>
          <w:vertAlign w:val="subscript"/>
        </w:rPr>
        <w:t>2</w:t>
      </w:r>
      <w:r w:rsidR="00385C93" w:rsidRPr="00455191">
        <w:t>MPAS</w:t>
      </w:r>
    </w:p>
    <w:p w14:paraId="20BF0BE8" w14:textId="68B3795A" w:rsidR="004A3B59" w:rsidRPr="00455191" w:rsidRDefault="004A3B59" w:rsidP="00F61408">
      <w:r w:rsidRPr="00455191">
        <w:t xml:space="preserve">With the introduction of the WLTP in </w:t>
      </w:r>
      <w:r w:rsidR="005D416D" w:rsidRPr="00455191">
        <w:t>the E</w:t>
      </w:r>
      <w:r w:rsidR="00661573" w:rsidRPr="00455191">
        <w:t xml:space="preserve">uropean </w:t>
      </w:r>
      <w:r w:rsidR="005D416D" w:rsidRPr="00455191">
        <w:t>U</w:t>
      </w:r>
      <w:r w:rsidR="00661573" w:rsidRPr="00455191">
        <w:t>nion</w:t>
      </w:r>
      <w:r w:rsidR="005D416D" w:rsidRPr="00455191">
        <w:t xml:space="preserve"> in </w:t>
      </w:r>
      <w:r w:rsidRPr="00455191">
        <w:t xml:space="preserve">2017, an increasing number of new vehicles were type-approved </w:t>
      </w:r>
      <w:r w:rsidR="00A101A3" w:rsidRPr="00455191">
        <w:t>under</w:t>
      </w:r>
      <w:r w:rsidRPr="00455191">
        <w:t xml:space="preserve"> the WLTP instead of </w:t>
      </w:r>
      <w:r w:rsidR="005A2FBC" w:rsidRPr="00455191">
        <w:t xml:space="preserve">the </w:t>
      </w:r>
      <w:r w:rsidRPr="00455191">
        <w:t xml:space="preserve">NEDC. </w:t>
      </w:r>
      <w:r w:rsidR="005C6061">
        <w:t>However, t</w:t>
      </w:r>
      <w:r w:rsidRPr="00455191">
        <w:t>he regulatory CO</w:t>
      </w:r>
      <w:r w:rsidRPr="00455191">
        <w:rPr>
          <w:vertAlign w:val="subscript"/>
        </w:rPr>
        <w:t>2</w:t>
      </w:r>
      <w:r w:rsidRPr="00455191">
        <w:t xml:space="preserve"> target</w:t>
      </w:r>
      <w:r w:rsidR="00D94887" w:rsidRPr="00455191">
        <w:t>s</w:t>
      </w:r>
      <w:r w:rsidRPr="00455191">
        <w:t xml:space="preserve"> </w:t>
      </w:r>
      <w:r w:rsidR="00D2796F" w:rsidRPr="00455191">
        <w:t xml:space="preserve">through </w:t>
      </w:r>
      <w:r w:rsidRPr="00455191">
        <w:t>2020 remain</w:t>
      </w:r>
      <w:r w:rsidR="00617A08" w:rsidRPr="00455191">
        <w:t>ed</w:t>
      </w:r>
      <w:r w:rsidRPr="00455191">
        <w:t xml:space="preserve"> based on </w:t>
      </w:r>
      <w:r w:rsidR="00057637" w:rsidRPr="00455191">
        <w:t xml:space="preserve">the </w:t>
      </w:r>
      <w:r w:rsidRPr="00455191">
        <w:t xml:space="preserve">NEDC. </w:t>
      </w:r>
      <w:r w:rsidR="007F28B2" w:rsidRPr="00455191">
        <w:t>T</w:t>
      </w:r>
      <w:r w:rsidRPr="00455191">
        <w:t xml:space="preserve">o monitor and enforce the NEDC </w:t>
      </w:r>
      <w:r w:rsidR="003B52B3" w:rsidRPr="00455191">
        <w:t>CO</w:t>
      </w:r>
      <w:r w:rsidR="003B52B3" w:rsidRPr="00455191">
        <w:rPr>
          <w:vertAlign w:val="subscript"/>
        </w:rPr>
        <w:t>2</w:t>
      </w:r>
      <w:r w:rsidR="003B52B3" w:rsidRPr="00455191">
        <w:t xml:space="preserve"> </w:t>
      </w:r>
      <w:r w:rsidRPr="00455191">
        <w:t>target</w:t>
      </w:r>
      <w:r w:rsidR="003B52B3" w:rsidRPr="00455191">
        <w:t>s</w:t>
      </w:r>
      <w:r w:rsidRPr="00455191">
        <w:t xml:space="preserve">, and to determine the </w:t>
      </w:r>
      <w:r w:rsidR="00EA13F1" w:rsidRPr="00455191">
        <w:t>NEDC-</w:t>
      </w:r>
      <w:r w:rsidRPr="00455191">
        <w:t xml:space="preserve">equivalent WLTP </w:t>
      </w:r>
      <w:r w:rsidR="00EA13F1" w:rsidRPr="00455191">
        <w:t>CO</w:t>
      </w:r>
      <w:r w:rsidR="00EA13F1" w:rsidRPr="00455191">
        <w:rPr>
          <w:vertAlign w:val="subscript"/>
        </w:rPr>
        <w:t>2</w:t>
      </w:r>
      <w:r w:rsidR="00EA13F1" w:rsidRPr="00455191">
        <w:t xml:space="preserve"> </w:t>
      </w:r>
      <w:r w:rsidRPr="00455191">
        <w:t>target</w:t>
      </w:r>
      <w:r w:rsidR="00A25D0E" w:rsidRPr="00455191">
        <w:t>s</w:t>
      </w:r>
      <w:r w:rsidR="00EA13F1" w:rsidRPr="00455191">
        <w:t xml:space="preserve"> for </w:t>
      </w:r>
      <w:r w:rsidRPr="00455191">
        <w:t xml:space="preserve">2021 </w:t>
      </w:r>
      <w:r w:rsidR="00B46172" w:rsidRPr="00455191">
        <w:t xml:space="preserve">and </w:t>
      </w:r>
      <w:r w:rsidR="00A25D0E" w:rsidRPr="00455191">
        <w:t>onwards</w:t>
      </w:r>
      <w:r w:rsidRPr="00455191">
        <w:t>, new vehicle</w:t>
      </w:r>
      <w:r w:rsidR="008F7A3B" w:rsidRPr="00455191">
        <w:t>s were required</w:t>
      </w:r>
      <w:r w:rsidRPr="00455191">
        <w:t xml:space="preserve"> to </w:t>
      </w:r>
      <w:r w:rsidR="008F7A3B" w:rsidRPr="00455191">
        <w:t>have both</w:t>
      </w:r>
      <w:r w:rsidRPr="00455191">
        <w:t xml:space="preserve"> a WLTP </w:t>
      </w:r>
      <w:r w:rsidR="008F7A3B" w:rsidRPr="00455191">
        <w:t>and</w:t>
      </w:r>
      <w:r w:rsidRPr="00455191">
        <w:t xml:space="preserve"> an NEDC CO</w:t>
      </w:r>
      <w:r w:rsidRPr="00455191">
        <w:rPr>
          <w:vertAlign w:val="subscript"/>
        </w:rPr>
        <w:t>2</w:t>
      </w:r>
      <w:r w:rsidRPr="00455191">
        <w:t xml:space="preserve"> </w:t>
      </w:r>
      <w:r w:rsidR="00A25D0E" w:rsidRPr="00455191">
        <w:t xml:space="preserve">type-approval </w:t>
      </w:r>
      <w:r w:rsidRPr="00455191">
        <w:t xml:space="preserve">value. </w:t>
      </w:r>
    </w:p>
    <w:p w14:paraId="6C728565" w14:textId="0F294FDF" w:rsidR="009A66CF" w:rsidRPr="00455191" w:rsidRDefault="004A3B59" w:rsidP="00547317">
      <w:pPr>
        <w:keepLines/>
      </w:pPr>
      <w:r w:rsidRPr="00455191">
        <w:t xml:space="preserve">To </w:t>
      </w:r>
      <w:r w:rsidR="006904E9" w:rsidRPr="00455191">
        <w:t xml:space="preserve">avoid </w:t>
      </w:r>
      <w:r w:rsidRPr="00455191">
        <w:t xml:space="preserve">double testing </w:t>
      </w:r>
      <w:r w:rsidR="007B49FF" w:rsidRPr="00455191">
        <w:t xml:space="preserve">for WLTP and NEDC </w:t>
      </w:r>
      <w:r w:rsidR="00CF7D3D" w:rsidRPr="00455191">
        <w:t>CO</w:t>
      </w:r>
      <w:r w:rsidR="00CF7D3D" w:rsidRPr="00455191">
        <w:rPr>
          <w:vertAlign w:val="subscript"/>
        </w:rPr>
        <w:t>2</w:t>
      </w:r>
      <w:r w:rsidRPr="00455191">
        <w:t xml:space="preserve"> emissions, the European Commission </w:t>
      </w:r>
      <w:r w:rsidR="00A22060" w:rsidRPr="00455191">
        <w:t xml:space="preserve">defined </w:t>
      </w:r>
      <w:r w:rsidR="00586376" w:rsidRPr="00455191">
        <w:t xml:space="preserve">a conversion procedure </w:t>
      </w:r>
      <w:r w:rsidR="005A0C0B" w:rsidRPr="00455191">
        <w:t xml:space="preserve">based on </w:t>
      </w:r>
      <w:r w:rsidR="004221B9">
        <w:t>the C</w:t>
      </w:r>
      <w:r w:rsidR="004221B9" w:rsidRPr="004221B9">
        <w:t>O</w:t>
      </w:r>
      <w:r w:rsidR="004221B9" w:rsidRPr="000E2ED1">
        <w:rPr>
          <w:vertAlign w:val="subscript"/>
        </w:rPr>
        <w:t>2</w:t>
      </w:r>
      <w:r w:rsidR="004221B9" w:rsidRPr="004221B9">
        <w:t xml:space="preserve"> Model for </w:t>
      </w:r>
      <w:proofErr w:type="spellStart"/>
      <w:r w:rsidR="004221B9" w:rsidRPr="004221B9">
        <w:t>PAssenger</w:t>
      </w:r>
      <w:proofErr w:type="spellEnd"/>
      <w:r w:rsidR="004221B9" w:rsidRPr="004221B9">
        <w:t xml:space="preserve"> and commercial vehicles Simulation</w:t>
      </w:r>
      <w:r w:rsidR="00C11450" w:rsidRPr="00455191">
        <w:t xml:space="preserve"> </w:t>
      </w:r>
      <w:r w:rsidR="004221B9">
        <w:t>(</w:t>
      </w:r>
      <w:r w:rsidR="00CF7D3D" w:rsidRPr="00455191">
        <w:t>CO</w:t>
      </w:r>
      <w:r w:rsidR="00CF7D3D" w:rsidRPr="00455191">
        <w:rPr>
          <w:vertAlign w:val="subscript"/>
        </w:rPr>
        <w:t>2</w:t>
      </w:r>
      <w:r w:rsidRPr="00455191">
        <w:t>MPAS</w:t>
      </w:r>
      <w:r w:rsidR="00C845EA">
        <w:t xml:space="preserve">), their </w:t>
      </w:r>
      <w:r w:rsidR="00C845EA" w:rsidRPr="00455191">
        <w:t>in-house simulation tool</w:t>
      </w:r>
      <w:r w:rsidR="00633AAC" w:rsidRPr="00455191">
        <w:t xml:space="preserve"> </w:t>
      </w:r>
      <w:r w:rsidR="00A13564" w:rsidRPr="00455191">
        <w:rPr>
          <w:noProof/>
        </w:rPr>
        <w:t>(Regulation (EU) 2017/1152, 2017; Regulation (EU) 2017/1153, 2017)</w:t>
      </w:r>
      <w:r w:rsidR="005432BD" w:rsidRPr="00455191">
        <w:t>.</w:t>
      </w:r>
      <w:r w:rsidR="0025241B" w:rsidRPr="00455191">
        <w:t xml:space="preserve"> </w:t>
      </w:r>
      <w:r w:rsidR="00CF7D3D" w:rsidRPr="00455191">
        <w:t>CO</w:t>
      </w:r>
      <w:r w:rsidR="00CF7D3D" w:rsidRPr="00455191">
        <w:rPr>
          <w:vertAlign w:val="subscript"/>
        </w:rPr>
        <w:t>2</w:t>
      </w:r>
      <w:r w:rsidR="0025241B" w:rsidRPr="00455191">
        <w:t>MPAS</w:t>
      </w:r>
      <w:r w:rsidR="00EF5B0C" w:rsidRPr="00455191">
        <w:t xml:space="preserve"> was released in 2017 and </w:t>
      </w:r>
      <w:r w:rsidR="00BB6C35" w:rsidRPr="00455191">
        <w:t xml:space="preserve">used </w:t>
      </w:r>
      <w:r w:rsidR="007074E7" w:rsidRPr="00455191">
        <w:t xml:space="preserve">until 2020 </w:t>
      </w:r>
      <w:r w:rsidR="0074366B" w:rsidRPr="00455191">
        <w:t xml:space="preserve">for </w:t>
      </w:r>
      <w:r w:rsidR="00087BEB" w:rsidRPr="00455191">
        <w:t>determining NEDC</w:t>
      </w:r>
      <w:r w:rsidR="00BB6C35" w:rsidRPr="00455191">
        <w:t xml:space="preserve"> CO</w:t>
      </w:r>
      <w:r w:rsidR="00BB6C35" w:rsidRPr="00455191">
        <w:rPr>
          <w:vertAlign w:val="subscript"/>
        </w:rPr>
        <w:t>2</w:t>
      </w:r>
      <w:r w:rsidR="00BB6C35" w:rsidRPr="00455191">
        <w:t xml:space="preserve"> </w:t>
      </w:r>
      <w:r w:rsidR="00087BEB" w:rsidRPr="00455191">
        <w:t>emission values</w:t>
      </w:r>
      <w:r w:rsidR="00BB6C35" w:rsidRPr="00455191">
        <w:t xml:space="preserve"> </w:t>
      </w:r>
      <w:r w:rsidR="00C81E23" w:rsidRPr="00455191">
        <w:t>for WLTP</w:t>
      </w:r>
      <w:r w:rsidR="00F00221" w:rsidRPr="00455191">
        <w:t>-</w:t>
      </w:r>
      <w:r w:rsidR="00C81E23" w:rsidRPr="00455191">
        <w:t>tested vehicles</w:t>
      </w:r>
      <w:r w:rsidR="00087BEB" w:rsidRPr="00455191">
        <w:t>.</w:t>
      </w:r>
      <w:r w:rsidR="00C81E23" w:rsidRPr="00455191">
        <w:t xml:space="preserve"> It</w:t>
      </w:r>
      <w:r w:rsidR="007074E7" w:rsidRPr="00455191">
        <w:t>s development</w:t>
      </w:r>
      <w:r w:rsidR="00C81E23" w:rsidRPr="00455191">
        <w:t xml:space="preserve"> was </w:t>
      </w:r>
      <w:r w:rsidR="007074E7" w:rsidRPr="00455191">
        <w:t>continued</w:t>
      </w:r>
      <w:r w:rsidR="00EF5B0C" w:rsidRPr="00455191">
        <w:t xml:space="preserve"> until 2023</w:t>
      </w:r>
      <w:r w:rsidR="000108A3" w:rsidRPr="00455191">
        <w:t xml:space="preserve">. </w:t>
      </w:r>
      <w:r w:rsidR="009A66CF" w:rsidRPr="00455191">
        <w:t xml:space="preserve">The </w:t>
      </w:r>
      <w:r w:rsidR="00CF7D3D" w:rsidRPr="00455191">
        <w:t>CO</w:t>
      </w:r>
      <w:r w:rsidR="00CF7D3D" w:rsidRPr="00455191">
        <w:rPr>
          <w:vertAlign w:val="subscript"/>
        </w:rPr>
        <w:t>2</w:t>
      </w:r>
      <w:r w:rsidR="009A66CF" w:rsidRPr="00455191">
        <w:t>MPAS source code is publicly available, and its use is free of charge</w:t>
      </w:r>
      <w:r w:rsidR="00085E35" w:rsidRPr="00455191">
        <w:t xml:space="preserve"> </w:t>
      </w:r>
      <w:r w:rsidR="001459FA" w:rsidRPr="00455191">
        <w:rPr>
          <w:rFonts w:eastAsia="SimSun"/>
          <w:szCs w:val="24"/>
        </w:rPr>
        <w:t>(European Commission, 2023b)</w:t>
      </w:r>
      <w:r w:rsidR="000B33EB" w:rsidRPr="00455191">
        <w:t>.</w:t>
      </w:r>
    </w:p>
    <w:p w14:paraId="6EBA0BC0" w14:textId="21559F22" w:rsidR="00246618" w:rsidRPr="00455191" w:rsidRDefault="00CF7D3D" w:rsidP="00F61408">
      <w:r w:rsidRPr="00455191">
        <w:t>CO</w:t>
      </w:r>
      <w:r w:rsidRPr="00455191">
        <w:rPr>
          <w:vertAlign w:val="subscript"/>
        </w:rPr>
        <w:t>2</w:t>
      </w:r>
      <w:r w:rsidR="000108A3" w:rsidRPr="00455191">
        <w:t>MPAS</w:t>
      </w:r>
      <w:r w:rsidR="004A3B59" w:rsidRPr="00455191">
        <w:t xml:space="preserve"> </w:t>
      </w:r>
      <w:r w:rsidR="00A450AB" w:rsidRPr="00455191">
        <w:t xml:space="preserve">uses </w:t>
      </w:r>
      <w:r w:rsidR="00EA5105" w:rsidRPr="00455191">
        <w:t>vehicle</w:t>
      </w:r>
      <w:r w:rsidR="000B33EB" w:rsidRPr="00455191">
        <w:t xml:space="preserve"> </w:t>
      </w:r>
      <w:r w:rsidR="0004088B" w:rsidRPr="00455191">
        <w:t xml:space="preserve">characteristics, </w:t>
      </w:r>
      <w:r w:rsidR="00170722" w:rsidRPr="00455191">
        <w:t>time-series data measured during WLTP testing</w:t>
      </w:r>
      <w:r w:rsidR="000B33EB" w:rsidRPr="00455191">
        <w:t>,</w:t>
      </w:r>
      <w:r w:rsidR="00170722" w:rsidRPr="00455191">
        <w:t xml:space="preserve"> and </w:t>
      </w:r>
      <w:r w:rsidR="00A450AB" w:rsidRPr="00455191">
        <w:t xml:space="preserve">pre-calibrated </w:t>
      </w:r>
      <w:r w:rsidR="00ED4BDD" w:rsidRPr="00455191">
        <w:t xml:space="preserve">vehicle component </w:t>
      </w:r>
      <w:r w:rsidR="00A450AB" w:rsidRPr="00455191">
        <w:t>models</w:t>
      </w:r>
      <w:r w:rsidR="004E60FD" w:rsidRPr="00455191">
        <w:t xml:space="preserve"> to </w:t>
      </w:r>
      <w:r w:rsidR="00EA5105" w:rsidRPr="00455191">
        <w:t>simulate</w:t>
      </w:r>
      <w:r w:rsidR="00634D88" w:rsidRPr="00455191">
        <w:t xml:space="preserve"> the test vehicle. </w:t>
      </w:r>
      <w:r w:rsidR="0007146E" w:rsidRPr="00455191">
        <w:t xml:space="preserve">Based on the input data, </w:t>
      </w:r>
      <w:r w:rsidRPr="00455191">
        <w:t>CO</w:t>
      </w:r>
      <w:r w:rsidRPr="00455191">
        <w:rPr>
          <w:vertAlign w:val="subscript"/>
        </w:rPr>
        <w:t>2</w:t>
      </w:r>
      <w:r w:rsidR="0007146E" w:rsidRPr="00455191">
        <w:t xml:space="preserve">MPAS identifies </w:t>
      </w:r>
      <w:r w:rsidRPr="00455191">
        <w:t>CO</w:t>
      </w:r>
      <w:r w:rsidRPr="00455191">
        <w:rPr>
          <w:vertAlign w:val="subscript"/>
        </w:rPr>
        <w:t>2</w:t>
      </w:r>
      <w:r w:rsidR="00676517" w:rsidRPr="00455191">
        <w:t xml:space="preserve">-relevant </w:t>
      </w:r>
      <w:r w:rsidR="0007146E" w:rsidRPr="00455191">
        <w:t>operating strategies like gear shifting</w:t>
      </w:r>
      <w:r w:rsidR="00B9593D" w:rsidRPr="00455191">
        <w:t xml:space="preserve"> </w:t>
      </w:r>
      <w:r w:rsidR="00472DF6" w:rsidRPr="00455191">
        <w:t>and</w:t>
      </w:r>
      <w:r w:rsidR="00CB6C4D" w:rsidRPr="00455191">
        <w:t xml:space="preserve"> alternator control</w:t>
      </w:r>
      <w:r w:rsidR="005A78C4" w:rsidRPr="00455191">
        <w:t xml:space="preserve"> </w:t>
      </w:r>
      <w:r w:rsidR="003E3AC4" w:rsidRPr="00455191">
        <w:t>to</w:t>
      </w:r>
      <w:r w:rsidR="005A78C4" w:rsidRPr="00455191">
        <w:t xml:space="preserve"> </w:t>
      </w:r>
      <w:r w:rsidR="0007146E" w:rsidRPr="00455191">
        <w:t xml:space="preserve">optimize </w:t>
      </w:r>
      <w:r w:rsidR="00A15FD3" w:rsidRPr="00455191">
        <w:t xml:space="preserve">the </w:t>
      </w:r>
      <w:r w:rsidR="0007146E" w:rsidRPr="00455191">
        <w:t xml:space="preserve">model calibration </w:t>
      </w:r>
      <w:r w:rsidR="003E3AC4" w:rsidRPr="00455191">
        <w:t xml:space="preserve">and </w:t>
      </w:r>
      <w:r w:rsidR="00B82935" w:rsidRPr="00455191">
        <w:t xml:space="preserve">minimize the error between simulated and </w:t>
      </w:r>
      <w:r w:rsidR="0007146E" w:rsidRPr="00455191">
        <w:t xml:space="preserve">measured </w:t>
      </w:r>
      <w:r w:rsidR="00CF23D8" w:rsidRPr="00455191">
        <w:t xml:space="preserve">WLTP </w:t>
      </w:r>
      <w:r w:rsidR="00E85E47" w:rsidRPr="00455191">
        <w:t>phase</w:t>
      </w:r>
      <w:r w:rsidR="00C04A55" w:rsidRPr="00455191">
        <w:t xml:space="preserve"> </w:t>
      </w:r>
      <w:r w:rsidRPr="00455191">
        <w:t>CO</w:t>
      </w:r>
      <w:r w:rsidRPr="00455191">
        <w:rPr>
          <w:vertAlign w:val="subscript"/>
        </w:rPr>
        <w:t>2</w:t>
      </w:r>
      <w:r w:rsidR="0007146E" w:rsidRPr="00455191">
        <w:t xml:space="preserve"> emissions</w:t>
      </w:r>
      <w:r w:rsidR="00B82935" w:rsidRPr="00455191">
        <w:t xml:space="preserve">. </w:t>
      </w:r>
      <w:r w:rsidR="00D677A2" w:rsidRPr="00455191">
        <w:t>Once</w:t>
      </w:r>
      <w:r w:rsidR="005328C5" w:rsidRPr="00455191">
        <w:t xml:space="preserve"> </w:t>
      </w:r>
      <w:r w:rsidR="00C00F9E" w:rsidRPr="00455191">
        <w:t>optimized, the c</w:t>
      </w:r>
      <w:r w:rsidR="0007146E" w:rsidRPr="00455191">
        <w:t xml:space="preserve">alibrated model is used to simulate </w:t>
      </w:r>
      <w:r w:rsidR="00CE0AC6" w:rsidRPr="00455191">
        <w:t xml:space="preserve">the </w:t>
      </w:r>
      <w:r w:rsidRPr="00455191">
        <w:t>CO</w:t>
      </w:r>
      <w:r w:rsidRPr="00455191">
        <w:rPr>
          <w:vertAlign w:val="subscript"/>
        </w:rPr>
        <w:t>2</w:t>
      </w:r>
      <w:r w:rsidR="00FF24FC" w:rsidRPr="00455191">
        <w:t xml:space="preserve"> emissions of the </w:t>
      </w:r>
      <w:r w:rsidR="00CE0AC6" w:rsidRPr="00455191">
        <w:t xml:space="preserve">vehicle operating under </w:t>
      </w:r>
      <w:r w:rsidR="0007146E" w:rsidRPr="00455191">
        <w:t>NEDC</w:t>
      </w:r>
      <w:r w:rsidR="00CE0AC6" w:rsidRPr="00455191">
        <w:t xml:space="preserve"> type-approval conditions</w:t>
      </w:r>
      <w:r w:rsidR="00121189" w:rsidRPr="00455191">
        <w:t xml:space="preserve"> </w:t>
      </w:r>
      <w:r w:rsidR="003E5CBA" w:rsidRPr="00455191">
        <w:rPr>
          <w:noProof/>
        </w:rPr>
        <w:t>(Fontaras et al., 2018)</w:t>
      </w:r>
      <w:r w:rsidR="00121189" w:rsidRPr="00455191">
        <w:t>.</w:t>
      </w:r>
      <w:r w:rsidR="00EA593C" w:rsidRPr="00455191">
        <w:t xml:space="preserve"> </w:t>
      </w:r>
      <w:r w:rsidR="00CA5A81" w:rsidRPr="00455191">
        <w:t>T</w:t>
      </w:r>
      <w:r w:rsidR="0035253B" w:rsidRPr="00455191">
        <w:t xml:space="preserve">he model </w:t>
      </w:r>
      <w:r w:rsidR="00FE072E" w:rsidRPr="00455191">
        <w:t>simulates second-by-second CO</w:t>
      </w:r>
      <w:r w:rsidR="00FE072E" w:rsidRPr="0078315D">
        <w:rPr>
          <w:vertAlign w:val="subscript"/>
        </w:rPr>
        <w:t>2</w:t>
      </w:r>
      <w:r w:rsidR="00FE072E" w:rsidRPr="00455191">
        <w:t xml:space="preserve"> emission values, </w:t>
      </w:r>
      <w:r w:rsidR="00AE70F8" w:rsidRPr="00455191">
        <w:t>and</w:t>
      </w:r>
      <w:r w:rsidR="00024FD1" w:rsidRPr="00455191">
        <w:t>,</w:t>
      </w:r>
      <w:r w:rsidR="00AE70F8" w:rsidRPr="00455191">
        <w:t xml:space="preserve"> therefore, </w:t>
      </w:r>
      <w:r w:rsidR="00220465" w:rsidRPr="0011775C">
        <w:t xml:space="preserve">can be used </w:t>
      </w:r>
      <w:r w:rsidR="007679C8" w:rsidRPr="0011775C">
        <w:t>to calculate the</w:t>
      </w:r>
      <w:r w:rsidR="007679C8">
        <w:t xml:space="preserve"> </w:t>
      </w:r>
      <w:r w:rsidR="000D1318" w:rsidRPr="00455191">
        <w:t>average CO</w:t>
      </w:r>
      <w:r w:rsidR="000D1318" w:rsidRPr="0078315D">
        <w:rPr>
          <w:vertAlign w:val="subscript"/>
        </w:rPr>
        <w:t>2</w:t>
      </w:r>
      <w:r w:rsidR="000D1318" w:rsidRPr="00455191">
        <w:t xml:space="preserve"> emissions for both the full NEDC and </w:t>
      </w:r>
      <w:r w:rsidR="002A032E" w:rsidRPr="00455191">
        <w:t xml:space="preserve">separately for the </w:t>
      </w:r>
      <w:r w:rsidR="00F67A5A" w:rsidRPr="00455191">
        <w:t xml:space="preserve">two </w:t>
      </w:r>
      <w:r w:rsidR="00846B0F" w:rsidRPr="00455191">
        <w:t xml:space="preserve">NEDC phases </w:t>
      </w:r>
      <w:r w:rsidR="00A31868">
        <w:t>(</w:t>
      </w:r>
      <w:r w:rsidR="00846B0F" w:rsidRPr="00455191">
        <w:t>urban and extra-urban</w:t>
      </w:r>
      <w:r w:rsidR="00A31868">
        <w:t>)</w:t>
      </w:r>
      <w:r w:rsidR="00024FD1" w:rsidRPr="00455191">
        <w:t>.</w:t>
      </w:r>
      <w:r w:rsidR="00B252FD" w:rsidRPr="00455191">
        <w:t xml:space="preserve"> </w:t>
      </w:r>
      <w:r w:rsidR="00EA593C" w:rsidRPr="00455191">
        <w:t xml:space="preserve">To validate the modeled emissions, 10% of the simulated vehicles </w:t>
      </w:r>
      <w:r w:rsidR="007512F0" w:rsidRPr="00455191">
        <w:t xml:space="preserve">are </w:t>
      </w:r>
      <w:r w:rsidR="00EA593C" w:rsidRPr="00455191">
        <w:t>randomly selected and physically tested under NEDC conditions.</w:t>
      </w:r>
      <w:r w:rsidR="00ED2F72" w:rsidRPr="00455191">
        <w:t xml:space="preserve"> </w:t>
      </w:r>
      <w:r w:rsidR="005C44D4" w:rsidRPr="00455191">
        <w:t xml:space="preserve">While </w:t>
      </w:r>
      <w:r w:rsidRPr="00455191">
        <w:t>CO</w:t>
      </w:r>
      <w:r w:rsidRPr="00455191">
        <w:rPr>
          <w:vertAlign w:val="subscript"/>
        </w:rPr>
        <w:t>2</w:t>
      </w:r>
      <w:r w:rsidR="005C44D4" w:rsidRPr="00455191">
        <w:t xml:space="preserve">MPAS </w:t>
      </w:r>
      <w:r w:rsidR="00E67D83" w:rsidRPr="00455191">
        <w:t xml:space="preserve">predicts NEDC </w:t>
      </w:r>
      <w:r w:rsidRPr="00455191">
        <w:t>CO</w:t>
      </w:r>
      <w:r w:rsidRPr="00455191">
        <w:rPr>
          <w:vertAlign w:val="subscript"/>
        </w:rPr>
        <w:t>2</w:t>
      </w:r>
      <w:r w:rsidR="00E67D83" w:rsidRPr="00455191">
        <w:t xml:space="preserve"> emission</w:t>
      </w:r>
      <w:r w:rsidR="006C416B" w:rsidRPr="00455191">
        <w:t>s</w:t>
      </w:r>
      <w:r w:rsidR="00E67D83" w:rsidRPr="00455191">
        <w:t xml:space="preserve"> with a high accuracy</w:t>
      </w:r>
      <w:r w:rsidR="00856AB6" w:rsidRPr="00455191">
        <w:t>, it</w:t>
      </w:r>
      <w:r w:rsidR="00E50869" w:rsidRPr="00455191">
        <w:t xml:space="preserve"> also</w:t>
      </w:r>
      <w:r w:rsidR="00856AB6" w:rsidRPr="00455191">
        <w:t xml:space="preserve"> requires </w:t>
      </w:r>
      <w:r w:rsidR="00E160B8" w:rsidRPr="00455191">
        <w:t>extensive</w:t>
      </w:r>
      <w:r w:rsidR="00AF60D3" w:rsidRPr="00455191">
        <w:t xml:space="preserve"> vehicle information and </w:t>
      </w:r>
      <w:r w:rsidR="005D3FD8" w:rsidRPr="00455191">
        <w:t>time-series measurement</w:t>
      </w:r>
      <w:r w:rsidR="00D0520E" w:rsidRPr="00455191">
        <w:t xml:space="preserve"> </w:t>
      </w:r>
      <w:r w:rsidR="005D3FD8" w:rsidRPr="00455191">
        <w:t xml:space="preserve">data </w:t>
      </w:r>
      <w:r w:rsidR="00D0520E" w:rsidRPr="00455191">
        <w:t xml:space="preserve">from </w:t>
      </w:r>
      <w:r w:rsidR="00193EE0" w:rsidRPr="00455191">
        <w:t>the WLTP</w:t>
      </w:r>
      <w:r w:rsidR="007D7BD5" w:rsidRPr="00455191">
        <w:t>:</w:t>
      </w:r>
      <w:r w:rsidR="00F00830" w:rsidRPr="00455191">
        <w:t xml:space="preserve"> </w:t>
      </w:r>
      <w:r w:rsidR="002B5077" w:rsidRPr="00455191">
        <w:t>A</w:t>
      </w:r>
      <w:r w:rsidR="00F00830" w:rsidRPr="00455191">
        <w:t xml:space="preserve">s shown in Annex I </w:t>
      </w:r>
      <w:r w:rsidR="003B2344" w:rsidRPr="00455191">
        <w:t xml:space="preserve">of </w:t>
      </w:r>
      <w:r w:rsidR="00F00830" w:rsidRPr="00455191">
        <w:t xml:space="preserve">the </w:t>
      </w:r>
      <w:r w:rsidR="001F232D" w:rsidRPr="00455191">
        <w:t>correlation procedure</w:t>
      </w:r>
      <w:r w:rsidR="006A7BC7" w:rsidRPr="00455191">
        <w:t xml:space="preserve"> </w:t>
      </w:r>
      <w:r w:rsidR="00ED71DC" w:rsidRPr="00455191">
        <w:t>implementing</w:t>
      </w:r>
      <w:r w:rsidR="001F232D" w:rsidRPr="00455191">
        <w:t xml:space="preserve"> regulation</w:t>
      </w:r>
      <w:r w:rsidR="002B5077" w:rsidRPr="00455191">
        <w:t>, 66 parameters are required as input data for the correlation tool</w:t>
      </w:r>
      <w:r w:rsidR="009340AD" w:rsidRPr="00455191">
        <w:t xml:space="preserve"> </w:t>
      </w:r>
      <w:r w:rsidR="00023470" w:rsidRPr="00455191">
        <w:rPr>
          <w:noProof/>
        </w:rPr>
        <w:t>(Regulation (EU) 2017/1153, 2017)</w:t>
      </w:r>
      <w:r w:rsidR="00121189" w:rsidRPr="00455191">
        <w:t>.</w:t>
      </w:r>
    </w:p>
    <w:p w14:paraId="08AB5D7F" w14:textId="0C62DBA7" w:rsidR="00220AB7" w:rsidRPr="00455191" w:rsidRDefault="008D5A4B" w:rsidP="00F61408">
      <w:r w:rsidRPr="00455191">
        <w:lastRenderedPageBreak/>
        <w:t xml:space="preserve">In principle, </w:t>
      </w:r>
      <w:r w:rsidR="007C367D" w:rsidRPr="00455191">
        <w:t xml:space="preserve">the </w:t>
      </w:r>
      <w:r w:rsidR="00CF7D3D" w:rsidRPr="00455191">
        <w:t>CO</w:t>
      </w:r>
      <w:r w:rsidR="00CF7D3D" w:rsidRPr="00455191">
        <w:rPr>
          <w:vertAlign w:val="subscript"/>
        </w:rPr>
        <w:t>2</w:t>
      </w:r>
      <w:r w:rsidRPr="00455191">
        <w:t xml:space="preserve">MPAS </w:t>
      </w:r>
      <w:r w:rsidR="007C367D" w:rsidRPr="00455191">
        <w:t xml:space="preserve">methodology </w:t>
      </w:r>
      <w:r w:rsidRPr="00455191">
        <w:t xml:space="preserve">can </w:t>
      </w:r>
      <w:r w:rsidR="007C367D" w:rsidRPr="00455191">
        <w:t xml:space="preserve">also </w:t>
      </w:r>
      <w:r w:rsidRPr="00455191">
        <w:t xml:space="preserve">be </w:t>
      </w:r>
      <w:r w:rsidR="003B2344" w:rsidRPr="00455191">
        <w:t>used to convert</w:t>
      </w:r>
      <w:r w:rsidR="007C367D" w:rsidRPr="00455191">
        <w:t xml:space="preserve"> </w:t>
      </w:r>
      <w:r w:rsidR="00CF7D3D" w:rsidRPr="00455191">
        <w:t>CO</w:t>
      </w:r>
      <w:r w:rsidR="00CF7D3D" w:rsidRPr="00455191">
        <w:rPr>
          <w:vertAlign w:val="subscript"/>
        </w:rPr>
        <w:t>2</w:t>
      </w:r>
      <w:r w:rsidR="001B5FF4" w:rsidRPr="00455191">
        <w:t xml:space="preserve"> emissions between test procedures </w:t>
      </w:r>
      <w:r w:rsidR="0041579A" w:rsidRPr="00455191">
        <w:t xml:space="preserve">other </w:t>
      </w:r>
      <w:r w:rsidR="001B5FF4" w:rsidRPr="00455191">
        <w:t xml:space="preserve">than </w:t>
      </w:r>
      <w:r w:rsidR="00345732" w:rsidRPr="00455191">
        <w:t xml:space="preserve">the </w:t>
      </w:r>
      <w:r w:rsidR="001B5FF4" w:rsidRPr="00455191">
        <w:t xml:space="preserve">WLTP and NEDC. </w:t>
      </w:r>
      <w:r w:rsidR="00D964D7" w:rsidRPr="00455191">
        <w:t xml:space="preserve">This would require </w:t>
      </w:r>
      <w:r w:rsidR="007668D4" w:rsidRPr="00455191">
        <w:t xml:space="preserve">adjusting the model parameters </w:t>
      </w:r>
      <w:r w:rsidR="00946DC4" w:rsidRPr="00455191">
        <w:t xml:space="preserve">to </w:t>
      </w:r>
      <w:r w:rsidR="007668D4" w:rsidRPr="00455191">
        <w:t xml:space="preserve">reflect the </w:t>
      </w:r>
      <w:r w:rsidR="00452DAF" w:rsidRPr="00455191">
        <w:t>differences</w:t>
      </w:r>
      <w:r w:rsidR="00D964D7" w:rsidRPr="00455191">
        <w:t xml:space="preserve"> </w:t>
      </w:r>
      <w:r w:rsidR="00452DAF" w:rsidRPr="00455191">
        <w:t>in the test procedure</w:t>
      </w:r>
      <w:r w:rsidR="00C6199A" w:rsidRPr="00455191">
        <w:t xml:space="preserve"> </w:t>
      </w:r>
      <w:r w:rsidR="00345732" w:rsidRPr="00455191">
        <w:t>(</w:t>
      </w:r>
      <w:r w:rsidR="00C6199A" w:rsidRPr="00455191">
        <w:t>e.g.</w:t>
      </w:r>
      <w:r w:rsidR="00345732" w:rsidRPr="00455191">
        <w:t>,</w:t>
      </w:r>
      <w:r w:rsidR="00C6199A" w:rsidRPr="00455191">
        <w:t xml:space="preserve"> road load parameters, </w:t>
      </w:r>
      <w:r w:rsidR="00E45D17" w:rsidRPr="00455191">
        <w:t>tire pressure</w:t>
      </w:r>
      <w:r w:rsidR="00345732" w:rsidRPr="00455191">
        <w:t>,</w:t>
      </w:r>
      <w:r w:rsidR="00E45D17" w:rsidRPr="00455191">
        <w:t xml:space="preserve"> and ambient temperature</w:t>
      </w:r>
      <w:r w:rsidR="00345732" w:rsidRPr="00455191">
        <w:t>)</w:t>
      </w:r>
      <w:r w:rsidR="00E45D17" w:rsidRPr="00455191">
        <w:t xml:space="preserve">. </w:t>
      </w:r>
      <w:r w:rsidR="00B01ACA" w:rsidRPr="00455191">
        <w:t xml:space="preserve">Moreover, </w:t>
      </w:r>
      <w:r w:rsidR="00636FC2" w:rsidRPr="00455191">
        <w:t xml:space="preserve">the </w:t>
      </w:r>
      <w:r w:rsidR="00D10B4A" w:rsidRPr="00455191">
        <w:t xml:space="preserve">calibration of </w:t>
      </w:r>
      <w:r w:rsidR="004B228A" w:rsidRPr="00455191">
        <w:t>CO</w:t>
      </w:r>
      <w:r w:rsidR="004B228A" w:rsidRPr="00455191">
        <w:rPr>
          <w:vertAlign w:val="subscript"/>
        </w:rPr>
        <w:t>2</w:t>
      </w:r>
      <w:r w:rsidR="004B228A" w:rsidRPr="00455191">
        <w:t xml:space="preserve">MPAS </w:t>
      </w:r>
      <w:r w:rsidR="00636FC2" w:rsidRPr="00455191">
        <w:t>sub-mod</w:t>
      </w:r>
      <w:r w:rsidR="009B5B15" w:rsidRPr="00455191">
        <w:t>u</w:t>
      </w:r>
      <w:r w:rsidR="00636FC2" w:rsidRPr="00455191">
        <w:t>l</w:t>
      </w:r>
      <w:r w:rsidR="00D558C4" w:rsidRPr="00455191">
        <w:t>e</w:t>
      </w:r>
      <w:r w:rsidR="00636FC2" w:rsidRPr="00455191">
        <w:t>s</w:t>
      </w:r>
      <w:r w:rsidR="009B5B15" w:rsidRPr="00455191">
        <w:t xml:space="preserve"> for </w:t>
      </w:r>
      <w:r w:rsidR="00F558BF" w:rsidRPr="00455191">
        <w:t xml:space="preserve">engine and exhaust temperature prediction, </w:t>
      </w:r>
      <w:r w:rsidR="00B0512A" w:rsidRPr="00455191">
        <w:t>gear-shifting prediction</w:t>
      </w:r>
      <w:r w:rsidR="00664CAC" w:rsidRPr="00455191">
        <w:t>,</w:t>
      </w:r>
      <w:r w:rsidR="00B0512A" w:rsidRPr="00455191">
        <w:t xml:space="preserve"> </w:t>
      </w:r>
      <w:r w:rsidR="00D558C4" w:rsidRPr="00455191">
        <w:t>and power loss</w:t>
      </w:r>
      <w:r w:rsidR="00D10B4A" w:rsidRPr="00455191">
        <w:t>es</w:t>
      </w:r>
      <w:r w:rsidR="00364795" w:rsidRPr="00455191">
        <w:t xml:space="preserve"> </w:t>
      </w:r>
      <w:r w:rsidR="004B228A" w:rsidRPr="00455191">
        <w:t xml:space="preserve">calculation </w:t>
      </w:r>
      <w:r w:rsidR="00D67A49" w:rsidRPr="00455191">
        <w:t xml:space="preserve">is based on </w:t>
      </w:r>
      <w:r w:rsidR="00CF7D3D" w:rsidRPr="00455191">
        <w:t>CO</w:t>
      </w:r>
      <w:r w:rsidR="00CF7D3D" w:rsidRPr="00455191">
        <w:rPr>
          <w:vertAlign w:val="subscript"/>
        </w:rPr>
        <w:t>2</w:t>
      </w:r>
      <w:r w:rsidR="002A2318" w:rsidRPr="00455191">
        <w:t xml:space="preserve">-affecting technologies used in vehicles sold in the European Union. </w:t>
      </w:r>
      <w:r w:rsidR="004E2127" w:rsidRPr="00455191">
        <w:t xml:space="preserve">Using </w:t>
      </w:r>
      <w:r w:rsidR="00CF7D3D" w:rsidRPr="00455191">
        <w:t>CO</w:t>
      </w:r>
      <w:r w:rsidR="00CF7D3D" w:rsidRPr="00455191">
        <w:rPr>
          <w:vertAlign w:val="subscript"/>
        </w:rPr>
        <w:t>2</w:t>
      </w:r>
      <w:r w:rsidR="004E2127" w:rsidRPr="00455191">
        <w:t xml:space="preserve">MPAS for vehicles </w:t>
      </w:r>
      <w:r w:rsidR="00CD25E0" w:rsidRPr="00455191">
        <w:t xml:space="preserve">type-approved </w:t>
      </w:r>
      <w:r w:rsidR="00664CAC" w:rsidRPr="00455191">
        <w:t>elsewhere (e.g.,</w:t>
      </w:r>
      <w:r w:rsidR="00A35405" w:rsidRPr="00455191">
        <w:t xml:space="preserve"> under the U</w:t>
      </w:r>
      <w:r w:rsidR="00D126F7" w:rsidRPr="00455191">
        <w:t>.</w:t>
      </w:r>
      <w:r w:rsidR="00A35405" w:rsidRPr="00455191">
        <w:t>S</w:t>
      </w:r>
      <w:r w:rsidR="00D126F7" w:rsidRPr="00455191">
        <w:t>.</w:t>
      </w:r>
      <w:r w:rsidR="00A35405" w:rsidRPr="00455191">
        <w:t xml:space="preserve"> 2-cycle procedure</w:t>
      </w:r>
      <w:r w:rsidR="00664CAC" w:rsidRPr="00455191">
        <w:t>)</w:t>
      </w:r>
      <w:r w:rsidR="00A35405" w:rsidRPr="00455191">
        <w:t xml:space="preserve"> </w:t>
      </w:r>
      <w:r w:rsidR="002A2318" w:rsidRPr="00455191">
        <w:t xml:space="preserve">therefore </w:t>
      </w:r>
      <w:r w:rsidR="006521F0" w:rsidRPr="00455191">
        <w:t>require</w:t>
      </w:r>
      <w:r w:rsidR="007420E1" w:rsidRPr="00455191">
        <w:t>s</w:t>
      </w:r>
      <w:r w:rsidR="006521F0" w:rsidRPr="00455191">
        <w:t xml:space="preserve"> </w:t>
      </w:r>
      <w:r w:rsidR="000B259D" w:rsidRPr="00455191">
        <w:t xml:space="preserve">an extension </w:t>
      </w:r>
      <w:r w:rsidR="00170212" w:rsidRPr="00455191">
        <w:t xml:space="preserve">or recalibration of </w:t>
      </w:r>
      <w:r w:rsidR="00F1573C" w:rsidRPr="00455191">
        <w:t>some sub-mod</w:t>
      </w:r>
      <w:r w:rsidR="00D67A49" w:rsidRPr="00455191">
        <w:t>u</w:t>
      </w:r>
      <w:r w:rsidR="00F1573C" w:rsidRPr="00455191">
        <w:t>l</w:t>
      </w:r>
      <w:r w:rsidR="00D67A49" w:rsidRPr="00455191">
        <w:t>e</w:t>
      </w:r>
      <w:r w:rsidR="00F1573C" w:rsidRPr="00455191">
        <w:t>s</w:t>
      </w:r>
      <w:r w:rsidR="004B4F4E" w:rsidRPr="00455191">
        <w:t xml:space="preserve">, which in turn requires </w:t>
      </w:r>
      <w:r w:rsidR="00606F50" w:rsidRPr="00455191">
        <w:t>detailed test data</w:t>
      </w:r>
      <w:r w:rsidR="005F35E3" w:rsidRPr="00455191">
        <w:t xml:space="preserve"> </w:t>
      </w:r>
      <w:r w:rsidR="00E8777B">
        <w:t>from</w:t>
      </w:r>
      <w:r w:rsidR="00E8777B" w:rsidRPr="00455191">
        <w:t xml:space="preserve"> </w:t>
      </w:r>
      <w:proofErr w:type="gramStart"/>
      <w:r w:rsidR="003662C1" w:rsidRPr="00455191">
        <w:t>a large number of</w:t>
      </w:r>
      <w:proofErr w:type="gramEnd"/>
      <w:r w:rsidR="003662C1" w:rsidRPr="00455191">
        <w:t xml:space="preserve"> vehicles</w:t>
      </w:r>
      <w:r w:rsidR="00F1573C" w:rsidRPr="00455191">
        <w:t>.</w:t>
      </w:r>
    </w:p>
    <w:p w14:paraId="7D0E9177" w14:textId="14B46C05" w:rsidR="00385C93" w:rsidRPr="00455191" w:rsidRDefault="00302D9B" w:rsidP="00B55BEC">
      <w:pPr>
        <w:pStyle w:val="Heading4"/>
      </w:pPr>
      <w:r w:rsidRPr="00455191">
        <w:rPr>
          <w:rFonts w:eastAsia="MS PGothic"/>
        </w:rPr>
        <w:t xml:space="preserve">2.3.2 </w:t>
      </w:r>
      <w:r w:rsidR="00F71BB8" w:rsidRPr="00455191">
        <w:rPr>
          <w:rFonts w:eastAsia="MS PGothic"/>
        </w:rPr>
        <w:t xml:space="preserve">Statistical </w:t>
      </w:r>
      <w:r w:rsidR="00F71BB8" w:rsidRPr="00455191">
        <w:rPr>
          <w:rFonts w:eastAsia="Roboto"/>
        </w:rPr>
        <w:t>regression</w:t>
      </w:r>
      <w:r w:rsidR="00F71BB8" w:rsidRPr="00455191">
        <w:t xml:space="preserve"> approach</w:t>
      </w:r>
    </w:p>
    <w:p w14:paraId="6A46A0CA" w14:textId="0B4D53BF" w:rsidR="00253B7B" w:rsidRPr="00455191" w:rsidRDefault="00073255" w:rsidP="00F61408">
      <w:pPr>
        <w:keepLines/>
      </w:pPr>
      <w:r w:rsidRPr="00455191">
        <w:rPr>
          <w:rFonts w:eastAsia="MS PGothic"/>
        </w:rPr>
        <w:t xml:space="preserve">Since 2007, </w:t>
      </w:r>
      <w:r w:rsidR="00244E07" w:rsidRPr="00455191">
        <w:rPr>
          <w:rFonts w:eastAsia="MS PGothic"/>
        </w:rPr>
        <w:t xml:space="preserve">the </w:t>
      </w:r>
      <w:r w:rsidRPr="00455191">
        <w:rPr>
          <w:rFonts w:eastAsia="MS PGothic"/>
        </w:rPr>
        <w:t xml:space="preserve">ICCT has </w:t>
      </w:r>
      <w:r w:rsidR="00F97D9F" w:rsidRPr="00455191">
        <w:rPr>
          <w:rFonts w:eastAsia="MS PGothic"/>
        </w:rPr>
        <w:t>contributed</w:t>
      </w:r>
      <w:r w:rsidRPr="00455191">
        <w:rPr>
          <w:rFonts w:eastAsia="MS PGothic"/>
        </w:rPr>
        <w:t xml:space="preserve"> </w:t>
      </w:r>
      <w:r w:rsidR="00B37A82" w:rsidRPr="00455191">
        <w:rPr>
          <w:rFonts w:eastAsia="MS PGothic"/>
        </w:rPr>
        <w:t xml:space="preserve">to </w:t>
      </w:r>
      <w:r w:rsidR="008F0E01" w:rsidRPr="00455191">
        <w:rPr>
          <w:rFonts w:eastAsia="MS PGothic"/>
        </w:rPr>
        <w:t xml:space="preserve">developing </w:t>
      </w:r>
      <w:r w:rsidRPr="00455191">
        <w:rPr>
          <w:rFonts w:eastAsia="MS PGothic"/>
        </w:rPr>
        <w:t>conversion methods for CO</w:t>
      </w:r>
      <w:r w:rsidRPr="00455191">
        <w:rPr>
          <w:rFonts w:eastAsia="MS PGothic"/>
          <w:vertAlign w:val="subscript"/>
        </w:rPr>
        <w:t>2</w:t>
      </w:r>
      <w:r w:rsidRPr="00455191">
        <w:rPr>
          <w:rFonts w:eastAsia="MS PGothic"/>
        </w:rPr>
        <w:t xml:space="preserve"> emissions </w:t>
      </w:r>
      <w:r w:rsidR="000C0321" w:rsidRPr="00455191">
        <w:rPr>
          <w:rFonts w:eastAsia="MS PGothic"/>
        </w:rPr>
        <w:t xml:space="preserve">between </w:t>
      </w:r>
      <w:r w:rsidR="00E01D20" w:rsidRPr="00455191">
        <w:rPr>
          <w:rFonts w:eastAsia="MS PGothic"/>
        </w:rPr>
        <w:t xml:space="preserve">regulatory </w:t>
      </w:r>
      <w:r w:rsidR="000C0321" w:rsidRPr="00455191">
        <w:rPr>
          <w:rFonts w:eastAsia="MS PGothic"/>
        </w:rPr>
        <w:t>test cycles</w:t>
      </w:r>
      <w:r w:rsidRPr="00455191">
        <w:rPr>
          <w:rFonts w:eastAsia="MS PGothic"/>
        </w:rPr>
        <w:t xml:space="preserve"> </w:t>
      </w:r>
      <w:r w:rsidR="000B613E" w:rsidRPr="00455191">
        <w:rPr>
          <w:rFonts w:eastAsia="MS PGothic"/>
          <w:noProof/>
        </w:rPr>
        <w:t>(An et al., 2007)</w:t>
      </w:r>
      <w:r w:rsidRPr="00455191">
        <w:rPr>
          <w:rFonts w:eastAsia="MS PGothic"/>
        </w:rPr>
        <w:t xml:space="preserve">. </w:t>
      </w:r>
      <w:r w:rsidR="006B193F" w:rsidRPr="00455191">
        <w:rPr>
          <w:rFonts w:eastAsia="MS PGothic"/>
        </w:rPr>
        <w:t xml:space="preserve">The </w:t>
      </w:r>
      <w:r w:rsidR="003A4DB6" w:rsidRPr="00455191">
        <w:rPr>
          <w:rFonts w:eastAsia="MS PGothic"/>
        </w:rPr>
        <w:t>ICCT</w:t>
      </w:r>
      <w:r w:rsidR="00EC67B9" w:rsidRPr="00455191">
        <w:rPr>
          <w:rFonts w:eastAsia="MS PGothic"/>
        </w:rPr>
        <w:t>’</w:t>
      </w:r>
      <w:r w:rsidR="003A4DB6" w:rsidRPr="00455191">
        <w:rPr>
          <w:rFonts w:eastAsia="MS PGothic"/>
        </w:rPr>
        <w:t xml:space="preserve">s </w:t>
      </w:r>
      <w:r w:rsidR="006B193F" w:rsidRPr="00455191">
        <w:rPr>
          <w:rFonts w:eastAsia="MS PGothic"/>
        </w:rPr>
        <w:t>methodology</w:t>
      </w:r>
      <w:r w:rsidR="006B193F" w:rsidRPr="00455191" w:rsidDel="003A4DB6">
        <w:rPr>
          <w:rFonts w:eastAsia="MS PGothic"/>
        </w:rPr>
        <w:t xml:space="preserve"> </w:t>
      </w:r>
      <w:r w:rsidR="006B193F" w:rsidRPr="00455191">
        <w:rPr>
          <w:rFonts w:eastAsia="MS PGothic"/>
        </w:rPr>
        <w:t xml:space="preserve">is </w:t>
      </w:r>
      <w:r w:rsidR="00406A36" w:rsidRPr="00455191">
        <w:rPr>
          <w:rFonts w:eastAsia="MS PGothic"/>
        </w:rPr>
        <w:t>based on</w:t>
      </w:r>
      <w:r w:rsidR="00C60176" w:rsidRPr="00455191">
        <w:rPr>
          <w:rFonts w:eastAsia="MS PGothic"/>
        </w:rPr>
        <w:t xml:space="preserve"> </w:t>
      </w:r>
      <w:r w:rsidR="00896909" w:rsidRPr="00455191">
        <w:rPr>
          <w:rFonts w:eastAsia="MS PGothic"/>
        </w:rPr>
        <w:t xml:space="preserve">statistical </w:t>
      </w:r>
      <w:r w:rsidR="00C60176" w:rsidRPr="00455191">
        <w:rPr>
          <w:rFonts w:eastAsia="Roboto"/>
        </w:rPr>
        <w:t>regression</w:t>
      </w:r>
      <w:r w:rsidR="008539D8" w:rsidRPr="00455191">
        <w:t xml:space="preserve"> </w:t>
      </w:r>
      <w:r w:rsidR="00D172FE" w:rsidRPr="00455191">
        <w:t xml:space="preserve">using </w:t>
      </w:r>
      <w:r w:rsidR="00C60176" w:rsidRPr="00455191">
        <w:rPr>
          <w:rFonts w:eastAsia="Aptos"/>
        </w:rPr>
        <w:t>g</w:t>
      </w:r>
      <w:r w:rsidR="00A3349D" w:rsidRPr="00455191">
        <w:rPr>
          <w:rFonts w:eastAsia="Aptos"/>
        </w:rPr>
        <w:t xml:space="preserve"> </w:t>
      </w:r>
      <w:r w:rsidR="00C60176" w:rsidRPr="00455191">
        <w:rPr>
          <w:rFonts w:eastAsia="Aptos"/>
        </w:rPr>
        <w:t>CO</w:t>
      </w:r>
      <w:r w:rsidR="00C60176" w:rsidRPr="00455191">
        <w:rPr>
          <w:rFonts w:eastAsia="Aptos"/>
          <w:vertAlign w:val="subscript"/>
        </w:rPr>
        <w:t>2</w:t>
      </w:r>
      <w:r w:rsidR="00C60176" w:rsidRPr="00455191">
        <w:rPr>
          <w:rFonts w:eastAsia="Aptos"/>
        </w:rPr>
        <w:t>/km emissions</w:t>
      </w:r>
      <w:r w:rsidR="003C59EE" w:rsidRPr="00455191">
        <w:rPr>
          <w:rFonts w:eastAsia="Aptos"/>
        </w:rPr>
        <w:t xml:space="preserve"> of the same vehicles generated under different test cycles</w:t>
      </w:r>
      <w:r w:rsidR="00E216C9" w:rsidRPr="00455191">
        <w:t>.</w:t>
      </w:r>
      <w:r w:rsidR="00C60176" w:rsidRPr="00455191">
        <w:rPr>
          <w:rFonts w:eastAsia="Aptos"/>
        </w:rPr>
        <w:t xml:space="preserve"> </w:t>
      </w:r>
      <w:r w:rsidR="00907E00" w:rsidRPr="00455191">
        <w:t>A</w:t>
      </w:r>
      <w:r w:rsidR="00EA4F12" w:rsidRPr="00455191">
        <w:t>n</w:t>
      </w:r>
      <w:r w:rsidR="00907E00" w:rsidRPr="00455191">
        <w:t xml:space="preserve"> ICCT </w:t>
      </w:r>
      <w:r w:rsidR="004759F1" w:rsidRPr="00455191">
        <w:t xml:space="preserve">study </w:t>
      </w:r>
      <w:r w:rsidR="005C0924" w:rsidRPr="00455191">
        <w:t>published in 2014</w:t>
      </w:r>
      <w:r w:rsidR="00907E00" w:rsidRPr="00455191">
        <w:t xml:space="preserve"> </w:t>
      </w:r>
      <w:r w:rsidR="00C60176" w:rsidRPr="00455191">
        <w:rPr>
          <w:rFonts w:eastAsia="Aptos"/>
        </w:rPr>
        <w:t>us</w:t>
      </w:r>
      <w:r w:rsidR="00133C99" w:rsidRPr="00455191">
        <w:t>ed</w:t>
      </w:r>
      <w:r w:rsidR="00C60176" w:rsidRPr="00455191">
        <w:rPr>
          <w:rFonts w:eastAsia="Aptos"/>
        </w:rPr>
        <w:t xml:space="preserve"> a simulation model</w:t>
      </w:r>
      <w:r w:rsidR="00D72258" w:rsidRPr="00455191">
        <w:t>ing tool</w:t>
      </w:r>
      <w:r w:rsidR="004B54DC" w:rsidRPr="00455191">
        <w:t xml:space="preserve"> developed by Ricardo, Inc</w:t>
      </w:r>
      <w:r w:rsidR="00576BD5">
        <w:t xml:space="preserve"> </w:t>
      </w:r>
      <w:r w:rsidR="00576BD5" w:rsidRPr="00455191">
        <w:rPr>
          <w:rFonts w:eastAsia="SimSun"/>
          <w:szCs w:val="24"/>
        </w:rPr>
        <w:t>(</w:t>
      </w:r>
      <w:proofErr w:type="spellStart"/>
      <w:r w:rsidR="00576BD5" w:rsidRPr="00455191">
        <w:rPr>
          <w:rFonts w:eastAsia="SimSun"/>
          <w:szCs w:val="24"/>
        </w:rPr>
        <w:t>Kühlwein</w:t>
      </w:r>
      <w:proofErr w:type="spellEnd"/>
      <w:r w:rsidR="00576BD5" w:rsidRPr="00455191">
        <w:rPr>
          <w:rFonts w:eastAsia="SimSun"/>
          <w:szCs w:val="24"/>
        </w:rPr>
        <w:t xml:space="preserve"> et al., 2014;</w:t>
      </w:r>
      <w:r w:rsidR="00576BD5" w:rsidRPr="00455191">
        <w:t xml:space="preserve"> </w:t>
      </w:r>
      <w:r w:rsidR="00576BD5" w:rsidRPr="00455191">
        <w:rPr>
          <w:noProof/>
        </w:rPr>
        <w:t>Yang, 2014)</w:t>
      </w:r>
      <w:r w:rsidR="004B54DC" w:rsidRPr="00455191">
        <w:t xml:space="preserve">. </w:t>
      </w:r>
      <w:r w:rsidR="00183D67" w:rsidRPr="00455191">
        <w:t>The model</w:t>
      </w:r>
      <w:r w:rsidR="00BF63F6" w:rsidRPr="00455191">
        <w:t>,</w:t>
      </w:r>
      <w:r w:rsidR="00183D67" w:rsidRPr="00455191">
        <w:t xml:space="preserve"> </w:t>
      </w:r>
      <w:r w:rsidR="00BF63F6" w:rsidRPr="00455191">
        <w:t>referred to as</w:t>
      </w:r>
      <w:r w:rsidR="008A2C9E" w:rsidRPr="00455191">
        <w:t xml:space="preserve"> </w:t>
      </w:r>
      <w:r w:rsidR="00365FA7" w:rsidRPr="00455191">
        <w:t>the Data Visualization Tool</w:t>
      </w:r>
      <w:r w:rsidR="00BF63F6" w:rsidRPr="00455191">
        <w:t>,</w:t>
      </w:r>
      <w:r w:rsidR="00365FA7" w:rsidRPr="00455191">
        <w:t xml:space="preserve"> </w:t>
      </w:r>
      <w:r w:rsidR="0073297E" w:rsidRPr="00455191">
        <w:t>predict</w:t>
      </w:r>
      <w:r w:rsidR="00C60176" w:rsidRPr="00455191">
        <w:rPr>
          <w:rFonts w:eastAsia="Aptos"/>
        </w:rPr>
        <w:t xml:space="preserve"> </w:t>
      </w:r>
      <w:r w:rsidR="00EA148B" w:rsidRPr="00455191">
        <w:t>CO</w:t>
      </w:r>
      <w:r w:rsidR="00EA148B" w:rsidRPr="00455191">
        <w:rPr>
          <w:vertAlign w:val="subscript"/>
        </w:rPr>
        <w:t>2</w:t>
      </w:r>
      <w:r w:rsidR="00EA148B" w:rsidRPr="00455191">
        <w:t xml:space="preserve"> </w:t>
      </w:r>
      <w:r w:rsidR="003F01B3" w:rsidRPr="00455191">
        <w:t xml:space="preserve">emissions </w:t>
      </w:r>
      <w:r w:rsidR="00EA148B" w:rsidRPr="00455191">
        <w:t xml:space="preserve">and </w:t>
      </w:r>
      <w:r w:rsidR="002C0A56" w:rsidRPr="00455191">
        <w:t xml:space="preserve">fuel efficiency </w:t>
      </w:r>
      <w:r w:rsidR="003A4750" w:rsidRPr="00455191">
        <w:t xml:space="preserve">for </w:t>
      </w:r>
      <w:r w:rsidR="00C60176" w:rsidRPr="00455191">
        <w:rPr>
          <w:rFonts w:eastAsia="Aptos"/>
        </w:rPr>
        <w:t xml:space="preserve">a </w:t>
      </w:r>
      <w:r w:rsidR="00C60176" w:rsidRPr="00455191">
        <w:t>mix</w:t>
      </w:r>
      <w:r w:rsidR="00C60176" w:rsidRPr="00455191">
        <w:rPr>
          <w:rFonts w:eastAsia="Aptos"/>
        </w:rPr>
        <w:t xml:space="preserve"> of vehicle</w:t>
      </w:r>
      <w:r w:rsidR="00B31AE8" w:rsidRPr="00455191">
        <w:t xml:space="preserve"> </w:t>
      </w:r>
      <w:r w:rsidR="00B31AE8" w:rsidRPr="00455191">
        <w:rPr>
          <w:rFonts w:eastAsia="Aptos"/>
        </w:rPr>
        <w:t>powertrains</w:t>
      </w:r>
      <w:r w:rsidR="00C60176" w:rsidRPr="00455191">
        <w:rPr>
          <w:rFonts w:eastAsia="Aptos"/>
        </w:rPr>
        <w:t xml:space="preserve"> </w:t>
      </w:r>
      <w:r w:rsidR="00B31AE8" w:rsidRPr="00455191">
        <w:t>and</w:t>
      </w:r>
      <w:r w:rsidR="00C60176" w:rsidRPr="00455191">
        <w:rPr>
          <w:rFonts w:eastAsia="Aptos"/>
        </w:rPr>
        <w:t xml:space="preserve"> advanced engine technologies</w:t>
      </w:r>
      <w:r w:rsidR="00C60176" w:rsidRPr="00455191">
        <w:t xml:space="preserve"> </w:t>
      </w:r>
      <w:r w:rsidR="005C6F92" w:rsidRPr="00455191">
        <w:t xml:space="preserve">on </w:t>
      </w:r>
      <w:r w:rsidR="00325D40" w:rsidRPr="00455191">
        <w:t>a series of test cycles</w:t>
      </w:r>
      <w:r w:rsidR="00336C4C" w:rsidRPr="00455191">
        <w:t>,</w:t>
      </w:r>
      <w:r w:rsidR="005961E8" w:rsidRPr="00455191">
        <w:t xml:space="preserve"> including</w:t>
      </w:r>
      <w:r w:rsidR="00E30D5C" w:rsidRPr="00455191">
        <w:t xml:space="preserve"> the U.S. 2-cycle, </w:t>
      </w:r>
      <w:r w:rsidR="00374370" w:rsidRPr="00455191">
        <w:t xml:space="preserve">WLTP, </w:t>
      </w:r>
      <w:r w:rsidR="0094259B" w:rsidRPr="00455191">
        <w:t xml:space="preserve">NEDC, and </w:t>
      </w:r>
      <w:r w:rsidR="007F1973" w:rsidRPr="00455191">
        <w:t xml:space="preserve">Japanese </w:t>
      </w:r>
      <w:r w:rsidR="0094259B" w:rsidRPr="00455191">
        <w:t>JC08</w:t>
      </w:r>
      <w:r w:rsidR="00DC77F3" w:rsidRPr="00455191">
        <w:t xml:space="preserve">. </w:t>
      </w:r>
      <w:r w:rsidR="00436FA4" w:rsidRPr="00455191">
        <w:t>The simulat</w:t>
      </w:r>
      <w:r w:rsidR="005F36B7" w:rsidRPr="00455191">
        <w:t>ion accounted for</w:t>
      </w:r>
      <w:r w:rsidR="00436FA4" w:rsidRPr="00455191">
        <w:t xml:space="preserve"> </w:t>
      </w:r>
      <w:r w:rsidR="00BA561D" w:rsidRPr="00455191">
        <w:t xml:space="preserve">a </w:t>
      </w:r>
      <w:r w:rsidR="00596E39" w:rsidRPr="00455191">
        <w:t>range</w:t>
      </w:r>
      <w:r w:rsidR="00BA561D" w:rsidRPr="00455191">
        <w:t xml:space="preserve"> of </w:t>
      </w:r>
      <w:r w:rsidR="00F711A7" w:rsidRPr="00455191">
        <w:t xml:space="preserve">existing </w:t>
      </w:r>
      <w:r w:rsidR="0060634F" w:rsidRPr="00455191">
        <w:t>petrol, diesel, and hybrid electric vehicle</w:t>
      </w:r>
      <w:r w:rsidR="00AC2BBC" w:rsidRPr="00455191">
        <w:t xml:space="preserve"> technologies </w:t>
      </w:r>
      <w:r w:rsidR="00A42E9E" w:rsidRPr="00455191">
        <w:t>and projected</w:t>
      </w:r>
      <w:r w:rsidR="00E55628" w:rsidRPr="00455191">
        <w:t xml:space="preserve"> </w:t>
      </w:r>
      <w:r w:rsidR="00CF2E6C" w:rsidRPr="00455191">
        <w:t xml:space="preserve">technologies </w:t>
      </w:r>
      <w:r w:rsidR="003D3F20" w:rsidRPr="00455191">
        <w:t>for 2020 and later</w:t>
      </w:r>
      <w:r w:rsidR="00D8202A" w:rsidRPr="00455191">
        <w:t>.</w:t>
      </w:r>
      <w:r w:rsidR="005961E8" w:rsidRPr="00455191">
        <w:t xml:space="preserve"> </w:t>
      </w:r>
    </w:p>
    <w:p w14:paraId="19F2D1A5" w14:textId="46A58D25" w:rsidR="004C17C5" w:rsidRPr="00455191" w:rsidRDefault="001708CF" w:rsidP="00F61408">
      <w:r w:rsidRPr="00455191">
        <w:t>Using the modeled CO</w:t>
      </w:r>
      <w:r w:rsidRPr="00455191">
        <w:rPr>
          <w:vertAlign w:val="subscript"/>
        </w:rPr>
        <w:t>2</w:t>
      </w:r>
      <w:r w:rsidRPr="00455191">
        <w:t xml:space="preserve"> emissions</w:t>
      </w:r>
      <w:r w:rsidR="00F62142" w:rsidRPr="00455191">
        <w:t xml:space="preserve">, </w:t>
      </w:r>
      <w:r w:rsidR="001F4397" w:rsidRPr="00455191">
        <w:t>various</w:t>
      </w:r>
      <w:r w:rsidR="00F62142" w:rsidRPr="00455191">
        <w:t xml:space="preserve"> regression analyses </w:t>
      </w:r>
      <w:r w:rsidR="00E95E77" w:rsidRPr="00455191">
        <w:t xml:space="preserve">requiring different levels of information on installed vehicle technologies or road load characteristics </w:t>
      </w:r>
      <w:r w:rsidR="00F62142" w:rsidRPr="00455191">
        <w:t>were developed and evaluated</w:t>
      </w:r>
      <w:r w:rsidR="00F77DE8" w:rsidRPr="00455191">
        <w:t xml:space="preserve"> to describe the </w:t>
      </w:r>
      <w:r w:rsidR="006E6606" w:rsidRPr="00455191">
        <w:t>relationship</w:t>
      </w:r>
      <w:r w:rsidR="00F77DE8" w:rsidRPr="00455191">
        <w:t xml:space="preserve"> for each pair of driving cycles</w:t>
      </w:r>
      <w:r w:rsidR="00050281" w:rsidRPr="00455191">
        <w:t xml:space="preserve">. </w:t>
      </w:r>
      <w:r w:rsidR="004B5529" w:rsidRPr="00455191">
        <w:t xml:space="preserve">A “universal approach” was </w:t>
      </w:r>
      <w:r w:rsidR="00EB3900" w:rsidRPr="00455191">
        <w:t>derived</w:t>
      </w:r>
      <w:r w:rsidR="004B5529" w:rsidRPr="00455191">
        <w:t xml:space="preserve"> </w:t>
      </w:r>
      <w:r w:rsidR="00585732" w:rsidRPr="00455191">
        <w:t>for the conversion of fleet</w:t>
      </w:r>
      <w:r w:rsidR="00C54E8F" w:rsidRPr="00455191">
        <w:t>-</w:t>
      </w:r>
      <w:r w:rsidR="00585732" w:rsidRPr="00455191">
        <w:t>average CO</w:t>
      </w:r>
      <w:r w:rsidR="00585732" w:rsidRPr="00455191">
        <w:rPr>
          <w:vertAlign w:val="subscript"/>
        </w:rPr>
        <w:t>2</w:t>
      </w:r>
      <w:r w:rsidR="00585732" w:rsidRPr="00455191">
        <w:t xml:space="preserve"> emission </w:t>
      </w:r>
      <w:r w:rsidR="00CB6BB7" w:rsidRPr="00455191">
        <w:t xml:space="preserve">values between test cycles </w:t>
      </w:r>
      <w:r w:rsidR="0062158C" w:rsidRPr="00455191">
        <w:t xml:space="preserve">that </w:t>
      </w:r>
      <w:r w:rsidR="00E122A3" w:rsidRPr="00455191">
        <w:t>combines linear regressions</w:t>
      </w:r>
      <w:r w:rsidR="00384607" w:rsidRPr="00455191">
        <w:t xml:space="preserve"> </w:t>
      </w:r>
      <w:r w:rsidR="00DC4325" w:rsidRPr="00455191">
        <w:t>of petrol and diesel vehicles</w:t>
      </w:r>
      <w:r w:rsidR="003572A6" w:rsidRPr="00455191">
        <w:t xml:space="preserve"> </w:t>
      </w:r>
      <w:r w:rsidR="00DA2786" w:rsidRPr="00455191">
        <w:t xml:space="preserve">while </w:t>
      </w:r>
      <w:r w:rsidR="00086AE9" w:rsidRPr="00455191">
        <w:t xml:space="preserve">accounting for </w:t>
      </w:r>
      <w:r w:rsidR="00DA2786" w:rsidRPr="00455191">
        <w:t xml:space="preserve">the </w:t>
      </w:r>
      <w:r w:rsidR="007C039A" w:rsidRPr="00455191">
        <w:t xml:space="preserve">share of petrol and diesel vehicles </w:t>
      </w:r>
      <w:r w:rsidR="00C604C5" w:rsidRPr="00455191">
        <w:t xml:space="preserve">in </w:t>
      </w:r>
      <w:r w:rsidR="004E283A" w:rsidRPr="00455191">
        <w:t>the fleet</w:t>
      </w:r>
      <w:r w:rsidR="00DC4325" w:rsidRPr="00455191">
        <w:t xml:space="preserve"> </w:t>
      </w:r>
      <w:r w:rsidR="0062158C" w:rsidRPr="00455191">
        <w:t>for each pair of driving cycles.</w:t>
      </w:r>
      <w:r w:rsidR="00333FAF" w:rsidRPr="00455191">
        <w:t xml:space="preserve"> </w:t>
      </w:r>
    </w:p>
    <w:p w14:paraId="1A298A3E" w14:textId="0E943072" w:rsidR="009A7EB1" w:rsidRPr="00455191" w:rsidRDefault="00512D62" w:rsidP="00F61408">
      <w:r w:rsidRPr="00455191">
        <w:rPr>
          <w:rFonts w:eastAsia="MS PGothic"/>
        </w:rPr>
        <w:t>More recently</w:t>
      </w:r>
      <w:r w:rsidR="00C6781A" w:rsidRPr="00455191">
        <w:rPr>
          <w:rFonts w:eastAsia="MS PGothic"/>
        </w:rPr>
        <w:t>,</w:t>
      </w:r>
      <w:r w:rsidRPr="00455191">
        <w:rPr>
          <w:rFonts w:eastAsia="MS PGothic"/>
        </w:rPr>
        <w:t xml:space="preserve"> in 2021, </w:t>
      </w:r>
      <w:r w:rsidR="00C6781A" w:rsidRPr="00455191">
        <w:rPr>
          <w:rFonts w:eastAsia="MS PGothic"/>
        </w:rPr>
        <w:t xml:space="preserve">the </w:t>
      </w:r>
      <w:r w:rsidR="00FC2192" w:rsidRPr="00455191">
        <w:rPr>
          <w:rFonts w:eastAsia="MS PGothic"/>
        </w:rPr>
        <w:t>ICCT developed a</w:t>
      </w:r>
      <w:r w:rsidR="00E4332F" w:rsidRPr="00455191">
        <w:rPr>
          <w:rFonts w:eastAsia="MS PGothic"/>
        </w:rPr>
        <w:t xml:space="preserve"> set of </w:t>
      </w:r>
      <w:r w:rsidR="00FC2192" w:rsidRPr="00455191">
        <w:rPr>
          <w:rFonts w:eastAsia="MS PGothic"/>
        </w:rPr>
        <w:t>conversion protocol</w:t>
      </w:r>
      <w:r w:rsidR="0087120C" w:rsidRPr="00455191">
        <w:rPr>
          <w:rFonts w:eastAsia="MS PGothic"/>
        </w:rPr>
        <w:t>s</w:t>
      </w:r>
      <w:r w:rsidR="00FC2192" w:rsidRPr="00455191">
        <w:rPr>
          <w:rFonts w:eastAsia="MS PGothic"/>
        </w:rPr>
        <w:t xml:space="preserve"> for </w:t>
      </w:r>
      <w:r w:rsidR="00D56015" w:rsidRPr="00455191">
        <w:rPr>
          <w:rFonts w:eastAsia="MS PGothic"/>
        </w:rPr>
        <w:t>LDV</w:t>
      </w:r>
      <w:r w:rsidR="00FC2192" w:rsidRPr="00455191">
        <w:rPr>
          <w:rFonts w:eastAsia="MS PGothic"/>
        </w:rPr>
        <w:t xml:space="preserve"> CO</w:t>
      </w:r>
      <w:r w:rsidR="00FC2192" w:rsidRPr="00455191">
        <w:rPr>
          <w:rFonts w:eastAsia="MS PGothic"/>
          <w:vertAlign w:val="subscript"/>
        </w:rPr>
        <w:t>2</w:t>
      </w:r>
      <w:r w:rsidR="00FC2192" w:rsidRPr="00455191">
        <w:rPr>
          <w:rFonts w:eastAsia="MS PGothic"/>
        </w:rPr>
        <w:t xml:space="preserve"> emissions between test cycles for </w:t>
      </w:r>
      <w:r w:rsidR="0087120C" w:rsidRPr="00455191">
        <w:rPr>
          <w:rFonts w:eastAsia="MS PGothic"/>
        </w:rPr>
        <w:t xml:space="preserve">the </w:t>
      </w:r>
      <w:r w:rsidR="00FC2192" w:rsidRPr="00455191">
        <w:rPr>
          <w:rFonts w:eastAsia="MS PGothic"/>
        </w:rPr>
        <w:t>New Zealand</w:t>
      </w:r>
      <w:r w:rsidR="005516F2" w:rsidRPr="00455191">
        <w:rPr>
          <w:rFonts w:eastAsia="MS PGothic"/>
        </w:rPr>
        <w:t xml:space="preserve"> </w:t>
      </w:r>
      <w:r w:rsidR="009333AB" w:rsidRPr="00455191">
        <w:rPr>
          <w:rFonts w:eastAsia="MS PGothic"/>
        </w:rPr>
        <w:t xml:space="preserve">Government </w:t>
      </w:r>
      <w:r w:rsidR="00530EAC" w:rsidRPr="00455191">
        <w:rPr>
          <w:rFonts w:eastAsia="MS PGothic"/>
        </w:rPr>
        <w:t>to support</w:t>
      </w:r>
      <w:r w:rsidR="003840A9" w:rsidRPr="00455191">
        <w:rPr>
          <w:rFonts w:eastAsia="MS PGothic"/>
        </w:rPr>
        <w:t xml:space="preserve"> </w:t>
      </w:r>
      <w:r w:rsidR="00D76F8D">
        <w:rPr>
          <w:rFonts w:eastAsia="MS PGothic"/>
        </w:rPr>
        <w:t xml:space="preserve">the implementation of </w:t>
      </w:r>
      <w:r w:rsidR="003840A9" w:rsidRPr="00455191">
        <w:rPr>
          <w:rFonts w:eastAsia="MS PGothic"/>
        </w:rPr>
        <w:t>their CO</w:t>
      </w:r>
      <w:r w:rsidR="003840A9" w:rsidRPr="00455191">
        <w:rPr>
          <w:rFonts w:eastAsia="MS PGothic"/>
          <w:vertAlign w:val="subscript"/>
        </w:rPr>
        <w:t>2</w:t>
      </w:r>
      <w:r w:rsidR="003840A9" w:rsidRPr="00455191">
        <w:rPr>
          <w:rFonts w:eastAsia="MS PGothic"/>
        </w:rPr>
        <w:t xml:space="preserve"> standard</w:t>
      </w:r>
      <w:r w:rsidR="00D76F8D">
        <w:rPr>
          <w:rFonts w:eastAsia="MS PGothic"/>
        </w:rPr>
        <w:t>s</w:t>
      </w:r>
      <w:r w:rsidR="00012244" w:rsidRPr="00455191">
        <w:rPr>
          <w:rFonts w:eastAsia="MS PGothic"/>
        </w:rPr>
        <w:t xml:space="preserve"> </w:t>
      </w:r>
      <w:r w:rsidR="00DD6085" w:rsidRPr="00455191">
        <w:rPr>
          <w:rFonts w:eastAsia="MS PGothic"/>
          <w:noProof/>
        </w:rPr>
        <w:t>(Yang &amp; Bandivadekar, 2021)</w:t>
      </w:r>
      <w:r w:rsidR="00FC2192" w:rsidRPr="00455191">
        <w:rPr>
          <w:rFonts w:eastAsia="MS PGothic"/>
        </w:rPr>
        <w:t>.</w:t>
      </w:r>
      <w:r w:rsidR="00FC2192" w:rsidRPr="00455191" w:rsidDel="006F2CBC">
        <w:rPr>
          <w:rStyle w:val="FootnoteReference"/>
          <w:rFonts w:eastAsiaTheme="majorEastAsia"/>
        </w:rPr>
        <w:t xml:space="preserve"> </w:t>
      </w:r>
      <w:r w:rsidR="00FC2192" w:rsidRPr="00455191">
        <w:rPr>
          <w:rFonts w:eastAsia="MS PGothic"/>
        </w:rPr>
        <w:t xml:space="preserve">The </w:t>
      </w:r>
      <w:r w:rsidR="00AA5089" w:rsidRPr="00455191">
        <w:t xml:space="preserve">least square regression approach </w:t>
      </w:r>
      <w:r w:rsidR="009C10B6" w:rsidRPr="00455191">
        <w:t>applied for</w:t>
      </w:r>
      <w:r w:rsidR="006E16E2" w:rsidRPr="00455191">
        <w:rPr>
          <w:rFonts w:eastAsia="MS PGothic"/>
        </w:rPr>
        <w:t xml:space="preserve"> the </w:t>
      </w:r>
      <w:r w:rsidR="00FC2192" w:rsidRPr="00455191">
        <w:rPr>
          <w:rFonts w:eastAsia="MS PGothic"/>
        </w:rPr>
        <w:t xml:space="preserve">conversion </w:t>
      </w:r>
      <w:r w:rsidR="00465093" w:rsidRPr="00455191">
        <w:rPr>
          <w:rFonts w:eastAsia="MS PGothic"/>
        </w:rPr>
        <w:t xml:space="preserve">was </w:t>
      </w:r>
      <w:r w:rsidR="006E16E2" w:rsidRPr="00455191">
        <w:rPr>
          <w:rFonts w:eastAsia="MS PGothic"/>
        </w:rPr>
        <w:t xml:space="preserve">the same as </w:t>
      </w:r>
      <w:r w:rsidR="00465093" w:rsidRPr="00455191">
        <w:rPr>
          <w:rFonts w:eastAsia="MS PGothic"/>
        </w:rPr>
        <w:t xml:space="preserve">that </w:t>
      </w:r>
      <w:r w:rsidR="00404A11" w:rsidRPr="00455191">
        <w:rPr>
          <w:rFonts w:eastAsia="MS PGothic"/>
        </w:rPr>
        <w:t xml:space="preserve">used for </w:t>
      </w:r>
      <w:r w:rsidR="006E16E2" w:rsidRPr="00455191">
        <w:rPr>
          <w:rFonts w:eastAsia="MS PGothic"/>
        </w:rPr>
        <w:t>the ICCT</w:t>
      </w:r>
      <w:r w:rsidR="00504728" w:rsidRPr="00455191">
        <w:rPr>
          <w:rFonts w:eastAsia="MS PGothic"/>
        </w:rPr>
        <w:t>’s</w:t>
      </w:r>
      <w:r w:rsidR="006E16E2" w:rsidRPr="00455191">
        <w:rPr>
          <w:rFonts w:eastAsia="MS PGothic"/>
        </w:rPr>
        <w:t xml:space="preserve"> 2014 study</w:t>
      </w:r>
      <w:r w:rsidR="006C7F08" w:rsidRPr="00455191">
        <w:rPr>
          <w:rFonts w:eastAsia="MS PGothic"/>
        </w:rPr>
        <w:t xml:space="preserve"> to develop the best-fitting curve to the </w:t>
      </w:r>
      <w:r w:rsidR="008A2F4C" w:rsidRPr="00455191">
        <w:rPr>
          <w:rFonts w:eastAsia="MS PGothic"/>
        </w:rPr>
        <w:t>given database</w:t>
      </w:r>
      <w:r w:rsidR="00695214" w:rsidRPr="00455191">
        <w:rPr>
          <w:rFonts w:eastAsia="MS PGothic"/>
        </w:rPr>
        <w:t xml:space="preserve">. </w:t>
      </w:r>
      <w:r w:rsidR="0021397A" w:rsidRPr="00455191">
        <w:rPr>
          <w:rFonts w:eastAsia="MS PGothic"/>
        </w:rPr>
        <w:t>However, i</w:t>
      </w:r>
      <w:r w:rsidR="00695214" w:rsidRPr="00455191">
        <w:rPr>
          <w:rFonts w:eastAsia="MS PGothic"/>
        </w:rPr>
        <w:t xml:space="preserve">nstead of modeled </w:t>
      </w:r>
      <w:r w:rsidR="00601EE3" w:rsidRPr="00455191">
        <w:rPr>
          <w:rFonts w:eastAsia="MS PGothic"/>
        </w:rPr>
        <w:t>CO</w:t>
      </w:r>
      <w:r w:rsidR="00601EE3" w:rsidRPr="00455191">
        <w:rPr>
          <w:rFonts w:eastAsia="MS PGothic"/>
          <w:vertAlign w:val="subscript"/>
        </w:rPr>
        <w:t>2</w:t>
      </w:r>
      <w:r w:rsidR="00601EE3" w:rsidRPr="00455191">
        <w:rPr>
          <w:rFonts w:eastAsia="MS PGothic"/>
        </w:rPr>
        <w:t xml:space="preserve"> emissions, </w:t>
      </w:r>
      <w:r w:rsidR="00A055BC" w:rsidRPr="00455191">
        <w:rPr>
          <w:rFonts w:eastAsia="MS PGothic"/>
        </w:rPr>
        <w:t xml:space="preserve">the analysis was based </w:t>
      </w:r>
      <w:r w:rsidR="009A7EB1" w:rsidRPr="00455191">
        <w:rPr>
          <w:rFonts w:eastAsia="MS PGothic"/>
        </w:rPr>
        <w:t xml:space="preserve">on the </w:t>
      </w:r>
      <w:r w:rsidR="00746B50" w:rsidRPr="00455191">
        <w:t xml:space="preserve">measured </w:t>
      </w:r>
      <w:r w:rsidR="009E7E2F" w:rsidRPr="00455191">
        <w:t xml:space="preserve">or </w:t>
      </w:r>
      <w:r w:rsidR="0098465C" w:rsidRPr="00455191">
        <w:t>reported CO</w:t>
      </w:r>
      <w:r w:rsidR="0098465C" w:rsidRPr="00455191">
        <w:rPr>
          <w:vertAlign w:val="subscript"/>
        </w:rPr>
        <w:t>2</w:t>
      </w:r>
      <w:r w:rsidR="0098465C" w:rsidRPr="00455191">
        <w:t xml:space="preserve"> </w:t>
      </w:r>
      <w:r w:rsidR="00644191" w:rsidRPr="00455191">
        <w:t>data</w:t>
      </w:r>
      <w:r w:rsidR="002224A1" w:rsidRPr="00455191">
        <w:t xml:space="preserve"> </w:t>
      </w:r>
      <w:r w:rsidR="00134F0B" w:rsidRPr="00455191">
        <w:t xml:space="preserve">available </w:t>
      </w:r>
      <w:r w:rsidR="00B11952" w:rsidRPr="00455191">
        <w:t xml:space="preserve">for </w:t>
      </w:r>
      <w:r w:rsidR="00EE48AA" w:rsidRPr="00455191">
        <w:t xml:space="preserve">pairs of </w:t>
      </w:r>
      <w:r w:rsidR="000704DD" w:rsidRPr="00455191">
        <w:t>test cycles</w:t>
      </w:r>
      <w:r w:rsidR="00AC3374" w:rsidRPr="00455191">
        <w:t xml:space="preserve">. </w:t>
      </w:r>
      <w:r w:rsidR="002B4AF8" w:rsidRPr="00455191">
        <w:t>This included</w:t>
      </w:r>
      <w:r w:rsidR="00746B50" w:rsidRPr="00455191">
        <w:t xml:space="preserve"> </w:t>
      </w:r>
      <w:r w:rsidR="00730BC7" w:rsidRPr="00455191">
        <w:t xml:space="preserve">the </w:t>
      </w:r>
      <w:r w:rsidR="00924015" w:rsidRPr="00455191">
        <w:rPr>
          <w:rFonts w:eastAsia="Aptos"/>
        </w:rPr>
        <w:t>United Kingdom</w:t>
      </w:r>
      <w:r w:rsidR="00073418" w:rsidRPr="00455191">
        <w:rPr>
          <w:rFonts w:eastAsia="Aptos"/>
        </w:rPr>
        <w:t>’s</w:t>
      </w:r>
      <w:r w:rsidR="00924015" w:rsidRPr="00455191">
        <w:rPr>
          <w:rFonts w:eastAsia="Aptos"/>
        </w:rPr>
        <w:t xml:space="preserve"> </w:t>
      </w:r>
      <w:r w:rsidR="00D71E85" w:rsidRPr="00455191">
        <w:t xml:space="preserve">2019 </w:t>
      </w:r>
      <w:r w:rsidR="002A0262" w:rsidRPr="00455191">
        <w:t>certification</w:t>
      </w:r>
      <w:r w:rsidR="00917E6B" w:rsidRPr="00455191">
        <w:rPr>
          <w:rFonts w:eastAsia="Aptos"/>
        </w:rPr>
        <w:t xml:space="preserve"> </w:t>
      </w:r>
      <w:r w:rsidR="00D71E85" w:rsidRPr="00455191">
        <w:t>database</w:t>
      </w:r>
      <w:r w:rsidR="00907E5A" w:rsidRPr="00455191">
        <w:t>,</w:t>
      </w:r>
      <w:r w:rsidR="00924015" w:rsidRPr="00455191">
        <w:rPr>
          <w:rFonts w:eastAsia="Aptos"/>
        </w:rPr>
        <w:t xml:space="preserve"> </w:t>
      </w:r>
      <w:r w:rsidR="005273B4" w:rsidRPr="00455191">
        <w:t xml:space="preserve">containing </w:t>
      </w:r>
      <w:r w:rsidR="00E92E84" w:rsidRPr="00455191">
        <w:t xml:space="preserve">the WLTP </w:t>
      </w:r>
      <w:r w:rsidR="00924015" w:rsidRPr="00455191">
        <w:t xml:space="preserve">type-approval </w:t>
      </w:r>
      <w:r w:rsidR="00E72A45" w:rsidRPr="00455191">
        <w:t>CO</w:t>
      </w:r>
      <w:r w:rsidR="00E72A45" w:rsidRPr="00455191">
        <w:rPr>
          <w:vertAlign w:val="subscript"/>
        </w:rPr>
        <w:t>2</w:t>
      </w:r>
      <w:r w:rsidR="00E72A45" w:rsidRPr="00455191">
        <w:t xml:space="preserve"> emissions </w:t>
      </w:r>
      <w:r w:rsidR="005273B4" w:rsidRPr="00455191">
        <w:t xml:space="preserve">values </w:t>
      </w:r>
      <w:r w:rsidR="007C7319" w:rsidRPr="00455191">
        <w:t>of</w:t>
      </w:r>
      <w:r w:rsidR="00917E6B" w:rsidRPr="00455191">
        <w:rPr>
          <w:rFonts w:eastAsia="Aptos"/>
        </w:rPr>
        <w:t xml:space="preserve"> </w:t>
      </w:r>
      <w:r w:rsidR="004029F6" w:rsidRPr="00455191">
        <w:t>nearly 5,500</w:t>
      </w:r>
      <w:r w:rsidR="00EA2F13" w:rsidRPr="00455191">
        <w:t xml:space="preserve"> vehicles</w:t>
      </w:r>
      <w:r w:rsidR="008F170D" w:rsidRPr="00455191">
        <w:t xml:space="preserve">, </w:t>
      </w:r>
      <w:r w:rsidR="006F2E23" w:rsidRPr="00455191">
        <w:t xml:space="preserve">including </w:t>
      </w:r>
      <w:r w:rsidR="00844870" w:rsidRPr="00455191">
        <w:t xml:space="preserve">emission </w:t>
      </w:r>
      <w:r w:rsidR="006F2E23" w:rsidRPr="00455191">
        <w:t>value</w:t>
      </w:r>
      <w:r w:rsidR="00AE7B94" w:rsidRPr="00455191">
        <w:t>s</w:t>
      </w:r>
      <w:r w:rsidR="006F2E23" w:rsidRPr="00455191">
        <w:t xml:space="preserve"> for each of the </w:t>
      </w:r>
      <w:r w:rsidR="00C469F7" w:rsidRPr="00455191">
        <w:t xml:space="preserve">four </w:t>
      </w:r>
      <w:r w:rsidR="006F2E23" w:rsidRPr="00455191">
        <w:rPr>
          <w:rFonts w:eastAsia="Aptos"/>
        </w:rPr>
        <w:t>WLTP phases</w:t>
      </w:r>
      <w:r w:rsidR="00FC2192" w:rsidRPr="00455191">
        <w:t>. The</w:t>
      </w:r>
      <w:r w:rsidR="00623879" w:rsidRPr="00455191">
        <w:t xml:space="preserve"> </w:t>
      </w:r>
      <w:r w:rsidR="00FC2192" w:rsidRPr="00455191">
        <w:t xml:space="preserve">conversion </w:t>
      </w:r>
      <w:r w:rsidR="005A0145" w:rsidRPr="00455191">
        <w:t>relations</w:t>
      </w:r>
      <w:r w:rsidR="00FC2192" w:rsidRPr="00455191">
        <w:t xml:space="preserve"> were developed to generate equivalent g</w:t>
      </w:r>
      <w:r w:rsidR="00A3349D" w:rsidRPr="00455191">
        <w:t xml:space="preserve"> </w:t>
      </w:r>
      <w:r w:rsidR="00FC2192" w:rsidRPr="00455191">
        <w:t>CO</w:t>
      </w:r>
      <w:r w:rsidR="00FC2192" w:rsidRPr="00455191">
        <w:rPr>
          <w:vertAlign w:val="subscript"/>
        </w:rPr>
        <w:t>2</w:t>
      </w:r>
      <w:r w:rsidR="00FC2192" w:rsidRPr="00455191">
        <w:t xml:space="preserve">/km emissions in </w:t>
      </w:r>
      <w:r w:rsidR="00807DC7" w:rsidRPr="00455191">
        <w:t xml:space="preserve">the </w:t>
      </w:r>
      <w:r w:rsidR="00FC2192" w:rsidRPr="00455191">
        <w:t>3-phase WLTP</w:t>
      </w:r>
      <w:r w:rsidR="00D42018" w:rsidRPr="00455191">
        <w:t xml:space="preserve"> </w:t>
      </w:r>
      <w:r w:rsidR="00357AF6" w:rsidRPr="00455191">
        <w:t>(</w:t>
      </w:r>
      <w:r w:rsidR="00895DC1" w:rsidRPr="00455191">
        <w:t>the</w:t>
      </w:r>
      <w:r w:rsidR="00FC2192" w:rsidRPr="00455191">
        <w:t xml:space="preserve"> </w:t>
      </w:r>
      <w:r w:rsidR="00D42018" w:rsidRPr="00455191">
        <w:t>regulatory cycle</w:t>
      </w:r>
      <w:r w:rsidR="00895DC1" w:rsidRPr="00455191">
        <w:t xml:space="preserve"> </w:t>
      </w:r>
      <w:r w:rsidR="00357AF6" w:rsidRPr="00455191">
        <w:t xml:space="preserve">used in </w:t>
      </w:r>
      <w:r w:rsidR="00E00BF3" w:rsidRPr="00455191">
        <w:t>New Zealand</w:t>
      </w:r>
      <w:r w:rsidR="00357AF6" w:rsidRPr="00455191">
        <w:t>)</w:t>
      </w:r>
      <w:r w:rsidR="00FC2192" w:rsidRPr="00455191">
        <w:t xml:space="preserve"> from </w:t>
      </w:r>
      <w:r w:rsidR="00DF225B" w:rsidRPr="00455191">
        <w:t xml:space="preserve">various other </w:t>
      </w:r>
      <w:r w:rsidR="00627CD3" w:rsidRPr="00455191">
        <w:t xml:space="preserve">test </w:t>
      </w:r>
      <w:r w:rsidR="00DF225B" w:rsidRPr="00455191">
        <w:t>procedures</w:t>
      </w:r>
      <w:r w:rsidR="00397C4A" w:rsidRPr="00455191">
        <w:t>,</w:t>
      </w:r>
      <w:r w:rsidR="00FC2192" w:rsidRPr="00455191">
        <w:t xml:space="preserve"> </w:t>
      </w:r>
      <w:r w:rsidR="00647561" w:rsidRPr="00455191">
        <w:t xml:space="preserve">including </w:t>
      </w:r>
      <w:r w:rsidR="00397C4A" w:rsidRPr="00455191">
        <w:t>the</w:t>
      </w:r>
      <w:r w:rsidR="00647561" w:rsidRPr="00455191">
        <w:t xml:space="preserve"> </w:t>
      </w:r>
      <w:r w:rsidR="00FC2192" w:rsidRPr="00455191">
        <w:t>4</w:t>
      </w:r>
      <w:r w:rsidR="00FC16C7" w:rsidRPr="00455191">
        <w:t>p</w:t>
      </w:r>
      <w:r w:rsidR="00FC2192" w:rsidRPr="00455191">
        <w:t xml:space="preserve">-WLTP, NEDC, U.S. </w:t>
      </w:r>
      <w:r w:rsidR="00C97E60" w:rsidRPr="00455191">
        <w:t>2-cycle</w:t>
      </w:r>
      <w:r w:rsidR="00FC2192" w:rsidRPr="00455191">
        <w:t xml:space="preserve">, </w:t>
      </w:r>
      <w:r w:rsidR="007F1973" w:rsidRPr="00455191">
        <w:t xml:space="preserve">JC08, </w:t>
      </w:r>
      <w:r w:rsidR="00FC2192" w:rsidRPr="00455191">
        <w:t xml:space="preserve">and </w:t>
      </w:r>
      <w:r w:rsidR="007F1973" w:rsidRPr="00455191">
        <w:t xml:space="preserve">the </w:t>
      </w:r>
      <w:r w:rsidR="008C4911" w:rsidRPr="00455191">
        <w:t xml:space="preserve">Japanese </w:t>
      </w:r>
      <w:r w:rsidR="00FC2192" w:rsidRPr="00455191">
        <w:t>10</w:t>
      </w:r>
      <w:r w:rsidR="008C4911" w:rsidRPr="00455191">
        <w:t>–</w:t>
      </w:r>
      <w:r w:rsidR="00FC2192" w:rsidRPr="00455191">
        <w:t>15 mode cycle. For each pair of cycle</w:t>
      </w:r>
      <w:r w:rsidR="00EA4235" w:rsidRPr="00455191">
        <w:t>s</w:t>
      </w:r>
      <w:r w:rsidR="00FC2192" w:rsidRPr="00455191">
        <w:t>, a separate linear relation was developed</w:t>
      </w:r>
      <w:r w:rsidR="00E373E4" w:rsidRPr="00455191">
        <w:t>,</w:t>
      </w:r>
      <w:r w:rsidR="00FC2192" w:rsidRPr="00455191">
        <w:t xml:space="preserve"> including statistically significant slope and intercept values. The relations were developed separately for </w:t>
      </w:r>
      <w:r w:rsidR="00997120" w:rsidRPr="00455191">
        <w:t>petrol</w:t>
      </w:r>
      <w:r w:rsidR="00FC2192" w:rsidRPr="00455191">
        <w:t xml:space="preserve"> and diesel vehicles. </w:t>
      </w:r>
      <w:r w:rsidR="00645E28" w:rsidRPr="00455191">
        <w:t>T</w:t>
      </w:r>
      <w:r w:rsidR="00FC05B3" w:rsidRPr="00455191">
        <w:t xml:space="preserve">he European Commission </w:t>
      </w:r>
      <w:r w:rsidR="009942A6" w:rsidRPr="00455191">
        <w:t>Joint Research Center</w:t>
      </w:r>
      <w:r w:rsidR="00FC05B3" w:rsidRPr="00455191">
        <w:t xml:space="preserve"> </w:t>
      </w:r>
      <w:r w:rsidR="00645E28" w:rsidRPr="00455191">
        <w:t xml:space="preserve">also </w:t>
      </w:r>
      <w:r w:rsidR="00FC05B3" w:rsidRPr="00455191">
        <w:t>has conducted several studies</w:t>
      </w:r>
      <w:r w:rsidR="00F56BEF" w:rsidRPr="00455191">
        <w:t xml:space="preserve"> </w:t>
      </w:r>
      <w:r w:rsidR="00725B53" w:rsidRPr="00455191">
        <w:t xml:space="preserve">exploring the </w:t>
      </w:r>
      <w:r w:rsidR="00F56BEF" w:rsidRPr="00455191">
        <w:t>relationships between</w:t>
      </w:r>
      <w:r w:rsidR="00725B53" w:rsidRPr="00455191">
        <w:t xml:space="preserve"> reported</w:t>
      </w:r>
      <w:r w:rsidR="00F56BEF" w:rsidRPr="00455191">
        <w:t xml:space="preserve"> NEDC and</w:t>
      </w:r>
      <w:r w:rsidR="00725B53" w:rsidRPr="00455191">
        <w:t xml:space="preserve"> simulated</w:t>
      </w:r>
      <w:r w:rsidR="00F56BEF" w:rsidRPr="00455191">
        <w:t xml:space="preserve"> 4</w:t>
      </w:r>
      <w:r w:rsidR="004A1E4A" w:rsidRPr="00455191">
        <w:t>p</w:t>
      </w:r>
      <w:r w:rsidR="00F56BEF" w:rsidRPr="00455191">
        <w:t xml:space="preserve">-WLTP </w:t>
      </w:r>
      <w:r w:rsidR="00725B53" w:rsidRPr="00455191">
        <w:t xml:space="preserve">values </w:t>
      </w:r>
      <w:r w:rsidR="00D26E8F" w:rsidRPr="00455191">
        <w:t xml:space="preserve">using the same regression </w:t>
      </w:r>
      <w:r w:rsidR="005B39B7" w:rsidRPr="00455191">
        <w:t>approach</w:t>
      </w:r>
      <w:r w:rsidR="008B49CB" w:rsidRPr="00455191">
        <w:t xml:space="preserve"> </w:t>
      </w:r>
      <w:r w:rsidR="006A1A3B" w:rsidRPr="00455191">
        <w:rPr>
          <w:noProof/>
        </w:rPr>
        <w:t>(Tsiakmakis et al., 2017)</w:t>
      </w:r>
      <w:r w:rsidR="009942A6" w:rsidRPr="00455191">
        <w:t>.</w:t>
      </w:r>
      <w:r w:rsidR="00C45C06" w:rsidRPr="00455191">
        <w:t xml:space="preserve"> </w:t>
      </w:r>
      <w:r w:rsidR="009A7EB1" w:rsidRPr="00455191">
        <w:t>In general, any regression relation will have inherent uncertainty. The power required to run a test cycle</w:t>
      </w:r>
      <w:r w:rsidR="003E49E2">
        <w:t>,</w:t>
      </w:r>
      <w:r w:rsidR="009A7EB1" w:rsidRPr="00455191">
        <w:t xml:space="preserve"> and the resulting emissions</w:t>
      </w:r>
      <w:r w:rsidR="003E49E2">
        <w:t>,</w:t>
      </w:r>
      <w:r w:rsidR="009A7EB1" w:rsidRPr="00455191">
        <w:t xml:space="preserve"> are functions of not only the test procedure itself but also </w:t>
      </w:r>
      <w:r w:rsidR="00E45CA6" w:rsidRPr="00455191">
        <w:t xml:space="preserve">of </w:t>
      </w:r>
      <w:r w:rsidR="009A7EB1" w:rsidRPr="00455191">
        <w:t xml:space="preserve">the design and propulsion characteristics of the vehicle being tested. Thus, </w:t>
      </w:r>
      <w:r w:rsidR="00706801" w:rsidRPr="00455191">
        <w:t>while</w:t>
      </w:r>
      <w:r w:rsidR="009A7EB1" w:rsidRPr="00455191">
        <w:t xml:space="preserve"> it is possible to derive general relations, </w:t>
      </w:r>
      <w:r w:rsidR="007745F7" w:rsidRPr="00455191">
        <w:t xml:space="preserve">the errors </w:t>
      </w:r>
      <w:r w:rsidR="002675A8" w:rsidRPr="00455191">
        <w:t>and hence, the predictive power</w:t>
      </w:r>
      <w:r w:rsidR="00D95369">
        <w:t>,</w:t>
      </w:r>
      <w:r w:rsidR="002675A8" w:rsidRPr="00455191">
        <w:t xml:space="preserve"> can</w:t>
      </w:r>
      <w:r w:rsidR="007745F7" w:rsidRPr="00455191">
        <w:t xml:space="preserve"> vary </w:t>
      </w:r>
      <w:r w:rsidR="009B7F39" w:rsidRPr="00455191">
        <w:t>depending on the vehicle</w:t>
      </w:r>
      <w:r w:rsidR="009A7EB1" w:rsidRPr="00455191">
        <w:t xml:space="preserve">. As </w:t>
      </w:r>
      <w:r w:rsidR="00E65D31" w:rsidRPr="00455191">
        <w:t>with any</w:t>
      </w:r>
      <w:r w:rsidR="009A7EB1" w:rsidRPr="00455191">
        <w:t xml:space="preserve"> statistical regression, the general relations will be accurate on average</w:t>
      </w:r>
      <w:r w:rsidR="006971ED" w:rsidRPr="00455191">
        <w:t>,</w:t>
      </w:r>
      <w:r w:rsidR="009A7EB1" w:rsidRPr="00455191">
        <w:t xml:space="preserve"> as they reflect the average relation of the universe of possible relations, but there will always be some errors of prediction for a given vehicle.</w:t>
      </w:r>
      <w:r w:rsidR="00261D51" w:rsidRPr="00455191">
        <w:t xml:space="preserve"> </w:t>
      </w:r>
    </w:p>
    <w:p w14:paraId="65EB918E" w14:textId="000039C8" w:rsidR="00773368" w:rsidRPr="00455191" w:rsidRDefault="00773368" w:rsidP="00B55BEC">
      <w:pPr>
        <w:pStyle w:val="Heading2"/>
      </w:pPr>
      <w:r w:rsidRPr="00455191">
        <w:lastRenderedPageBreak/>
        <w:t>Australia</w:t>
      </w:r>
      <w:r w:rsidR="0016040F" w:rsidRPr="00455191">
        <w:t>n</w:t>
      </w:r>
      <w:r w:rsidRPr="00455191">
        <w:t xml:space="preserve"> market </w:t>
      </w:r>
      <w:r w:rsidR="0016040F" w:rsidRPr="00455191">
        <w:t>analysis</w:t>
      </w:r>
    </w:p>
    <w:p w14:paraId="332516B8" w14:textId="11E96EC9" w:rsidR="00914A45" w:rsidRPr="00455191" w:rsidRDefault="00A96A66" w:rsidP="00F61408">
      <w:r w:rsidRPr="00455191">
        <w:t xml:space="preserve">The purpose of </w:t>
      </w:r>
      <w:r w:rsidR="00F96C6D" w:rsidRPr="00455191">
        <w:t xml:space="preserve">this analysis </w:t>
      </w:r>
      <w:r w:rsidR="00882666" w:rsidRPr="00455191">
        <w:t>is to g</w:t>
      </w:r>
      <w:r w:rsidR="00EF73AC" w:rsidRPr="00455191">
        <w:t>enerate insight</w:t>
      </w:r>
      <w:r w:rsidR="00882666" w:rsidRPr="00455191">
        <w:t>s</w:t>
      </w:r>
      <w:r w:rsidR="00EF73AC" w:rsidRPr="00455191">
        <w:t xml:space="preserve"> into the composition of the current Australian vehicle market</w:t>
      </w:r>
      <w:r w:rsidR="00232296" w:rsidRPr="00455191">
        <w:t xml:space="preserve">, </w:t>
      </w:r>
      <w:r w:rsidR="000D36A8" w:rsidRPr="00455191">
        <w:t xml:space="preserve">top-selling </w:t>
      </w:r>
      <w:r w:rsidR="003606CA" w:rsidRPr="00455191">
        <w:t>brands</w:t>
      </w:r>
      <w:r w:rsidR="00434260" w:rsidRPr="00455191">
        <w:t>,</w:t>
      </w:r>
      <w:r w:rsidR="00EF73AC" w:rsidRPr="00455191">
        <w:t xml:space="preserve"> and respective trends </w:t>
      </w:r>
      <w:r w:rsidR="00642AE2" w:rsidRPr="00455191">
        <w:t xml:space="preserve">in </w:t>
      </w:r>
      <w:r w:rsidR="00EF73AC" w:rsidRPr="00455191">
        <w:t>CO</w:t>
      </w:r>
      <w:r w:rsidR="00EF73AC" w:rsidRPr="00455191">
        <w:rPr>
          <w:vertAlign w:val="subscript"/>
        </w:rPr>
        <w:t>2</w:t>
      </w:r>
      <w:r w:rsidR="00EF73AC" w:rsidRPr="00455191">
        <w:t xml:space="preserve"> emissions, by </w:t>
      </w:r>
      <w:r w:rsidR="00D42C27">
        <w:t xml:space="preserve">vehicle </w:t>
      </w:r>
      <w:r w:rsidR="001850E5" w:rsidRPr="00455191">
        <w:t>type</w:t>
      </w:r>
      <w:r w:rsidR="001D7BC7">
        <w:t xml:space="preserve"> and</w:t>
      </w:r>
      <w:r w:rsidR="00A53CD4" w:rsidRPr="00455191">
        <w:t xml:space="preserve"> </w:t>
      </w:r>
      <w:r w:rsidR="00FA59CA" w:rsidRPr="00455191">
        <w:t>fuel</w:t>
      </w:r>
      <w:r w:rsidR="00642AE2" w:rsidRPr="00455191">
        <w:t xml:space="preserve"> and </w:t>
      </w:r>
      <w:r w:rsidR="00FA59CA" w:rsidRPr="00455191">
        <w:t>powertrain</w:t>
      </w:r>
      <w:r w:rsidR="00AF7916" w:rsidRPr="00455191">
        <w:t>.</w:t>
      </w:r>
    </w:p>
    <w:p w14:paraId="0BDABC5F" w14:textId="4D1D1AD2" w:rsidR="00AD2655" w:rsidRPr="00455191" w:rsidRDefault="004D3C4E" w:rsidP="00B55BEC">
      <w:pPr>
        <w:pStyle w:val="Heading3"/>
      </w:pPr>
      <w:r w:rsidRPr="00455191">
        <w:t>3.1 Data source</w:t>
      </w:r>
      <w:r w:rsidR="0093758D" w:rsidRPr="00455191">
        <w:t>s</w:t>
      </w:r>
      <w:r w:rsidRPr="00455191">
        <w:t xml:space="preserve"> </w:t>
      </w:r>
      <w:r w:rsidR="003D456E" w:rsidRPr="00455191">
        <w:t xml:space="preserve">and </w:t>
      </w:r>
      <w:r w:rsidR="00807EE7" w:rsidRPr="00455191">
        <w:t>processing</w:t>
      </w:r>
    </w:p>
    <w:p w14:paraId="2FBF9AB6" w14:textId="0D8E5E19" w:rsidR="00C61E11" w:rsidRPr="00455191" w:rsidRDefault="00297675" w:rsidP="00F61408">
      <w:r w:rsidRPr="00455191">
        <w:t>T</w:t>
      </w:r>
      <w:r w:rsidR="00877686" w:rsidRPr="00455191">
        <w:t>his market analysis</w:t>
      </w:r>
      <w:r w:rsidR="00A470A6" w:rsidRPr="00455191">
        <w:t xml:space="preserve"> </w:t>
      </w:r>
      <w:r w:rsidR="00413A9E" w:rsidRPr="00455191">
        <w:t xml:space="preserve">is </w:t>
      </w:r>
      <w:r w:rsidRPr="00455191">
        <w:t xml:space="preserve">primarily based on </w:t>
      </w:r>
      <w:r w:rsidR="00413A9E" w:rsidRPr="00455191">
        <w:t>the</w:t>
      </w:r>
      <w:r w:rsidR="00A470A6" w:rsidRPr="00455191">
        <w:t xml:space="preserve"> </w:t>
      </w:r>
      <w:r w:rsidR="00152B03" w:rsidRPr="00455191">
        <w:t xml:space="preserve">database </w:t>
      </w:r>
      <w:r w:rsidRPr="00455191">
        <w:t xml:space="preserve">underpinning </w:t>
      </w:r>
      <w:r w:rsidR="00152B03" w:rsidRPr="00455191">
        <w:t xml:space="preserve">the official </w:t>
      </w:r>
      <w:r w:rsidR="00FA1ECE" w:rsidRPr="00455191">
        <w:t xml:space="preserve">Australian </w:t>
      </w:r>
      <w:r w:rsidR="00D42600" w:rsidRPr="00455191">
        <w:t>Green Vehicle Guide</w:t>
      </w:r>
      <w:r w:rsidR="00DB3ED3" w:rsidRPr="00455191">
        <w:t xml:space="preserve"> </w:t>
      </w:r>
      <w:r w:rsidR="00A76FA8" w:rsidRPr="00455191">
        <w:t>(GVG</w:t>
      </w:r>
      <w:r w:rsidR="006751CC" w:rsidRPr="00455191">
        <w:t>;</w:t>
      </w:r>
      <w:r w:rsidR="007907CD" w:rsidRPr="00455191">
        <w:t xml:space="preserve"> </w:t>
      </w:r>
      <w:r w:rsidR="00160C86" w:rsidRPr="00455191">
        <w:rPr>
          <w:noProof/>
        </w:rPr>
        <w:t>Australian Government, n.d.-a)</w:t>
      </w:r>
      <w:r w:rsidR="00B95815" w:rsidRPr="00455191">
        <w:t>.</w:t>
      </w:r>
      <w:r w:rsidR="00615139" w:rsidRPr="00455191">
        <w:t xml:space="preserve"> The GVG database include</w:t>
      </w:r>
      <w:r w:rsidR="00D56835" w:rsidRPr="00455191">
        <w:t>s</w:t>
      </w:r>
      <w:r w:rsidR="00615139" w:rsidRPr="00455191">
        <w:t xml:space="preserve"> basic information o</w:t>
      </w:r>
      <w:r w:rsidR="00E36BA3" w:rsidRPr="00455191">
        <w:t>n</w:t>
      </w:r>
      <w:r w:rsidR="00615139" w:rsidRPr="00455191">
        <w:t xml:space="preserve"> </w:t>
      </w:r>
      <w:r w:rsidR="00D56015" w:rsidRPr="00455191">
        <w:t>LDVs</w:t>
      </w:r>
      <w:r w:rsidR="00FA1ECE" w:rsidRPr="00455191">
        <w:t xml:space="preserve"> sold in Australia</w:t>
      </w:r>
      <w:r w:rsidR="00615139" w:rsidRPr="00455191">
        <w:t xml:space="preserve"> reported </w:t>
      </w:r>
      <w:r w:rsidR="00BB0872" w:rsidRPr="00455191">
        <w:t xml:space="preserve">voluntarily </w:t>
      </w:r>
      <w:r w:rsidR="00615139" w:rsidRPr="00455191">
        <w:t>by vehicle importers</w:t>
      </w:r>
      <w:r w:rsidR="003B7919" w:rsidRPr="00455191">
        <w:t xml:space="preserve">, including </w:t>
      </w:r>
      <w:r w:rsidR="00927F6B" w:rsidRPr="00455191">
        <w:t>make, model, variant</w:t>
      </w:r>
      <w:r w:rsidR="00DF1615" w:rsidRPr="00455191">
        <w:t xml:space="preserve">, </w:t>
      </w:r>
      <w:r w:rsidR="00824149" w:rsidRPr="00455191">
        <w:t>vehicle</w:t>
      </w:r>
      <w:r w:rsidR="00373950" w:rsidRPr="00455191">
        <w:t xml:space="preserve"> type, </w:t>
      </w:r>
      <w:r w:rsidR="003B7919" w:rsidRPr="00455191">
        <w:t>fuel</w:t>
      </w:r>
      <w:r w:rsidR="002F5814" w:rsidRPr="00455191">
        <w:t xml:space="preserve"> </w:t>
      </w:r>
      <w:r w:rsidR="00731737" w:rsidRPr="00455191">
        <w:t>and</w:t>
      </w:r>
      <w:r w:rsidR="002F5814" w:rsidRPr="00455191">
        <w:t xml:space="preserve"> </w:t>
      </w:r>
      <w:r w:rsidR="00373950" w:rsidRPr="00455191">
        <w:t>powertrain</w:t>
      </w:r>
      <w:r w:rsidR="003B7919" w:rsidRPr="00455191">
        <w:t xml:space="preserve"> type, </w:t>
      </w:r>
      <w:r w:rsidR="00B12499" w:rsidRPr="00455191">
        <w:t xml:space="preserve">engine </w:t>
      </w:r>
      <w:r w:rsidR="00A624D4" w:rsidRPr="00455191">
        <w:t xml:space="preserve">displacement, </w:t>
      </w:r>
      <w:r w:rsidR="00BF7153" w:rsidRPr="00455191">
        <w:t xml:space="preserve">and </w:t>
      </w:r>
      <w:r w:rsidR="00E12E6A" w:rsidRPr="00455191">
        <w:t xml:space="preserve">2024 </w:t>
      </w:r>
      <w:r w:rsidR="009D10C6" w:rsidRPr="00455191">
        <w:t>g</w:t>
      </w:r>
      <w:r w:rsidR="00A3349D" w:rsidRPr="00455191">
        <w:t xml:space="preserve"> </w:t>
      </w:r>
      <w:r w:rsidR="00B12499" w:rsidRPr="00455191">
        <w:t>CO</w:t>
      </w:r>
      <w:r w:rsidR="00B12499" w:rsidRPr="00455191">
        <w:rPr>
          <w:vertAlign w:val="subscript"/>
        </w:rPr>
        <w:t>2</w:t>
      </w:r>
      <w:r w:rsidR="009D10C6" w:rsidRPr="00455191">
        <w:t>/km</w:t>
      </w:r>
      <w:r w:rsidR="00B12499" w:rsidRPr="00455191">
        <w:t xml:space="preserve"> emissions under </w:t>
      </w:r>
      <w:r w:rsidR="008F4788" w:rsidRPr="00455191">
        <w:t xml:space="preserve">the </w:t>
      </w:r>
      <w:r w:rsidR="00B12499" w:rsidRPr="00455191">
        <w:t>NEDC</w:t>
      </w:r>
      <w:r w:rsidR="00731737" w:rsidRPr="00455191">
        <w:t xml:space="preserve"> as declared by the manufacturer</w:t>
      </w:r>
      <w:r w:rsidR="00FA1ECE" w:rsidRPr="00455191">
        <w:t>.</w:t>
      </w:r>
      <w:r w:rsidR="00615139" w:rsidRPr="00455191">
        <w:t xml:space="preserve"> </w:t>
      </w:r>
    </w:p>
    <w:p w14:paraId="024B84B8" w14:textId="434BD53C" w:rsidR="002871EF" w:rsidRPr="00455191" w:rsidRDefault="00BD5802" w:rsidP="00F61408">
      <w:r w:rsidRPr="00455191">
        <w:t>The</w:t>
      </w:r>
      <w:r w:rsidR="00615139" w:rsidRPr="00455191">
        <w:t xml:space="preserve"> </w:t>
      </w:r>
      <w:r w:rsidR="002F15C9" w:rsidRPr="00455191">
        <w:t xml:space="preserve">Federal Chamber of Automotive Industries (FCAI) </w:t>
      </w:r>
      <w:r w:rsidR="0084490C" w:rsidRPr="00455191">
        <w:t xml:space="preserve">provided </w:t>
      </w:r>
      <w:r w:rsidR="002F15C9" w:rsidRPr="00455191">
        <w:t xml:space="preserve">sales data </w:t>
      </w:r>
      <w:r w:rsidR="007B5CDD" w:rsidRPr="00455191">
        <w:t xml:space="preserve">for 2022–2024 </w:t>
      </w:r>
      <w:r w:rsidR="00034A88" w:rsidRPr="00455191">
        <w:t xml:space="preserve">that matched </w:t>
      </w:r>
      <w:r w:rsidR="00EC1C6A" w:rsidRPr="00455191">
        <w:t>the</w:t>
      </w:r>
      <w:r w:rsidR="002F15C9" w:rsidRPr="00455191">
        <w:t xml:space="preserve"> vehicle make and model</w:t>
      </w:r>
      <w:r w:rsidR="007B5CDD" w:rsidRPr="00455191">
        <w:t xml:space="preserve"> information</w:t>
      </w:r>
      <w:r w:rsidR="002F15C9" w:rsidRPr="00455191">
        <w:t xml:space="preserve"> </w:t>
      </w:r>
      <w:r w:rsidR="00EC1C6A" w:rsidRPr="00455191">
        <w:t>in</w:t>
      </w:r>
      <w:r w:rsidR="002F15C9" w:rsidRPr="00455191">
        <w:t xml:space="preserve"> the GVG database</w:t>
      </w:r>
      <w:r w:rsidR="002B15FE" w:rsidRPr="00455191">
        <w:t>.</w:t>
      </w:r>
      <w:r w:rsidR="00AB7B81" w:rsidRPr="00455191">
        <w:t xml:space="preserve"> The total sales </w:t>
      </w:r>
      <w:r w:rsidR="00E86C4A" w:rsidRPr="00455191">
        <w:t xml:space="preserve">of </w:t>
      </w:r>
      <w:r w:rsidR="00484F21" w:rsidRPr="00455191">
        <w:t xml:space="preserve">LDVs </w:t>
      </w:r>
      <w:r w:rsidR="00C261F0" w:rsidRPr="00455191">
        <w:t xml:space="preserve">in 2024 </w:t>
      </w:r>
      <w:r w:rsidR="007A627B" w:rsidRPr="00455191">
        <w:t>reported by FCAI</w:t>
      </w:r>
      <w:r w:rsidR="009E23FD" w:rsidRPr="00455191">
        <w:t xml:space="preserve"> </w:t>
      </w:r>
      <w:r w:rsidR="00E42686" w:rsidRPr="00455191">
        <w:t>covered by the</w:t>
      </w:r>
      <w:r w:rsidR="00834110" w:rsidRPr="00455191">
        <w:t xml:space="preserve"> </w:t>
      </w:r>
      <w:r w:rsidR="004D51B7" w:rsidRPr="00455191">
        <w:t xml:space="preserve">merged </w:t>
      </w:r>
      <w:r w:rsidR="00871B08" w:rsidRPr="00455191">
        <w:t xml:space="preserve">FCAI–GVG </w:t>
      </w:r>
      <w:r w:rsidR="003557E8" w:rsidRPr="00455191">
        <w:t xml:space="preserve">dataset </w:t>
      </w:r>
      <w:r w:rsidR="002C01F4" w:rsidRPr="00455191">
        <w:t xml:space="preserve">was </w:t>
      </w:r>
      <w:r w:rsidR="006B1A2C" w:rsidRPr="00455191">
        <w:t>985,</w:t>
      </w:r>
      <w:r w:rsidR="003B322A" w:rsidRPr="00455191">
        <w:t>359</w:t>
      </w:r>
      <w:r w:rsidR="00E926A2" w:rsidRPr="00455191">
        <w:t xml:space="preserve">, </w:t>
      </w:r>
      <w:r w:rsidR="006A63D2" w:rsidRPr="00455191">
        <w:t xml:space="preserve">which </w:t>
      </w:r>
      <w:r w:rsidR="0028077A" w:rsidRPr="00455191">
        <w:t>account</w:t>
      </w:r>
      <w:r w:rsidR="006A63D2" w:rsidRPr="00455191">
        <w:t>ed</w:t>
      </w:r>
      <w:r w:rsidR="0028077A" w:rsidRPr="00455191">
        <w:t xml:space="preserve"> for </w:t>
      </w:r>
      <w:r w:rsidR="005C6FE0" w:rsidRPr="00455191">
        <w:t>80</w:t>
      </w:r>
      <w:r w:rsidR="002C5A8E" w:rsidRPr="00455191">
        <w:t xml:space="preserve">% of </w:t>
      </w:r>
      <w:r w:rsidR="004731AB" w:rsidRPr="00455191">
        <w:t xml:space="preserve">the </w:t>
      </w:r>
      <w:r w:rsidR="00911A78" w:rsidRPr="00455191">
        <w:t xml:space="preserve">national </w:t>
      </w:r>
      <w:r w:rsidR="00AC643C" w:rsidRPr="00455191">
        <w:t xml:space="preserve">2024 </w:t>
      </w:r>
      <w:r w:rsidR="002B01A6" w:rsidRPr="00455191">
        <w:t>LDV</w:t>
      </w:r>
      <w:r w:rsidR="00AC643C" w:rsidRPr="00455191">
        <w:t xml:space="preserve"> sales</w:t>
      </w:r>
      <w:r w:rsidR="002D5CB7" w:rsidRPr="00455191">
        <w:t xml:space="preserve"> </w:t>
      </w:r>
      <w:r w:rsidR="009D1E4D" w:rsidRPr="00455191">
        <w:t xml:space="preserve">reported </w:t>
      </w:r>
      <w:r w:rsidR="001C5704" w:rsidRPr="00455191">
        <w:t>in the</w:t>
      </w:r>
      <w:r w:rsidR="009D1E4D" w:rsidRPr="00455191">
        <w:t xml:space="preserve"> </w:t>
      </w:r>
      <w:r w:rsidR="00CC0C7B" w:rsidRPr="00455191">
        <w:t xml:space="preserve">FCAI’s </w:t>
      </w:r>
      <w:r w:rsidR="009D1E4D" w:rsidRPr="00455191">
        <w:t xml:space="preserve">VFACTS </w:t>
      </w:r>
      <w:r w:rsidR="001C5704" w:rsidRPr="00455191">
        <w:t xml:space="preserve">database </w:t>
      </w:r>
      <w:r w:rsidR="00194356" w:rsidRPr="00455191">
        <w:rPr>
          <w:rFonts w:eastAsia="SimSun"/>
          <w:szCs w:val="24"/>
        </w:rPr>
        <w:t>(</w:t>
      </w:r>
      <w:proofErr w:type="spellStart"/>
      <w:r w:rsidR="00194356" w:rsidRPr="00455191">
        <w:rPr>
          <w:rFonts w:eastAsia="SimSun"/>
          <w:szCs w:val="24"/>
        </w:rPr>
        <w:t>CarExpert</w:t>
      </w:r>
      <w:proofErr w:type="spellEnd"/>
      <w:r w:rsidR="00194356" w:rsidRPr="00455191">
        <w:rPr>
          <w:rFonts w:eastAsia="SimSun"/>
          <w:szCs w:val="24"/>
        </w:rPr>
        <w:t>, 2025)</w:t>
      </w:r>
      <w:r w:rsidR="00E10291" w:rsidRPr="00455191">
        <w:t>.</w:t>
      </w:r>
      <w:r w:rsidR="005B1790" w:rsidRPr="00455191">
        <w:rPr>
          <w:rStyle w:val="FootnoteReference"/>
        </w:rPr>
        <w:footnoteReference w:id="8"/>
      </w:r>
      <w:r w:rsidR="00E10291" w:rsidRPr="00455191">
        <w:t xml:space="preserve"> </w:t>
      </w:r>
      <w:r w:rsidR="00707187" w:rsidRPr="00455191">
        <w:t xml:space="preserve">Similarly, </w:t>
      </w:r>
      <w:r w:rsidR="005C6B10" w:rsidRPr="00455191">
        <w:t>for 2022 and 2023</w:t>
      </w:r>
      <w:r w:rsidR="00F40E24" w:rsidRPr="00455191">
        <w:t>, the total sales</w:t>
      </w:r>
      <w:r w:rsidR="005C6B10" w:rsidRPr="00455191">
        <w:t xml:space="preserve"> </w:t>
      </w:r>
      <w:r w:rsidR="00730A23" w:rsidRPr="00455191">
        <w:t xml:space="preserve">reported in </w:t>
      </w:r>
      <w:r w:rsidR="00E2082D" w:rsidRPr="00455191">
        <w:t xml:space="preserve">the </w:t>
      </w:r>
      <w:r w:rsidR="00297B66" w:rsidRPr="00455191">
        <w:t>merged data</w:t>
      </w:r>
      <w:r w:rsidR="002F0F01" w:rsidRPr="00455191">
        <w:t>set</w:t>
      </w:r>
      <w:r w:rsidR="00297B66" w:rsidRPr="00455191">
        <w:t xml:space="preserve"> </w:t>
      </w:r>
      <w:r w:rsidR="00E611BC" w:rsidRPr="00455191">
        <w:t>represent</w:t>
      </w:r>
      <w:r w:rsidR="002872FC" w:rsidRPr="00455191">
        <w:t>ed</w:t>
      </w:r>
      <w:r w:rsidR="00E611BC" w:rsidRPr="00455191">
        <w:t xml:space="preserve"> </w:t>
      </w:r>
      <w:r w:rsidR="00D97B8B" w:rsidRPr="00455191">
        <w:t xml:space="preserve">88% and 89%, respectively, of the </w:t>
      </w:r>
      <w:r w:rsidR="00D9558F" w:rsidRPr="00455191">
        <w:t xml:space="preserve">actual sales </w:t>
      </w:r>
      <w:r w:rsidR="00005FE5" w:rsidRPr="00455191">
        <w:t>reported b</w:t>
      </w:r>
      <w:r w:rsidR="00E36043" w:rsidRPr="00455191">
        <w:t>y the National Transport Commission</w:t>
      </w:r>
      <w:r w:rsidR="00D156F2" w:rsidRPr="00455191">
        <w:t xml:space="preserve"> (NTC</w:t>
      </w:r>
      <w:r w:rsidR="004B1C76" w:rsidRPr="00455191">
        <w:t>)</w:t>
      </w:r>
      <w:r w:rsidR="00127BB3" w:rsidRPr="00455191" w:rsidDel="00C823EF">
        <w:fldChar w:fldCharType="begin"/>
      </w:r>
      <w:r w:rsidR="00127BB3" w:rsidRPr="00455191" w:rsidDel="00C823EF">
        <w:fldChar w:fldCharType="separate"/>
      </w:r>
      <w:r w:rsidR="00C823EF" w:rsidRPr="00455191">
        <w:rPr>
          <w:noProof/>
        </w:rPr>
        <w:t>NTC, 2024)</w:t>
      </w:r>
      <w:r w:rsidR="00127BB3" w:rsidRPr="00455191" w:rsidDel="00C823EF">
        <w:fldChar w:fldCharType="end"/>
      </w:r>
      <w:r w:rsidR="00D156F2" w:rsidRPr="00455191">
        <w:t xml:space="preserve">. </w:t>
      </w:r>
      <w:r w:rsidR="002B01A6" w:rsidRPr="00455191">
        <w:t>Thus</w:t>
      </w:r>
      <w:r w:rsidR="00B91517" w:rsidRPr="00455191">
        <w:t>,</w:t>
      </w:r>
      <w:r w:rsidR="00043EBA" w:rsidRPr="00455191">
        <w:t xml:space="preserve"> </w:t>
      </w:r>
      <w:r w:rsidR="00964698" w:rsidRPr="00455191">
        <w:t xml:space="preserve">the </w:t>
      </w:r>
      <w:r w:rsidR="00C34D2B" w:rsidRPr="00455191">
        <w:t xml:space="preserve">sales-weighted </w:t>
      </w:r>
      <w:r w:rsidR="00DF22A1" w:rsidRPr="00455191">
        <w:t>analys</w:t>
      </w:r>
      <w:r w:rsidR="00E92ECA" w:rsidRPr="00455191">
        <w:t>e</w:t>
      </w:r>
      <w:r w:rsidR="00DF22A1" w:rsidRPr="00455191">
        <w:t>s</w:t>
      </w:r>
      <w:r w:rsidR="00182A57" w:rsidRPr="00455191">
        <w:t xml:space="preserve"> of parameters provided in the </w:t>
      </w:r>
      <w:r w:rsidR="00871B08" w:rsidRPr="00455191">
        <w:t xml:space="preserve">merged </w:t>
      </w:r>
      <w:r w:rsidR="00182A57" w:rsidRPr="00455191">
        <w:t>data</w:t>
      </w:r>
      <w:r w:rsidR="00DF22A1" w:rsidRPr="00455191">
        <w:t xml:space="preserve"> </w:t>
      </w:r>
      <w:r w:rsidR="00A857F6" w:rsidRPr="00455191">
        <w:t xml:space="preserve">cover </w:t>
      </w:r>
      <w:r w:rsidR="00DF22A1" w:rsidRPr="00455191">
        <w:t xml:space="preserve">the </w:t>
      </w:r>
      <w:r w:rsidR="00527DA4" w:rsidRPr="00455191">
        <w:t>majority of LDVs sold to the Australia market.</w:t>
      </w:r>
      <w:r w:rsidR="00A02C40" w:rsidRPr="00455191">
        <w:t xml:space="preserve"> </w:t>
      </w:r>
    </w:p>
    <w:p w14:paraId="0A489AA1" w14:textId="6BDE0D00" w:rsidR="00801F46" w:rsidRPr="00455191" w:rsidRDefault="00DF484D" w:rsidP="00F61408">
      <w:r w:rsidRPr="00455191">
        <w:t>W</w:t>
      </w:r>
      <w:r w:rsidR="00C044D3" w:rsidRPr="00455191">
        <w:t>e combine</w:t>
      </w:r>
      <w:r w:rsidR="00B6645C" w:rsidRPr="00455191">
        <w:t>d</w:t>
      </w:r>
      <w:r w:rsidR="00C044D3" w:rsidRPr="00455191">
        <w:t xml:space="preserve"> the </w:t>
      </w:r>
      <w:r w:rsidR="004C06E9" w:rsidRPr="00455191">
        <w:t>merged FCAI-</w:t>
      </w:r>
      <w:r w:rsidR="008A026C" w:rsidRPr="00455191">
        <w:t xml:space="preserve">GVG data </w:t>
      </w:r>
      <w:r w:rsidR="00891B49" w:rsidRPr="00455191">
        <w:t xml:space="preserve">with </w:t>
      </w:r>
      <w:r w:rsidR="00FD57D0" w:rsidRPr="00455191">
        <w:t xml:space="preserve">data from Blue </w:t>
      </w:r>
      <w:r w:rsidR="0043695E" w:rsidRPr="00455191">
        <w:t>F</w:t>
      </w:r>
      <w:r w:rsidR="00FD57D0" w:rsidRPr="00455191">
        <w:t xml:space="preserve">lag, a commercial database </w:t>
      </w:r>
      <w:r w:rsidR="00D86DC3" w:rsidRPr="00455191">
        <w:t xml:space="preserve">shared </w:t>
      </w:r>
      <w:r w:rsidR="009C1C4D" w:rsidRPr="00455191">
        <w:t>by the Australian government</w:t>
      </w:r>
      <w:r w:rsidR="00FD57D0" w:rsidRPr="00455191">
        <w:t xml:space="preserve"> that</w:t>
      </w:r>
      <w:r w:rsidR="00FB6DAC" w:rsidRPr="00455191">
        <w:t xml:space="preserve"> </w:t>
      </w:r>
      <w:r w:rsidR="00FD57D0" w:rsidRPr="00455191">
        <w:t>includes such information</w:t>
      </w:r>
      <w:r w:rsidR="00A470A6" w:rsidRPr="00455191">
        <w:t xml:space="preserve"> as</w:t>
      </w:r>
      <w:r w:rsidR="003434CD" w:rsidRPr="00455191">
        <w:t xml:space="preserve"> </w:t>
      </w:r>
      <w:r w:rsidR="006418E2" w:rsidRPr="00455191">
        <w:t>vehicle</w:t>
      </w:r>
      <w:r w:rsidR="003434CD" w:rsidRPr="00455191">
        <w:t xml:space="preserve"> power</w:t>
      </w:r>
      <w:r w:rsidR="00A470A6" w:rsidRPr="00455191">
        <w:t xml:space="preserve">, </w:t>
      </w:r>
      <w:r w:rsidR="00CA173F" w:rsidRPr="00455191">
        <w:t xml:space="preserve">gross </w:t>
      </w:r>
      <w:r w:rsidR="00503BDA" w:rsidRPr="00455191">
        <w:t xml:space="preserve">vehicle </w:t>
      </w:r>
      <w:r w:rsidR="00F90237" w:rsidRPr="00455191">
        <w:t xml:space="preserve">mass, and </w:t>
      </w:r>
      <w:r w:rsidR="00612D5D" w:rsidRPr="00455191">
        <w:t>country of origin</w:t>
      </w:r>
      <w:r w:rsidR="00C77441" w:rsidRPr="00455191">
        <w:t>.</w:t>
      </w:r>
      <w:r w:rsidR="00442760" w:rsidRPr="00455191">
        <w:t xml:space="preserve"> </w:t>
      </w:r>
      <w:r w:rsidR="000D1C5D" w:rsidRPr="00455191">
        <w:t xml:space="preserve">Due to </w:t>
      </w:r>
      <w:r w:rsidR="00F02EEE" w:rsidRPr="00455191">
        <w:t xml:space="preserve">a </w:t>
      </w:r>
      <w:r w:rsidR="000D1C5D" w:rsidRPr="00455191">
        <w:t>lack of</w:t>
      </w:r>
      <w:r w:rsidR="000D1C5D" w:rsidRPr="00455191" w:rsidDel="00F46371">
        <w:t xml:space="preserve"> </w:t>
      </w:r>
      <w:r w:rsidR="00F46371" w:rsidRPr="00455191">
        <w:t xml:space="preserve">unique </w:t>
      </w:r>
      <w:r w:rsidR="000D1C5D" w:rsidRPr="00455191">
        <w:t xml:space="preserve">identifier </w:t>
      </w:r>
      <w:r w:rsidR="00F405F9" w:rsidRPr="00455191">
        <w:t>information</w:t>
      </w:r>
      <w:r w:rsidR="000D1C5D" w:rsidRPr="00455191">
        <w:t xml:space="preserve"> </w:t>
      </w:r>
      <w:r w:rsidR="00F405F9" w:rsidRPr="00455191">
        <w:t xml:space="preserve">to link </w:t>
      </w:r>
      <w:r w:rsidR="007432E2" w:rsidRPr="00455191">
        <w:t xml:space="preserve">the </w:t>
      </w:r>
      <w:r w:rsidR="000356DA" w:rsidRPr="00455191">
        <w:t>GVG and Blue Flag database</w:t>
      </w:r>
      <w:r w:rsidR="00F405F9" w:rsidRPr="00455191">
        <w:t>s</w:t>
      </w:r>
      <w:r w:rsidR="000356DA" w:rsidRPr="00455191">
        <w:t>,</w:t>
      </w:r>
      <w:r w:rsidR="007432E2" w:rsidRPr="00455191">
        <w:t xml:space="preserve"> </w:t>
      </w:r>
      <w:r w:rsidR="000356DA" w:rsidRPr="00455191">
        <w:t>w</w:t>
      </w:r>
      <w:r w:rsidR="006C61E4" w:rsidRPr="00455191">
        <w:t>e merg</w:t>
      </w:r>
      <w:r w:rsidR="00F405F9" w:rsidRPr="00455191">
        <w:t>ed</w:t>
      </w:r>
      <w:r w:rsidR="006C61E4" w:rsidRPr="00455191">
        <w:t xml:space="preserve"> </w:t>
      </w:r>
      <w:r w:rsidR="00F405F9" w:rsidRPr="00455191">
        <w:t>the data</w:t>
      </w:r>
      <w:r w:rsidR="006C61E4" w:rsidRPr="00455191">
        <w:t xml:space="preserve"> </w:t>
      </w:r>
      <w:r w:rsidR="005D7530" w:rsidRPr="00455191">
        <w:t>based on multiple composite criteria</w:t>
      </w:r>
      <w:r w:rsidR="00BB24AA" w:rsidRPr="00455191">
        <w:t xml:space="preserve">, </w:t>
      </w:r>
      <w:r w:rsidR="005D7530" w:rsidRPr="00455191">
        <w:t xml:space="preserve">including </w:t>
      </w:r>
      <w:r w:rsidR="00C13236" w:rsidRPr="00455191">
        <w:t>make</w:t>
      </w:r>
      <w:r w:rsidR="007E1074" w:rsidRPr="00455191">
        <w:t>, model</w:t>
      </w:r>
      <w:r w:rsidR="007C7D7C" w:rsidRPr="00455191">
        <w:t xml:space="preserve">, </w:t>
      </w:r>
      <w:r w:rsidR="00846DA4" w:rsidRPr="00455191">
        <w:t xml:space="preserve">and electric range for battery electric vehicles (BEVs) and </w:t>
      </w:r>
      <w:r w:rsidR="00C13236" w:rsidRPr="00455191">
        <w:t>make</w:t>
      </w:r>
      <w:r w:rsidR="007E1074" w:rsidRPr="00455191">
        <w:t>, model</w:t>
      </w:r>
      <w:r w:rsidR="007C7D7C" w:rsidRPr="00455191">
        <w:t>, engine size,</w:t>
      </w:r>
      <w:r w:rsidR="001C64A4" w:rsidRPr="00455191">
        <w:t xml:space="preserve"> fuel consumption</w:t>
      </w:r>
      <w:r w:rsidR="00703124" w:rsidRPr="00455191">
        <w:t xml:space="preserve">, </w:t>
      </w:r>
      <w:r w:rsidR="00FC5405" w:rsidRPr="00455191">
        <w:t xml:space="preserve">and </w:t>
      </w:r>
      <w:r w:rsidR="00720399" w:rsidRPr="00455191">
        <w:t>CO</w:t>
      </w:r>
      <w:r w:rsidR="00720399" w:rsidRPr="00455191">
        <w:rPr>
          <w:vertAlign w:val="subscript"/>
        </w:rPr>
        <w:t>2</w:t>
      </w:r>
      <w:r w:rsidR="00333C56" w:rsidRPr="00455191">
        <w:t xml:space="preserve"> emissions</w:t>
      </w:r>
      <w:r w:rsidR="00BB24AA" w:rsidRPr="00455191">
        <w:t xml:space="preserve"> for non-BEVs</w:t>
      </w:r>
      <w:r w:rsidR="00713132" w:rsidRPr="00455191">
        <w:t xml:space="preserve">. </w:t>
      </w:r>
      <w:r w:rsidR="00463440" w:rsidRPr="00455191">
        <w:t>T</w:t>
      </w:r>
      <w:r w:rsidR="00442760" w:rsidRPr="00455191">
        <w:t xml:space="preserve">he </w:t>
      </w:r>
      <w:r w:rsidR="008C5801" w:rsidRPr="00455191">
        <w:t xml:space="preserve">merged </w:t>
      </w:r>
      <w:r w:rsidR="005E5B43" w:rsidRPr="00455191">
        <w:t xml:space="preserve">Blue Flag </w:t>
      </w:r>
      <w:r w:rsidR="00AC4FB8" w:rsidRPr="00455191">
        <w:t xml:space="preserve">data match </w:t>
      </w:r>
      <w:r w:rsidR="000F6097" w:rsidRPr="00455191">
        <w:t xml:space="preserve">85% of </w:t>
      </w:r>
      <w:r w:rsidR="00D54C93" w:rsidRPr="00455191">
        <w:t xml:space="preserve">the 2024 </w:t>
      </w:r>
      <w:r w:rsidR="00620810" w:rsidRPr="00455191">
        <w:t xml:space="preserve">LDVs </w:t>
      </w:r>
      <w:r w:rsidR="00863B33" w:rsidRPr="00455191">
        <w:t xml:space="preserve">sales </w:t>
      </w:r>
      <w:r w:rsidR="00204DBF" w:rsidRPr="00455191">
        <w:t xml:space="preserve">reported </w:t>
      </w:r>
      <w:r w:rsidR="00863B33" w:rsidRPr="00455191">
        <w:t xml:space="preserve">in the </w:t>
      </w:r>
      <w:r w:rsidR="0084583F" w:rsidRPr="00455191">
        <w:t>FCAI-</w:t>
      </w:r>
      <w:r w:rsidR="00863B33" w:rsidRPr="00455191">
        <w:t>GVG database</w:t>
      </w:r>
      <w:r w:rsidR="00E6552F" w:rsidRPr="00455191">
        <w:t>.</w:t>
      </w:r>
      <w:r w:rsidR="00863B33" w:rsidRPr="00455191">
        <w:t xml:space="preserve"> </w:t>
      </w:r>
      <w:r w:rsidR="00C13EB7" w:rsidRPr="00455191">
        <w:t xml:space="preserve">This </w:t>
      </w:r>
      <w:r w:rsidR="00FF5167" w:rsidRPr="00455191">
        <w:t>represents</w:t>
      </w:r>
      <w:r w:rsidR="00A04269" w:rsidRPr="00455191">
        <w:t xml:space="preserve"> </w:t>
      </w:r>
      <w:r w:rsidR="009E27C7" w:rsidRPr="00455191">
        <w:t xml:space="preserve">68% of the </w:t>
      </w:r>
      <w:r w:rsidR="001637F4" w:rsidRPr="00455191">
        <w:t>2024 sales</w:t>
      </w:r>
      <w:r w:rsidR="00B523D6" w:rsidRPr="00455191">
        <w:t xml:space="preserve"> reported in the VFACTS</w:t>
      </w:r>
      <w:r w:rsidR="005E5B43" w:rsidRPr="00455191">
        <w:t xml:space="preserve"> database</w:t>
      </w:r>
      <w:r w:rsidR="00B523D6" w:rsidRPr="00455191">
        <w:t xml:space="preserve">. </w:t>
      </w:r>
      <w:r w:rsidR="00CC13AF" w:rsidRPr="00455191">
        <w:t xml:space="preserve">Given </w:t>
      </w:r>
      <w:r w:rsidR="004C3883" w:rsidRPr="00455191">
        <w:t xml:space="preserve">data </w:t>
      </w:r>
      <w:r w:rsidR="00CC13AF" w:rsidRPr="00455191">
        <w:t>limitation</w:t>
      </w:r>
      <w:r w:rsidR="004C3883" w:rsidRPr="00455191">
        <w:t>s</w:t>
      </w:r>
      <w:r w:rsidR="00863B33" w:rsidRPr="00455191">
        <w:t xml:space="preserve">, </w:t>
      </w:r>
      <w:r w:rsidR="000636AD" w:rsidRPr="00455191">
        <w:t>we</w:t>
      </w:r>
      <w:r w:rsidR="00D71BC9" w:rsidRPr="00455191">
        <w:t xml:space="preserve"> </w:t>
      </w:r>
      <w:r w:rsidR="00293A44" w:rsidRPr="00455191">
        <w:t xml:space="preserve">used this </w:t>
      </w:r>
      <w:r w:rsidR="00410364" w:rsidRPr="00455191">
        <w:t xml:space="preserve">merged </w:t>
      </w:r>
      <w:r w:rsidR="00293A44" w:rsidRPr="00455191">
        <w:t>data</w:t>
      </w:r>
      <w:r w:rsidR="00410364" w:rsidRPr="00455191">
        <w:t xml:space="preserve"> from Blue Flag </w:t>
      </w:r>
      <w:r w:rsidR="007F2CA7" w:rsidRPr="00455191">
        <w:t xml:space="preserve">only for </w:t>
      </w:r>
      <w:r w:rsidR="007C3C90" w:rsidRPr="00455191">
        <w:t>analyzing</w:t>
      </w:r>
      <w:r w:rsidR="00574168" w:rsidRPr="00455191">
        <w:t xml:space="preserve"> the country of origin</w:t>
      </w:r>
      <w:r w:rsidR="00905C31" w:rsidRPr="00455191">
        <w:t>, which we</w:t>
      </w:r>
      <w:r w:rsidR="00410364" w:rsidRPr="00455191">
        <w:t xml:space="preserve"> </w:t>
      </w:r>
      <w:r w:rsidR="00D71BC9" w:rsidRPr="00455191">
        <w:t xml:space="preserve">consider </w:t>
      </w:r>
      <w:r w:rsidR="001017F8" w:rsidRPr="00455191">
        <w:t>illustrative</w:t>
      </w:r>
      <w:r w:rsidR="009146E7">
        <w:t>,</w:t>
      </w:r>
      <w:r w:rsidR="001017F8" w:rsidRPr="00455191">
        <w:t xml:space="preserve"> rather than</w:t>
      </w:r>
      <w:r w:rsidR="006C6045" w:rsidRPr="00455191">
        <w:t xml:space="preserve"> </w:t>
      </w:r>
      <w:r w:rsidR="006445DC" w:rsidRPr="00455191">
        <w:t>representative</w:t>
      </w:r>
      <w:r w:rsidR="009146E7">
        <w:t>,</w:t>
      </w:r>
      <w:r w:rsidR="006445DC" w:rsidRPr="00455191">
        <w:t xml:space="preserve"> </w:t>
      </w:r>
      <w:r w:rsidR="001017F8" w:rsidRPr="00455191">
        <w:t xml:space="preserve">of </w:t>
      </w:r>
      <w:r w:rsidR="006445DC" w:rsidRPr="00455191">
        <w:t>the Australian market</w:t>
      </w:r>
      <w:r w:rsidR="006C6045" w:rsidRPr="00455191">
        <w:t>.</w:t>
      </w:r>
    </w:p>
    <w:p w14:paraId="7D0CE706" w14:textId="42E02124" w:rsidR="002A6A41" w:rsidRPr="00455191" w:rsidRDefault="00B74399" w:rsidP="00F61408">
      <w:r w:rsidRPr="00455191">
        <w:t xml:space="preserve">The </w:t>
      </w:r>
      <w:r w:rsidR="008D0CB9" w:rsidRPr="00455191">
        <w:t xml:space="preserve">available </w:t>
      </w:r>
      <w:r w:rsidR="00E2014E" w:rsidRPr="00455191">
        <w:t xml:space="preserve">data </w:t>
      </w:r>
      <w:r w:rsidR="00864AFC" w:rsidRPr="00455191">
        <w:t>include</w:t>
      </w:r>
      <w:r w:rsidR="00E2014E" w:rsidRPr="00455191">
        <w:t xml:space="preserve"> </w:t>
      </w:r>
      <w:r w:rsidR="00485384" w:rsidRPr="00455191">
        <w:t>most</w:t>
      </w:r>
      <w:r w:rsidR="00B354FD" w:rsidRPr="00455191">
        <w:t xml:space="preserve"> </w:t>
      </w:r>
      <w:r w:rsidR="00A43552" w:rsidRPr="00455191">
        <w:t xml:space="preserve">of the </w:t>
      </w:r>
      <w:r w:rsidR="00B354FD" w:rsidRPr="00455191">
        <w:t>vehicle classes</w:t>
      </w:r>
      <w:r w:rsidR="0034496B" w:rsidRPr="00455191">
        <w:t xml:space="preserve"> </w:t>
      </w:r>
      <w:r w:rsidR="0079797F" w:rsidRPr="00455191">
        <w:t xml:space="preserve">that fall under the scope of </w:t>
      </w:r>
      <w:r w:rsidR="00765751" w:rsidRPr="00455191">
        <w:t xml:space="preserve">the </w:t>
      </w:r>
      <w:r w:rsidR="0079797F" w:rsidRPr="00455191">
        <w:t>N</w:t>
      </w:r>
      <w:r w:rsidR="009B6518" w:rsidRPr="00455191">
        <w:t>V</w:t>
      </w:r>
      <w:r w:rsidR="0079797F" w:rsidRPr="00455191">
        <w:t>ES</w:t>
      </w:r>
      <w:r w:rsidR="00B2779B" w:rsidRPr="00455191">
        <w:t>:</w:t>
      </w:r>
      <w:r w:rsidR="00DF4BAD" w:rsidRPr="00455191">
        <w:t xml:space="preserve"> </w:t>
      </w:r>
      <w:r w:rsidR="0034496B" w:rsidRPr="00455191">
        <w:t>passenger</w:t>
      </w:r>
      <w:r w:rsidR="00DF4BAD" w:rsidRPr="00455191">
        <w:t xml:space="preserve"> </w:t>
      </w:r>
      <w:r w:rsidR="0034496B" w:rsidRPr="00455191">
        <w:t xml:space="preserve">cars </w:t>
      </w:r>
      <w:r w:rsidR="005C0603" w:rsidRPr="00455191">
        <w:t xml:space="preserve">defined as </w:t>
      </w:r>
      <w:r w:rsidR="0034496B" w:rsidRPr="00455191">
        <w:t>regulatory class</w:t>
      </w:r>
      <w:r w:rsidR="00B2779B" w:rsidRPr="00455191">
        <w:t xml:space="preserve"> </w:t>
      </w:r>
      <w:r w:rsidR="007C3855" w:rsidRPr="00455191">
        <w:t>“</w:t>
      </w:r>
      <w:r w:rsidR="00B2779B" w:rsidRPr="00455191">
        <w:t>MA</w:t>
      </w:r>
      <w:r w:rsidR="00B62012">
        <w:t>,</w:t>
      </w:r>
      <w:r w:rsidR="007C3855" w:rsidRPr="00455191">
        <w:t>”</w:t>
      </w:r>
      <w:r w:rsidR="0034496B" w:rsidRPr="00455191">
        <w:t xml:space="preserve"> off-road passenger vehicles </w:t>
      </w:r>
      <w:r w:rsidR="00482555" w:rsidRPr="00455191">
        <w:t xml:space="preserve">defined as </w:t>
      </w:r>
      <w:r w:rsidR="00940921" w:rsidRPr="00455191">
        <w:t xml:space="preserve">class </w:t>
      </w:r>
      <w:r w:rsidR="00360FC3" w:rsidRPr="00455191">
        <w:t>“</w:t>
      </w:r>
      <w:r w:rsidR="0034496B" w:rsidRPr="00455191">
        <w:t>MC</w:t>
      </w:r>
      <w:r w:rsidR="00B62012">
        <w:t>,</w:t>
      </w:r>
      <w:r w:rsidR="00360FC3" w:rsidRPr="00455191">
        <w:t>”</w:t>
      </w:r>
      <w:r w:rsidR="0068179A" w:rsidRPr="00455191">
        <w:t xml:space="preserve"> and </w:t>
      </w:r>
      <w:r w:rsidR="00156F93" w:rsidRPr="00455191">
        <w:t xml:space="preserve">light goods vehicles </w:t>
      </w:r>
      <w:r w:rsidR="00482555" w:rsidRPr="00455191">
        <w:t xml:space="preserve">defined as </w:t>
      </w:r>
      <w:r w:rsidR="00940921" w:rsidRPr="00455191">
        <w:t xml:space="preserve">class </w:t>
      </w:r>
      <w:r w:rsidR="00360FC3" w:rsidRPr="00455191">
        <w:t>“</w:t>
      </w:r>
      <w:r w:rsidR="00156F93" w:rsidRPr="00455191">
        <w:t>NA</w:t>
      </w:r>
      <w:r w:rsidR="00360FC3" w:rsidRPr="00455191">
        <w:t>”</w:t>
      </w:r>
      <w:r w:rsidR="00796A55" w:rsidRPr="00455191">
        <w:t xml:space="preserve"> </w:t>
      </w:r>
      <w:r w:rsidR="00940921" w:rsidRPr="00455191">
        <w:t>(</w:t>
      </w:r>
      <w:r w:rsidR="00E22CFD" w:rsidRPr="00455191">
        <w:rPr>
          <w:noProof/>
        </w:rPr>
        <w:t>Australian Government, 2024a</w:t>
      </w:r>
      <w:r w:rsidR="00AD6E95" w:rsidRPr="00455191">
        <w:rPr>
          <w:noProof/>
        </w:rPr>
        <w:t>,</w:t>
      </w:r>
      <w:r w:rsidR="00E22CFD" w:rsidRPr="00455191">
        <w:rPr>
          <w:noProof/>
        </w:rPr>
        <w:t xml:space="preserve"> n.d.-b)</w:t>
      </w:r>
      <w:r w:rsidR="00622260" w:rsidRPr="00455191">
        <w:t xml:space="preserve">. </w:t>
      </w:r>
      <w:r w:rsidR="00172E6E" w:rsidRPr="00455191">
        <w:t>Under the</w:t>
      </w:r>
      <w:r w:rsidR="00E202AF" w:rsidRPr="00455191">
        <w:t xml:space="preserve"> NVES</w:t>
      </w:r>
      <w:r w:rsidR="00A6523A" w:rsidRPr="00455191">
        <w:t>,</w:t>
      </w:r>
      <w:r w:rsidR="00E202AF" w:rsidRPr="00455191">
        <w:t xml:space="preserve"> </w:t>
      </w:r>
      <w:r w:rsidR="00D6345F" w:rsidRPr="00455191">
        <w:t>LDVs are categorized as either Type 1</w:t>
      </w:r>
      <w:r w:rsidR="00F46818" w:rsidRPr="00455191">
        <w:t>,</w:t>
      </w:r>
      <w:r w:rsidR="00D6345F" w:rsidRPr="00455191">
        <w:t xml:space="preserve"> </w:t>
      </w:r>
      <w:r w:rsidR="00A21518" w:rsidRPr="00455191">
        <w:t>comprising</w:t>
      </w:r>
      <w:r w:rsidR="00D6345F" w:rsidRPr="00455191">
        <w:t xml:space="preserve"> cars and light off-road passenger vehicles</w:t>
      </w:r>
      <w:r w:rsidR="0086423A" w:rsidRPr="00455191">
        <w:t>,</w:t>
      </w:r>
      <w:r w:rsidR="00D6345F" w:rsidRPr="00455191">
        <w:t xml:space="preserve"> or Type 2</w:t>
      </w:r>
      <w:r w:rsidR="00AA2EDB">
        <w:t>,</w:t>
      </w:r>
      <w:r w:rsidR="00D6345F" w:rsidRPr="00455191">
        <w:t xml:space="preserve"> </w:t>
      </w:r>
      <w:r w:rsidR="003A2648" w:rsidRPr="00455191">
        <w:t xml:space="preserve">comprising </w:t>
      </w:r>
      <w:r w:rsidR="00D6345F" w:rsidRPr="00455191">
        <w:t>heavy off-road vehicles</w:t>
      </w:r>
      <w:r w:rsidR="003A2648" w:rsidRPr="00455191">
        <w:t>,</w:t>
      </w:r>
      <w:r w:rsidR="00D6345F" w:rsidRPr="00455191">
        <w:t xml:space="preserve"> light </w:t>
      </w:r>
      <w:r w:rsidR="003A2648" w:rsidRPr="00455191">
        <w:t>goods vehicle</w:t>
      </w:r>
      <w:r w:rsidR="00F46818" w:rsidRPr="00455191">
        <w:t>s</w:t>
      </w:r>
      <w:r w:rsidR="003A2648" w:rsidRPr="00455191">
        <w:t>,</w:t>
      </w:r>
      <w:r w:rsidR="00CE59D9" w:rsidRPr="00455191">
        <w:t xml:space="preserve"> </w:t>
      </w:r>
      <w:r w:rsidR="00D6345F" w:rsidRPr="00455191">
        <w:t xml:space="preserve">and </w:t>
      </w:r>
      <w:r w:rsidR="00F46818" w:rsidRPr="00455191">
        <w:t>some</w:t>
      </w:r>
      <w:r w:rsidR="008F4975" w:rsidRPr="00455191">
        <w:t xml:space="preserve"> </w:t>
      </w:r>
      <w:r w:rsidR="00D6345F" w:rsidRPr="00455191">
        <w:t>medium goods vehicles</w:t>
      </w:r>
      <w:r w:rsidR="00D46AE8" w:rsidRPr="00455191">
        <w:t>.</w:t>
      </w:r>
      <w:r w:rsidR="00E660D7" w:rsidRPr="00455191">
        <w:t xml:space="preserve"> Type 1 </w:t>
      </w:r>
      <w:r w:rsidR="00D6345F" w:rsidRPr="00455191">
        <w:t xml:space="preserve">vehicles </w:t>
      </w:r>
      <w:r w:rsidR="00D629AF" w:rsidRPr="00455191">
        <w:t>ha</w:t>
      </w:r>
      <w:r w:rsidR="00D6345F" w:rsidRPr="00455191">
        <w:t>ve</w:t>
      </w:r>
      <w:r w:rsidR="00D629AF" w:rsidRPr="00455191">
        <w:t xml:space="preserve"> relatively more stringent </w:t>
      </w:r>
      <w:r w:rsidR="000665C3" w:rsidRPr="00455191">
        <w:t>g</w:t>
      </w:r>
      <w:r w:rsidR="00A3349D" w:rsidRPr="00455191">
        <w:t xml:space="preserve"> </w:t>
      </w:r>
      <w:r w:rsidR="000665C3" w:rsidRPr="00455191">
        <w:t>CO</w:t>
      </w:r>
      <w:r w:rsidR="000665C3" w:rsidRPr="00455191">
        <w:rPr>
          <w:vertAlign w:val="subscript"/>
        </w:rPr>
        <w:t>2</w:t>
      </w:r>
      <w:r w:rsidR="000665C3" w:rsidRPr="00455191">
        <w:t xml:space="preserve">/km </w:t>
      </w:r>
      <w:r w:rsidR="00D629AF" w:rsidRPr="00455191">
        <w:t>targets than Type 2</w:t>
      </w:r>
      <w:r w:rsidR="00931001" w:rsidRPr="00455191">
        <w:t>.</w:t>
      </w:r>
      <w:r w:rsidR="00142298" w:rsidRPr="00455191">
        <w:t xml:space="preserve"> </w:t>
      </w:r>
      <w:r w:rsidR="00354408" w:rsidRPr="00455191">
        <w:t xml:space="preserve">In </w:t>
      </w:r>
      <w:r w:rsidR="00832192" w:rsidRPr="00455191">
        <w:t>th</w:t>
      </w:r>
      <w:r w:rsidR="00354408" w:rsidRPr="00455191">
        <w:t>is</w:t>
      </w:r>
      <w:r w:rsidR="00832192" w:rsidRPr="00455191">
        <w:t xml:space="preserve"> market analysis, </w:t>
      </w:r>
      <w:r w:rsidR="00FE0AF9" w:rsidRPr="00455191">
        <w:t xml:space="preserve">we </w:t>
      </w:r>
      <w:r w:rsidR="00354408" w:rsidRPr="00455191">
        <w:t xml:space="preserve">refer to Type 1 vehicles as </w:t>
      </w:r>
      <w:r w:rsidR="000437B0" w:rsidRPr="00455191">
        <w:t>passenger cars (PC</w:t>
      </w:r>
      <w:r w:rsidR="00354408" w:rsidRPr="00455191">
        <w:t>s</w:t>
      </w:r>
      <w:r w:rsidR="000437B0" w:rsidRPr="00455191">
        <w:t>)</w:t>
      </w:r>
      <w:r w:rsidR="00696BB1" w:rsidRPr="00455191">
        <w:t xml:space="preserve"> </w:t>
      </w:r>
      <w:r w:rsidR="00992417" w:rsidRPr="00455191">
        <w:t>and</w:t>
      </w:r>
      <w:r w:rsidR="00507837" w:rsidRPr="00455191">
        <w:t xml:space="preserve"> </w:t>
      </w:r>
      <w:r w:rsidR="00354408" w:rsidRPr="00455191">
        <w:t>Type 2 vehicles as light commercial vehicles (LCVs).</w:t>
      </w:r>
      <w:r w:rsidR="00354408" w:rsidRPr="00455191">
        <w:rPr>
          <w:rStyle w:val="FootnoteReference"/>
        </w:rPr>
        <w:footnoteReference w:id="9"/>
      </w:r>
      <w:r w:rsidR="001613D8" w:rsidRPr="00455191" w:rsidDel="0089621F">
        <w:t xml:space="preserve"> </w:t>
      </w:r>
    </w:p>
    <w:p w14:paraId="5AE76B2E" w14:textId="0AE79B3D" w:rsidR="005239A2" w:rsidRPr="00455191" w:rsidRDefault="00DF7F5C" w:rsidP="00B55BEC">
      <w:pPr>
        <w:pStyle w:val="Heading3"/>
      </w:pPr>
      <w:r w:rsidRPr="00455191">
        <w:lastRenderedPageBreak/>
        <w:t xml:space="preserve">3.2 Market </w:t>
      </w:r>
      <w:r w:rsidR="00715551" w:rsidRPr="00455191">
        <w:t>composition</w:t>
      </w:r>
    </w:p>
    <w:p w14:paraId="17077292" w14:textId="5B877A2D" w:rsidR="00E239F1" w:rsidRPr="00455191" w:rsidRDefault="0064253B" w:rsidP="00F61408">
      <w:pPr>
        <w:keepLines/>
      </w:pPr>
      <w:r w:rsidRPr="00455191">
        <w:fldChar w:fldCharType="begin" w:fldLock="1"/>
      </w:r>
      <w:r w:rsidRPr="00455191">
        <w:instrText xml:space="preserve"> REF _Ref191910627 \h </w:instrText>
      </w:r>
      <w:r w:rsidR="00455191">
        <w:instrText xml:space="preserve"> \* MERGEFORMAT </w:instrText>
      </w:r>
      <w:r w:rsidRPr="00455191">
        <w:fldChar w:fldCharType="separate"/>
      </w:r>
      <w:r w:rsidR="005867AA" w:rsidRPr="00455191">
        <w:t xml:space="preserve">Figure </w:t>
      </w:r>
      <w:r w:rsidR="005867AA" w:rsidRPr="00455191">
        <w:rPr>
          <w:noProof/>
        </w:rPr>
        <w:t>4</w:t>
      </w:r>
      <w:r w:rsidRPr="00455191">
        <w:fldChar w:fldCharType="end"/>
      </w:r>
      <w:r w:rsidR="00DB6FDB" w:rsidRPr="00455191">
        <w:t xml:space="preserve"> shows that </w:t>
      </w:r>
      <w:r w:rsidR="00B313DC" w:rsidRPr="00455191">
        <w:t>PCs</w:t>
      </w:r>
      <w:r w:rsidR="00DB6FDB" w:rsidRPr="00455191">
        <w:t xml:space="preserve"> accounted for about 7</w:t>
      </w:r>
      <w:r w:rsidR="00310D72" w:rsidRPr="00455191">
        <w:t>2</w:t>
      </w:r>
      <w:r w:rsidR="00DB6FDB" w:rsidRPr="00455191">
        <w:t xml:space="preserve">% </w:t>
      </w:r>
      <w:r w:rsidR="009F2DB9" w:rsidRPr="00455191">
        <w:t xml:space="preserve">of the 2024 </w:t>
      </w:r>
      <w:r w:rsidR="00015447" w:rsidRPr="00455191">
        <w:t xml:space="preserve">LDV </w:t>
      </w:r>
      <w:r w:rsidR="00DB6FDB" w:rsidRPr="00455191">
        <w:t>market</w:t>
      </w:r>
      <w:r w:rsidR="000F76D7" w:rsidRPr="00455191">
        <w:t>.</w:t>
      </w:r>
      <w:r w:rsidR="007F72C0" w:rsidRPr="00455191">
        <w:t xml:space="preserve"> </w:t>
      </w:r>
      <w:r w:rsidR="00475E4B" w:rsidRPr="00455191">
        <w:t>While t</w:t>
      </w:r>
      <w:r w:rsidR="007F72C0" w:rsidRPr="00455191">
        <w:t xml:space="preserve">he PC market </w:t>
      </w:r>
      <w:r w:rsidR="00475E4B" w:rsidRPr="00455191">
        <w:t>is dominated by</w:t>
      </w:r>
      <w:r w:rsidR="006040E7" w:rsidRPr="00455191">
        <w:t xml:space="preserve"> </w:t>
      </w:r>
      <w:r w:rsidR="008434A0" w:rsidRPr="00455191">
        <w:t>petrol</w:t>
      </w:r>
      <w:r w:rsidR="00475E4B" w:rsidRPr="00455191">
        <w:t xml:space="preserve"> </w:t>
      </w:r>
      <w:r w:rsidR="006B0D53" w:rsidRPr="00455191">
        <w:t>powertrains</w:t>
      </w:r>
      <w:r w:rsidR="00475E4B" w:rsidRPr="00455191">
        <w:t>,</w:t>
      </w:r>
      <w:r w:rsidR="007410BC" w:rsidRPr="00455191">
        <w:t xml:space="preserve"> </w:t>
      </w:r>
      <w:r w:rsidR="00475E4B" w:rsidRPr="00455191">
        <w:t>t</w:t>
      </w:r>
      <w:r w:rsidR="007410BC" w:rsidRPr="00455191">
        <w:t>he L</w:t>
      </w:r>
      <w:r w:rsidR="002D6897" w:rsidRPr="00455191">
        <w:t>C</w:t>
      </w:r>
      <w:r w:rsidR="007410BC" w:rsidRPr="00455191">
        <w:t xml:space="preserve">V </w:t>
      </w:r>
      <w:r w:rsidR="004C76B6" w:rsidRPr="00455191">
        <w:t>market</w:t>
      </w:r>
      <w:r w:rsidR="00A53293" w:rsidRPr="00455191">
        <w:t xml:space="preserve"> </w:t>
      </w:r>
      <w:r w:rsidR="007410BC" w:rsidRPr="00455191">
        <w:t>is</w:t>
      </w:r>
      <w:r w:rsidR="00A53293" w:rsidRPr="00455191">
        <w:t xml:space="preserve"> </w:t>
      </w:r>
      <w:r w:rsidR="004C76B6" w:rsidRPr="00455191">
        <w:t>dominated</w:t>
      </w:r>
      <w:r w:rsidR="00063C65" w:rsidRPr="00455191">
        <w:t xml:space="preserve"> </w:t>
      </w:r>
      <w:r w:rsidR="005F3E54" w:rsidRPr="00455191">
        <w:t>by</w:t>
      </w:r>
      <w:r w:rsidR="00063C65" w:rsidRPr="00455191">
        <w:t xml:space="preserve"> diesel </w:t>
      </w:r>
      <w:r w:rsidR="003D2595" w:rsidRPr="00455191">
        <w:t>vehicles</w:t>
      </w:r>
      <w:r w:rsidR="00EC53CF" w:rsidRPr="00455191">
        <w:t xml:space="preserve">, </w:t>
      </w:r>
      <w:r w:rsidR="00002461" w:rsidRPr="00455191">
        <w:t xml:space="preserve">which </w:t>
      </w:r>
      <w:r w:rsidR="00EC53CF" w:rsidRPr="00455191">
        <w:t>account</w:t>
      </w:r>
      <w:r w:rsidR="00002461" w:rsidRPr="00455191">
        <w:t>ed</w:t>
      </w:r>
      <w:r w:rsidR="00EC53CF" w:rsidRPr="00455191">
        <w:t xml:space="preserve"> for</w:t>
      </w:r>
      <w:r w:rsidR="00102DA2" w:rsidRPr="00455191">
        <w:t xml:space="preserve"> about </w:t>
      </w:r>
      <w:r w:rsidR="00056EFC" w:rsidRPr="00455191">
        <w:t>91</w:t>
      </w:r>
      <w:r w:rsidR="00102DA2" w:rsidRPr="00455191">
        <w:t xml:space="preserve">% of </w:t>
      </w:r>
      <w:r w:rsidR="00E8780B" w:rsidRPr="00455191">
        <w:t>LCV sales</w:t>
      </w:r>
      <w:r w:rsidR="00383BC6" w:rsidRPr="00455191">
        <w:t>.</w:t>
      </w:r>
      <w:r w:rsidR="00101F5C" w:rsidRPr="00455191">
        <w:t xml:space="preserve"> </w:t>
      </w:r>
      <w:r w:rsidR="00101F5C" w:rsidRPr="00455191">
        <w:fldChar w:fldCharType="begin" w:fldLock="1"/>
      </w:r>
      <w:r w:rsidR="00101F5C" w:rsidRPr="00455191">
        <w:instrText xml:space="preserve"> REF _Ref192080778 \h </w:instrText>
      </w:r>
      <w:r w:rsidR="00455191">
        <w:instrText xml:space="preserve"> \* MERGEFORMAT </w:instrText>
      </w:r>
      <w:r w:rsidR="00101F5C" w:rsidRPr="00455191">
        <w:fldChar w:fldCharType="separate"/>
      </w:r>
      <w:r w:rsidR="005867AA" w:rsidRPr="00455191">
        <w:t xml:space="preserve">Figure </w:t>
      </w:r>
      <w:r w:rsidR="005867AA" w:rsidRPr="00455191">
        <w:rPr>
          <w:noProof/>
        </w:rPr>
        <w:t>5</w:t>
      </w:r>
      <w:r w:rsidR="00101F5C" w:rsidRPr="00455191">
        <w:fldChar w:fldCharType="end"/>
      </w:r>
      <w:r w:rsidR="00101F5C" w:rsidRPr="00455191">
        <w:t xml:space="preserve"> </w:t>
      </w:r>
      <w:r w:rsidR="000A49D3" w:rsidRPr="00455191">
        <w:t>charts</w:t>
      </w:r>
      <w:r w:rsidR="004920C9" w:rsidRPr="00455191">
        <w:t xml:space="preserve"> </w:t>
      </w:r>
      <w:r w:rsidR="000A49D3" w:rsidRPr="00455191">
        <w:t xml:space="preserve">the </w:t>
      </w:r>
      <w:r w:rsidR="004920C9" w:rsidRPr="00455191">
        <w:t xml:space="preserve">annual growth of </w:t>
      </w:r>
      <w:r w:rsidR="000A49D3" w:rsidRPr="00455191">
        <w:t xml:space="preserve">the </w:t>
      </w:r>
      <w:r w:rsidR="004920C9" w:rsidRPr="00455191">
        <w:t xml:space="preserve">PC and LCV </w:t>
      </w:r>
      <w:r w:rsidR="000A49D3" w:rsidRPr="00455191">
        <w:t>fleet by fuel and powertrain type</w:t>
      </w:r>
      <w:r w:rsidR="00BA5788" w:rsidRPr="00455191">
        <w:t xml:space="preserve">. </w:t>
      </w:r>
      <w:r w:rsidR="0069583A" w:rsidRPr="00455191">
        <w:t>From 2022 to 2024</w:t>
      </w:r>
      <w:r w:rsidR="00BF673F" w:rsidRPr="00455191">
        <w:t>,</w:t>
      </w:r>
      <w:r w:rsidR="00642C07" w:rsidRPr="00455191">
        <w:t xml:space="preserve"> </w:t>
      </w:r>
      <w:r w:rsidR="00497D6E" w:rsidRPr="00455191">
        <w:t xml:space="preserve">sales </w:t>
      </w:r>
      <w:r w:rsidR="00765DD9" w:rsidRPr="00455191">
        <w:t>of</w:t>
      </w:r>
      <w:r w:rsidR="00497D6E" w:rsidRPr="00455191">
        <w:t xml:space="preserve"> </w:t>
      </w:r>
      <w:r w:rsidR="002A22BC" w:rsidRPr="00455191">
        <w:t xml:space="preserve">non-hybrid </w:t>
      </w:r>
      <w:r w:rsidR="00765DD9" w:rsidRPr="00455191">
        <w:t>cars</w:t>
      </w:r>
      <w:r w:rsidR="002A22BC" w:rsidRPr="00455191">
        <w:t xml:space="preserve"> </w:t>
      </w:r>
      <w:r w:rsidR="00765DD9" w:rsidRPr="00455191">
        <w:t>declined</w:t>
      </w:r>
      <w:r w:rsidR="002A2CB5" w:rsidRPr="00455191">
        <w:t>,</w:t>
      </w:r>
      <w:r w:rsidR="0069583A" w:rsidRPr="00455191">
        <w:t xml:space="preserve"> while </w:t>
      </w:r>
      <w:r w:rsidR="00765DD9" w:rsidRPr="00455191">
        <w:t>sales of</w:t>
      </w:r>
      <w:r w:rsidR="0069583A" w:rsidRPr="00455191">
        <w:t xml:space="preserve"> </w:t>
      </w:r>
      <w:r w:rsidR="007834E1" w:rsidRPr="00455191">
        <w:t xml:space="preserve">less-emitting </w:t>
      </w:r>
      <w:r w:rsidR="002A2CB5" w:rsidRPr="00455191">
        <w:t>powertrains</w:t>
      </w:r>
      <w:r w:rsidR="0069583A" w:rsidRPr="00455191">
        <w:t xml:space="preserve"> increased significantly</w:t>
      </w:r>
      <w:r w:rsidR="0024409F" w:rsidRPr="00455191">
        <w:t>:</w:t>
      </w:r>
      <w:r w:rsidR="00E11418" w:rsidRPr="00455191">
        <w:t xml:space="preserve"> </w:t>
      </w:r>
      <w:r w:rsidR="001F7A7C" w:rsidRPr="00455191">
        <w:t>by 63%</w:t>
      </w:r>
      <w:r w:rsidR="00592A31" w:rsidRPr="00455191">
        <w:t xml:space="preserve"> for</w:t>
      </w:r>
      <w:r w:rsidR="0069583A" w:rsidRPr="00455191">
        <w:t xml:space="preserve"> </w:t>
      </w:r>
      <w:r w:rsidR="00592A31" w:rsidRPr="00455191">
        <w:t>p</w:t>
      </w:r>
      <w:r w:rsidR="0069583A" w:rsidRPr="00455191">
        <w:t>etrol hybrids</w:t>
      </w:r>
      <w:r w:rsidR="0024409F" w:rsidRPr="00455191">
        <w:t>,</w:t>
      </w:r>
      <w:r w:rsidR="002345CA" w:rsidRPr="00455191">
        <w:t xml:space="preserve"> </w:t>
      </w:r>
      <w:r w:rsidR="004765B4" w:rsidRPr="00455191">
        <w:t>nearly 200</w:t>
      </w:r>
      <w:r w:rsidR="000E39F3" w:rsidRPr="00455191">
        <w:t>%</w:t>
      </w:r>
      <w:r w:rsidR="002345CA" w:rsidRPr="00455191">
        <w:t xml:space="preserve"> for BEVs</w:t>
      </w:r>
      <w:r w:rsidR="0024409F" w:rsidRPr="00455191">
        <w:t>,</w:t>
      </w:r>
      <w:r w:rsidR="002A2CB5" w:rsidRPr="00455191">
        <w:t xml:space="preserve"> and </w:t>
      </w:r>
      <w:r w:rsidR="008620C5" w:rsidRPr="00455191">
        <w:t xml:space="preserve">400% </w:t>
      </w:r>
      <w:r w:rsidR="002A2CB5" w:rsidRPr="00455191">
        <w:t>for PHEVs.</w:t>
      </w:r>
      <w:r w:rsidR="002345CA" w:rsidRPr="00455191">
        <w:t xml:space="preserve"> </w:t>
      </w:r>
      <w:r w:rsidR="001E5CAD" w:rsidRPr="00455191">
        <w:t xml:space="preserve">The LCV market, in contrast, </w:t>
      </w:r>
      <w:r w:rsidR="009952CA" w:rsidRPr="00455191">
        <w:t xml:space="preserve">has remained </w:t>
      </w:r>
      <w:r w:rsidR="008A3C7E" w:rsidRPr="00455191">
        <w:t xml:space="preserve">mostly </w:t>
      </w:r>
      <w:r w:rsidR="00E212B8" w:rsidRPr="00455191">
        <w:t>unchanged</w:t>
      </w:r>
      <w:r w:rsidR="00E239F1" w:rsidRPr="00455191">
        <w:t xml:space="preserve"> </w:t>
      </w:r>
      <w:r w:rsidR="009952CA" w:rsidRPr="00455191">
        <w:t>since 2022</w:t>
      </w:r>
      <w:r w:rsidR="0036673D" w:rsidRPr="00455191">
        <w:t xml:space="preserve"> in terms of fuel and powertrain composition</w:t>
      </w:r>
      <w:r w:rsidR="00793090" w:rsidRPr="00455191">
        <w:t>.</w:t>
      </w:r>
      <w:r w:rsidR="0069583A" w:rsidRPr="00455191">
        <w:t xml:space="preserve"> </w:t>
      </w:r>
    </w:p>
    <w:p w14:paraId="764B1CD3" w14:textId="0C7C3ED2" w:rsidR="00DB6FDB" w:rsidRPr="00455191" w:rsidRDefault="00F634DB" w:rsidP="00F61408">
      <w:r w:rsidRPr="00455191">
        <w:t>Th</w:t>
      </w:r>
      <w:r w:rsidR="00207FF9" w:rsidRPr="00455191">
        <w:t>is</w:t>
      </w:r>
      <w:r w:rsidRPr="00455191">
        <w:t xml:space="preserve"> market segmentation </w:t>
      </w:r>
      <w:r w:rsidR="00DE5867" w:rsidRPr="00455191">
        <w:t xml:space="preserve">will </w:t>
      </w:r>
      <w:r w:rsidR="00422087" w:rsidRPr="00455191">
        <w:t xml:space="preserve">inform the </w:t>
      </w:r>
      <w:r w:rsidR="007F1A79" w:rsidRPr="00455191">
        <w:t>conversion factor development</w:t>
      </w:r>
      <w:r w:rsidR="001F2C40" w:rsidRPr="00455191">
        <w:t xml:space="preserve"> in </w:t>
      </w:r>
      <w:r w:rsidR="00076FA5" w:rsidRPr="00455191">
        <w:t>S</w:t>
      </w:r>
      <w:r w:rsidR="001F2C40" w:rsidRPr="00455191">
        <w:t>ection</w:t>
      </w:r>
      <w:r w:rsidR="00076FA5" w:rsidRPr="00455191">
        <w:t xml:space="preserve"> 4</w:t>
      </w:r>
      <w:r w:rsidR="001F2C40" w:rsidRPr="00455191">
        <w:t>.</w:t>
      </w:r>
    </w:p>
    <w:p w14:paraId="7D243EA6" w14:textId="5BBAB827" w:rsidR="00596983" w:rsidRPr="000E2ED1" w:rsidRDefault="00976A09" w:rsidP="003A174C">
      <w:pPr>
        <w:pStyle w:val="Tablecaption"/>
      </w:pPr>
      <w:bookmarkStart w:id="7" w:name="_Ref191910627"/>
      <w:r w:rsidRPr="000E2ED1">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4</w:t>
      </w:r>
      <w:r w:rsidR="005867AA" w:rsidRPr="000E2ED1">
        <w:fldChar w:fldCharType="end"/>
      </w:r>
      <w:bookmarkEnd w:id="7"/>
      <w:r w:rsidRPr="000E2ED1">
        <w:t xml:space="preserve"> </w:t>
      </w:r>
      <w:r w:rsidR="007D3515">
        <w:br/>
      </w:r>
      <w:r w:rsidR="00E853F6" w:rsidRPr="000E2ED1">
        <w:t>Australian market composition</w:t>
      </w:r>
      <w:r w:rsidR="00951083" w:rsidRPr="000E2ED1">
        <w:t xml:space="preserve"> by type of vehicle and fuel</w:t>
      </w:r>
      <w:r w:rsidR="00F634DB" w:rsidRPr="000E2ED1">
        <w:t xml:space="preserve"> </w:t>
      </w:r>
      <w:r w:rsidR="002E59F1" w:rsidRPr="000E2ED1">
        <w:t>and</w:t>
      </w:r>
      <w:r w:rsidR="00F634DB" w:rsidRPr="000E2ED1">
        <w:t xml:space="preserve"> </w:t>
      </w:r>
      <w:r w:rsidR="00951083" w:rsidRPr="000E2ED1">
        <w:t>powertrain</w:t>
      </w:r>
      <w:r w:rsidR="0066564E">
        <w:t xml:space="preserve"> in</w:t>
      </w:r>
      <w:r w:rsidR="002E59F1" w:rsidRPr="000E2ED1">
        <w:t xml:space="preserve"> 2024</w:t>
      </w:r>
      <w:r w:rsidR="00B3479D" w:rsidRPr="000E2ED1">
        <w:t xml:space="preserve"> </w:t>
      </w:r>
    </w:p>
    <w:p w14:paraId="4019BD5A" w14:textId="4DD56BD3" w:rsidR="00455164" w:rsidRPr="00455191" w:rsidRDefault="00455164" w:rsidP="00F61408">
      <w:r w:rsidRPr="00455191">
        <w:rPr>
          <w:noProof/>
        </w:rPr>
        <w:drawing>
          <wp:inline distT="0" distB="0" distL="0" distR="0" wp14:anchorId="0F965E8A" wp14:editId="2F5DAFE0">
            <wp:extent cx="5943600" cy="2855595"/>
            <wp:effectExtent l="0" t="0" r="0" b="1905"/>
            <wp:docPr id="2048036416" name="Picture 2048036416" descr="Figure 4 - Bar graph illustrating the proportion of new light vehicle sales in Australia by vehicle and fuel type. 72 per cent of new vehicles are passenger vehicles and 28 per cent are light commercial vehicles. The passenger vehicle market is dominated by petrol vehicles and hybrids, while 85 per cent of light commercial vehicles are die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36416" name="Picture 2048036416" descr="Figure 4 - Bar graph illustrating the proportion of new light vehicle sales in Australia by vehicle and fuel type. 72 per cent of new vehicles are passenger vehicles and 28 per cent are light commercial vehicles. The passenger vehicle market is dominated by petrol vehicles and hybrids, while 85 per cent of light commercial vehicles are diesels."/>
                    <pic:cNvPicPr/>
                  </pic:nvPicPr>
                  <pic:blipFill>
                    <a:blip r:embed="rId15"/>
                    <a:stretch>
                      <a:fillRect/>
                    </a:stretch>
                  </pic:blipFill>
                  <pic:spPr>
                    <a:xfrm>
                      <a:off x="0" y="0"/>
                      <a:ext cx="5943600" cy="2855595"/>
                    </a:xfrm>
                    <a:prstGeom prst="rect">
                      <a:avLst/>
                    </a:prstGeom>
                  </pic:spPr>
                </pic:pic>
              </a:graphicData>
            </a:graphic>
          </wp:inline>
        </w:drawing>
      </w:r>
    </w:p>
    <w:p w14:paraId="2F8B13E1" w14:textId="79E9DE3A" w:rsidR="00902045" w:rsidRPr="00455191" w:rsidRDefault="007861F2" w:rsidP="00F61408">
      <w:r w:rsidRPr="000E2ED1">
        <w:t xml:space="preserve">Note: </w:t>
      </w:r>
      <w:r w:rsidR="002E59F1" w:rsidRPr="000E2ED1">
        <w:t>Figure does not show limited</w:t>
      </w:r>
      <w:r w:rsidR="00EF3FAD" w:rsidRPr="000E2ED1">
        <w:t xml:space="preserve"> shares of </w:t>
      </w:r>
      <w:r w:rsidR="00BE0A9C" w:rsidRPr="000E2ED1">
        <w:t>petrol hybrid (0.2%) and</w:t>
      </w:r>
      <w:r w:rsidR="005D0A28" w:rsidRPr="000E2ED1">
        <w:t xml:space="preserve"> </w:t>
      </w:r>
      <w:r w:rsidR="00060A6F">
        <w:rPr>
          <w:iCs/>
        </w:rPr>
        <w:t>battery electric</w:t>
      </w:r>
      <w:r w:rsidR="00060A6F" w:rsidRPr="000E2ED1">
        <w:rPr>
          <w:iCs/>
        </w:rPr>
        <w:t xml:space="preserve"> </w:t>
      </w:r>
      <w:r w:rsidR="00AE3DEA" w:rsidRPr="000E2ED1">
        <w:t>(0.03</w:t>
      </w:r>
      <w:r w:rsidR="001A342D" w:rsidRPr="000E2ED1">
        <w:rPr>
          <w:iCs/>
        </w:rPr>
        <w:t>%)</w:t>
      </w:r>
      <w:r w:rsidR="00060A6F">
        <w:rPr>
          <w:iCs/>
        </w:rPr>
        <w:t xml:space="preserve"> light commercial vehicles</w:t>
      </w:r>
      <w:r w:rsidR="002C05FD" w:rsidRPr="000E2ED1">
        <w:rPr>
          <w:iCs/>
        </w:rPr>
        <w:t>.</w:t>
      </w:r>
    </w:p>
    <w:p w14:paraId="61E33DE4" w14:textId="6052C53C" w:rsidR="007E6FEC" w:rsidRPr="000E2ED1" w:rsidRDefault="007B420E" w:rsidP="003A174C">
      <w:pPr>
        <w:pStyle w:val="Tablecaption"/>
      </w:pPr>
      <w:bookmarkStart w:id="8" w:name="_Ref192080778"/>
      <w:r w:rsidRPr="000E2ED1">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5</w:t>
      </w:r>
      <w:r w:rsidR="005867AA" w:rsidRPr="000E2ED1">
        <w:fldChar w:fldCharType="end"/>
      </w:r>
      <w:bookmarkEnd w:id="8"/>
      <w:r w:rsidR="00FC414E" w:rsidRPr="000E2ED1">
        <w:t xml:space="preserve"> </w:t>
      </w:r>
      <w:r w:rsidR="00060A6F">
        <w:br/>
      </w:r>
      <w:r w:rsidR="00FC414E" w:rsidRPr="000E2ED1">
        <w:t xml:space="preserve">Annual sales growth in </w:t>
      </w:r>
      <w:r w:rsidR="002E59F1" w:rsidRPr="000E2ED1">
        <w:t xml:space="preserve">the </w:t>
      </w:r>
      <w:r w:rsidR="004570B8">
        <w:t>passenger car</w:t>
      </w:r>
      <w:r w:rsidR="004570B8" w:rsidRPr="000E2ED1">
        <w:t xml:space="preserve"> </w:t>
      </w:r>
      <w:r w:rsidR="001E2EFF" w:rsidRPr="000E2ED1">
        <w:t xml:space="preserve">and </w:t>
      </w:r>
      <w:r w:rsidR="004570B8">
        <w:t>light commercial vehicle</w:t>
      </w:r>
      <w:r w:rsidR="004570B8" w:rsidRPr="000E2ED1">
        <w:t xml:space="preserve"> </w:t>
      </w:r>
      <w:r w:rsidR="00FC414E" w:rsidRPr="000E2ED1">
        <w:t>fleet by fuel</w:t>
      </w:r>
      <w:r w:rsidR="002E59F1" w:rsidRPr="000E2ED1">
        <w:t xml:space="preserve"> and </w:t>
      </w:r>
      <w:r w:rsidR="00FC414E" w:rsidRPr="000E2ED1">
        <w:t>powertrain type</w:t>
      </w:r>
      <w:r w:rsidR="002E59F1" w:rsidRPr="000E2ED1">
        <w:t>, 2022–2024</w:t>
      </w:r>
    </w:p>
    <w:p w14:paraId="742DAB99" w14:textId="29F8B105" w:rsidR="00E27D83" w:rsidRPr="00455191" w:rsidRDefault="00894949" w:rsidP="00F61408">
      <w:r w:rsidRPr="00455191">
        <w:rPr>
          <w:noProof/>
        </w:rPr>
        <w:drawing>
          <wp:inline distT="0" distB="0" distL="0" distR="0" wp14:anchorId="445A7C1D" wp14:editId="7155EFD1">
            <wp:extent cx="5943600" cy="1516380"/>
            <wp:effectExtent l="0" t="0" r="0" b="0"/>
            <wp:docPr id="902006185" name="Picture 902006185" descr="Figure 5 - bar graph illustrating annual growth in passenger and light commercial vehicle sales by fuel type from 2022 to 2024. Passenger vehicle sales are slowly shifting from petrol and diesel to hybrid and electric. Light commercial vehicle sales are slowly shifting away from di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06185" name="Picture 902006185" descr="Figure 5 - bar graph illustrating annual growth in passenger and light commercial vehicle sales by fuel type from 2022 to 2024. Passenger vehicle sales are slowly shifting from petrol and diesel to hybrid and electric. Light commercial vehicle sales are slowly shifting away from diesel."/>
                    <pic:cNvPicPr/>
                  </pic:nvPicPr>
                  <pic:blipFill>
                    <a:blip r:embed="rId16"/>
                    <a:stretch>
                      <a:fillRect/>
                    </a:stretch>
                  </pic:blipFill>
                  <pic:spPr>
                    <a:xfrm>
                      <a:off x="0" y="0"/>
                      <a:ext cx="5943600" cy="1516380"/>
                    </a:xfrm>
                    <a:prstGeom prst="rect">
                      <a:avLst/>
                    </a:prstGeom>
                  </pic:spPr>
                </pic:pic>
              </a:graphicData>
            </a:graphic>
          </wp:inline>
        </w:drawing>
      </w:r>
      <w:r w:rsidR="00AD11E2" w:rsidRPr="00455191">
        <w:rPr>
          <w:noProof/>
        </w:rPr>
        <w:t xml:space="preserve"> </w:t>
      </w:r>
    </w:p>
    <w:p w14:paraId="0F8BA177" w14:textId="75B83F53" w:rsidR="009064CF" w:rsidRPr="00455191" w:rsidRDefault="00B32A16" w:rsidP="00F61408">
      <w:r w:rsidRPr="00455191">
        <w:t>Note:</w:t>
      </w:r>
      <w:r w:rsidR="00F21F86" w:rsidRPr="00455191">
        <w:t xml:space="preserve"> </w:t>
      </w:r>
      <w:r w:rsidR="002E59F1" w:rsidRPr="00455191">
        <w:t>Figure does not show limited</w:t>
      </w:r>
      <w:r w:rsidR="00F21F86" w:rsidRPr="00455191">
        <w:t xml:space="preserve"> </w:t>
      </w:r>
      <w:r w:rsidR="003F19C3" w:rsidRPr="00455191">
        <w:t>sales</w:t>
      </w:r>
      <w:r w:rsidR="00F21F86" w:rsidRPr="00455191">
        <w:t xml:space="preserve"> </w:t>
      </w:r>
      <w:r w:rsidR="002E59F1" w:rsidRPr="00455191">
        <w:t>of</w:t>
      </w:r>
      <w:r w:rsidR="00241A9A" w:rsidRPr="00455191">
        <w:t xml:space="preserve"> </w:t>
      </w:r>
      <w:r w:rsidR="00F21F86" w:rsidRPr="00455191">
        <w:t>petrol hybrid</w:t>
      </w:r>
      <w:r w:rsidR="00EA420C" w:rsidRPr="00455191">
        <w:t xml:space="preserve"> </w:t>
      </w:r>
      <w:r w:rsidR="002E59F1" w:rsidRPr="00455191">
        <w:t>(</w:t>
      </w:r>
      <w:r w:rsidR="003F19C3" w:rsidRPr="00455191">
        <w:t xml:space="preserve">385 </w:t>
      </w:r>
      <w:r w:rsidR="002E59F1" w:rsidRPr="00455191">
        <w:t xml:space="preserve">sales </w:t>
      </w:r>
      <w:r w:rsidR="003F19C3" w:rsidRPr="00455191">
        <w:t>in 2024</w:t>
      </w:r>
      <w:r w:rsidR="002E59F1" w:rsidRPr="00455191">
        <w:t>)</w:t>
      </w:r>
      <w:r w:rsidR="00EA420C" w:rsidRPr="00455191">
        <w:t xml:space="preserve"> and </w:t>
      </w:r>
      <w:r w:rsidR="004570B8">
        <w:t>battery electric</w:t>
      </w:r>
      <w:r w:rsidR="004570B8" w:rsidRPr="00455191">
        <w:t xml:space="preserve"> </w:t>
      </w:r>
      <w:r w:rsidR="002E59F1" w:rsidRPr="00455191">
        <w:t>(</w:t>
      </w:r>
      <w:r w:rsidR="00EF498C" w:rsidRPr="00455191">
        <w:t>49</w:t>
      </w:r>
      <w:r w:rsidR="002E59F1" w:rsidRPr="00455191">
        <w:t xml:space="preserve"> sales in 2022, 18 sales in 2023, and </w:t>
      </w:r>
      <w:r w:rsidR="00EF498C" w:rsidRPr="00455191">
        <w:t xml:space="preserve">64 </w:t>
      </w:r>
      <w:r w:rsidR="002E59F1" w:rsidRPr="00455191">
        <w:t>sales in</w:t>
      </w:r>
      <w:r w:rsidR="0055471D" w:rsidRPr="00455191">
        <w:t xml:space="preserve"> 2024</w:t>
      </w:r>
      <w:r w:rsidR="002E59F1" w:rsidRPr="00455191">
        <w:t>)</w:t>
      </w:r>
      <w:r w:rsidR="004570B8">
        <w:t xml:space="preserve"> light commercial vehicles</w:t>
      </w:r>
      <w:r w:rsidR="0055471D" w:rsidRPr="00455191">
        <w:t>.</w:t>
      </w:r>
    </w:p>
    <w:p w14:paraId="2E8BAEEA" w14:textId="1E96B473" w:rsidR="007C7215" w:rsidRPr="00455191" w:rsidRDefault="007C7215" w:rsidP="00B55BEC">
      <w:pPr>
        <w:pStyle w:val="Heading3"/>
      </w:pPr>
      <w:r w:rsidRPr="00455191">
        <w:lastRenderedPageBreak/>
        <w:t xml:space="preserve">3.3 </w:t>
      </w:r>
      <w:r w:rsidR="00951844" w:rsidRPr="00455191">
        <w:t xml:space="preserve">Top-selling brands </w:t>
      </w:r>
    </w:p>
    <w:p w14:paraId="0B5546BC" w14:textId="3D78248A" w:rsidR="009064CF" w:rsidRPr="00455191" w:rsidRDefault="009064CF" w:rsidP="00F61408">
      <w:r w:rsidRPr="00455191">
        <w:fldChar w:fldCharType="begin" w:fldLock="1"/>
      </w:r>
      <w:r w:rsidRPr="00455191">
        <w:instrText xml:space="preserve"> REF _Ref191910329 \h </w:instrText>
      </w:r>
      <w:r w:rsidR="00455191">
        <w:instrText xml:space="preserve"> \* MERGEFORMAT </w:instrText>
      </w:r>
      <w:r w:rsidRPr="00455191">
        <w:fldChar w:fldCharType="separate"/>
      </w:r>
      <w:r w:rsidR="005867AA" w:rsidRPr="00455191">
        <w:t xml:space="preserve">Figure </w:t>
      </w:r>
      <w:r w:rsidR="005867AA" w:rsidRPr="00455191">
        <w:rPr>
          <w:noProof/>
        </w:rPr>
        <w:t>6</w:t>
      </w:r>
      <w:r w:rsidRPr="00455191">
        <w:fldChar w:fldCharType="end"/>
      </w:r>
      <w:r w:rsidRPr="00455191">
        <w:t xml:space="preserve"> reflects the 2024 LDV sales shares by brand. The top 12</w:t>
      </w:r>
      <w:r w:rsidR="007622F5" w:rsidRPr="00455191">
        <w:t xml:space="preserve"> </w:t>
      </w:r>
      <w:r w:rsidRPr="00455191">
        <w:t xml:space="preserve">brands </w:t>
      </w:r>
      <w:r w:rsidR="007622F5" w:rsidRPr="00455191">
        <w:t xml:space="preserve">by sales </w:t>
      </w:r>
      <w:r w:rsidRPr="00455191">
        <w:t xml:space="preserve">accounted for nearly 83% of the </w:t>
      </w:r>
      <w:r w:rsidR="007622F5" w:rsidRPr="00455191">
        <w:t xml:space="preserve">market </w:t>
      </w:r>
      <w:r w:rsidRPr="00455191">
        <w:t xml:space="preserve">in 2024. The most popular brand, Toyota, had more than </w:t>
      </w:r>
      <w:r w:rsidR="007622F5" w:rsidRPr="00455191">
        <w:t xml:space="preserve">a </w:t>
      </w:r>
      <w:r w:rsidRPr="00455191">
        <w:t xml:space="preserve">20% market share in 2024, roughly equally distributed </w:t>
      </w:r>
      <w:r w:rsidR="00CE4E45" w:rsidRPr="00455191">
        <w:t xml:space="preserve">between </w:t>
      </w:r>
      <w:r w:rsidRPr="00455191">
        <w:t>PC</w:t>
      </w:r>
      <w:r w:rsidR="00716A65" w:rsidRPr="00455191">
        <w:t>s</w:t>
      </w:r>
      <w:r w:rsidRPr="00455191">
        <w:t xml:space="preserve"> and LCV</w:t>
      </w:r>
      <w:r w:rsidR="00716A65" w:rsidRPr="00455191">
        <w:t>s</w:t>
      </w:r>
      <w:r w:rsidRPr="00455191">
        <w:t xml:space="preserve">. Mazda, Ford, Kia, Mitsubishi, and Hyundai </w:t>
      </w:r>
      <w:r w:rsidR="00657D03" w:rsidRPr="00455191">
        <w:t xml:space="preserve">were </w:t>
      </w:r>
      <w:r w:rsidRPr="00455191">
        <w:t xml:space="preserve">the other </w:t>
      </w:r>
      <w:r w:rsidR="00657D03" w:rsidRPr="00455191">
        <w:t>top</w:t>
      </w:r>
      <w:r w:rsidRPr="00455191">
        <w:t xml:space="preserve">-selling brands, </w:t>
      </w:r>
      <w:r w:rsidR="00657D03" w:rsidRPr="00455191">
        <w:t xml:space="preserve">each making up </w:t>
      </w:r>
      <w:r w:rsidRPr="00455191">
        <w:t xml:space="preserve">more than 5% of </w:t>
      </w:r>
      <w:r w:rsidR="00657D03" w:rsidRPr="00455191">
        <w:t xml:space="preserve">the </w:t>
      </w:r>
      <w:r w:rsidRPr="00455191">
        <w:t xml:space="preserve">market. </w:t>
      </w:r>
      <w:r w:rsidR="00A401D4">
        <w:t>A</w:t>
      </w:r>
      <w:r w:rsidR="007804B7" w:rsidRPr="00455191">
        <w:t>lmost of all of Ford’s sales in 2024</w:t>
      </w:r>
      <w:r w:rsidR="00A401D4">
        <w:t xml:space="preserve"> were LCVs</w:t>
      </w:r>
      <w:r w:rsidR="007804B7" w:rsidRPr="00455191">
        <w:t xml:space="preserve">, while PCs comprised the majority </w:t>
      </w:r>
      <w:r w:rsidR="00F307B9" w:rsidRPr="00455191">
        <w:t xml:space="preserve">or </w:t>
      </w:r>
      <w:r w:rsidR="007804B7" w:rsidRPr="00455191">
        <w:t>entirety of sales for most other brands</w:t>
      </w:r>
      <w:r w:rsidRPr="00455191">
        <w:t>.</w:t>
      </w:r>
      <w:r w:rsidR="00011C63" w:rsidRPr="00455191">
        <w:t xml:space="preserve"> Th</w:t>
      </w:r>
      <w:r w:rsidR="007804B7" w:rsidRPr="00455191">
        <w:t>is</w:t>
      </w:r>
      <w:r w:rsidR="000712F9" w:rsidRPr="00455191">
        <w:t xml:space="preserve"> list of top-selling brands </w:t>
      </w:r>
      <w:r w:rsidR="00D11338">
        <w:t>is</w:t>
      </w:r>
      <w:r w:rsidR="000246AF" w:rsidRPr="00455191">
        <w:t xml:space="preserve"> considered </w:t>
      </w:r>
      <w:r w:rsidR="0042733C" w:rsidRPr="00455191">
        <w:t>in</w:t>
      </w:r>
      <w:r w:rsidR="00D11908" w:rsidRPr="00455191">
        <w:t xml:space="preserve"> the </w:t>
      </w:r>
      <w:r w:rsidR="0061513D" w:rsidRPr="00455191">
        <w:t>brand-specific verification</w:t>
      </w:r>
      <w:r w:rsidR="0042733C" w:rsidRPr="00455191">
        <w:t xml:space="preserve"> analysis</w:t>
      </w:r>
      <w:r w:rsidR="0061513D" w:rsidRPr="00455191">
        <w:t xml:space="preserve"> of the </w:t>
      </w:r>
      <w:r w:rsidR="008A7CCD" w:rsidRPr="00455191">
        <w:t xml:space="preserve">proposed </w:t>
      </w:r>
      <w:r w:rsidR="00076FA5" w:rsidRPr="00455191">
        <w:t>conversion factors in Section 5.</w:t>
      </w:r>
    </w:p>
    <w:p w14:paraId="618757A9" w14:textId="4E3DED0A" w:rsidR="009064CF" w:rsidRPr="000E2ED1" w:rsidRDefault="009064CF" w:rsidP="003A174C">
      <w:pPr>
        <w:pStyle w:val="Tablecaption"/>
      </w:pPr>
      <w:bookmarkStart w:id="9" w:name="_Ref191910329"/>
      <w:r w:rsidRPr="000E2ED1">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6</w:t>
      </w:r>
      <w:r w:rsidR="005867AA" w:rsidRPr="000E2ED1">
        <w:fldChar w:fldCharType="end"/>
      </w:r>
      <w:bookmarkEnd w:id="9"/>
      <w:r w:rsidRPr="000E2ED1">
        <w:t xml:space="preserve"> </w:t>
      </w:r>
      <w:r w:rsidR="00C062B4">
        <w:br/>
      </w:r>
      <w:r w:rsidRPr="000E2ED1">
        <w:t xml:space="preserve">Australian </w:t>
      </w:r>
      <w:r w:rsidR="00CC4F2D">
        <w:t>light duty vehicle</w:t>
      </w:r>
      <w:r w:rsidR="00CC4F2D" w:rsidRPr="000E2ED1">
        <w:t xml:space="preserve"> </w:t>
      </w:r>
      <w:r w:rsidRPr="000E2ED1">
        <w:t>market share by brand</w:t>
      </w:r>
      <w:r w:rsidR="00C062B4">
        <w:t xml:space="preserve"> in</w:t>
      </w:r>
      <w:r w:rsidRPr="000E2ED1">
        <w:t xml:space="preserve"> 2024</w:t>
      </w:r>
    </w:p>
    <w:p w14:paraId="5992B029" w14:textId="67CB4253" w:rsidR="009064CF" w:rsidRPr="00455191" w:rsidRDefault="00A6456B" w:rsidP="00F61408">
      <w:r w:rsidRPr="00455191">
        <w:rPr>
          <w:noProof/>
        </w:rPr>
        <w:drawing>
          <wp:inline distT="0" distB="0" distL="0" distR="0" wp14:anchorId="0B42CA83" wp14:editId="210DFA53">
            <wp:extent cx="5943600" cy="4173855"/>
            <wp:effectExtent l="0" t="0" r="0" b="4445"/>
            <wp:docPr id="954518704" name="Picture 954518704" descr="Figure 6 - bar chart showing sales by manufacturer and vehicle type. Most manufacturers sell more passenger vehicles than light commercial vehicles, but some such as Isuzu and Ford sell more commercial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18704" name="Picture 954518704" descr="Figure 6 - bar chart showing sales by manufacturer and vehicle type. Most manufacturers sell more passenger vehicles than light commercial vehicles, but some such as Isuzu and Ford sell more commercial vehicles."/>
                    <pic:cNvPicPr/>
                  </pic:nvPicPr>
                  <pic:blipFill>
                    <a:blip r:embed="rId17"/>
                    <a:stretch>
                      <a:fillRect/>
                    </a:stretch>
                  </pic:blipFill>
                  <pic:spPr>
                    <a:xfrm>
                      <a:off x="0" y="0"/>
                      <a:ext cx="5943600" cy="4173855"/>
                    </a:xfrm>
                    <a:prstGeom prst="rect">
                      <a:avLst/>
                    </a:prstGeom>
                  </pic:spPr>
                </pic:pic>
              </a:graphicData>
            </a:graphic>
          </wp:inline>
        </w:drawing>
      </w:r>
      <w:r w:rsidR="009064CF" w:rsidRPr="00455191">
        <w:t xml:space="preserve"> </w:t>
      </w:r>
    </w:p>
    <w:p w14:paraId="7889B952" w14:textId="6EE1982C" w:rsidR="0043252D" w:rsidRPr="00455191" w:rsidRDefault="0043252D" w:rsidP="00B55BEC">
      <w:pPr>
        <w:pStyle w:val="Heading3"/>
      </w:pPr>
      <w:r w:rsidRPr="00455191">
        <w:t xml:space="preserve">3.4 Trends </w:t>
      </w:r>
      <w:r w:rsidR="00F307B9" w:rsidRPr="00455191">
        <w:t xml:space="preserve">in </w:t>
      </w:r>
      <w:r w:rsidRPr="00455191">
        <w:t>CO</w:t>
      </w:r>
      <w:r w:rsidRPr="00455191">
        <w:rPr>
          <w:vertAlign w:val="subscript"/>
        </w:rPr>
        <w:t>2</w:t>
      </w:r>
      <w:r w:rsidRPr="00455191">
        <w:t xml:space="preserve"> emissions</w:t>
      </w:r>
    </w:p>
    <w:p w14:paraId="0EB1EEED" w14:textId="44130F83" w:rsidR="00953B25" w:rsidRPr="00455191" w:rsidRDefault="00FC414E" w:rsidP="00F61408">
      <w:r w:rsidRPr="00455191">
        <w:fldChar w:fldCharType="begin" w:fldLock="1"/>
      </w:r>
      <w:r w:rsidRPr="00455191">
        <w:instrText xml:space="preserve"> REF _Ref191910765 \h </w:instrText>
      </w:r>
      <w:r w:rsidR="00455191">
        <w:instrText xml:space="preserve"> \* MERGEFORMAT </w:instrText>
      </w:r>
      <w:r w:rsidRPr="00455191">
        <w:fldChar w:fldCharType="separate"/>
      </w:r>
      <w:r w:rsidR="005867AA" w:rsidRPr="00455191">
        <w:t xml:space="preserve">Figure </w:t>
      </w:r>
      <w:r w:rsidR="005867AA" w:rsidRPr="00455191">
        <w:rPr>
          <w:noProof/>
        </w:rPr>
        <w:t>7</w:t>
      </w:r>
      <w:r w:rsidRPr="00455191">
        <w:fldChar w:fldCharType="end"/>
      </w:r>
      <w:r w:rsidR="00F6794F" w:rsidRPr="00455191">
        <w:t xml:space="preserve"> show</w:t>
      </w:r>
      <w:r w:rsidR="00804681" w:rsidRPr="00455191">
        <w:t>s</w:t>
      </w:r>
      <w:r w:rsidR="00F6794F" w:rsidRPr="00455191">
        <w:t xml:space="preserve"> the </w:t>
      </w:r>
      <w:r w:rsidR="0058514A" w:rsidRPr="00455191">
        <w:t xml:space="preserve">estimated </w:t>
      </w:r>
      <w:r w:rsidR="00F6794F" w:rsidRPr="00455191">
        <w:t xml:space="preserve">sales-weighted </w:t>
      </w:r>
      <w:r w:rsidR="00804681" w:rsidRPr="00455191">
        <w:t xml:space="preserve">average </w:t>
      </w:r>
      <w:r w:rsidR="00F6794F" w:rsidRPr="00455191">
        <w:t>CO</w:t>
      </w:r>
      <w:r w:rsidR="00F6794F" w:rsidRPr="00455191">
        <w:rPr>
          <w:vertAlign w:val="subscript"/>
        </w:rPr>
        <w:t>2</w:t>
      </w:r>
      <w:r w:rsidR="00F6794F" w:rsidRPr="00455191">
        <w:t xml:space="preserve"> emissions</w:t>
      </w:r>
      <w:r w:rsidR="00465D65" w:rsidRPr="00455191">
        <w:t xml:space="preserve"> of LDV</w:t>
      </w:r>
      <w:r w:rsidR="00804681" w:rsidRPr="00455191">
        <w:t>s</w:t>
      </w:r>
      <w:r w:rsidR="000E25A1" w:rsidRPr="00455191">
        <w:t xml:space="preserve"> </w:t>
      </w:r>
      <w:r w:rsidR="00804681" w:rsidRPr="00455191">
        <w:t xml:space="preserve">sold in Australia </w:t>
      </w:r>
      <w:r w:rsidR="00F6794F" w:rsidRPr="00455191">
        <w:t>in</w:t>
      </w:r>
      <w:r w:rsidR="00804681" w:rsidRPr="00455191">
        <w:t xml:space="preserve"> </w:t>
      </w:r>
      <w:r w:rsidR="00F6794F" w:rsidRPr="00455191">
        <w:t>2022</w:t>
      </w:r>
      <w:r w:rsidR="007804B7" w:rsidRPr="00455191">
        <w:t>–</w:t>
      </w:r>
      <w:r w:rsidR="00F6794F" w:rsidRPr="00455191">
        <w:t>2024</w:t>
      </w:r>
      <w:r w:rsidR="00F06478" w:rsidRPr="00455191">
        <w:t xml:space="preserve"> </w:t>
      </w:r>
      <w:r w:rsidR="00804681" w:rsidRPr="00455191">
        <w:t xml:space="preserve">by vehicle </w:t>
      </w:r>
      <w:r w:rsidR="0058514A" w:rsidRPr="00455191">
        <w:t xml:space="preserve">type, while Figure </w:t>
      </w:r>
      <w:r w:rsidR="004C208F" w:rsidRPr="00455191">
        <w:t>8</w:t>
      </w:r>
      <w:r w:rsidR="0058514A" w:rsidRPr="00455191">
        <w:t xml:space="preserve"> shows the emissions </w:t>
      </w:r>
      <w:r w:rsidR="004450D3" w:rsidRPr="00455191">
        <w:t xml:space="preserve">for </w:t>
      </w:r>
      <w:r w:rsidR="003C2DCC" w:rsidRPr="00455191">
        <w:t xml:space="preserve">internal combustion </w:t>
      </w:r>
      <w:r w:rsidR="00E9270C" w:rsidRPr="00455191">
        <w:t xml:space="preserve">engine (ICE) vehicles only, by vehicle and </w:t>
      </w:r>
      <w:r w:rsidR="004450D3" w:rsidRPr="00455191">
        <w:t>fuel type</w:t>
      </w:r>
      <w:r w:rsidR="00F6794F" w:rsidRPr="00455191">
        <w:t xml:space="preserve">. </w:t>
      </w:r>
      <w:r w:rsidR="00953B25" w:rsidRPr="00455191">
        <w:t xml:space="preserve">These estimates are based on the </w:t>
      </w:r>
      <w:r w:rsidR="00606FBE" w:rsidRPr="00455191">
        <w:t>merged FCAI</w:t>
      </w:r>
      <w:r w:rsidR="006428F6" w:rsidRPr="00455191">
        <w:t>-</w:t>
      </w:r>
      <w:r w:rsidR="00953B25" w:rsidRPr="00455191">
        <w:t>GVG</w:t>
      </w:r>
      <w:r w:rsidR="000973A7" w:rsidRPr="00455191">
        <w:t xml:space="preserve"> </w:t>
      </w:r>
      <w:r w:rsidR="006428F6" w:rsidRPr="00455191">
        <w:t>data</w:t>
      </w:r>
      <w:r w:rsidR="00953B25" w:rsidRPr="00455191">
        <w:t xml:space="preserve">. </w:t>
      </w:r>
      <w:r w:rsidR="00B12115" w:rsidRPr="00455191">
        <w:t>In</w:t>
      </w:r>
      <w:r w:rsidR="005E0122" w:rsidRPr="00455191">
        <w:t xml:space="preserve"> the</w:t>
      </w:r>
      <w:r w:rsidR="00B12115" w:rsidRPr="00455191">
        <w:t xml:space="preserve"> absence of </w:t>
      </w:r>
      <w:r w:rsidR="00A56549" w:rsidRPr="00455191">
        <w:t>official CO</w:t>
      </w:r>
      <w:r w:rsidR="00A56549" w:rsidRPr="00455191">
        <w:rPr>
          <w:vertAlign w:val="subscript"/>
        </w:rPr>
        <w:t>2</w:t>
      </w:r>
      <w:r w:rsidR="00A56549" w:rsidRPr="00455191">
        <w:t xml:space="preserve"> data </w:t>
      </w:r>
      <w:r w:rsidR="005E0122" w:rsidRPr="00455191">
        <w:t xml:space="preserve">at the model variant level </w:t>
      </w:r>
      <w:r w:rsidR="00A56549" w:rsidRPr="00455191">
        <w:t xml:space="preserve">for 2022 and 2023 in the GVG database, we </w:t>
      </w:r>
      <w:r w:rsidR="009C2866" w:rsidRPr="00455191">
        <w:t xml:space="preserve">apply </w:t>
      </w:r>
      <w:r w:rsidR="00A56549" w:rsidRPr="00455191">
        <w:t>the 2024 g</w:t>
      </w:r>
      <w:r w:rsidR="00A3349D" w:rsidRPr="00455191">
        <w:t xml:space="preserve"> </w:t>
      </w:r>
      <w:r w:rsidR="00A56549" w:rsidRPr="00455191">
        <w:t>CO</w:t>
      </w:r>
      <w:r w:rsidR="00A56549" w:rsidRPr="00455191">
        <w:rPr>
          <w:vertAlign w:val="subscript"/>
        </w:rPr>
        <w:t>2</w:t>
      </w:r>
      <w:r w:rsidR="00A56549" w:rsidRPr="00455191">
        <w:t xml:space="preserve">/km values for </w:t>
      </w:r>
      <w:r w:rsidR="009C2866" w:rsidRPr="00455191">
        <w:t>these</w:t>
      </w:r>
      <w:r w:rsidR="00A56549" w:rsidRPr="00455191">
        <w:t xml:space="preserve"> years. </w:t>
      </w:r>
    </w:p>
    <w:p w14:paraId="5A5190A5" w14:textId="43878587" w:rsidR="008616FB" w:rsidRPr="00455191" w:rsidRDefault="00113C51" w:rsidP="00F61408">
      <w:r w:rsidRPr="00455191">
        <w:lastRenderedPageBreak/>
        <w:t xml:space="preserve">Based on the </w:t>
      </w:r>
      <w:r w:rsidR="00FB0D04" w:rsidRPr="00455191">
        <w:t xml:space="preserve">data drawn from </w:t>
      </w:r>
      <w:r w:rsidR="00604112">
        <w:t xml:space="preserve">the </w:t>
      </w:r>
      <w:r w:rsidR="003E7198" w:rsidRPr="00455191">
        <w:t>National Transport Commission (2024)</w:t>
      </w:r>
      <w:r w:rsidR="00FB0D04" w:rsidRPr="00455191">
        <w:t>, f</w:t>
      </w:r>
      <w:r w:rsidR="00223CBE" w:rsidRPr="00455191">
        <w:t>leet</w:t>
      </w:r>
      <w:r w:rsidR="0052171F" w:rsidRPr="00455191">
        <w:t>-average</w:t>
      </w:r>
      <w:r w:rsidR="00223CBE" w:rsidRPr="00455191">
        <w:t xml:space="preserve"> </w:t>
      </w:r>
      <w:r w:rsidR="0052171F" w:rsidRPr="00455191">
        <w:t>emissions</w:t>
      </w:r>
      <w:r w:rsidR="00223CBE" w:rsidRPr="00455191">
        <w:t xml:space="preserve"> </w:t>
      </w:r>
      <w:r w:rsidR="001427B4" w:rsidRPr="00455191">
        <w:t>for</w:t>
      </w:r>
      <w:r w:rsidR="00157712" w:rsidRPr="00455191">
        <w:t xml:space="preserve"> </w:t>
      </w:r>
      <w:r w:rsidR="00E87514" w:rsidRPr="00455191">
        <w:t>new sales</w:t>
      </w:r>
      <w:r w:rsidR="00492AF0" w:rsidRPr="00455191">
        <w:t xml:space="preserve"> </w:t>
      </w:r>
      <w:r w:rsidR="00FB0D04" w:rsidRPr="00455191">
        <w:t>were 174 g CO</w:t>
      </w:r>
      <w:r w:rsidR="00FB0D04" w:rsidRPr="00455191">
        <w:rPr>
          <w:vertAlign w:val="subscript"/>
        </w:rPr>
        <w:t>2</w:t>
      </w:r>
      <w:r w:rsidR="00FB0D04" w:rsidRPr="00455191">
        <w:t xml:space="preserve">/km </w:t>
      </w:r>
      <w:r w:rsidR="001427B4" w:rsidRPr="00455191">
        <w:t>in 2022</w:t>
      </w:r>
      <w:r w:rsidR="00B4547E" w:rsidRPr="00455191">
        <w:t xml:space="preserve"> </w:t>
      </w:r>
      <w:r w:rsidR="001427B4" w:rsidRPr="00455191">
        <w:t xml:space="preserve">and </w:t>
      </w:r>
      <w:r w:rsidR="00FB0D04" w:rsidRPr="00455191">
        <w:t>165 g CO</w:t>
      </w:r>
      <w:r w:rsidR="00FB0D04" w:rsidRPr="00455191">
        <w:rPr>
          <w:vertAlign w:val="subscript"/>
        </w:rPr>
        <w:t>2</w:t>
      </w:r>
      <w:r w:rsidR="00FB0D04" w:rsidRPr="00455191">
        <w:t xml:space="preserve">/km in </w:t>
      </w:r>
      <w:r w:rsidR="001427B4" w:rsidRPr="00455191">
        <w:t>2023</w:t>
      </w:r>
      <w:r w:rsidR="006D0B20" w:rsidRPr="00455191">
        <w:t>.</w:t>
      </w:r>
      <w:r w:rsidR="008344E5" w:rsidRPr="00455191">
        <w:rPr>
          <w:rStyle w:val="FootnoteReference"/>
        </w:rPr>
        <w:footnoteReference w:id="10"/>
      </w:r>
      <w:r w:rsidR="007A0BF5" w:rsidRPr="00455191">
        <w:t xml:space="preserve"> </w:t>
      </w:r>
      <w:r w:rsidR="00C335DF" w:rsidRPr="00455191">
        <w:t>S</w:t>
      </w:r>
      <w:r w:rsidR="001C4F94" w:rsidRPr="00455191">
        <w:t xml:space="preserve">ales-weighted emissions estimates </w:t>
      </w:r>
      <w:r w:rsidR="007424A3" w:rsidRPr="00455191">
        <w:t>in this analysis</w:t>
      </w:r>
      <w:r w:rsidR="00CB1B3F" w:rsidRPr="00455191">
        <w:t>—</w:t>
      </w:r>
      <w:r w:rsidR="00FB0D04" w:rsidRPr="00455191">
        <w:t>170</w:t>
      </w:r>
      <w:r w:rsidR="004D574C" w:rsidRPr="00455191">
        <w:t xml:space="preserve"> </w:t>
      </w:r>
      <w:r w:rsidR="00FB0D04" w:rsidRPr="00455191">
        <w:t>g CO</w:t>
      </w:r>
      <w:r w:rsidR="00FB0D04" w:rsidRPr="00455191">
        <w:rPr>
          <w:vertAlign w:val="subscript"/>
        </w:rPr>
        <w:t>2</w:t>
      </w:r>
      <w:r w:rsidR="00FB0D04" w:rsidRPr="00455191">
        <w:t xml:space="preserve">/km </w:t>
      </w:r>
      <w:r w:rsidR="00501C27" w:rsidRPr="00455191">
        <w:t>for 2022</w:t>
      </w:r>
      <w:r w:rsidR="00C335DF" w:rsidRPr="00455191">
        <w:t xml:space="preserve"> </w:t>
      </w:r>
      <w:r w:rsidR="00501C27" w:rsidRPr="00455191">
        <w:t xml:space="preserve">and </w:t>
      </w:r>
      <w:r w:rsidR="00FB0D04" w:rsidRPr="00455191">
        <w:t>161 g CO</w:t>
      </w:r>
      <w:r w:rsidR="00FB0D04" w:rsidRPr="00455191">
        <w:rPr>
          <w:vertAlign w:val="subscript"/>
        </w:rPr>
        <w:t>2</w:t>
      </w:r>
      <w:r w:rsidR="00FB0D04" w:rsidRPr="00455191">
        <w:t xml:space="preserve">/km for </w:t>
      </w:r>
      <w:r w:rsidR="00501C27" w:rsidRPr="00455191">
        <w:t>2023</w:t>
      </w:r>
      <w:r w:rsidR="00CB1B3F" w:rsidRPr="00455191">
        <w:t>—</w:t>
      </w:r>
      <w:r w:rsidR="001C4F94" w:rsidRPr="00455191">
        <w:t>are</w:t>
      </w:r>
      <w:r w:rsidR="004D574C" w:rsidRPr="00455191">
        <w:t xml:space="preserve"> </w:t>
      </w:r>
      <w:r w:rsidR="00F0397A" w:rsidRPr="00455191">
        <w:t xml:space="preserve">slightly </w:t>
      </w:r>
      <w:r w:rsidR="00603059" w:rsidRPr="00455191">
        <w:t xml:space="preserve">lower </w:t>
      </w:r>
      <w:r w:rsidR="00034036" w:rsidRPr="00455191">
        <w:t>than the NTC reported values</w:t>
      </w:r>
      <w:r w:rsidR="00C335DF" w:rsidRPr="00455191">
        <w:t>,</w:t>
      </w:r>
      <w:r w:rsidR="00034036" w:rsidRPr="00455191">
        <w:t xml:space="preserve"> </w:t>
      </w:r>
      <w:r w:rsidR="00FE2AD4" w:rsidRPr="00455191">
        <w:t>each</w:t>
      </w:r>
      <w:r w:rsidR="00034036" w:rsidRPr="00455191">
        <w:t xml:space="preserve"> </w:t>
      </w:r>
      <w:r w:rsidR="00603059" w:rsidRPr="00455191">
        <w:t xml:space="preserve">by </w:t>
      </w:r>
      <w:r w:rsidR="00FE2AD4" w:rsidRPr="00455191">
        <w:t xml:space="preserve">a margin of </w:t>
      </w:r>
      <w:r w:rsidR="00C335DF" w:rsidRPr="00455191">
        <w:t>less than</w:t>
      </w:r>
      <w:r w:rsidR="001C4F94" w:rsidRPr="00455191">
        <w:t xml:space="preserve"> 2.5%</w:t>
      </w:r>
      <w:r w:rsidR="008616FB" w:rsidRPr="00455191">
        <w:t>.</w:t>
      </w:r>
      <w:r w:rsidR="00D01788" w:rsidRPr="00455191">
        <w:t xml:space="preserve"> </w:t>
      </w:r>
      <w:r w:rsidR="00967DB4" w:rsidRPr="00455191">
        <w:t>That the</w:t>
      </w:r>
      <w:r w:rsidR="005835E6" w:rsidRPr="00455191">
        <w:t xml:space="preserve"> difference from the official reported data </w:t>
      </w:r>
      <w:r w:rsidR="00967DB4" w:rsidRPr="00455191">
        <w:t>is minor</w:t>
      </w:r>
      <w:r w:rsidR="005537FF">
        <w:t>,</w:t>
      </w:r>
      <w:r w:rsidR="00967DB4" w:rsidRPr="00455191">
        <w:t xml:space="preserve"> </w:t>
      </w:r>
      <w:r w:rsidR="005835E6" w:rsidRPr="00455191">
        <w:t>confirm</w:t>
      </w:r>
      <w:r w:rsidR="004248D3" w:rsidRPr="00455191">
        <w:t>s</w:t>
      </w:r>
      <w:r w:rsidR="005835E6" w:rsidRPr="00455191">
        <w:t xml:space="preserve"> </w:t>
      </w:r>
      <w:r w:rsidR="00972C8C" w:rsidRPr="00455191">
        <w:t>that this analysis</w:t>
      </w:r>
      <w:r w:rsidR="0097421E" w:rsidRPr="00455191">
        <w:t xml:space="preserve"> </w:t>
      </w:r>
      <w:r w:rsidR="00E06074" w:rsidRPr="00455191">
        <w:t>is</w:t>
      </w:r>
      <w:r w:rsidR="00972C8C" w:rsidRPr="00455191">
        <w:t xml:space="preserve"> </w:t>
      </w:r>
      <w:r w:rsidR="00140BA2" w:rsidRPr="00455191">
        <w:t xml:space="preserve">representative of the </w:t>
      </w:r>
      <w:r w:rsidR="0097421E" w:rsidRPr="00455191">
        <w:t>fleet</w:t>
      </w:r>
      <w:r w:rsidR="00953B25" w:rsidRPr="00455191">
        <w:t>.</w:t>
      </w:r>
    </w:p>
    <w:p w14:paraId="668E53ED" w14:textId="26E39F4B" w:rsidR="00685E67" w:rsidRPr="00455191" w:rsidRDefault="007B5B15" w:rsidP="00F61408">
      <w:r w:rsidRPr="00455191">
        <w:t>The fleet</w:t>
      </w:r>
      <w:r w:rsidR="0054218F" w:rsidRPr="00455191">
        <w:t>-</w:t>
      </w:r>
      <w:r w:rsidRPr="00455191">
        <w:t>average CO</w:t>
      </w:r>
      <w:r w:rsidRPr="00455191">
        <w:rPr>
          <w:vertAlign w:val="subscript"/>
        </w:rPr>
        <w:t>2</w:t>
      </w:r>
      <w:r w:rsidRPr="00455191">
        <w:t xml:space="preserve"> emissions</w:t>
      </w:r>
      <w:r w:rsidR="005D6AF0" w:rsidRPr="00455191">
        <w:t xml:space="preserve"> of LDVs decreased from 170 g/km </w:t>
      </w:r>
      <w:r w:rsidR="00967DB4" w:rsidRPr="00455191">
        <w:t xml:space="preserve">in 2022 </w:t>
      </w:r>
      <w:r w:rsidR="005D6AF0" w:rsidRPr="00455191">
        <w:t xml:space="preserve">to </w:t>
      </w:r>
      <w:r w:rsidR="00C23525" w:rsidRPr="00455191">
        <w:t xml:space="preserve">155 </w:t>
      </w:r>
      <w:r w:rsidR="005D6AF0" w:rsidRPr="00455191">
        <w:t xml:space="preserve">g/km </w:t>
      </w:r>
      <w:r w:rsidR="00967DB4" w:rsidRPr="00455191">
        <w:t>in</w:t>
      </w:r>
      <w:r w:rsidR="005D6AF0" w:rsidRPr="00455191">
        <w:t xml:space="preserve"> 2024</w:t>
      </w:r>
      <w:r w:rsidR="00F924CC" w:rsidRPr="00455191">
        <w:t>.</w:t>
      </w:r>
      <w:r w:rsidR="00BC1268" w:rsidRPr="00455191">
        <w:t xml:space="preserve"> </w:t>
      </w:r>
      <w:r w:rsidR="00F924CC" w:rsidRPr="00455191">
        <w:t>Th</w:t>
      </w:r>
      <w:r w:rsidR="007E61C2" w:rsidRPr="00455191">
        <w:t>is</w:t>
      </w:r>
      <w:r w:rsidR="00F924CC" w:rsidRPr="00455191">
        <w:t xml:space="preserve"> reduction </w:t>
      </w:r>
      <w:r w:rsidR="007E61C2" w:rsidRPr="00455191">
        <w:t>was largely underpinned by</w:t>
      </w:r>
      <w:r w:rsidR="00BC1268" w:rsidRPr="00455191">
        <w:t xml:space="preserve"> </w:t>
      </w:r>
      <w:r w:rsidR="007E61C2" w:rsidRPr="00455191">
        <w:t xml:space="preserve">a decline in </w:t>
      </w:r>
      <w:r w:rsidR="00BC1268" w:rsidRPr="00455191">
        <w:t>PC fleet</w:t>
      </w:r>
      <w:r w:rsidR="00842EAB" w:rsidRPr="00455191">
        <w:t xml:space="preserve"> CO</w:t>
      </w:r>
      <w:r w:rsidR="00842EAB" w:rsidRPr="00455191">
        <w:rPr>
          <w:vertAlign w:val="subscript"/>
        </w:rPr>
        <w:t>2</w:t>
      </w:r>
      <w:r w:rsidR="00842EAB" w:rsidRPr="00455191">
        <w:t xml:space="preserve"> </w:t>
      </w:r>
      <w:r w:rsidR="007E61C2" w:rsidRPr="00455191">
        <w:t xml:space="preserve">emissions </w:t>
      </w:r>
      <w:r w:rsidR="00EC7922" w:rsidRPr="00455191">
        <w:t>of</w:t>
      </w:r>
      <w:r w:rsidR="00540E34" w:rsidRPr="00455191">
        <w:t xml:space="preserve"> </w:t>
      </w:r>
      <w:r w:rsidR="00BD64B2" w:rsidRPr="00455191">
        <w:t xml:space="preserve">nearly </w:t>
      </w:r>
      <w:r w:rsidR="0097292D" w:rsidRPr="00455191">
        <w:t>12</w:t>
      </w:r>
      <w:r w:rsidR="008F1462" w:rsidRPr="00455191">
        <w:t xml:space="preserve">% </w:t>
      </w:r>
      <w:r w:rsidR="00EC7922" w:rsidRPr="00455191">
        <w:t>over this period</w:t>
      </w:r>
      <w:r w:rsidR="00F73BC0" w:rsidRPr="00455191">
        <w:t>,</w:t>
      </w:r>
      <w:r w:rsidR="00E557A2" w:rsidRPr="00455191">
        <w:t xml:space="preserve"> from 150 g/km</w:t>
      </w:r>
      <w:r w:rsidR="0021551B" w:rsidRPr="00455191">
        <w:t xml:space="preserve"> to 132 g/km</w:t>
      </w:r>
      <w:r w:rsidR="00BC1268" w:rsidRPr="00455191">
        <w:t xml:space="preserve">. </w:t>
      </w:r>
      <w:r w:rsidR="005A260D" w:rsidRPr="00455191">
        <w:t>CO</w:t>
      </w:r>
      <w:r w:rsidR="005A260D" w:rsidRPr="00455191">
        <w:rPr>
          <w:vertAlign w:val="subscript"/>
        </w:rPr>
        <w:t>2</w:t>
      </w:r>
      <w:r w:rsidR="005A260D" w:rsidRPr="00455191">
        <w:t xml:space="preserve"> emissions from the ICE</w:t>
      </w:r>
      <w:r w:rsidR="00AA0026" w:rsidRPr="00455191">
        <w:t xml:space="preserve"> </w:t>
      </w:r>
      <w:r w:rsidR="00B02476" w:rsidRPr="00455191">
        <w:t>PC fleet</w:t>
      </w:r>
      <w:r w:rsidR="0043424E" w:rsidRPr="00455191">
        <w:t xml:space="preserve"> </w:t>
      </w:r>
      <w:r w:rsidR="00203905" w:rsidRPr="00455191">
        <w:t>only slight</w:t>
      </w:r>
      <w:r w:rsidR="00055E7A" w:rsidRPr="00455191">
        <w:t>ly</w:t>
      </w:r>
      <w:r w:rsidR="00203905" w:rsidRPr="00455191">
        <w:t xml:space="preserve"> decreased</w:t>
      </w:r>
      <w:r w:rsidR="00E664E2" w:rsidRPr="00455191">
        <w:t xml:space="preserve"> by 3%</w:t>
      </w:r>
      <w:r w:rsidR="00B02476" w:rsidRPr="00455191">
        <w:t xml:space="preserve"> over the three years</w:t>
      </w:r>
      <w:r w:rsidR="00F73BC0" w:rsidRPr="00455191">
        <w:t>, from 158 g/km to 153 g/km</w:t>
      </w:r>
      <w:r w:rsidR="001D411D" w:rsidRPr="00455191">
        <w:t>.</w:t>
      </w:r>
      <w:r w:rsidR="00343F11" w:rsidRPr="00455191">
        <w:t xml:space="preserve"> </w:t>
      </w:r>
      <w:r w:rsidR="00E3651A" w:rsidRPr="00455191">
        <w:t>Th</w:t>
      </w:r>
      <w:r w:rsidR="00F73BC0" w:rsidRPr="00455191">
        <w:t>is</w:t>
      </w:r>
      <w:r w:rsidR="00E3651A" w:rsidRPr="00455191">
        <w:t xml:space="preserve"> modest emissions reduction in ICE PCs happens despite the substantial increase in </w:t>
      </w:r>
      <w:r w:rsidR="00C45621" w:rsidRPr="00455191">
        <w:t xml:space="preserve">petrol </w:t>
      </w:r>
      <w:r w:rsidR="00E3651A" w:rsidRPr="00455191">
        <w:t>hybrid vehicle sales</w:t>
      </w:r>
      <w:r w:rsidR="00F73BC0" w:rsidRPr="00455191">
        <w:t>, as shown in Figure 5</w:t>
      </w:r>
      <w:r w:rsidR="00E3651A" w:rsidRPr="00455191">
        <w:t>.</w:t>
      </w:r>
      <w:r w:rsidR="00F73BC0" w:rsidRPr="00455191">
        <w:t xml:space="preserve"> </w:t>
      </w:r>
      <w:r w:rsidR="00017A22" w:rsidRPr="00455191">
        <w:t>Further</w:t>
      </w:r>
      <w:r w:rsidR="006A2C64" w:rsidRPr="00455191">
        <w:t>,</w:t>
      </w:r>
      <w:r w:rsidR="00B02476" w:rsidRPr="00455191">
        <w:t xml:space="preserve"> </w:t>
      </w:r>
      <w:r w:rsidR="00B90A45" w:rsidRPr="00455191">
        <w:t>reduction</w:t>
      </w:r>
      <w:r w:rsidR="00E73CA9" w:rsidRPr="00455191">
        <w:t xml:space="preserve"> in </w:t>
      </w:r>
      <w:r w:rsidR="000C52B3" w:rsidRPr="00455191">
        <w:t xml:space="preserve">fleet-average </w:t>
      </w:r>
      <w:r w:rsidR="00E73CA9" w:rsidRPr="00455191">
        <w:t>emissions</w:t>
      </w:r>
      <w:r w:rsidR="00B90A45" w:rsidRPr="00455191">
        <w:t xml:space="preserve"> </w:t>
      </w:r>
      <w:r w:rsidR="00797E4C">
        <w:t>can be</w:t>
      </w:r>
      <w:r w:rsidR="00797E4C" w:rsidRPr="00455191">
        <w:t xml:space="preserve"> attribut</w:t>
      </w:r>
      <w:r w:rsidR="00797E4C">
        <w:t>ed</w:t>
      </w:r>
      <w:r w:rsidR="00797E4C" w:rsidRPr="00455191">
        <w:t xml:space="preserve"> </w:t>
      </w:r>
      <w:r w:rsidR="008F1462" w:rsidRPr="00455191">
        <w:t xml:space="preserve">to the </w:t>
      </w:r>
      <w:r w:rsidR="000C52B3" w:rsidRPr="00455191">
        <w:t>growth</w:t>
      </w:r>
      <w:r w:rsidR="00CE6598" w:rsidRPr="00455191">
        <w:t xml:space="preserve"> </w:t>
      </w:r>
      <w:r w:rsidR="00D6166A" w:rsidRPr="00455191">
        <w:t>of</w:t>
      </w:r>
      <w:r w:rsidR="00CE6598" w:rsidRPr="00455191">
        <w:t xml:space="preserve"> </w:t>
      </w:r>
      <w:r w:rsidR="00203905" w:rsidRPr="00455191">
        <w:t>BEV and PHEV</w:t>
      </w:r>
      <w:r w:rsidR="00BE419D" w:rsidRPr="00455191">
        <w:t xml:space="preserve"> sales</w:t>
      </w:r>
      <w:r w:rsidR="001F70F4" w:rsidRPr="00455191">
        <w:t>.</w:t>
      </w:r>
      <w:r w:rsidR="00D2039F" w:rsidRPr="00455191">
        <w:t xml:space="preserve"> </w:t>
      </w:r>
    </w:p>
    <w:p w14:paraId="1D285E8B" w14:textId="04371604" w:rsidR="008F525C" w:rsidRPr="00455191" w:rsidRDefault="00E53694" w:rsidP="00F61408">
      <w:r w:rsidRPr="00455191">
        <w:t xml:space="preserve">In contrast, </w:t>
      </w:r>
      <w:r w:rsidR="00E477F0" w:rsidRPr="00455191">
        <w:t xml:space="preserve">fleet-average </w:t>
      </w:r>
      <w:r w:rsidRPr="00455191">
        <w:t xml:space="preserve">emissions from </w:t>
      </w:r>
      <w:r w:rsidR="006342CF" w:rsidRPr="00455191">
        <w:t xml:space="preserve">the </w:t>
      </w:r>
      <w:r w:rsidRPr="00455191">
        <w:t>LCV fleet remained mostly flat</w:t>
      </w:r>
      <w:r w:rsidRPr="00455191" w:rsidDel="00E53694">
        <w:t xml:space="preserve"> </w:t>
      </w:r>
      <w:r w:rsidR="00EC070A" w:rsidRPr="00455191">
        <w:t>over the years</w:t>
      </w:r>
      <w:r w:rsidR="00923011">
        <w:t xml:space="preserve"> with a</w:t>
      </w:r>
      <w:r w:rsidR="00224ACE" w:rsidRPr="00455191">
        <w:t xml:space="preserve"> </w:t>
      </w:r>
      <w:r w:rsidR="00422D5E" w:rsidRPr="00455191">
        <w:t>1% reduction</w:t>
      </w:r>
      <w:r w:rsidR="00B203E9" w:rsidRPr="00455191">
        <w:t xml:space="preserve"> </w:t>
      </w:r>
      <w:r w:rsidR="00422D5E" w:rsidRPr="00455191">
        <w:t xml:space="preserve">from </w:t>
      </w:r>
      <w:r w:rsidR="001C2A4B" w:rsidRPr="00455191">
        <w:t>217 g/km in 2022 to 215 g/km in 2024</w:t>
      </w:r>
      <w:r w:rsidR="00474038" w:rsidRPr="00455191">
        <w:t>.</w:t>
      </w:r>
      <w:r w:rsidR="00603312" w:rsidRPr="00455191">
        <w:t xml:space="preserve"> </w:t>
      </w:r>
      <w:r w:rsidR="00C87203" w:rsidRPr="00455191">
        <w:t xml:space="preserve">In </w:t>
      </w:r>
      <w:r w:rsidR="001C6511" w:rsidRPr="00455191">
        <w:t>2024</w:t>
      </w:r>
      <w:r w:rsidR="00603312" w:rsidRPr="00455191">
        <w:t>,</w:t>
      </w:r>
      <w:r w:rsidR="001C6511" w:rsidRPr="00455191">
        <w:t xml:space="preserve"> </w:t>
      </w:r>
      <w:r w:rsidR="000F0FE9" w:rsidRPr="00455191">
        <w:t xml:space="preserve">fleet-average </w:t>
      </w:r>
      <w:r w:rsidR="00AE0B0E" w:rsidRPr="00455191">
        <w:t>emission</w:t>
      </w:r>
      <w:r w:rsidR="001C6511" w:rsidRPr="00455191">
        <w:t>s</w:t>
      </w:r>
      <w:r w:rsidR="00795A3A" w:rsidRPr="00455191">
        <w:t xml:space="preserve"> </w:t>
      </w:r>
      <w:r w:rsidR="00603312" w:rsidRPr="00455191">
        <w:t>for LCVs</w:t>
      </w:r>
      <w:r w:rsidR="00795A3A" w:rsidRPr="00455191">
        <w:t xml:space="preserve"> </w:t>
      </w:r>
      <w:r w:rsidR="00A5291E" w:rsidRPr="00455191">
        <w:t xml:space="preserve">were </w:t>
      </w:r>
      <w:r w:rsidR="00F6794F" w:rsidRPr="00455191">
        <w:t>6</w:t>
      </w:r>
      <w:r w:rsidR="00E4176C" w:rsidRPr="00455191">
        <w:t>2</w:t>
      </w:r>
      <w:r w:rsidR="00F6794F" w:rsidRPr="00455191">
        <w:t xml:space="preserve">% higher than </w:t>
      </w:r>
      <w:r w:rsidR="00603312" w:rsidRPr="00455191">
        <w:t xml:space="preserve">for </w:t>
      </w:r>
      <w:r w:rsidR="00F6794F" w:rsidRPr="00455191">
        <w:t>PC</w:t>
      </w:r>
      <w:r w:rsidR="00603312" w:rsidRPr="00455191">
        <w:t>s</w:t>
      </w:r>
      <w:r w:rsidR="00F6794F" w:rsidRPr="00455191">
        <w:t>.</w:t>
      </w:r>
      <w:r w:rsidR="00C219B0" w:rsidRPr="00455191">
        <w:t xml:space="preserve"> </w:t>
      </w:r>
      <w:r w:rsidR="00A66E39" w:rsidRPr="00455191">
        <w:t xml:space="preserve">Due to </w:t>
      </w:r>
      <w:r w:rsidR="005B6C95" w:rsidRPr="00455191">
        <w:t xml:space="preserve">low </w:t>
      </w:r>
      <w:r w:rsidR="009C63A5">
        <w:t>electric vehicle</w:t>
      </w:r>
      <w:r w:rsidR="009C63A5" w:rsidRPr="00455191">
        <w:t xml:space="preserve"> </w:t>
      </w:r>
      <w:r w:rsidR="00685603" w:rsidRPr="00455191">
        <w:t>uptake</w:t>
      </w:r>
      <w:r w:rsidR="000347D6" w:rsidRPr="00455191">
        <w:t xml:space="preserve"> </w:t>
      </w:r>
      <w:r w:rsidR="00C2300A" w:rsidRPr="00455191">
        <w:t>for the segm</w:t>
      </w:r>
      <w:r w:rsidR="004C19B2" w:rsidRPr="00455191">
        <w:t xml:space="preserve">ent as shown in Figures 4 and 5, </w:t>
      </w:r>
      <w:r w:rsidR="00F84BE4" w:rsidRPr="00455191">
        <w:t xml:space="preserve">the fleet-average </w:t>
      </w:r>
      <w:r w:rsidR="005529AF" w:rsidRPr="00455191">
        <w:t>LCV emissions</w:t>
      </w:r>
      <w:r w:rsidR="000763D6" w:rsidRPr="00455191">
        <w:t xml:space="preserve"> are mainly attributable to the </w:t>
      </w:r>
      <w:r w:rsidR="00D5654B" w:rsidRPr="00455191">
        <w:t xml:space="preserve">ICE </w:t>
      </w:r>
      <w:r w:rsidR="007F2F35">
        <w:t>vehicle and</w:t>
      </w:r>
      <w:r w:rsidR="00D5654B" w:rsidRPr="00455191">
        <w:t xml:space="preserve"> LCV emissions</w:t>
      </w:r>
      <w:r w:rsidR="00753920" w:rsidRPr="00455191">
        <w:t>,</w:t>
      </w:r>
      <w:r w:rsidR="00C67FBB" w:rsidRPr="00455191">
        <w:t xml:space="preserve"> with the same </w:t>
      </w:r>
      <w:r w:rsidR="00D26767" w:rsidRPr="00455191">
        <w:t xml:space="preserve">numerical emission </w:t>
      </w:r>
      <w:r w:rsidR="005F636B" w:rsidRPr="00455191">
        <w:t xml:space="preserve">values </w:t>
      </w:r>
      <w:r w:rsidR="00D26767" w:rsidRPr="00455191">
        <w:t>(in whole numbers)</w:t>
      </w:r>
      <w:r w:rsidR="00325E12" w:rsidRPr="00455191">
        <w:t xml:space="preserve"> over the years</w:t>
      </w:r>
      <w:r w:rsidR="00F61408">
        <w:t>.</w:t>
      </w:r>
    </w:p>
    <w:p w14:paraId="58DD9B0E" w14:textId="2DCF4473" w:rsidR="00A35E96" w:rsidRPr="00455191" w:rsidRDefault="00EE5C80" w:rsidP="00F61408">
      <w:r w:rsidRPr="00455191">
        <w:t>The difference in vehicle CO</w:t>
      </w:r>
      <w:r w:rsidRPr="00455191">
        <w:rPr>
          <w:vertAlign w:val="subscript"/>
        </w:rPr>
        <w:t>2</w:t>
      </w:r>
      <w:r w:rsidRPr="00455191">
        <w:t xml:space="preserve"> performance by </w:t>
      </w:r>
      <w:r w:rsidR="00473397" w:rsidRPr="00455191">
        <w:t xml:space="preserve">vehicle type </w:t>
      </w:r>
      <w:r w:rsidR="008F525C" w:rsidRPr="00455191">
        <w:t xml:space="preserve">will </w:t>
      </w:r>
      <w:r w:rsidRPr="00455191">
        <w:t>inform the conversion factor development in Section 4.</w:t>
      </w:r>
    </w:p>
    <w:p w14:paraId="0232A742" w14:textId="1001F970" w:rsidR="00E12317" w:rsidRPr="000E2ED1" w:rsidRDefault="00E12317" w:rsidP="003A174C">
      <w:pPr>
        <w:pStyle w:val="Tablecaption"/>
      </w:pPr>
      <w:bookmarkStart w:id="10" w:name="_Ref191910765"/>
      <w:r w:rsidRPr="000E2ED1">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7</w:t>
      </w:r>
      <w:r w:rsidR="005867AA" w:rsidRPr="000E2ED1">
        <w:fldChar w:fldCharType="end"/>
      </w:r>
      <w:bookmarkEnd w:id="10"/>
      <w:r w:rsidRPr="000E2ED1">
        <w:t xml:space="preserve"> </w:t>
      </w:r>
      <w:r w:rsidR="007F2F35">
        <w:br/>
      </w:r>
      <w:r w:rsidR="00F66AF0" w:rsidRPr="000E2ED1">
        <w:t>F</w:t>
      </w:r>
      <w:r w:rsidR="00876D04" w:rsidRPr="000E2ED1">
        <w:t xml:space="preserve">leet-average </w:t>
      </w:r>
      <w:r w:rsidR="00F66AF0" w:rsidRPr="000E2ED1">
        <w:t>NEDC CO</w:t>
      </w:r>
      <w:r w:rsidR="00F66AF0" w:rsidRPr="000E2ED1">
        <w:rPr>
          <w:vertAlign w:val="subscript"/>
        </w:rPr>
        <w:t>2</w:t>
      </w:r>
      <w:r w:rsidR="00965E43" w:rsidRPr="000E2ED1">
        <w:t xml:space="preserve"> emission</w:t>
      </w:r>
      <w:r w:rsidR="00AB3D16" w:rsidRPr="000E2ED1">
        <w:t xml:space="preserve"> values</w:t>
      </w:r>
      <w:r w:rsidR="00965E43" w:rsidRPr="000E2ED1">
        <w:t xml:space="preserve"> </w:t>
      </w:r>
      <w:r w:rsidR="006C46BF" w:rsidRPr="000E2ED1">
        <w:t xml:space="preserve">of </w:t>
      </w:r>
      <w:r w:rsidR="00F66AF0" w:rsidRPr="000E2ED1">
        <w:t xml:space="preserve">the </w:t>
      </w:r>
      <w:r w:rsidR="006859C5" w:rsidRPr="000E2ED1">
        <w:t xml:space="preserve">new </w:t>
      </w:r>
      <w:r w:rsidR="007F2F35">
        <w:t>light-duty vehicle</w:t>
      </w:r>
      <w:r w:rsidR="007F2F35" w:rsidRPr="000E2ED1">
        <w:t xml:space="preserve"> </w:t>
      </w:r>
      <w:r w:rsidR="001634C6" w:rsidRPr="000E2ED1">
        <w:t>fleet</w:t>
      </w:r>
      <w:r w:rsidR="00876D04" w:rsidRPr="000E2ED1">
        <w:t xml:space="preserve"> </w:t>
      </w:r>
      <w:r w:rsidR="00F66AF0" w:rsidRPr="000E2ED1">
        <w:t>in Australia</w:t>
      </w:r>
      <w:r w:rsidR="00F50C64" w:rsidRPr="000E2ED1">
        <w:t>,</w:t>
      </w:r>
      <w:r w:rsidR="00876D04" w:rsidRPr="000E2ED1">
        <w:t xml:space="preserve"> by vehicle type</w:t>
      </w:r>
    </w:p>
    <w:p w14:paraId="003CC83B" w14:textId="31E1F118" w:rsidR="00EA655D" w:rsidRPr="00455191" w:rsidRDefault="00C575BD" w:rsidP="00F61408">
      <w:r w:rsidRPr="00455191">
        <w:rPr>
          <w:noProof/>
        </w:rPr>
        <w:t xml:space="preserve"> </w:t>
      </w:r>
      <w:r w:rsidR="00025E53" w:rsidRPr="00455191">
        <w:rPr>
          <w:noProof/>
        </w:rPr>
        <w:t xml:space="preserve"> </w:t>
      </w:r>
      <w:r w:rsidR="00025E53" w:rsidRPr="00455191">
        <w:rPr>
          <w:noProof/>
        </w:rPr>
        <w:drawing>
          <wp:inline distT="0" distB="0" distL="0" distR="0" wp14:anchorId="40FB45B2" wp14:editId="1ABBBA73">
            <wp:extent cx="4569128" cy="3200400"/>
            <wp:effectExtent l="0" t="0" r="3175" b="0"/>
            <wp:docPr id="853453831" name="Picture 853453831" descr="Figure 7 -  line chart illustrating the change in average CO2 emissions from new cars and light commercial vehicles from 2022 to 2024.  It shows that CO2 emissions from passenger vehicles have improved by more than 10 per cent since 2022, but light commercial vehicles have only improved by 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53831" name="Picture 853453831" descr="Figure 7 -  line chart illustrating the change in average CO2 emissions from new cars and light commercial vehicles from 2022 to 2024.  It shows that CO2 emissions from passenger vehicles have improved by more than 10 per cent since 2022, but light commercial vehicles have only improved by 1 per cent."/>
                    <pic:cNvPicPr/>
                  </pic:nvPicPr>
                  <pic:blipFill>
                    <a:blip r:embed="rId18"/>
                    <a:stretch>
                      <a:fillRect/>
                    </a:stretch>
                  </pic:blipFill>
                  <pic:spPr>
                    <a:xfrm>
                      <a:off x="0" y="0"/>
                      <a:ext cx="4569128" cy="3200400"/>
                    </a:xfrm>
                    <a:prstGeom prst="rect">
                      <a:avLst/>
                    </a:prstGeom>
                  </pic:spPr>
                </pic:pic>
              </a:graphicData>
            </a:graphic>
          </wp:inline>
        </w:drawing>
      </w:r>
      <w:r w:rsidR="004E6E5D" w:rsidRPr="00455191">
        <w:rPr>
          <w:noProof/>
        </w:rPr>
        <w:t xml:space="preserve"> </w:t>
      </w:r>
      <w:r w:rsidRPr="00455191">
        <w:rPr>
          <w:noProof/>
        </w:rPr>
        <w:t xml:space="preserve"> </w:t>
      </w:r>
    </w:p>
    <w:p w14:paraId="76C34FBC" w14:textId="4BB5717F" w:rsidR="004634D3" w:rsidRPr="000E2ED1" w:rsidRDefault="00487E52" w:rsidP="003A174C">
      <w:pPr>
        <w:pStyle w:val="Tablecaption"/>
      </w:pPr>
      <w:r w:rsidRPr="000E2ED1">
        <w:lastRenderedPageBreak/>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8</w:t>
      </w:r>
      <w:r w:rsidR="005867AA" w:rsidRPr="000E2ED1">
        <w:fldChar w:fldCharType="end"/>
      </w:r>
      <w:r w:rsidRPr="000E2ED1">
        <w:t xml:space="preserve"> </w:t>
      </w:r>
      <w:r w:rsidR="0066564E">
        <w:br/>
      </w:r>
      <w:r w:rsidR="00F50C64" w:rsidRPr="000E2ED1">
        <w:t>A</w:t>
      </w:r>
      <w:r w:rsidR="00876D04" w:rsidRPr="000E2ED1">
        <w:t xml:space="preserve">verage </w:t>
      </w:r>
      <w:r w:rsidR="00F50C64" w:rsidRPr="000E2ED1">
        <w:t>NEDC CO</w:t>
      </w:r>
      <w:r w:rsidR="00F50C64" w:rsidRPr="000E2ED1">
        <w:rPr>
          <w:vertAlign w:val="subscript"/>
        </w:rPr>
        <w:t>2</w:t>
      </w:r>
      <w:r w:rsidR="00876D04" w:rsidRPr="000E2ED1">
        <w:t xml:space="preserve"> emission values of </w:t>
      </w:r>
      <w:r w:rsidR="00F50C64" w:rsidRPr="000E2ED1">
        <w:t xml:space="preserve">the new </w:t>
      </w:r>
      <w:r w:rsidR="00876D04" w:rsidRPr="000E2ED1">
        <w:t xml:space="preserve">ICE </w:t>
      </w:r>
      <w:r w:rsidR="00F50C64" w:rsidRPr="000E2ED1">
        <w:t xml:space="preserve">LDV fleet in Australia, </w:t>
      </w:r>
      <w:r w:rsidR="00876D04" w:rsidRPr="000E2ED1">
        <w:t>by vehicle and fuel type</w:t>
      </w:r>
    </w:p>
    <w:p w14:paraId="17F4CF63" w14:textId="77777777" w:rsidR="00625C88" w:rsidRPr="00455191" w:rsidRDefault="00BE35CF" w:rsidP="00F61408">
      <w:pPr>
        <w:rPr>
          <w:noProof/>
        </w:rPr>
      </w:pPr>
      <w:r w:rsidRPr="00455191">
        <w:rPr>
          <w:noProof/>
        </w:rPr>
        <w:drawing>
          <wp:inline distT="0" distB="0" distL="0" distR="0" wp14:anchorId="204D676B" wp14:editId="36FEB0F7">
            <wp:extent cx="6115164" cy="2286000"/>
            <wp:effectExtent l="0" t="0" r="6350" b="0"/>
            <wp:docPr id="1412721917" name="Picture 1412721917" descr="Figure 8 - line chart showing the change in average CO2 emissions for non hybrid petrol and diesel vehicles.  The lines show that average CO2 emissions from traditional petrol and diesel vehicles are not impr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21917" name="Picture 1412721917" descr="Figure 8 - line chart showing the change in average CO2 emissions for non hybrid petrol and diesel vehicles.  The lines show that average CO2 emissions from traditional petrol and diesel vehicles are not improving."/>
                    <pic:cNvPicPr/>
                  </pic:nvPicPr>
                  <pic:blipFill>
                    <a:blip r:embed="rId19"/>
                    <a:stretch>
                      <a:fillRect/>
                    </a:stretch>
                  </pic:blipFill>
                  <pic:spPr>
                    <a:xfrm>
                      <a:off x="0" y="0"/>
                      <a:ext cx="6115164" cy="2286000"/>
                    </a:xfrm>
                    <a:prstGeom prst="rect">
                      <a:avLst/>
                    </a:prstGeom>
                  </pic:spPr>
                </pic:pic>
              </a:graphicData>
            </a:graphic>
          </wp:inline>
        </w:drawing>
      </w:r>
      <w:r w:rsidRPr="00455191" w:rsidDel="00BE35CF">
        <w:rPr>
          <w:noProof/>
        </w:rPr>
        <w:t xml:space="preserve"> </w:t>
      </w:r>
    </w:p>
    <w:p w14:paraId="28719889" w14:textId="4A485E7A" w:rsidR="005867AA" w:rsidRPr="00455191" w:rsidRDefault="00625C88" w:rsidP="00B55BEC">
      <w:pPr>
        <w:pStyle w:val="Heading3"/>
      </w:pPr>
      <w:r w:rsidRPr="00455191">
        <w:rPr>
          <w:noProof/>
        </w:rPr>
        <w:t xml:space="preserve">3.5 </w:t>
      </w:r>
      <w:r w:rsidR="00333C55" w:rsidRPr="00455191">
        <w:rPr>
          <w:noProof/>
        </w:rPr>
        <w:t>Countries of origin</w:t>
      </w:r>
      <w:r w:rsidR="00847850" w:rsidRPr="00455191">
        <w:rPr>
          <w:szCs w:val="28"/>
        </w:rPr>
        <w:fldChar w:fldCharType="begin" w:fldLock="1"/>
      </w:r>
      <w:r w:rsidR="00847850" w:rsidRPr="00455191">
        <w:instrText xml:space="preserve"> REF _Ref192108608 \h </w:instrText>
      </w:r>
      <w:r w:rsidR="00351371" w:rsidRPr="00455191">
        <w:instrText xml:space="preserve"> \* MERGEFORMAT </w:instrText>
      </w:r>
      <w:r w:rsidR="00847850" w:rsidRPr="00455191">
        <w:rPr>
          <w:szCs w:val="28"/>
        </w:rPr>
      </w:r>
      <w:r w:rsidR="00847850" w:rsidRPr="00455191">
        <w:rPr>
          <w:szCs w:val="28"/>
        </w:rPr>
        <w:fldChar w:fldCharType="separate"/>
      </w:r>
    </w:p>
    <w:p w14:paraId="4F1025B1" w14:textId="42574F31" w:rsidR="00216634" w:rsidRPr="00455191" w:rsidRDefault="005867AA" w:rsidP="00F61408">
      <w:r w:rsidRPr="00455191">
        <w:t>Figure 9</w:t>
      </w:r>
      <w:r w:rsidR="00847850" w:rsidRPr="00455191">
        <w:fldChar w:fldCharType="end"/>
      </w:r>
      <w:r w:rsidR="00847850" w:rsidRPr="00455191">
        <w:t xml:space="preserve"> </w:t>
      </w:r>
      <w:r w:rsidR="00060563" w:rsidRPr="00455191" w:rsidDel="001F4EBF">
        <w:t xml:space="preserve">shows </w:t>
      </w:r>
      <w:r w:rsidR="00060563" w:rsidRPr="00455191">
        <w:t xml:space="preserve">the major </w:t>
      </w:r>
      <w:r w:rsidR="00997458" w:rsidRPr="00455191">
        <w:t>ex</w:t>
      </w:r>
      <w:r w:rsidR="00060563" w:rsidRPr="00455191">
        <w:t xml:space="preserve">porting countries to </w:t>
      </w:r>
      <w:r w:rsidR="002072EE" w:rsidRPr="00455191">
        <w:t xml:space="preserve">the </w:t>
      </w:r>
      <w:r w:rsidR="00060563" w:rsidRPr="00455191">
        <w:t xml:space="preserve">Australian </w:t>
      </w:r>
      <w:r w:rsidR="00DC24F6" w:rsidRPr="00455191">
        <w:t xml:space="preserve">LDV </w:t>
      </w:r>
      <w:r w:rsidR="00060563" w:rsidRPr="00455191">
        <w:t>market based on 2024 market shares.</w:t>
      </w:r>
      <w:r w:rsidR="00112E97" w:rsidRPr="00455191">
        <w:t xml:space="preserve"> </w:t>
      </w:r>
      <w:r w:rsidR="00D3596B" w:rsidRPr="00455191">
        <w:t>As noted above, t</w:t>
      </w:r>
      <w:r w:rsidR="00112E97" w:rsidRPr="00455191">
        <w:t>h</w:t>
      </w:r>
      <w:r w:rsidR="00D3596B" w:rsidRPr="00455191">
        <w:t>is</w:t>
      </w:r>
      <w:r w:rsidR="00112E97" w:rsidRPr="00455191">
        <w:t xml:space="preserve"> </w:t>
      </w:r>
      <w:r w:rsidR="00B87808" w:rsidRPr="00455191">
        <w:t>information is for illustrative purpose</w:t>
      </w:r>
      <w:r w:rsidR="00D3596B" w:rsidRPr="00455191">
        <w:t>s,</w:t>
      </w:r>
      <w:r w:rsidR="00B87808" w:rsidRPr="00455191">
        <w:t xml:space="preserve"> as the data coverage </w:t>
      </w:r>
      <w:r w:rsidR="004043D6" w:rsidRPr="00455191">
        <w:t xml:space="preserve">is low compared </w:t>
      </w:r>
      <w:r w:rsidR="00D3596B" w:rsidRPr="00455191">
        <w:t xml:space="preserve">with </w:t>
      </w:r>
      <w:r w:rsidR="004043D6" w:rsidRPr="00455191">
        <w:t>total LDV sales.</w:t>
      </w:r>
      <w:r w:rsidR="00060563" w:rsidRPr="00455191">
        <w:t xml:space="preserve"> Vehicles imported from Japan, </w:t>
      </w:r>
      <w:r w:rsidR="00CF28EB">
        <w:t>South Korea, and</w:t>
      </w:r>
      <w:r w:rsidR="00060563" w:rsidRPr="00455191">
        <w:t xml:space="preserve"> Thailand </w:t>
      </w:r>
      <w:r w:rsidR="005510B3" w:rsidRPr="00455191">
        <w:t xml:space="preserve">together </w:t>
      </w:r>
      <w:r w:rsidR="00060563" w:rsidRPr="00455191">
        <w:t>represent</w:t>
      </w:r>
      <w:r w:rsidR="00AA6BA5" w:rsidRPr="00455191">
        <w:t>ed</w:t>
      </w:r>
      <w:r w:rsidR="00060563" w:rsidRPr="00455191">
        <w:t xml:space="preserve"> nearly 80% of the Australian market. The E</w:t>
      </w:r>
      <w:r w:rsidR="005510B3" w:rsidRPr="00455191">
        <w:t xml:space="preserve">uropean </w:t>
      </w:r>
      <w:r w:rsidR="00060563" w:rsidRPr="00455191">
        <w:t>U</w:t>
      </w:r>
      <w:r w:rsidR="005510B3" w:rsidRPr="00455191">
        <w:t>nion</w:t>
      </w:r>
      <w:r w:rsidR="00060563" w:rsidRPr="00455191">
        <w:t xml:space="preserve"> (7%), China (6%), the </w:t>
      </w:r>
      <w:r w:rsidR="005510B3" w:rsidRPr="00455191">
        <w:t>United States</w:t>
      </w:r>
      <w:r w:rsidR="00060563" w:rsidRPr="00455191">
        <w:t xml:space="preserve"> (2.1%), and South Africa (1.6%) </w:t>
      </w:r>
      <w:r w:rsidR="009653DA" w:rsidRPr="00455191">
        <w:t xml:space="preserve">were </w:t>
      </w:r>
      <w:r w:rsidR="00060563" w:rsidRPr="00455191">
        <w:t xml:space="preserve">other key </w:t>
      </w:r>
      <w:r w:rsidR="008F6F9A" w:rsidRPr="00455191">
        <w:t>exporters</w:t>
      </w:r>
      <w:r w:rsidR="00060563" w:rsidRPr="00455191">
        <w:t>.</w:t>
      </w:r>
      <w:r w:rsidR="00D84090" w:rsidRPr="00455191">
        <w:t xml:space="preserve"> </w:t>
      </w:r>
      <w:r w:rsidR="000946D2" w:rsidRPr="00455191">
        <w:t>Th</w:t>
      </w:r>
      <w:r w:rsidR="00D400E2" w:rsidRPr="00455191">
        <w:t xml:space="preserve">is list </w:t>
      </w:r>
      <w:r w:rsidR="005A71A8" w:rsidRPr="00455191">
        <w:t>is</w:t>
      </w:r>
      <w:r w:rsidR="000946D2" w:rsidRPr="00455191">
        <w:t xml:space="preserve"> consistent </w:t>
      </w:r>
      <w:r w:rsidR="00D400E2" w:rsidRPr="00455191">
        <w:t xml:space="preserve">with that reported by </w:t>
      </w:r>
      <w:r w:rsidR="00581745" w:rsidRPr="00455191">
        <w:t>other independent sou</w:t>
      </w:r>
      <w:r w:rsidR="00177D05" w:rsidRPr="00455191">
        <w:t>r</w:t>
      </w:r>
      <w:r w:rsidR="00581745" w:rsidRPr="00455191">
        <w:t>ce</w:t>
      </w:r>
      <w:r w:rsidR="008E30A2" w:rsidRPr="00455191">
        <w:t>s</w:t>
      </w:r>
      <w:r w:rsidR="00C710C2" w:rsidRPr="00455191">
        <w:t xml:space="preserve"> </w:t>
      </w:r>
      <w:r w:rsidR="00F20758" w:rsidRPr="00455191">
        <w:rPr>
          <w:noProof/>
        </w:rPr>
        <w:t>(Observatory of Economic Complexity, 2025)</w:t>
      </w:r>
      <w:r w:rsidR="008E74AF" w:rsidRPr="00455191">
        <w:t>.</w:t>
      </w:r>
      <w:r w:rsidR="00D400E2" w:rsidRPr="00455191">
        <w:t xml:space="preserve"> </w:t>
      </w:r>
      <w:r w:rsidR="00D84090" w:rsidRPr="00455191">
        <w:t xml:space="preserve">As </w:t>
      </w:r>
      <w:r w:rsidR="00D70CC2" w:rsidRPr="00455191">
        <w:t>shown</w:t>
      </w:r>
      <w:r w:rsidR="00D84090" w:rsidRPr="00455191">
        <w:t xml:space="preserve"> in </w:t>
      </w:r>
      <w:r w:rsidR="003665BF" w:rsidRPr="00455191">
        <w:t>Table 1</w:t>
      </w:r>
      <w:r w:rsidR="009B0AD1" w:rsidRPr="00455191">
        <w:t xml:space="preserve">, </w:t>
      </w:r>
      <w:r w:rsidR="003E49E9" w:rsidRPr="00455191">
        <w:t>most of these</w:t>
      </w:r>
      <w:r w:rsidR="001D33B1" w:rsidRPr="00455191">
        <w:t xml:space="preserve"> countries</w:t>
      </w:r>
      <w:r w:rsidR="00AE32C6" w:rsidRPr="00455191">
        <w:t>, except for South Africa</w:t>
      </w:r>
      <w:r w:rsidR="00ED35AD">
        <w:t xml:space="preserve"> and Thailand</w:t>
      </w:r>
      <w:r w:rsidR="00AE32C6" w:rsidRPr="00455191">
        <w:t>,</w:t>
      </w:r>
      <w:r w:rsidR="001D33B1" w:rsidRPr="00455191">
        <w:t xml:space="preserve"> </w:t>
      </w:r>
      <w:r w:rsidR="00C9143B" w:rsidRPr="00455191">
        <w:t xml:space="preserve">have their own </w:t>
      </w:r>
      <w:r w:rsidR="00FE5647" w:rsidRPr="00455191">
        <w:t>fuel efficiency</w:t>
      </w:r>
      <w:r w:rsidR="00D70CC2" w:rsidRPr="00455191">
        <w:t xml:space="preserve"> or </w:t>
      </w:r>
      <w:r w:rsidR="00FE5647" w:rsidRPr="00455191">
        <w:t>CO</w:t>
      </w:r>
      <w:r w:rsidR="00FE5647" w:rsidRPr="00455191">
        <w:rPr>
          <w:vertAlign w:val="subscript"/>
        </w:rPr>
        <w:t>2</w:t>
      </w:r>
      <w:r w:rsidR="00FE5647" w:rsidRPr="00455191">
        <w:t xml:space="preserve"> </w:t>
      </w:r>
      <w:r w:rsidR="00C9143B" w:rsidRPr="00455191">
        <w:t xml:space="preserve">regulations </w:t>
      </w:r>
      <w:r w:rsidR="00A22BE0" w:rsidRPr="00455191">
        <w:t xml:space="preserve">and </w:t>
      </w:r>
      <w:r w:rsidR="00DF1344" w:rsidRPr="00455191">
        <w:t xml:space="preserve">use </w:t>
      </w:r>
      <w:r w:rsidR="00B41617" w:rsidRPr="00455191">
        <w:t xml:space="preserve">either </w:t>
      </w:r>
      <w:r w:rsidR="005839BF" w:rsidRPr="00455191">
        <w:t xml:space="preserve">the </w:t>
      </w:r>
      <w:r w:rsidR="00BF2E28" w:rsidRPr="00455191">
        <w:t>WLTP</w:t>
      </w:r>
      <w:r w:rsidR="006A6D63" w:rsidRPr="00455191">
        <w:t xml:space="preserve"> </w:t>
      </w:r>
      <w:r w:rsidR="001941E1" w:rsidRPr="00455191">
        <w:t xml:space="preserve">or the U.S. 2-cycle tests </w:t>
      </w:r>
      <w:r w:rsidR="003730AF" w:rsidRPr="00455191">
        <w:t>for type</w:t>
      </w:r>
      <w:r w:rsidR="00D70CC2" w:rsidRPr="00455191">
        <w:t>-</w:t>
      </w:r>
      <w:r w:rsidR="003730AF" w:rsidRPr="00455191">
        <w:t xml:space="preserve">approval </w:t>
      </w:r>
      <w:r w:rsidR="00DD7696" w:rsidRPr="00455191">
        <w:t>and compliance determination</w:t>
      </w:r>
      <w:r w:rsidR="00612CFA" w:rsidRPr="00455191">
        <w:t xml:space="preserve">. </w:t>
      </w:r>
      <w:r w:rsidR="006F7D72" w:rsidRPr="00455191">
        <w:t>V</w:t>
      </w:r>
      <w:r w:rsidR="00612CFA" w:rsidRPr="00455191">
        <w:t xml:space="preserve">ehicles imported from these countries are </w:t>
      </w:r>
      <w:r w:rsidR="006F7D72" w:rsidRPr="00455191">
        <w:t xml:space="preserve">thus </w:t>
      </w:r>
      <w:r w:rsidR="00612CFA" w:rsidRPr="00455191">
        <w:t>likely</w:t>
      </w:r>
      <w:r w:rsidR="00863111" w:rsidRPr="00455191">
        <w:t xml:space="preserve"> already</w:t>
      </w:r>
      <w:r w:rsidR="00612CFA" w:rsidRPr="00455191">
        <w:t xml:space="preserve"> type-approved </w:t>
      </w:r>
      <w:r w:rsidR="005A43F3" w:rsidRPr="00455191">
        <w:t>based on the</w:t>
      </w:r>
      <w:r w:rsidR="00DC24F6" w:rsidRPr="00455191">
        <w:t>ir domestic</w:t>
      </w:r>
      <w:r w:rsidR="005A43F3" w:rsidRPr="00455191">
        <w:t xml:space="preserve"> procedure</w:t>
      </w:r>
      <w:r w:rsidR="00DC24F6" w:rsidRPr="00455191">
        <w:t>s</w:t>
      </w:r>
      <w:r w:rsidR="00C70E63" w:rsidRPr="00455191" w:rsidDel="00644270">
        <w:t>.</w:t>
      </w:r>
      <w:bookmarkStart w:id="11" w:name="_Ref192108608"/>
    </w:p>
    <w:p w14:paraId="70DA7A03" w14:textId="5666C040" w:rsidR="00060563" w:rsidRPr="000E2ED1" w:rsidRDefault="002D583E" w:rsidP="003A174C">
      <w:pPr>
        <w:pStyle w:val="Tablecaption"/>
      </w:pPr>
      <w:r w:rsidRPr="000E2ED1">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9</w:t>
      </w:r>
      <w:r w:rsidR="005867AA" w:rsidRPr="000E2ED1">
        <w:fldChar w:fldCharType="end"/>
      </w:r>
      <w:bookmarkEnd w:id="11"/>
      <w:r w:rsidR="00060563" w:rsidRPr="000E2ED1">
        <w:t xml:space="preserve"> </w:t>
      </w:r>
      <w:r w:rsidR="0095201C">
        <w:br/>
      </w:r>
      <w:r w:rsidR="00DC24F6" w:rsidRPr="000E2ED1">
        <w:t xml:space="preserve">Exporters to the Australian </w:t>
      </w:r>
      <w:r w:rsidR="00272D19">
        <w:t>light-duty vehicle</w:t>
      </w:r>
      <w:r w:rsidR="00272D19" w:rsidRPr="000E2ED1">
        <w:t xml:space="preserve"> </w:t>
      </w:r>
      <w:r w:rsidR="00DC24F6" w:rsidRPr="000E2ED1">
        <w:t>market by market share</w:t>
      </w:r>
      <w:r w:rsidR="0095201C">
        <w:t xml:space="preserve"> in</w:t>
      </w:r>
      <w:r w:rsidR="00DC24F6" w:rsidRPr="000E2ED1">
        <w:t xml:space="preserve"> 2024</w:t>
      </w:r>
    </w:p>
    <w:p w14:paraId="5F59B42B" w14:textId="1FA25D61" w:rsidR="00F800E5" w:rsidRPr="00455191" w:rsidRDefault="00060563" w:rsidP="00F61408">
      <w:r w:rsidRPr="00455191">
        <w:rPr>
          <w:noProof/>
        </w:rPr>
        <w:drawing>
          <wp:inline distT="0" distB="0" distL="0" distR="0" wp14:anchorId="579AEE9A" wp14:editId="7C0956FD">
            <wp:extent cx="3476978" cy="2560320"/>
            <wp:effectExtent l="0" t="0" r="3175" b="5080"/>
            <wp:docPr id="741066045" name="Picture 1" descr="Figure 9 - pie chart showing where new cars sold in Australia are imported from. Japan and Thailand supplied around two thirds of new cars sold in Australia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66045" name="Picture 1" descr="Figure 9 - pie chart showing where new cars sold in Australia are imported from. Japan and Thailand supplied around two thirds of new cars sold in Australia in 2024."/>
                    <pic:cNvPicPr/>
                  </pic:nvPicPr>
                  <pic:blipFill>
                    <a:blip r:embed="rId20"/>
                    <a:stretch>
                      <a:fillRect/>
                    </a:stretch>
                  </pic:blipFill>
                  <pic:spPr>
                    <a:xfrm>
                      <a:off x="0" y="0"/>
                      <a:ext cx="3476978" cy="2560320"/>
                    </a:xfrm>
                    <a:prstGeom prst="rect">
                      <a:avLst/>
                    </a:prstGeom>
                  </pic:spPr>
                </pic:pic>
              </a:graphicData>
            </a:graphic>
          </wp:inline>
        </w:drawing>
      </w:r>
    </w:p>
    <w:p w14:paraId="42901490" w14:textId="0EE71164" w:rsidR="000B6C62" w:rsidRPr="00455191" w:rsidRDefault="000B6C62" w:rsidP="00B55BEC">
      <w:pPr>
        <w:pStyle w:val="Heading2"/>
      </w:pPr>
      <w:bookmarkStart w:id="12" w:name="_Ref194324509"/>
      <w:r w:rsidRPr="00455191">
        <w:lastRenderedPageBreak/>
        <w:t>Method</w:t>
      </w:r>
      <w:r w:rsidR="00C547AB" w:rsidRPr="00455191">
        <w:t>ology</w:t>
      </w:r>
      <w:r w:rsidR="009F6BAF" w:rsidRPr="00455191">
        <w:t xml:space="preserve"> and </w:t>
      </w:r>
      <w:r w:rsidR="00C547AB" w:rsidRPr="00455191">
        <w:t>r</w:t>
      </w:r>
      <w:r w:rsidR="009F6BAF" w:rsidRPr="00455191">
        <w:t>esults</w:t>
      </w:r>
      <w:bookmarkEnd w:id="12"/>
    </w:p>
    <w:p w14:paraId="2C71AC9C" w14:textId="74EF8EDE" w:rsidR="000B6C62" w:rsidRPr="00455191" w:rsidRDefault="0064255D" w:rsidP="00F61408">
      <w:r w:rsidRPr="00455191">
        <w:t>T</w:t>
      </w:r>
      <w:r w:rsidR="00842002" w:rsidRPr="00455191">
        <w:t xml:space="preserve">his analysis </w:t>
      </w:r>
      <w:r w:rsidR="007A4231" w:rsidRPr="00455191">
        <w:t xml:space="preserve">applies </w:t>
      </w:r>
      <w:r w:rsidR="00842002" w:rsidRPr="00455191">
        <w:t>t</w:t>
      </w:r>
      <w:r w:rsidR="00E95095" w:rsidRPr="00455191">
        <w:t>he</w:t>
      </w:r>
      <w:r w:rsidR="000B6C62" w:rsidRPr="00455191">
        <w:t xml:space="preserve"> statistical</w:t>
      </w:r>
      <w:r w:rsidR="006165B3" w:rsidRPr="00455191">
        <w:t xml:space="preserve"> </w:t>
      </w:r>
      <w:r w:rsidR="000B6C62" w:rsidRPr="00455191">
        <w:t xml:space="preserve">regression method </w:t>
      </w:r>
      <w:r w:rsidR="007A4231" w:rsidRPr="00455191">
        <w:t xml:space="preserve">described </w:t>
      </w:r>
      <w:r w:rsidR="006F367D" w:rsidRPr="00455191">
        <w:t xml:space="preserve">in </w:t>
      </w:r>
      <w:r w:rsidR="00EF0B2B" w:rsidRPr="00455191">
        <w:t>S</w:t>
      </w:r>
      <w:r w:rsidR="006F367D" w:rsidRPr="00455191">
        <w:t>ection 2.3</w:t>
      </w:r>
      <w:r w:rsidR="00A965CE" w:rsidRPr="00455191">
        <w:t>.2</w:t>
      </w:r>
      <w:r w:rsidR="007A4231" w:rsidRPr="00455191">
        <w:t xml:space="preserve"> </w:t>
      </w:r>
      <w:r w:rsidR="00842002" w:rsidRPr="00455191">
        <w:t>to develop</w:t>
      </w:r>
      <w:r w:rsidR="001E67FE" w:rsidRPr="00455191">
        <w:t xml:space="preserve"> </w:t>
      </w:r>
      <w:r w:rsidR="00C80FCB" w:rsidRPr="00455191">
        <w:t>cycle conversion</w:t>
      </w:r>
      <w:r w:rsidR="001E67FE" w:rsidRPr="00455191">
        <w:t xml:space="preserve"> parameters</w:t>
      </w:r>
      <w:r w:rsidR="00A85C3A">
        <w:t>.</w:t>
      </w:r>
      <w:r w:rsidR="00FA13BC" w:rsidRPr="00455191">
        <w:t xml:space="preserve"> </w:t>
      </w:r>
      <w:r w:rsidR="00A85C3A">
        <w:t>T</w:t>
      </w:r>
      <w:r w:rsidR="00FA13BC" w:rsidRPr="00455191">
        <w:t xml:space="preserve">his approach </w:t>
      </w:r>
      <w:r w:rsidR="007A4231" w:rsidRPr="00455191">
        <w:t xml:space="preserve">has been </w:t>
      </w:r>
      <w:r w:rsidR="00DF7151" w:rsidRPr="00455191">
        <w:t xml:space="preserve">widely adopted by other analyses and is </w:t>
      </w:r>
      <w:r w:rsidR="000B6C62" w:rsidRPr="00455191">
        <w:t>functional</w:t>
      </w:r>
      <w:r w:rsidR="00DF7151" w:rsidRPr="00455191">
        <w:t xml:space="preserve"> and</w:t>
      </w:r>
      <w:r w:rsidR="000B6C62" w:rsidRPr="00455191">
        <w:t xml:space="preserve"> convenien</w:t>
      </w:r>
      <w:r w:rsidR="00614428" w:rsidRPr="00455191">
        <w:t>t</w:t>
      </w:r>
      <w:r w:rsidR="00DF7151" w:rsidRPr="00455191">
        <w:t xml:space="preserve"> in implementation</w:t>
      </w:r>
      <w:r w:rsidR="00202213" w:rsidRPr="00455191">
        <w:t>.</w:t>
      </w:r>
      <w:r w:rsidR="000B6C62" w:rsidRPr="00455191">
        <w:t xml:space="preserve"> </w:t>
      </w:r>
    </w:p>
    <w:p w14:paraId="7B1668CC" w14:textId="63FBB89E" w:rsidR="000B6C62" w:rsidRPr="00455191" w:rsidRDefault="00094A48" w:rsidP="00F61408">
      <w:r w:rsidRPr="00455191">
        <w:t>To determine the appropriate method of analysis, w</w:t>
      </w:r>
      <w:r w:rsidR="00481FF1" w:rsidRPr="00455191">
        <w:t>e compared several</w:t>
      </w:r>
      <w:r w:rsidR="004F259A" w:rsidRPr="00455191">
        <w:t xml:space="preserve"> </w:t>
      </w:r>
      <w:r w:rsidR="006C5B50" w:rsidRPr="00455191">
        <w:t>regression approaches</w:t>
      </w:r>
      <w:r w:rsidRPr="00455191">
        <w:t>—</w:t>
      </w:r>
      <w:r w:rsidR="00233A10" w:rsidRPr="00455191">
        <w:t>including</w:t>
      </w:r>
      <w:r w:rsidR="00B667B4" w:rsidRPr="00455191">
        <w:t xml:space="preserve"> sales-weighted linear regression, exponential regression, and multivariate regression</w:t>
      </w:r>
      <w:r w:rsidR="00681D21" w:rsidRPr="00455191">
        <w:t>—</w:t>
      </w:r>
      <w:r w:rsidRPr="00455191">
        <w:t>comparing each with a simple equal-weighted univariate linear regression</w:t>
      </w:r>
      <w:r w:rsidR="009A3A60" w:rsidRPr="00455191">
        <w:t xml:space="preserve">. </w:t>
      </w:r>
      <w:r w:rsidR="0038573D" w:rsidRPr="00455191">
        <w:t xml:space="preserve">There are limitations </w:t>
      </w:r>
      <w:r w:rsidR="00210E47" w:rsidRPr="00455191">
        <w:t xml:space="preserve">to </w:t>
      </w:r>
      <w:r w:rsidR="00805691" w:rsidRPr="00455191">
        <w:t xml:space="preserve">each approach. </w:t>
      </w:r>
      <w:r w:rsidR="000B6C62" w:rsidRPr="00455191">
        <w:t xml:space="preserve">The sales-weighted regression </w:t>
      </w:r>
      <w:r w:rsidR="0000452C" w:rsidRPr="00455191">
        <w:t>account</w:t>
      </w:r>
      <w:r w:rsidR="0084591E" w:rsidRPr="00455191">
        <w:t>s</w:t>
      </w:r>
      <w:r w:rsidR="0000452C" w:rsidRPr="00455191">
        <w:t xml:space="preserve"> </w:t>
      </w:r>
      <w:r w:rsidR="0084591E" w:rsidRPr="00455191">
        <w:t xml:space="preserve">for </w:t>
      </w:r>
      <w:r w:rsidR="0000452C" w:rsidRPr="00455191">
        <w:t xml:space="preserve">the sales of each vehicle model or model variant in the </w:t>
      </w:r>
      <w:proofErr w:type="gramStart"/>
      <w:r w:rsidR="0000452C" w:rsidRPr="00455191">
        <w:t>database</w:t>
      </w:r>
      <w:r w:rsidR="00A03C54" w:rsidRPr="00455191">
        <w:t xml:space="preserve">, </w:t>
      </w:r>
      <w:r w:rsidR="00210E47" w:rsidRPr="00455191">
        <w:t>and</w:t>
      </w:r>
      <w:proofErr w:type="gramEnd"/>
      <w:r w:rsidR="00210E47" w:rsidRPr="00455191">
        <w:t xml:space="preserve"> is </w:t>
      </w:r>
      <w:r w:rsidR="00A03C54" w:rsidRPr="00455191">
        <w:t>thus</w:t>
      </w:r>
      <w:r w:rsidR="000B6C62" w:rsidRPr="00455191">
        <w:t xml:space="preserve"> </w:t>
      </w:r>
      <w:r w:rsidR="00A03C54" w:rsidRPr="00455191">
        <w:t>bias</w:t>
      </w:r>
      <w:r w:rsidR="00210E47" w:rsidRPr="00455191">
        <w:t>ed</w:t>
      </w:r>
      <w:r w:rsidR="00A03C54" w:rsidRPr="00455191">
        <w:t xml:space="preserve"> </w:t>
      </w:r>
      <w:r w:rsidR="00210E47" w:rsidRPr="00455191">
        <w:t xml:space="preserve">toward </w:t>
      </w:r>
      <w:r w:rsidR="0084591E" w:rsidRPr="00455191">
        <w:t>brands</w:t>
      </w:r>
      <w:r w:rsidR="00210E47" w:rsidRPr="00455191">
        <w:t xml:space="preserve"> with higher</w:t>
      </w:r>
      <w:r w:rsidR="00A03C54" w:rsidRPr="00455191">
        <w:t xml:space="preserve"> sales</w:t>
      </w:r>
      <w:r w:rsidR="000A4367" w:rsidRPr="00455191">
        <w:t>.</w:t>
      </w:r>
      <w:r w:rsidR="00A1017F" w:rsidRPr="00455191">
        <w:t xml:space="preserve"> </w:t>
      </w:r>
      <w:r w:rsidR="00594EBC" w:rsidRPr="00455191">
        <w:t>In contrast, the equal-weight linear regression consider</w:t>
      </w:r>
      <w:r w:rsidR="0084591E" w:rsidRPr="00455191">
        <w:t>s</w:t>
      </w:r>
      <w:r w:rsidR="00594EBC" w:rsidRPr="00455191">
        <w:t xml:space="preserve"> the r</w:t>
      </w:r>
      <w:r w:rsidR="00276A1A" w:rsidRPr="00455191">
        <w:t xml:space="preserve">elative performance of </w:t>
      </w:r>
      <w:r w:rsidR="00BA7407" w:rsidRPr="00455191">
        <w:t xml:space="preserve">each </w:t>
      </w:r>
      <w:r w:rsidR="00276A1A" w:rsidRPr="00455191">
        <w:t>vehicle model in different test cycles</w:t>
      </w:r>
      <w:r w:rsidR="00BA7407" w:rsidRPr="00455191">
        <w:t xml:space="preserve"> equally</w:t>
      </w:r>
      <w:r w:rsidR="000B6C62" w:rsidRPr="00455191">
        <w:t xml:space="preserve">. </w:t>
      </w:r>
      <w:r w:rsidR="0085235B" w:rsidRPr="00455191">
        <w:t>E</w:t>
      </w:r>
      <w:r w:rsidR="000B6C62" w:rsidRPr="00455191">
        <w:t>xponential regression</w:t>
      </w:r>
      <w:r w:rsidR="0085235B" w:rsidRPr="00455191">
        <w:t xml:space="preserve"> </w:t>
      </w:r>
      <w:r w:rsidR="00B34111" w:rsidRPr="00455191">
        <w:t xml:space="preserve">shows a good </w:t>
      </w:r>
      <w:r w:rsidR="008B038A" w:rsidRPr="00455191">
        <w:t xml:space="preserve">fit </w:t>
      </w:r>
      <w:r w:rsidR="00821012" w:rsidRPr="00455191">
        <w:t xml:space="preserve">for the </w:t>
      </w:r>
      <w:r w:rsidR="00864002" w:rsidRPr="00455191">
        <w:t>central</w:t>
      </w:r>
      <w:r w:rsidR="007C2296" w:rsidRPr="00455191">
        <w:t xml:space="preserve"> data points</w:t>
      </w:r>
      <w:r w:rsidR="000B6C62" w:rsidRPr="00455191">
        <w:t>,</w:t>
      </w:r>
      <w:r w:rsidR="007C2296" w:rsidRPr="00455191">
        <w:t xml:space="preserve"> but</w:t>
      </w:r>
      <w:r w:rsidR="000B6C62" w:rsidRPr="00455191">
        <w:t xml:space="preserve"> the error of prediction </w:t>
      </w:r>
      <w:r w:rsidR="00CE01A3" w:rsidRPr="00455191">
        <w:t>increases</w:t>
      </w:r>
      <w:r w:rsidR="00FB7381" w:rsidRPr="00455191">
        <w:t xml:space="preserve"> substantially</w:t>
      </w:r>
      <w:r w:rsidR="000B6C62" w:rsidRPr="00455191">
        <w:t xml:space="preserve"> for vehicles with CO</w:t>
      </w:r>
      <w:r w:rsidR="000B6C62" w:rsidRPr="00455191">
        <w:rPr>
          <w:vertAlign w:val="subscript"/>
        </w:rPr>
        <w:t>2</w:t>
      </w:r>
      <w:r w:rsidR="000B6C62" w:rsidRPr="00455191">
        <w:t xml:space="preserve"> values </w:t>
      </w:r>
      <w:r w:rsidR="009C1D1C" w:rsidRPr="00455191">
        <w:t xml:space="preserve">lying </w:t>
      </w:r>
      <w:r w:rsidR="000B6C62" w:rsidRPr="00455191">
        <w:t xml:space="preserve">outside </w:t>
      </w:r>
      <w:r w:rsidR="00813201" w:rsidRPr="00455191">
        <w:t xml:space="preserve">of the </w:t>
      </w:r>
      <w:r w:rsidR="000B1EF9" w:rsidRPr="00455191">
        <w:t xml:space="preserve">major </w:t>
      </w:r>
      <w:r w:rsidR="000B6C62" w:rsidRPr="00455191">
        <w:t xml:space="preserve">data </w:t>
      </w:r>
      <w:r w:rsidR="006C6FC9" w:rsidRPr="00455191">
        <w:t>clouds</w:t>
      </w:r>
      <w:r w:rsidR="00813201" w:rsidRPr="00455191">
        <w:t xml:space="preserve"> </w:t>
      </w:r>
      <w:r w:rsidR="00D63CF8" w:rsidRPr="00455191">
        <w:t xml:space="preserve">(see </w:t>
      </w:r>
      <w:r w:rsidR="00C2427C" w:rsidRPr="00455191">
        <w:t>A</w:t>
      </w:r>
      <w:r w:rsidR="00C2427C">
        <w:t>ppendix</w:t>
      </w:r>
      <w:r w:rsidR="00C2427C" w:rsidRPr="00455191">
        <w:t xml:space="preserve"> </w:t>
      </w:r>
      <w:r w:rsidR="004D6AAE">
        <w:t>A</w:t>
      </w:r>
      <w:r w:rsidR="00D63CF8" w:rsidRPr="00455191">
        <w:t>)</w:t>
      </w:r>
      <w:r w:rsidR="000B6C62" w:rsidRPr="00455191">
        <w:t xml:space="preserve">. </w:t>
      </w:r>
      <w:r w:rsidR="00201517" w:rsidRPr="00455191">
        <w:t xml:space="preserve">For the </w:t>
      </w:r>
      <w:r w:rsidR="000B6C62" w:rsidRPr="00455191">
        <w:t>multivariate regression</w:t>
      </w:r>
      <w:r w:rsidR="00201517" w:rsidRPr="00455191">
        <w:t xml:space="preserve">, </w:t>
      </w:r>
      <w:r w:rsidR="00CE7BA9" w:rsidRPr="00455191">
        <w:t xml:space="preserve">we considered </w:t>
      </w:r>
      <w:r w:rsidR="005E5B6C" w:rsidRPr="00455191">
        <w:t xml:space="preserve">the </w:t>
      </w:r>
      <w:r w:rsidR="000B6C62" w:rsidRPr="00455191">
        <w:t xml:space="preserve">vehicle characteristics </w:t>
      </w:r>
      <w:r w:rsidR="00BD7272" w:rsidRPr="00455191">
        <w:t xml:space="preserve">in the dataset, </w:t>
      </w:r>
      <w:r w:rsidR="000B6C62" w:rsidRPr="00455191">
        <w:t xml:space="preserve">such as engine displacement, </w:t>
      </w:r>
      <w:r w:rsidR="00BD7272" w:rsidRPr="00455191">
        <w:t xml:space="preserve">engine power, and </w:t>
      </w:r>
      <w:r w:rsidR="000B6C62" w:rsidRPr="00455191">
        <w:t xml:space="preserve">vehicle </w:t>
      </w:r>
      <w:r w:rsidR="00BD7272" w:rsidRPr="00455191">
        <w:t>mass</w:t>
      </w:r>
      <w:r w:rsidR="00CE7BA9" w:rsidRPr="00455191">
        <w:t>,</w:t>
      </w:r>
      <w:r w:rsidR="000B6C62" w:rsidRPr="00455191">
        <w:t xml:space="preserve"> </w:t>
      </w:r>
      <w:r w:rsidR="00BD7272" w:rsidRPr="00455191">
        <w:t xml:space="preserve">as </w:t>
      </w:r>
      <w:r w:rsidR="000B6C62" w:rsidRPr="00455191">
        <w:t>additional independent variables</w:t>
      </w:r>
      <w:r w:rsidR="00B94B02" w:rsidRPr="00455191">
        <w:t xml:space="preserve">, as </w:t>
      </w:r>
      <w:r w:rsidR="005E5B6C" w:rsidRPr="00455191">
        <w:t>they</w:t>
      </w:r>
      <w:r w:rsidR="00261D37" w:rsidRPr="00455191">
        <w:t xml:space="preserve"> are </w:t>
      </w:r>
      <w:r w:rsidR="00204545" w:rsidRPr="00455191">
        <w:t>typically</w:t>
      </w:r>
      <w:r w:rsidR="00EC021C" w:rsidRPr="00455191">
        <w:t xml:space="preserve"> </w:t>
      </w:r>
      <w:r w:rsidR="00B85058" w:rsidRPr="00455191">
        <w:t>correlated with</w:t>
      </w:r>
      <w:r w:rsidR="00EC021C" w:rsidRPr="00455191">
        <w:t xml:space="preserve"> </w:t>
      </w:r>
      <w:r w:rsidR="00374B67" w:rsidRPr="00455191">
        <w:t xml:space="preserve">vehicle </w:t>
      </w:r>
      <w:r w:rsidR="00204545" w:rsidRPr="00455191">
        <w:t xml:space="preserve">fuel consumption and </w:t>
      </w:r>
      <w:r w:rsidR="00374B67" w:rsidRPr="00455191">
        <w:t>CO</w:t>
      </w:r>
      <w:r w:rsidR="00374B67" w:rsidRPr="00455191">
        <w:rPr>
          <w:vertAlign w:val="subscript"/>
        </w:rPr>
        <w:t>2</w:t>
      </w:r>
      <w:r w:rsidR="00374B67" w:rsidRPr="00455191">
        <w:t xml:space="preserve"> performance</w:t>
      </w:r>
      <w:r w:rsidR="00C82B21" w:rsidRPr="00455191">
        <w:t xml:space="preserve"> </w:t>
      </w:r>
      <w:r w:rsidR="00274F52" w:rsidRPr="00455191">
        <w:rPr>
          <w:noProof/>
        </w:rPr>
        <w:t>(U.S. Environmental Protection Agency, 2024)</w:t>
      </w:r>
      <w:r w:rsidR="00204545" w:rsidRPr="00455191">
        <w:t>.</w:t>
      </w:r>
      <w:r w:rsidR="00261D37" w:rsidRPr="00455191">
        <w:t xml:space="preserve"> </w:t>
      </w:r>
      <w:r w:rsidR="00447756" w:rsidRPr="00455191">
        <w:t>The</w:t>
      </w:r>
      <w:r w:rsidR="000B6C62" w:rsidRPr="00455191">
        <w:t xml:space="preserve"> </w:t>
      </w:r>
      <w:r w:rsidR="00373B27" w:rsidRPr="00455191">
        <w:t>multivariate regression showed only</w:t>
      </w:r>
      <w:r w:rsidR="000B6C62" w:rsidRPr="00455191">
        <w:t xml:space="preserve"> minor improvement</w:t>
      </w:r>
      <w:r w:rsidR="00F37065" w:rsidRPr="00455191">
        <w:t>s</w:t>
      </w:r>
      <w:r w:rsidR="000B6C62" w:rsidRPr="00455191">
        <w:t xml:space="preserve"> </w:t>
      </w:r>
      <w:r w:rsidR="00183A6D" w:rsidRPr="00455191">
        <w:t>in</w:t>
      </w:r>
      <w:r w:rsidR="000B6C62" w:rsidRPr="00455191">
        <w:t xml:space="preserve"> predictive power </w:t>
      </w:r>
      <w:r w:rsidR="00183A6D" w:rsidRPr="00455191">
        <w:t xml:space="preserve">compared </w:t>
      </w:r>
      <w:r w:rsidR="0009343E" w:rsidRPr="00455191">
        <w:t xml:space="preserve">with </w:t>
      </w:r>
      <w:r w:rsidR="000B6C62" w:rsidRPr="00455191">
        <w:t xml:space="preserve">the </w:t>
      </w:r>
      <w:r w:rsidR="00D4588E" w:rsidRPr="00455191">
        <w:t xml:space="preserve">simple </w:t>
      </w:r>
      <w:r w:rsidR="00542649" w:rsidRPr="00455191">
        <w:t xml:space="preserve">univariate </w:t>
      </w:r>
      <w:r w:rsidR="00CC41A7" w:rsidRPr="00455191">
        <w:t xml:space="preserve">linear </w:t>
      </w:r>
      <w:r w:rsidR="000B6C62" w:rsidRPr="00455191">
        <w:t xml:space="preserve">regression, </w:t>
      </w:r>
      <w:r w:rsidR="008D3FD8" w:rsidRPr="00455191">
        <w:t>such that</w:t>
      </w:r>
      <w:r w:rsidR="00204545" w:rsidRPr="00455191">
        <w:t xml:space="preserve"> </w:t>
      </w:r>
      <w:r w:rsidR="0009343E" w:rsidRPr="00455191">
        <w:t>we deemed</w:t>
      </w:r>
      <w:r w:rsidR="00204545" w:rsidRPr="00455191">
        <w:t xml:space="preserve"> </w:t>
      </w:r>
      <w:r w:rsidR="008D3FD8" w:rsidRPr="00455191">
        <w:t xml:space="preserve">that it did not </w:t>
      </w:r>
      <w:r w:rsidR="00204545" w:rsidRPr="00455191">
        <w:t>justify the additional data requirements</w:t>
      </w:r>
      <w:r w:rsidR="00672507" w:rsidRPr="00455191">
        <w:t xml:space="preserve"> (see </w:t>
      </w:r>
      <w:r w:rsidR="00C2427C" w:rsidRPr="00455191">
        <w:t>A</w:t>
      </w:r>
      <w:r w:rsidR="00C2427C">
        <w:t>ppendix</w:t>
      </w:r>
      <w:r w:rsidR="00C2427C" w:rsidRPr="00455191">
        <w:t xml:space="preserve"> </w:t>
      </w:r>
      <w:r w:rsidR="0086191A">
        <w:t>B</w:t>
      </w:r>
      <w:r w:rsidR="00672507" w:rsidRPr="00455191">
        <w:t>)</w:t>
      </w:r>
      <w:r w:rsidR="00204545" w:rsidRPr="00455191">
        <w:t>.</w:t>
      </w:r>
    </w:p>
    <w:p w14:paraId="25BF48A1" w14:textId="04A3A32C" w:rsidR="000B6C62" w:rsidRPr="00455191" w:rsidRDefault="00CF3AC4" w:rsidP="00F61408">
      <w:r w:rsidRPr="00455191">
        <w:t xml:space="preserve">Based on </w:t>
      </w:r>
      <w:r w:rsidR="006A0ECA" w:rsidRPr="00455191">
        <w:t>this</w:t>
      </w:r>
      <w:r w:rsidRPr="00455191">
        <w:t xml:space="preserve"> </w:t>
      </w:r>
      <w:r w:rsidR="006A0ECA" w:rsidRPr="00455191">
        <w:t>assessment, we</w:t>
      </w:r>
      <w:r w:rsidR="002478A9" w:rsidRPr="00455191">
        <w:t xml:space="preserve"> selected </w:t>
      </w:r>
      <w:r w:rsidR="00487AFD" w:rsidRPr="00455191">
        <w:t>the simple univariate</w:t>
      </w:r>
      <w:r w:rsidR="002478A9" w:rsidRPr="00455191">
        <w:t xml:space="preserve"> linear regression</w:t>
      </w:r>
      <w:r w:rsidR="00487AFD" w:rsidRPr="00455191">
        <w:t xml:space="preserve"> </w:t>
      </w:r>
      <w:r w:rsidR="002478A9" w:rsidRPr="00455191">
        <w:t>approach for converting original type-approval CO</w:t>
      </w:r>
      <w:r w:rsidR="002478A9" w:rsidRPr="00455191">
        <w:rPr>
          <w:vertAlign w:val="subscript"/>
        </w:rPr>
        <w:t>2</w:t>
      </w:r>
      <w:r w:rsidR="002478A9" w:rsidRPr="00455191">
        <w:t xml:space="preserve"> emission values to NEDC g</w:t>
      </w:r>
      <w:r w:rsidR="00A42B59" w:rsidRPr="00455191">
        <w:t xml:space="preserve"> </w:t>
      </w:r>
      <w:r w:rsidR="002478A9" w:rsidRPr="00455191">
        <w:t>CO</w:t>
      </w:r>
      <w:r w:rsidR="002478A9" w:rsidRPr="00455191">
        <w:rPr>
          <w:vertAlign w:val="subscript"/>
        </w:rPr>
        <w:t>2</w:t>
      </w:r>
      <w:r w:rsidR="002478A9" w:rsidRPr="00455191">
        <w:t>/km emission values using non-sales</w:t>
      </w:r>
      <w:r w:rsidR="00311BE9">
        <w:t>-</w:t>
      </w:r>
      <w:r w:rsidR="002478A9" w:rsidRPr="00455191">
        <w:t>weighted vehicle model</w:t>
      </w:r>
      <w:r w:rsidR="00BA3EEA" w:rsidRPr="00455191">
        <w:t xml:space="preserve"> </w:t>
      </w:r>
      <w:r w:rsidR="001A086F" w:rsidRPr="00455191">
        <w:t xml:space="preserve">data </w:t>
      </w:r>
      <w:r w:rsidR="002478A9" w:rsidRPr="00455191">
        <w:t>as input</w:t>
      </w:r>
      <w:r w:rsidR="00BA3EEA" w:rsidRPr="00455191">
        <w:t>, as it</w:t>
      </w:r>
      <w:r w:rsidR="002478A9" w:rsidRPr="00455191">
        <w:t xml:space="preserve"> offered a better balance of simplicity and accuracy compared </w:t>
      </w:r>
      <w:r w:rsidR="006B6262" w:rsidRPr="00455191">
        <w:t xml:space="preserve">with </w:t>
      </w:r>
      <w:r w:rsidR="002478A9" w:rsidRPr="00455191">
        <w:t>the other</w:t>
      </w:r>
      <w:r w:rsidR="00BA3EEA" w:rsidRPr="00455191">
        <w:t xml:space="preserve"> alternatives</w:t>
      </w:r>
      <w:r w:rsidR="002478A9" w:rsidRPr="00455191">
        <w:t>.</w:t>
      </w:r>
    </w:p>
    <w:p w14:paraId="36521F55" w14:textId="50F606BD" w:rsidR="000B6C62" w:rsidRPr="00455191" w:rsidRDefault="00724324" w:rsidP="00B55BEC">
      <w:pPr>
        <w:pStyle w:val="Heading3"/>
      </w:pPr>
      <w:r w:rsidRPr="00455191">
        <w:t xml:space="preserve">4.1 </w:t>
      </w:r>
      <w:r w:rsidR="000B6C62" w:rsidRPr="00455191">
        <w:t>4-phase WLTP to NEDC</w:t>
      </w:r>
      <w:r w:rsidR="00BE4F99">
        <w:t xml:space="preserve"> </w:t>
      </w:r>
      <w:r w:rsidR="00BE4F99" w:rsidRPr="00BE4F99">
        <w:t>conversion</w:t>
      </w:r>
    </w:p>
    <w:p w14:paraId="0788C75D" w14:textId="0C5BBB2A" w:rsidR="000B6C62" w:rsidRPr="00455191" w:rsidRDefault="00E26AB0" w:rsidP="00B55BEC">
      <w:pPr>
        <w:pStyle w:val="Heading4"/>
      </w:pPr>
      <w:r w:rsidRPr="00455191">
        <w:t xml:space="preserve">4.1.1 </w:t>
      </w:r>
      <w:r w:rsidR="000B6C62" w:rsidRPr="00455191">
        <w:t>Data source</w:t>
      </w:r>
    </w:p>
    <w:p w14:paraId="099F474A" w14:textId="42A6EB66" w:rsidR="00EA4118" w:rsidRDefault="00BB3B29" w:rsidP="00F61408">
      <w:r w:rsidRPr="00455191">
        <w:t xml:space="preserve">We developed </w:t>
      </w:r>
      <w:r w:rsidR="000B6C62" w:rsidRPr="00455191">
        <w:t xml:space="preserve">conversion algorithms from </w:t>
      </w:r>
      <w:r w:rsidRPr="00455191">
        <w:t xml:space="preserve">the </w:t>
      </w:r>
      <w:r w:rsidR="000B6C62" w:rsidRPr="00455191">
        <w:t xml:space="preserve">4-p WLTP to </w:t>
      </w:r>
      <w:r w:rsidRPr="00455191">
        <w:t xml:space="preserve">the </w:t>
      </w:r>
      <w:r w:rsidR="000B6C62" w:rsidRPr="00455191">
        <w:t>NEDC based on comprehensive CO</w:t>
      </w:r>
      <w:r w:rsidR="000B6C62" w:rsidRPr="00455191">
        <w:rPr>
          <w:vertAlign w:val="subscript"/>
        </w:rPr>
        <w:t>2</w:t>
      </w:r>
      <w:r w:rsidR="000B6C62" w:rsidRPr="00455191">
        <w:t xml:space="preserve"> emissions data published </w:t>
      </w:r>
      <w:r w:rsidR="002A2C6A" w:rsidRPr="00455191">
        <w:t>annually</w:t>
      </w:r>
      <w:r w:rsidR="000B6C62" w:rsidRPr="00455191">
        <w:t xml:space="preserve"> by the European Environment Agency (EEA</w:t>
      </w:r>
      <w:r w:rsidRPr="00455191">
        <w:t>;</w:t>
      </w:r>
      <w:r w:rsidR="008D7DC9" w:rsidRPr="00455191">
        <w:t xml:space="preserve"> </w:t>
      </w:r>
      <w:r w:rsidRPr="00455191">
        <w:rPr>
          <w:noProof/>
        </w:rPr>
        <w:t>EEA</w:t>
      </w:r>
      <w:r w:rsidR="008D7DC9" w:rsidRPr="00455191">
        <w:rPr>
          <w:noProof/>
        </w:rPr>
        <w:t>, n.d.-</w:t>
      </w:r>
      <w:r w:rsidR="0087679D" w:rsidRPr="00455191">
        <w:rPr>
          <w:noProof/>
        </w:rPr>
        <w:t>b</w:t>
      </w:r>
      <w:r w:rsidR="008D7DC9" w:rsidRPr="00455191">
        <w:rPr>
          <w:noProof/>
        </w:rPr>
        <w:t>, n.d.-</w:t>
      </w:r>
      <w:r w:rsidR="0087679D" w:rsidRPr="00455191">
        <w:rPr>
          <w:noProof/>
        </w:rPr>
        <w:t>c</w:t>
      </w:r>
      <w:r w:rsidR="008D7DC9" w:rsidRPr="00455191">
        <w:rPr>
          <w:noProof/>
        </w:rPr>
        <w:t>)</w:t>
      </w:r>
      <w:r w:rsidR="007B7931" w:rsidRPr="00455191">
        <w:t>.</w:t>
      </w:r>
      <w:r w:rsidR="00D14F5B" w:rsidRPr="00455191">
        <w:t xml:space="preserve"> </w:t>
      </w:r>
      <w:r w:rsidR="000B6C62" w:rsidRPr="00455191">
        <w:t>The EEA data contain the CO</w:t>
      </w:r>
      <w:r w:rsidR="000B6C62" w:rsidRPr="00455191">
        <w:rPr>
          <w:vertAlign w:val="subscript"/>
        </w:rPr>
        <w:t>2</w:t>
      </w:r>
      <w:r w:rsidR="000B6C62" w:rsidRPr="00455191">
        <w:t xml:space="preserve"> emission values </w:t>
      </w:r>
      <w:r w:rsidR="00F87163" w:rsidRPr="00455191">
        <w:t>for each</w:t>
      </w:r>
      <w:r w:rsidR="000B6C62" w:rsidRPr="00455191">
        <w:t xml:space="preserve"> </w:t>
      </w:r>
      <w:r w:rsidR="008D489C" w:rsidRPr="00455191">
        <w:t>LDV</w:t>
      </w:r>
      <w:r w:rsidR="000B6C62" w:rsidRPr="00455191">
        <w:t xml:space="preserve"> registered in the E</w:t>
      </w:r>
      <w:r w:rsidR="00356A32" w:rsidRPr="00455191">
        <w:t xml:space="preserve">uropean </w:t>
      </w:r>
      <w:r w:rsidR="000B6C62" w:rsidRPr="00455191">
        <w:t>U</w:t>
      </w:r>
      <w:r w:rsidR="00356A32" w:rsidRPr="00455191">
        <w:t>nion</w:t>
      </w:r>
      <w:r w:rsidR="000B6C62" w:rsidRPr="00455191">
        <w:t xml:space="preserve"> </w:t>
      </w:r>
      <w:r w:rsidR="002A2C6A" w:rsidRPr="00455191">
        <w:t xml:space="preserve">that </w:t>
      </w:r>
      <w:r w:rsidR="008D489C" w:rsidRPr="00455191">
        <w:t xml:space="preserve">is </w:t>
      </w:r>
      <w:r w:rsidR="000B6C62" w:rsidRPr="00455191">
        <w:t>subject to the EU CO</w:t>
      </w:r>
      <w:r w:rsidR="000B6C62" w:rsidRPr="00455191">
        <w:rPr>
          <w:vertAlign w:val="subscript"/>
        </w:rPr>
        <w:t>2</w:t>
      </w:r>
      <w:r w:rsidR="000B6C62" w:rsidRPr="00455191">
        <w:t xml:space="preserve"> standards</w:t>
      </w:r>
      <w:r w:rsidR="00E37000" w:rsidRPr="00455191">
        <w:t xml:space="preserve"> </w:t>
      </w:r>
      <w:r w:rsidR="006E5117" w:rsidRPr="00455191">
        <w:rPr>
          <w:noProof/>
        </w:rPr>
        <w:t>(Regulation (EU) 2019/631, 2019)</w:t>
      </w:r>
      <w:r w:rsidR="007558AF" w:rsidRPr="00455191">
        <w:t>.</w:t>
      </w:r>
      <w:r w:rsidR="00480BDF" w:rsidRPr="00455191">
        <w:t xml:space="preserve"> </w:t>
      </w:r>
      <w:r w:rsidR="007558AF" w:rsidRPr="00455191">
        <w:t>This</w:t>
      </w:r>
      <w:r w:rsidR="00295EBE" w:rsidRPr="00455191">
        <w:t xml:space="preserve"> is </w:t>
      </w:r>
      <w:r w:rsidR="000B6C62" w:rsidRPr="00455191">
        <w:t xml:space="preserve">the basis for determining manufacturer compliance with annual </w:t>
      </w:r>
      <w:r w:rsidR="00295EBE" w:rsidRPr="00455191">
        <w:t>CO</w:t>
      </w:r>
      <w:r w:rsidR="00295EBE" w:rsidRPr="00455191">
        <w:rPr>
          <w:vertAlign w:val="subscript"/>
        </w:rPr>
        <w:t>2</w:t>
      </w:r>
      <w:r w:rsidR="00295EBE" w:rsidRPr="00455191">
        <w:t xml:space="preserve"> </w:t>
      </w:r>
      <w:r w:rsidR="000B6C62" w:rsidRPr="00455191">
        <w:t xml:space="preserve">targets. </w:t>
      </w:r>
      <w:r w:rsidR="00877E9D" w:rsidRPr="00455191">
        <w:t xml:space="preserve">As noted </w:t>
      </w:r>
      <w:r w:rsidR="00D21ADF" w:rsidRPr="00455191">
        <w:t>in section 2.2.1</w:t>
      </w:r>
      <w:r w:rsidR="00877E9D" w:rsidRPr="00455191">
        <w:t>, d</w:t>
      </w:r>
      <w:r w:rsidR="000B6C62" w:rsidRPr="00455191">
        <w:t xml:space="preserve">uring the EU transition from </w:t>
      </w:r>
      <w:r w:rsidR="00A84616" w:rsidRPr="00455191">
        <w:t xml:space="preserve">the </w:t>
      </w:r>
      <w:r w:rsidR="000B6C62" w:rsidRPr="00455191">
        <w:t xml:space="preserve">NEDC to </w:t>
      </w:r>
      <w:r w:rsidR="00A84616" w:rsidRPr="00455191">
        <w:t>the</w:t>
      </w:r>
      <w:r w:rsidR="000B6C62" w:rsidRPr="00455191">
        <w:t xml:space="preserve"> WLTP, vehicles registered in 2020 were required to report CO</w:t>
      </w:r>
      <w:r w:rsidR="000B6C62" w:rsidRPr="00455191">
        <w:rPr>
          <w:vertAlign w:val="subscript"/>
        </w:rPr>
        <w:t>2</w:t>
      </w:r>
      <w:r w:rsidR="000B6C62" w:rsidRPr="00455191">
        <w:t xml:space="preserve"> type-approval values under both test procedures</w:t>
      </w:r>
      <w:r w:rsidR="007B58C3" w:rsidRPr="00455191">
        <w:t>, and</w:t>
      </w:r>
      <w:r w:rsidR="00EB5E57" w:rsidRPr="00455191">
        <w:t xml:space="preserve"> </w:t>
      </w:r>
      <w:r w:rsidR="009250BF" w:rsidRPr="00455191">
        <w:t>t</w:t>
      </w:r>
      <w:r w:rsidR="007100C0" w:rsidRPr="00455191">
        <w:t xml:space="preserve">he European Commission used the </w:t>
      </w:r>
      <w:r w:rsidR="008739FC" w:rsidRPr="00455191">
        <w:t xml:space="preserve">NEDC values to determine compliance </w:t>
      </w:r>
      <w:r w:rsidR="00EB5E57" w:rsidRPr="00455191">
        <w:t>with</w:t>
      </w:r>
      <w:r w:rsidR="008739FC" w:rsidRPr="00455191">
        <w:t xml:space="preserve"> EU CO</w:t>
      </w:r>
      <w:r w:rsidR="008739FC" w:rsidRPr="00455191">
        <w:rPr>
          <w:vertAlign w:val="subscript"/>
        </w:rPr>
        <w:t>2</w:t>
      </w:r>
      <w:r w:rsidR="008739FC" w:rsidRPr="00455191">
        <w:t xml:space="preserve"> emission standards </w:t>
      </w:r>
      <w:r w:rsidR="003A2BB4" w:rsidRPr="00455191">
        <w:t xml:space="preserve">for </w:t>
      </w:r>
      <w:r w:rsidR="008739FC" w:rsidRPr="00455191">
        <w:t xml:space="preserve">2020 </w:t>
      </w:r>
      <w:r w:rsidR="003A2BB4" w:rsidRPr="00455191">
        <w:t>and</w:t>
      </w:r>
      <w:r w:rsidR="008739FC" w:rsidRPr="00455191">
        <w:t xml:space="preserve"> </w:t>
      </w:r>
      <w:r w:rsidR="00015609" w:rsidRPr="00455191">
        <w:t>the</w:t>
      </w:r>
      <w:r w:rsidR="008739FC" w:rsidRPr="00455191">
        <w:t xml:space="preserve"> WLTP values to </w:t>
      </w:r>
      <w:r w:rsidR="009250BF" w:rsidRPr="00455191">
        <w:t>determine</w:t>
      </w:r>
      <w:r w:rsidR="008739FC" w:rsidRPr="00455191">
        <w:t xml:space="preserve"> the </w:t>
      </w:r>
      <w:r w:rsidR="009250BF" w:rsidRPr="00455191">
        <w:t>future</w:t>
      </w:r>
      <w:r w:rsidR="008739FC" w:rsidRPr="00455191">
        <w:t xml:space="preserve"> CO</w:t>
      </w:r>
      <w:r w:rsidR="008739FC" w:rsidRPr="00455191">
        <w:rPr>
          <w:vertAlign w:val="subscript"/>
        </w:rPr>
        <w:t>2</w:t>
      </w:r>
      <w:r w:rsidR="008739FC" w:rsidRPr="00455191">
        <w:t xml:space="preserve"> targets of each manufacture</w:t>
      </w:r>
      <w:r w:rsidR="009250BF" w:rsidRPr="00455191">
        <w:t xml:space="preserve">r under </w:t>
      </w:r>
      <w:r w:rsidR="003A2BB4" w:rsidRPr="00455191">
        <w:t xml:space="preserve">the </w:t>
      </w:r>
      <w:r w:rsidR="009250BF" w:rsidRPr="00455191">
        <w:t>WLTP.</w:t>
      </w:r>
      <w:r w:rsidR="000B6C62" w:rsidRPr="00455191">
        <w:t xml:space="preserve"> </w:t>
      </w:r>
      <w:r w:rsidR="00746D64" w:rsidRPr="00455191">
        <w:t>T</w:t>
      </w:r>
      <w:r w:rsidR="00C44729" w:rsidRPr="00455191">
        <w:t>h</w:t>
      </w:r>
      <w:r w:rsidR="00701992" w:rsidRPr="00455191">
        <w:t>ese</w:t>
      </w:r>
      <w:r w:rsidR="00C44729" w:rsidRPr="00455191">
        <w:t xml:space="preserve"> data (hereinafter referred to as EEA 2020)</w:t>
      </w:r>
      <w:r w:rsidR="000B6C62" w:rsidRPr="00455191">
        <w:t xml:space="preserve"> </w:t>
      </w:r>
      <w:r w:rsidR="00C44729" w:rsidRPr="00455191">
        <w:t>form the basis</w:t>
      </w:r>
      <w:r w:rsidR="000B6C62" w:rsidRPr="00455191">
        <w:t xml:space="preserve"> for </w:t>
      </w:r>
      <w:r w:rsidR="00C44729" w:rsidRPr="00455191">
        <w:t>our</w:t>
      </w:r>
      <w:r w:rsidR="000B6C62" w:rsidRPr="00455191">
        <w:t xml:space="preserve"> cycle conversion</w:t>
      </w:r>
      <w:r w:rsidR="00B43AC6" w:rsidRPr="00455191">
        <w:t xml:space="preserve"> from </w:t>
      </w:r>
      <w:r w:rsidR="00D52977" w:rsidRPr="00455191">
        <w:t xml:space="preserve">the </w:t>
      </w:r>
      <w:r w:rsidR="001219F1" w:rsidRPr="00455191">
        <w:t xml:space="preserve">4-p </w:t>
      </w:r>
      <w:r w:rsidR="00B43AC6" w:rsidRPr="00455191">
        <w:t xml:space="preserve">WLTP to </w:t>
      </w:r>
      <w:r w:rsidR="00D52977" w:rsidRPr="00455191">
        <w:t xml:space="preserve">the </w:t>
      </w:r>
      <w:r w:rsidR="00B43AC6" w:rsidRPr="00455191">
        <w:t>NEDC</w:t>
      </w:r>
      <w:r w:rsidR="002F4075" w:rsidRPr="00455191">
        <w:t>.</w:t>
      </w:r>
      <w:r w:rsidR="000B6C62" w:rsidRPr="00455191">
        <w:t xml:space="preserve"> </w:t>
      </w:r>
      <w:r w:rsidR="00106493">
        <w:t>In addition to</w:t>
      </w:r>
      <w:r w:rsidR="006C2642" w:rsidRPr="00455191">
        <w:t xml:space="preserve"> CO</w:t>
      </w:r>
      <w:r w:rsidR="006C2642" w:rsidRPr="00455191">
        <w:rPr>
          <w:vertAlign w:val="subscript"/>
        </w:rPr>
        <w:t>2</w:t>
      </w:r>
      <w:r w:rsidR="006C2642" w:rsidRPr="00455191">
        <w:t xml:space="preserve"> emission data, </w:t>
      </w:r>
      <w:r w:rsidR="00F87163" w:rsidRPr="00455191">
        <w:t xml:space="preserve">the EEA </w:t>
      </w:r>
      <w:r w:rsidR="00701992" w:rsidRPr="00455191">
        <w:t xml:space="preserve">2020 </w:t>
      </w:r>
      <w:r w:rsidR="00F87163" w:rsidRPr="00455191">
        <w:t xml:space="preserve">database contains </w:t>
      </w:r>
      <w:r w:rsidR="00670BE5" w:rsidRPr="00455191">
        <w:t xml:space="preserve">vehicle </w:t>
      </w:r>
      <w:r w:rsidR="002E54EA" w:rsidRPr="00455191">
        <w:t>characteristics like</w:t>
      </w:r>
      <w:r w:rsidR="00670BE5" w:rsidRPr="00455191">
        <w:t xml:space="preserve"> make, model name, type-variant-version code, fuel and powertrain type, engine capacity and power, </w:t>
      </w:r>
      <w:r w:rsidR="002937C5" w:rsidRPr="00455191">
        <w:t>and</w:t>
      </w:r>
      <w:r w:rsidR="00557C01" w:rsidRPr="00455191">
        <w:t xml:space="preserve"> vehicle masses</w:t>
      </w:r>
      <w:r w:rsidR="0048080F" w:rsidRPr="00455191">
        <w:t>.</w:t>
      </w:r>
      <w:r w:rsidR="0068100D" w:rsidRPr="00455191">
        <w:t xml:space="preserve"> </w:t>
      </w:r>
    </w:p>
    <w:p w14:paraId="50907A84" w14:textId="6827C1F1" w:rsidR="000B6C62" w:rsidRPr="00455191" w:rsidRDefault="00EA4118" w:rsidP="00F61408">
      <w:r w:rsidRPr="003E184C">
        <w:t>The EEA 2020 database is more updated as well as more comprehensive covering the entire EU market compared to the database used in the study for New Zealand, which included emissions data from 2019 and only for a single market, i.e., United Kingdom</w:t>
      </w:r>
      <w:r w:rsidRPr="003E184C">
        <w:rPr>
          <w:rFonts w:eastAsia="MS PGothic"/>
          <w:noProof/>
        </w:rPr>
        <w:t xml:space="preserve"> </w:t>
      </w:r>
      <w:r w:rsidR="0068100D" w:rsidRPr="003E184C">
        <w:rPr>
          <w:rFonts w:eastAsia="MS PGothic"/>
          <w:noProof/>
        </w:rPr>
        <w:t>(Yang &amp; Bandivadekar, 2021)</w:t>
      </w:r>
      <w:r w:rsidR="0068100D" w:rsidRPr="003E184C">
        <w:t>.</w:t>
      </w:r>
      <w:r w:rsidR="009154C1" w:rsidRPr="003E184C">
        <w:t xml:space="preserve"> Furthermore, a detailed data screening procedure was conducted for the EEA 2020 database as discussed in the following section, which is more updated and different from the procedure done in </w:t>
      </w:r>
      <w:r w:rsidR="009154C1" w:rsidRPr="003E184C">
        <w:lastRenderedPageBreak/>
        <w:t>the New Zealand study. Hence,</w:t>
      </w:r>
      <w:r w:rsidR="00600128" w:rsidRPr="003E184C">
        <w:t xml:space="preserve"> the results of the NEDC-WLTP regression in this study are expected to be different from the one derived in the New Zealand study.</w:t>
      </w:r>
    </w:p>
    <w:p w14:paraId="51B8F883" w14:textId="3889B82A" w:rsidR="000B6C62" w:rsidRPr="00455191" w:rsidRDefault="00E26AB0" w:rsidP="00B55BEC">
      <w:pPr>
        <w:pStyle w:val="Heading4"/>
      </w:pPr>
      <w:r w:rsidRPr="00455191">
        <w:t xml:space="preserve">4.1.2 </w:t>
      </w:r>
      <w:r w:rsidR="000B6C62" w:rsidRPr="00455191">
        <w:t>Data processing and quality assurance</w:t>
      </w:r>
    </w:p>
    <w:p w14:paraId="097020CC" w14:textId="36F01C71" w:rsidR="00615F05" w:rsidRPr="00455191" w:rsidRDefault="00615F05" w:rsidP="00F61408">
      <w:r w:rsidRPr="00455191">
        <w:t xml:space="preserve">We performed </w:t>
      </w:r>
      <w:r w:rsidR="00954A43" w:rsidRPr="00455191">
        <w:t xml:space="preserve">the following </w:t>
      </w:r>
      <w:r w:rsidR="00D27495" w:rsidRPr="00455191">
        <w:t>steps to</w:t>
      </w:r>
      <w:r w:rsidRPr="00455191">
        <w:t xml:space="preserve"> </w:t>
      </w:r>
      <w:r w:rsidR="00D27495" w:rsidRPr="00455191">
        <w:t>process and check the quality of the</w:t>
      </w:r>
      <w:r w:rsidRPr="00455191">
        <w:t xml:space="preserve"> EEA </w:t>
      </w:r>
      <w:r w:rsidR="00701992" w:rsidRPr="00455191">
        <w:t xml:space="preserve">2020 </w:t>
      </w:r>
      <w:r w:rsidRPr="00455191">
        <w:t xml:space="preserve">data. </w:t>
      </w:r>
    </w:p>
    <w:p w14:paraId="759A6A7B" w14:textId="6BEB2A0C" w:rsidR="00615F05" w:rsidRPr="00455191" w:rsidRDefault="00615F05" w:rsidP="00F61408">
      <w:pPr>
        <w:rPr>
          <w:color w:val="4E3227" w:themeColor="accent2"/>
        </w:rPr>
      </w:pPr>
      <w:r w:rsidRPr="00455191">
        <w:rPr>
          <w:b/>
          <w:bCs/>
          <w:color w:val="4E3227" w:themeColor="accent2"/>
        </w:rPr>
        <w:t>Step 1: Data clean-up</w:t>
      </w:r>
      <w:r w:rsidR="00D27495" w:rsidRPr="00455191">
        <w:rPr>
          <w:b/>
          <w:bCs/>
          <w:color w:val="4E3227" w:themeColor="accent2"/>
        </w:rPr>
        <w:t>.</w:t>
      </w:r>
      <w:r w:rsidRPr="00455191">
        <w:rPr>
          <w:color w:val="4E3227" w:themeColor="accent2"/>
        </w:rPr>
        <w:t xml:space="preserve"> </w:t>
      </w:r>
      <w:r w:rsidR="00D27495" w:rsidRPr="00455191">
        <w:t>We</w:t>
      </w:r>
      <w:r w:rsidRPr="00455191">
        <w:t xml:space="preserve"> remove</w:t>
      </w:r>
      <w:r w:rsidR="00D27495" w:rsidRPr="00455191">
        <w:t>d</w:t>
      </w:r>
      <w:r w:rsidRPr="00455191">
        <w:t xml:space="preserve"> </w:t>
      </w:r>
      <w:r w:rsidR="00945A4B" w:rsidRPr="00455191">
        <w:t xml:space="preserve">records with </w:t>
      </w:r>
      <w:r w:rsidRPr="00455191">
        <w:t xml:space="preserve">blank or missing values, implausible or suspicious </w:t>
      </w:r>
      <w:r w:rsidR="00945A4B" w:rsidRPr="00455191">
        <w:t>values</w:t>
      </w:r>
      <w:r w:rsidRPr="00455191">
        <w:t xml:space="preserve">, </w:t>
      </w:r>
      <w:r w:rsidR="00464320" w:rsidRPr="00455191">
        <w:t>or</w:t>
      </w:r>
      <w:r w:rsidRPr="00455191">
        <w:t xml:space="preserve"> irrelevant or extreme </w:t>
      </w:r>
      <w:r w:rsidR="00945A4B" w:rsidRPr="00455191">
        <w:t xml:space="preserve">values </w:t>
      </w:r>
      <w:r w:rsidRPr="00455191">
        <w:t xml:space="preserve">that </w:t>
      </w:r>
      <w:r w:rsidR="00464320" w:rsidRPr="00455191">
        <w:t xml:space="preserve">could </w:t>
      </w:r>
      <w:r w:rsidRPr="00455191">
        <w:t>bias the analysis.</w:t>
      </w:r>
      <w:r w:rsidRPr="004E4A11">
        <w:rPr>
          <w:rStyle w:val="FootnoteReference"/>
        </w:rPr>
        <w:t xml:space="preserve"> </w:t>
      </w:r>
      <w:r w:rsidR="004E4A11" w:rsidRPr="00455191">
        <w:rPr>
          <w:rStyle w:val="FootnoteReference"/>
        </w:rPr>
        <w:footnoteReference w:id="11"/>
      </w:r>
      <w:r w:rsidRPr="00455191">
        <w:t xml:space="preserve"> </w:t>
      </w:r>
      <w:r w:rsidR="0035113B" w:rsidRPr="00455191">
        <w:t>This includes:</w:t>
      </w:r>
    </w:p>
    <w:p w14:paraId="07A795DB" w14:textId="37B8F34A" w:rsidR="006E1173" w:rsidRPr="00455191" w:rsidRDefault="006E1173" w:rsidP="00F77F00">
      <w:pPr>
        <w:pStyle w:val="Listparagraphbullets"/>
      </w:pPr>
      <w:r w:rsidRPr="00455191">
        <w:t>Records with missing vehicle make</w:t>
      </w:r>
      <w:r w:rsidR="0047411D" w:rsidRPr="00455191">
        <w:t xml:space="preserve">, </w:t>
      </w:r>
      <w:r w:rsidRPr="00455191">
        <w:t>model</w:t>
      </w:r>
      <w:r w:rsidR="0047411D" w:rsidRPr="00455191">
        <w:t>, or NEDC</w:t>
      </w:r>
      <w:r w:rsidR="00EB4DA6" w:rsidRPr="00455191">
        <w:t xml:space="preserve"> or </w:t>
      </w:r>
      <w:r w:rsidR="0047411D" w:rsidRPr="00455191">
        <w:t>WLTP g</w:t>
      </w:r>
      <w:r w:rsidR="00A42B59" w:rsidRPr="00455191">
        <w:t xml:space="preserve"> </w:t>
      </w:r>
      <w:r w:rsidR="0047411D" w:rsidRPr="00455191">
        <w:t>CO</w:t>
      </w:r>
      <w:r w:rsidR="0047411D" w:rsidRPr="00455191">
        <w:rPr>
          <w:vertAlign w:val="subscript"/>
        </w:rPr>
        <w:t>2</w:t>
      </w:r>
      <w:r w:rsidR="0047411D" w:rsidRPr="00455191">
        <w:t>/km values</w:t>
      </w:r>
      <w:r w:rsidR="00385FF3" w:rsidRPr="00455191">
        <w:t>.</w:t>
      </w:r>
    </w:p>
    <w:p w14:paraId="300CFA52" w14:textId="04EE813C" w:rsidR="006E1173" w:rsidRPr="00455191" w:rsidRDefault="006E1173" w:rsidP="00F77F00">
      <w:pPr>
        <w:pStyle w:val="Listparagraphbullets"/>
      </w:pPr>
      <w:r w:rsidRPr="00455191">
        <w:t xml:space="preserve">Records </w:t>
      </w:r>
      <w:r w:rsidR="00385FF3" w:rsidRPr="00455191">
        <w:t xml:space="preserve">with a fuel type </w:t>
      </w:r>
      <w:r w:rsidRPr="00455191">
        <w:t>other than petrol or diesel</w:t>
      </w:r>
      <w:r w:rsidR="00385FF3" w:rsidRPr="00455191">
        <w:t>.</w:t>
      </w:r>
    </w:p>
    <w:p w14:paraId="0CBAA2A6" w14:textId="0B32E661" w:rsidR="00BD3AA6" w:rsidRPr="00455191" w:rsidRDefault="007723B8" w:rsidP="00F77F00">
      <w:pPr>
        <w:pStyle w:val="Listparagraphbullets"/>
      </w:pPr>
      <w:r w:rsidRPr="00455191">
        <w:t xml:space="preserve">Records with missing entries </w:t>
      </w:r>
      <w:r w:rsidR="00615F05" w:rsidRPr="00455191">
        <w:t>for mass in running order</w:t>
      </w:r>
      <w:r w:rsidR="00E470A0" w:rsidRPr="00455191">
        <w:t>,</w:t>
      </w:r>
      <w:r w:rsidR="003D3959" w:rsidRPr="00455191">
        <w:t xml:space="preserve"> </w:t>
      </w:r>
      <w:r w:rsidR="00615F05" w:rsidRPr="00455191">
        <w:t>WLTP test mass</w:t>
      </w:r>
      <w:r w:rsidR="00E470A0" w:rsidRPr="00455191">
        <w:t>, or gross vehicle weight</w:t>
      </w:r>
      <w:r w:rsidR="00615F05" w:rsidRPr="00455191">
        <w:t xml:space="preserve">. The 2020 EU reporting guidelines </w:t>
      </w:r>
      <w:r w:rsidR="005870DD" w:rsidRPr="00455191">
        <w:t xml:space="preserve">describe these data fields as </w:t>
      </w:r>
      <w:r w:rsidR="00F508C9" w:rsidRPr="00455191">
        <w:t xml:space="preserve">mandatory </w:t>
      </w:r>
      <w:r w:rsidR="003C1A4C" w:rsidRPr="00455191">
        <w:t>and explicitly highligh</w:t>
      </w:r>
      <w:r w:rsidR="005870DD" w:rsidRPr="00455191">
        <w:t>t</w:t>
      </w:r>
      <w:r w:rsidR="003C1A4C" w:rsidRPr="00455191">
        <w:t xml:space="preserve"> </w:t>
      </w:r>
      <w:r w:rsidR="005870DD" w:rsidRPr="00455191">
        <w:t xml:space="preserve">their importance </w:t>
      </w:r>
      <w:r w:rsidR="008111CD" w:rsidRPr="00455191">
        <w:t xml:space="preserve">of reporting in 2020 </w:t>
      </w:r>
      <w:r w:rsidR="009F0B1F" w:rsidRPr="00455191">
        <w:rPr>
          <w:noProof/>
        </w:rPr>
        <w:t>(European Commission, 2020)</w:t>
      </w:r>
      <w:r w:rsidR="00385FF3" w:rsidRPr="00455191">
        <w:t>.</w:t>
      </w:r>
    </w:p>
    <w:p w14:paraId="3247BD82" w14:textId="4C893D22" w:rsidR="0003774B" w:rsidRPr="00455191" w:rsidRDefault="00B43472" w:rsidP="00F77F00">
      <w:pPr>
        <w:pStyle w:val="Listparagraphbullets"/>
      </w:pPr>
      <w:r w:rsidRPr="00455191">
        <w:t xml:space="preserve">Records with missing entries </w:t>
      </w:r>
      <w:r w:rsidR="00615F05" w:rsidRPr="00455191">
        <w:t>for vehicle segment.</w:t>
      </w:r>
    </w:p>
    <w:p w14:paraId="3CD7AFC9" w14:textId="1F5A1606" w:rsidR="0003774B" w:rsidRPr="00455191" w:rsidRDefault="00C00D5A" w:rsidP="00F77F00">
      <w:pPr>
        <w:pStyle w:val="Listparagraphbullets"/>
      </w:pPr>
      <w:r w:rsidRPr="00455191">
        <w:t xml:space="preserve">Records where the reported NEDC </w:t>
      </w:r>
      <w:r w:rsidR="00611BDC" w:rsidRPr="00455191">
        <w:t>CO</w:t>
      </w:r>
      <w:r w:rsidR="00611BDC" w:rsidRPr="00455191">
        <w:rPr>
          <w:vertAlign w:val="subscript"/>
        </w:rPr>
        <w:t>2</w:t>
      </w:r>
      <w:r w:rsidR="00611BDC" w:rsidRPr="00455191">
        <w:t xml:space="preserve"> </w:t>
      </w:r>
      <w:r w:rsidRPr="00455191">
        <w:t xml:space="preserve">emissions are </w:t>
      </w:r>
      <w:r w:rsidR="00611BDC" w:rsidRPr="00455191">
        <w:t xml:space="preserve">identical to </w:t>
      </w:r>
      <w:r w:rsidRPr="00455191">
        <w:t>the WLTP</w:t>
      </w:r>
      <w:r w:rsidR="00611BDC" w:rsidRPr="00455191">
        <w:t xml:space="preserve"> values</w:t>
      </w:r>
      <w:r w:rsidRPr="00455191">
        <w:t>.</w:t>
      </w:r>
      <w:r w:rsidR="00611BDC" w:rsidRPr="00455191">
        <w:t xml:space="preserve"> </w:t>
      </w:r>
    </w:p>
    <w:p w14:paraId="372E9981" w14:textId="7E9F647E" w:rsidR="0003774B" w:rsidRPr="00455191" w:rsidRDefault="00615F05" w:rsidP="00F77F00">
      <w:pPr>
        <w:pStyle w:val="Listparagraphbullets"/>
      </w:pPr>
      <w:r w:rsidRPr="00455191">
        <w:t xml:space="preserve">Records where mass in running order is greater than the test mass, where the test mass </w:t>
      </w:r>
      <w:r w:rsidR="00B3101C" w:rsidRPr="00455191">
        <w:t>is greater than the</w:t>
      </w:r>
      <w:r w:rsidRPr="00455191">
        <w:t xml:space="preserve"> gross vehicle weight</w:t>
      </w:r>
      <w:r w:rsidR="008A55B4" w:rsidRPr="00455191">
        <w:t>, or where the gross vehicle weight exceeds 3,500 kg</w:t>
      </w:r>
      <w:r w:rsidR="009F6ABC" w:rsidRPr="00455191">
        <w:t>. The</w:t>
      </w:r>
      <w:r w:rsidRPr="00455191">
        <w:t xml:space="preserve"> test mass </w:t>
      </w:r>
      <w:proofErr w:type="gramStart"/>
      <w:r w:rsidR="00ED4EBA" w:rsidRPr="00455191">
        <w:t xml:space="preserve">by </w:t>
      </w:r>
      <w:r w:rsidRPr="00455191">
        <w:t>definition</w:t>
      </w:r>
      <w:r w:rsidR="00ED4EBA" w:rsidRPr="00455191">
        <w:t xml:space="preserve"> </w:t>
      </w:r>
      <w:r w:rsidR="005C1701">
        <w:t>is</w:t>
      </w:r>
      <w:proofErr w:type="gramEnd"/>
      <w:r w:rsidR="005C1701">
        <w:t xml:space="preserve"> </w:t>
      </w:r>
      <w:r w:rsidRPr="00455191">
        <w:t>greater than the mass in running order</w:t>
      </w:r>
      <w:r w:rsidR="00FD1654" w:rsidRPr="00455191">
        <w:t>,</w:t>
      </w:r>
      <w:r w:rsidRPr="00455191">
        <w:t xml:space="preserve"> and </w:t>
      </w:r>
      <w:r w:rsidR="009F6ABC" w:rsidRPr="00455191">
        <w:t xml:space="preserve">the EU </w:t>
      </w:r>
      <w:r w:rsidR="00FD1654" w:rsidRPr="00455191">
        <w:t>LDV</w:t>
      </w:r>
      <w:r w:rsidR="009F6ABC" w:rsidRPr="00455191">
        <w:t xml:space="preserve"> CO</w:t>
      </w:r>
      <w:r w:rsidR="009F6ABC" w:rsidRPr="00455191">
        <w:rPr>
          <w:vertAlign w:val="subscript"/>
        </w:rPr>
        <w:t>2</w:t>
      </w:r>
      <w:r w:rsidR="009F6ABC" w:rsidRPr="00455191">
        <w:t xml:space="preserve"> standards only cover vehicles with a gross vehicle mass </w:t>
      </w:r>
      <w:r w:rsidR="00FD1654" w:rsidRPr="00455191">
        <w:t xml:space="preserve">up to </w:t>
      </w:r>
      <w:r w:rsidR="009F6ABC" w:rsidRPr="00455191">
        <w:t>3,500 kg</w:t>
      </w:r>
      <w:r w:rsidR="003D5996" w:rsidRPr="00455191">
        <w:t xml:space="preserve"> </w:t>
      </w:r>
      <w:r w:rsidR="00C027D3" w:rsidRPr="00455191">
        <w:rPr>
          <w:noProof/>
        </w:rPr>
        <w:t>(UNECE R 154, 2021)</w:t>
      </w:r>
      <w:r w:rsidR="00FD1654" w:rsidRPr="00455191">
        <w:t>.</w:t>
      </w:r>
    </w:p>
    <w:p w14:paraId="11C3AC7A" w14:textId="43DF3826" w:rsidR="00615F05" w:rsidRPr="00455191" w:rsidRDefault="00615F05" w:rsidP="00F77F00">
      <w:pPr>
        <w:pStyle w:val="Listparagraphbullets"/>
      </w:pPr>
      <w:r w:rsidRPr="00455191">
        <w:t xml:space="preserve">Records where segment is not consistent with the vehicle </w:t>
      </w:r>
      <w:r w:rsidR="00DB3D91" w:rsidRPr="00455191">
        <w:t>category</w:t>
      </w:r>
      <w:r w:rsidRPr="00455191">
        <w:t>.</w:t>
      </w:r>
      <w:r w:rsidR="00DB3D91" w:rsidRPr="00455191">
        <w:t xml:space="preserve"> This means only </w:t>
      </w:r>
      <w:r w:rsidR="008A5E68" w:rsidRPr="00455191">
        <w:t>non-car derived vans, car-derived vans</w:t>
      </w:r>
      <w:r w:rsidR="00D02AE4" w:rsidRPr="00455191">
        <w:t>,</w:t>
      </w:r>
      <w:r w:rsidR="008A5E68" w:rsidRPr="00455191">
        <w:t xml:space="preserve"> and pickup vehicles are </w:t>
      </w:r>
      <w:r w:rsidR="00D02AE4" w:rsidRPr="00455191">
        <w:t xml:space="preserve">categorized as </w:t>
      </w:r>
      <w:r w:rsidR="008A5E68" w:rsidRPr="00455191">
        <w:t>light</w:t>
      </w:r>
      <w:r w:rsidR="00D02AE4" w:rsidRPr="00455191">
        <w:t xml:space="preserve"> </w:t>
      </w:r>
      <w:r w:rsidR="008A5E68" w:rsidRPr="00455191">
        <w:t>commercial vehicles</w:t>
      </w:r>
      <w:r w:rsidR="0078178C">
        <w:t>,</w:t>
      </w:r>
      <w:r w:rsidR="00B170BA" w:rsidRPr="00455191">
        <w:t xml:space="preserve"> and all other segments are </w:t>
      </w:r>
      <w:r w:rsidR="003D7C59" w:rsidRPr="00455191">
        <w:t>considered</w:t>
      </w:r>
      <w:r w:rsidR="00B170BA" w:rsidRPr="00455191">
        <w:t xml:space="preserve"> passenger cars</w:t>
      </w:r>
      <w:r w:rsidRPr="00455191">
        <w:t>.</w:t>
      </w:r>
    </w:p>
    <w:p w14:paraId="305795CD" w14:textId="53307BD8" w:rsidR="0003774B" w:rsidRPr="00455191" w:rsidRDefault="00B43472" w:rsidP="00F77F00">
      <w:pPr>
        <w:pStyle w:val="Listparagraphbullets"/>
      </w:pPr>
      <w:r w:rsidRPr="00455191">
        <w:t>Records</w:t>
      </w:r>
      <w:r w:rsidR="00615F05" w:rsidRPr="00455191">
        <w:t xml:space="preserve"> </w:t>
      </w:r>
      <w:r w:rsidR="00B170BA" w:rsidRPr="00455191">
        <w:t xml:space="preserve">of </w:t>
      </w:r>
      <w:r w:rsidR="00615F05" w:rsidRPr="00455191">
        <w:t xml:space="preserve">PHEVs with </w:t>
      </w:r>
      <w:r w:rsidR="00D02AE4" w:rsidRPr="00455191">
        <w:t xml:space="preserve">WLTP </w:t>
      </w:r>
      <w:r w:rsidR="00B170BA" w:rsidRPr="00455191">
        <w:t>CO</w:t>
      </w:r>
      <w:r w:rsidR="00B170BA" w:rsidRPr="00455191">
        <w:rPr>
          <w:vertAlign w:val="subscript"/>
        </w:rPr>
        <w:t>2</w:t>
      </w:r>
      <w:r w:rsidR="00B170BA" w:rsidRPr="00455191">
        <w:t xml:space="preserve"> </w:t>
      </w:r>
      <w:r w:rsidR="00615F05" w:rsidRPr="00455191">
        <w:t xml:space="preserve">emissions </w:t>
      </w:r>
      <w:r w:rsidR="00B170BA" w:rsidRPr="00455191">
        <w:t>of more than</w:t>
      </w:r>
      <w:r w:rsidR="00615F05" w:rsidRPr="00455191">
        <w:t xml:space="preserve"> 111 g/km</w:t>
      </w:r>
      <w:r w:rsidR="00D02AE4" w:rsidRPr="00455191">
        <w:t xml:space="preserve">. This </w:t>
      </w:r>
      <w:r w:rsidR="002955AC" w:rsidRPr="00455191">
        <w:t xml:space="preserve">threshold </w:t>
      </w:r>
      <w:r w:rsidR="00D02AE4" w:rsidRPr="00455191">
        <w:t>is</w:t>
      </w:r>
      <w:r w:rsidR="00615F05" w:rsidRPr="00455191">
        <w:t xml:space="preserve"> based on the </w:t>
      </w:r>
      <w:r w:rsidR="00AC38D3" w:rsidRPr="00455191">
        <w:t>CO</w:t>
      </w:r>
      <w:r w:rsidR="00AC38D3" w:rsidRPr="00455191">
        <w:rPr>
          <w:vertAlign w:val="subscript"/>
        </w:rPr>
        <w:t>2</w:t>
      </w:r>
      <w:r w:rsidR="00AC38D3" w:rsidRPr="00455191">
        <w:t xml:space="preserve"> emission values of PHEVs available in the German market in 2020</w:t>
      </w:r>
      <w:r w:rsidR="00A4010D" w:rsidRPr="00455191">
        <w:t xml:space="preserve"> </w:t>
      </w:r>
      <w:r w:rsidR="00F87E8D" w:rsidRPr="00455191">
        <w:rPr>
          <w:noProof/>
        </w:rPr>
        <w:t>(Allgemeiner Deutscher Automobil-Club, 2021)</w:t>
      </w:r>
      <w:r w:rsidR="00D02AE4" w:rsidRPr="00455191">
        <w:t>.</w:t>
      </w:r>
      <w:r w:rsidR="002955AC" w:rsidRPr="00455191">
        <w:rPr>
          <w:rStyle w:val="FootnoteReference"/>
          <w:color w:val="4E3227" w:themeColor="accent2"/>
        </w:rPr>
        <w:footnoteReference w:id="12"/>
      </w:r>
    </w:p>
    <w:p w14:paraId="0E9FB444" w14:textId="54B4F7E1" w:rsidR="00615F05" w:rsidRPr="00455191" w:rsidRDefault="00CB614A" w:rsidP="00F77F00">
      <w:pPr>
        <w:pStyle w:val="Listparagraphbullets"/>
      </w:pPr>
      <w:r w:rsidRPr="00455191">
        <w:t xml:space="preserve">Vehicle type-approved </w:t>
      </w:r>
      <w:r w:rsidR="00F1607B" w:rsidRPr="00455191">
        <w:t>as national small series or that were approved individually</w:t>
      </w:r>
      <w:r w:rsidR="00CB4E74" w:rsidRPr="00455191">
        <w:t xml:space="preserve">, as these vehicles </w:t>
      </w:r>
      <w:r w:rsidR="00AA658F" w:rsidRPr="00455191">
        <w:t xml:space="preserve">are not </w:t>
      </w:r>
      <w:r w:rsidR="001C1A82" w:rsidRPr="00455191">
        <w:t xml:space="preserve">type-approved following the full test procedure and, therefore, </w:t>
      </w:r>
      <w:r w:rsidR="00AA658F" w:rsidRPr="00455191">
        <w:t>WLTP and NEDC CO</w:t>
      </w:r>
      <w:r w:rsidR="00AA658F" w:rsidRPr="00455191">
        <w:rPr>
          <w:vertAlign w:val="subscript"/>
        </w:rPr>
        <w:t>2</w:t>
      </w:r>
      <w:r w:rsidR="00AA658F" w:rsidRPr="00455191">
        <w:t xml:space="preserve"> emission values</w:t>
      </w:r>
      <w:r w:rsidR="001C1A82" w:rsidRPr="00455191">
        <w:t xml:space="preserve"> are considered less reliable</w:t>
      </w:r>
      <w:r w:rsidR="009F6ABC" w:rsidRPr="00455191">
        <w:t>.</w:t>
      </w:r>
    </w:p>
    <w:p w14:paraId="72B1C730" w14:textId="0C5BC12D" w:rsidR="00093425" w:rsidRPr="00455191" w:rsidRDefault="00093425" w:rsidP="005D4BA8">
      <w:r w:rsidRPr="005D4BA8">
        <w:t xml:space="preserve">This </w:t>
      </w:r>
      <w:r w:rsidR="00F234E2" w:rsidRPr="005D4BA8">
        <w:t>led to</w:t>
      </w:r>
      <w:r w:rsidR="00EA2D8C" w:rsidRPr="005D4BA8">
        <w:t xml:space="preserve"> </w:t>
      </w:r>
      <w:r w:rsidR="003F3998" w:rsidRPr="005D4BA8">
        <w:t>the removal of</w:t>
      </w:r>
      <w:r w:rsidR="00EA2D8C" w:rsidRPr="005D4BA8">
        <w:t xml:space="preserve"> 9.3% of PC records and 22% </w:t>
      </w:r>
      <w:r w:rsidR="004264F9" w:rsidRPr="005D4BA8">
        <w:t>of LCV records</w:t>
      </w:r>
      <w:r w:rsidR="00652F2C" w:rsidRPr="005D4BA8">
        <w:t xml:space="preserve"> </w:t>
      </w:r>
      <w:r w:rsidR="008F5055" w:rsidRPr="005D4BA8">
        <w:t>in the original datab</w:t>
      </w:r>
      <w:r w:rsidR="008F5055" w:rsidRPr="00455191">
        <w:t xml:space="preserve">ase </w:t>
      </w:r>
      <w:r w:rsidR="00652F2C" w:rsidRPr="00455191">
        <w:t>prior to analysis</w:t>
      </w:r>
      <w:r w:rsidR="009D65BA" w:rsidRPr="00455191">
        <w:rPr>
          <w:rStyle w:val="CommentReference"/>
        </w:rPr>
        <w:t>.</w:t>
      </w:r>
      <w:r w:rsidR="00BF2F63" w:rsidRPr="00455191">
        <w:rPr>
          <w:rStyle w:val="FootnoteReference"/>
        </w:rPr>
        <w:footnoteReference w:id="13"/>
      </w:r>
    </w:p>
    <w:p w14:paraId="04DA9B0C" w14:textId="269461CF" w:rsidR="00834F8D" w:rsidRPr="00455191" w:rsidRDefault="00615F05" w:rsidP="00F77F00">
      <w:pPr>
        <w:keepLines/>
      </w:pPr>
      <w:r w:rsidRPr="00455191">
        <w:rPr>
          <w:b/>
          <w:color w:val="4E3227" w:themeColor="accent2"/>
        </w:rPr>
        <w:lastRenderedPageBreak/>
        <w:t xml:space="preserve">Step 2: </w:t>
      </w:r>
      <w:r w:rsidR="00B754B9" w:rsidRPr="00455191">
        <w:rPr>
          <w:b/>
          <w:bCs/>
          <w:color w:val="4E3227" w:themeColor="accent2"/>
        </w:rPr>
        <w:t>WLTP values</w:t>
      </w:r>
      <w:r w:rsidR="002F3571">
        <w:rPr>
          <w:b/>
          <w:bCs/>
          <w:color w:val="4E3227" w:themeColor="accent2"/>
        </w:rPr>
        <w:t xml:space="preserve"> adjustment</w:t>
      </w:r>
      <w:r w:rsidR="003A174C">
        <w:rPr>
          <w:b/>
          <w:bCs/>
          <w:color w:val="4E3227" w:themeColor="accent2"/>
        </w:rPr>
        <w:t>.</w:t>
      </w:r>
      <w:r w:rsidR="00834F8D" w:rsidRPr="00455191">
        <w:rPr>
          <w:color w:val="4E3227" w:themeColor="accent2"/>
        </w:rPr>
        <w:t xml:space="preserve"> </w:t>
      </w:r>
      <w:r w:rsidR="00AA0EBA" w:rsidRPr="00455191">
        <w:t>WLTP values were adjusted</w:t>
      </w:r>
      <w:r w:rsidR="00834F8D" w:rsidRPr="00455191">
        <w:t xml:space="preserve"> </w:t>
      </w:r>
      <w:r w:rsidR="00105C62" w:rsidRPr="00455191">
        <w:t>to address</w:t>
      </w:r>
      <w:r w:rsidR="00AE7C9B" w:rsidRPr="00455191">
        <w:rPr>
          <w:color w:val="4E3227" w:themeColor="accent2"/>
        </w:rPr>
        <w:t xml:space="preserve"> the</w:t>
      </w:r>
      <w:r w:rsidR="00105C62" w:rsidRPr="00455191">
        <w:rPr>
          <w:color w:val="4E3227" w:themeColor="accent2"/>
        </w:rPr>
        <w:t xml:space="preserve"> </w:t>
      </w:r>
      <w:r w:rsidR="006809DE">
        <w:t>wide</w:t>
      </w:r>
      <w:r w:rsidR="00834F8D" w:rsidRPr="00455191">
        <w:t xml:space="preserve"> range of over-declaration of WLTP CO</w:t>
      </w:r>
      <w:r w:rsidR="00834F8D" w:rsidRPr="00455191">
        <w:rPr>
          <w:vertAlign w:val="subscript"/>
        </w:rPr>
        <w:t>2</w:t>
      </w:r>
      <w:r w:rsidR="00834F8D" w:rsidRPr="00455191">
        <w:t xml:space="preserve"> values across manufacturers</w:t>
      </w:r>
      <w:r w:rsidR="00100983" w:rsidRPr="00455191">
        <w:t xml:space="preserve">, as explained in </w:t>
      </w:r>
      <w:r w:rsidR="009D65BA" w:rsidRPr="00455191">
        <w:t xml:space="preserve">Section </w:t>
      </w:r>
      <w:r w:rsidR="00100983" w:rsidRPr="00455191">
        <w:t>2</w:t>
      </w:r>
      <w:r w:rsidR="001B16A5" w:rsidRPr="00455191">
        <w:t>.2.1</w:t>
      </w:r>
      <w:r w:rsidR="00834F8D" w:rsidRPr="00455191">
        <w:t>. To ensure that the WLTP to NEDC CO</w:t>
      </w:r>
      <w:r w:rsidR="00834F8D" w:rsidRPr="00455191">
        <w:rPr>
          <w:vertAlign w:val="subscript"/>
        </w:rPr>
        <w:t>2</w:t>
      </w:r>
      <w:r w:rsidR="00834F8D" w:rsidRPr="00455191">
        <w:t xml:space="preserve"> </w:t>
      </w:r>
      <w:r w:rsidR="007E326B" w:rsidRPr="00455191">
        <w:t xml:space="preserve">conversion </w:t>
      </w:r>
      <w:r w:rsidR="00270BF8" w:rsidRPr="00455191">
        <w:t xml:space="preserve">was </w:t>
      </w:r>
      <w:r w:rsidR="00834F8D" w:rsidRPr="00455191">
        <w:t xml:space="preserve">not </w:t>
      </w:r>
      <w:r w:rsidR="00AB554E" w:rsidRPr="00455191">
        <w:t>distorted</w:t>
      </w:r>
      <w:r w:rsidR="00834F8D" w:rsidRPr="00455191">
        <w:t xml:space="preserve"> by differences stemming from different levels of over-declaration, we </w:t>
      </w:r>
      <w:r w:rsidR="0056541C" w:rsidRPr="00455191">
        <w:t xml:space="preserve">used Equation 2 to </w:t>
      </w:r>
      <w:r w:rsidR="00834F8D" w:rsidRPr="00455191">
        <w:t xml:space="preserve">adjust the declared WLTP values </w:t>
      </w:r>
      <w:r w:rsidR="0056541C" w:rsidRPr="00455191">
        <w:t>based on the margin between declared and measured WLTP values, averaged across the fleet</w:t>
      </w:r>
      <w:r w:rsidR="00834F8D" w:rsidRPr="00455191">
        <w:t>.</w:t>
      </w:r>
      <w:r w:rsidR="00DA2DEC" w:rsidRPr="00455191">
        <w:rPr>
          <w:rStyle w:val="FootnoteReference"/>
        </w:rPr>
        <w:footnoteReference w:id="14"/>
      </w:r>
      <w:r w:rsidR="00834F8D" w:rsidRPr="00455191">
        <w:t xml:space="preserve"> The manufacturer</w:t>
      </w:r>
      <w:r w:rsidR="00BB2F01" w:rsidRPr="00455191">
        <w:t>-</w:t>
      </w:r>
      <w:r w:rsidR="00834F8D" w:rsidRPr="00455191">
        <w:t>average and fleet</w:t>
      </w:r>
      <w:r w:rsidR="00BB2F01" w:rsidRPr="00455191">
        <w:t>-</w:t>
      </w:r>
      <w:r w:rsidR="00834F8D" w:rsidRPr="00455191">
        <w:t xml:space="preserve">average ratio of declared </w:t>
      </w:r>
      <w:r w:rsidR="00BB2F01" w:rsidRPr="00455191">
        <w:t xml:space="preserve">to </w:t>
      </w:r>
      <w:r w:rsidR="00834F8D" w:rsidRPr="00455191">
        <w:t xml:space="preserve">measured WLTP emissions is taken from the European Commission </w:t>
      </w:r>
      <w:r w:rsidR="00BB2F01" w:rsidRPr="00455191">
        <w:t>(2023a)</w:t>
      </w:r>
      <w:r w:rsidR="001C481F" w:rsidRPr="00455191">
        <w:t>.</w:t>
      </w:r>
      <w:r w:rsidR="00683621" w:rsidRPr="00455191">
        <w:t xml:space="preserve"> </w:t>
      </w:r>
      <w:r w:rsidR="00834F8D" w:rsidRPr="00455191">
        <w:t xml:space="preserve">The adjustment factors range from 95% to 104% for </w:t>
      </w:r>
      <w:r w:rsidR="00D65A62">
        <w:t>PCs</w:t>
      </w:r>
      <w:r w:rsidR="00834F8D" w:rsidRPr="00455191">
        <w:t xml:space="preserve"> and from 94% to 105% for </w:t>
      </w:r>
      <w:r w:rsidR="00D65A62">
        <w:t>LCVs</w:t>
      </w:r>
      <w:r w:rsidR="00834F8D" w:rsidRPr="00455191">
        <w:t xml:space="preserve"> across the vehicle makes. </w:t>
      </w:r>
    </w:p>
    <w:p w14:paraId="517ADCC5" w14:textId="1D2577DD" w:rsidR="00834F8D" w:rsidRPr="00455191" w:rsidRDefault="00013094" w:rsidP="00F61408">
      <m:oMath>
        <m:r>
          <w:rPr>
            <w:rFonts w:ascii="Cambria Math" w:hAnsi="Cambria Math"/>
          </w:rPr>
          <m:t>C</m:t>
        </m:r>
        <m:sSub>
          <m:sSubPr>
            <m:ctrlPr>
              <w:rPr>
                <w:rFonts w:ascii="Cambria Math" w:hAnsi="Cambria Math"/>
                <w:iCs/>
              </w:rPr>
            </m:ctrlPr>
          </m:sSubPr>
          <m:e>
            <m:r>
              <w:rPr>
                <w:rFonts w:ascii="Cambria Math" w:hAnsi="Cambria Math"/>
              </w:rPr>
              <m:t>O</m:t>
            </m:r>
          </m:e>
          <m:sub>
            <m:r>
              <m:rPr>
                <m:sty m:val="p"/>
              </m:rPr>
              <w:rPr>
                <w:rFonts w:ascii="Cambria Math" w:hAnsi="Cambria Math"/>
              </w:rPr>
              <m:t>2, </m:t>
            </m:r>
            <m:r>
              <w:rPr>
                <w:rFonts w:ascii="Cambria Math" w:hAnsi="Cambria Math"/>
              </w:rPr>
              <m:t>WLTP</m:t>
            </m:r>
            <m:r>
              <m:rPr>
                <m:sty m:val="p"/>
              </m:rPr>
              <w:rPr>
                <w:rFonts w:ascii="Cambria Math" w:hAnsi="Cambria Math"/>
              </w:rPr>
              <m:t>,</m:t>
            </m:r>
            <m:r>
              <w:rPr>
                <w:rFonts w:ascii="Cambria Math" w:hAnsi="Cambria Math"/>
              </w:rPr>
              <m:t>adjusted</m:t>
            </m:r>
            <m:r>
              <m:rPr>
                <m:sty m:val="p"/>
              </m:rPr>
              <w:rPr>
                <w:rFonts w:ascii="Cambria Math" w:hAnsi="Cambria Math"/>
              </w:rPr>
              <m:t>,</m:t>
            </m:r>
            <m:r>
              <w:rPr>
                <w:rFonts w:ascii="Cambria Math" w:hAnsi="Cambria Math"/>
              </w:rPr>
              <m:t>OEM</m:t>
            </m:r>
            <m:r>
              <m:rPr>
                <m:sty m:val="p"/>
              </m:rPr>
              <w:rPr>
                <w:rFonts w:ascii="Cambria Math" w:hAnsi="Cambria Math"/>
              </w:rPr>
              <m:t>,</m:t>
            </m:r>
            <m:r>
              <w:rPr>
                <w:rFonts w:ascii="Cambria Math" w:hAnsi="Cambria Math"/>
              </w:rPr>
              <m:t>v</m:t>
            </m:r>
          </m:sub>
        </m:sSub>
        <m:r>
          <m:rPr>
            <m:sty m:val="p"/>
          </m:rPr>
          <w:rPr>
            <w:rFonts w:ascii="Cambria Math" w:hAnsi="Cambria Math"/>
          </w:rPr>
          <m:t>=</m:t>
        </m:r>
        <m:r>
          <w:rPr>
            <w:rFonts w:ascii="Cambria Math" w:hAnsi="Cambria Math"/>
          </w:rPr>
          <m:t>C</m:t>
        </m:r>
        <m:sSub>
          <m:sSubPr>
            <m:ctrlPr>
              <w:rPr>
                <w:rFonts w:ascii="Cambria Math" w:hAnsi="Cambria Math"/>
                <w:iCs/>
              </w:rPr>
            </m:ctrlPr>
          </m:sSubPr>
          <m:e>
            <m:r>
              <w:rPr>
                <w:rFonts w:ascii="Cambria Math" w:hAnsi="Cambria Math"/>
              </w:rPr>
              <m:t>O</m:t>
            </m:r>
          </m:e>
          <m:sub>
            <m:r>
              <m:rPr>
                <m:sty m:val="p"/>
              </m:rPr>
              <w:rPr>
                <w:rFonts w:ascii="Cambria Math" w:hAnsi="Cambria Math"/>
              </w:rPr>
              <m:t>2, </m:t>
            </m:r>
            <m:r>
              <w:rPr>
                <w:rFonts w:ascii="Cambria Math" w:hAnsi="Cambria Math"/>
              </w:rPr>
              <m:t>WLTP</m:t>
            </m:r>
            <m:r>
              <m:rPr>
                <m:sty m:val="p"/>
              </m:rPr>
              <w:rPr>
                <w:rFonts w:ascii="Cambria Math" w:hAnsi="Cambria Math"/>
              </w:rPr>
              <m:t>,</m:t>
            </m:r>
            <m:r>
              <w:rPr>
                <w:rFonts w:ascii="Cambria Math" w:hAnsi="Cambria Math"/>
              </w:rPr>
              <m:t>declared</m:t>
            </m:r>
            <m:r>
              <m:rPr>
                <m:sty m:val="p"/>
              </m:rPr>
              <w:rPr>
                <w:rFonts w:ascii="Cambria Math" w:hAnsi="Cambria Math"/>
              </w:rPr>
              <m:t>,</m:t>
            </m:r>
            <m:r>
              <w:rPr>
                <w:rFonts w:ascii="Cambria Math" w:hAnsi="Cambria Math"/>
              </w:rPr>
              <m:t>OEM</m:t>
            </m:r>
            <m:r>
              <m:rPr>
                <m:sty m:val="p"/>
              </m:rPr>
              <w:rPr>
                <w:rFonts w:ascii="Cambria Math" w:hAnsi="Cambria Math"/>
              </w:rPr>
              <m:t>,</m:t>
            </m:r>
            <m:r>
              <w:rPr>
                <w:rFonts w:ascii="Cambria Math" w:hAnsi="Cambria Math"/>
              </w:rPr>
              <m:t>V</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w:rPr>
                    <w:rFonts w:ascii="Cambria Math" w:hAnsi="Cambria Math"/>
                  </w:rPr>
                  <m:t>r</m:t>
                </m:r>
              </m:e>
              <m:sub>
                <m:r>
                  <w:rPr>
                    <w:rFonts w:ascii="Cambria Math" w:hAnsi="Cambria Math"/>
                  </w:rPr>
                  <m:t>declared</m:t>
                </m:r>
                <m:r>
                  <m:rPr>
                    <m:sty m:val="p"/>
                  </m:rPr>
                  <w:rPr>
                    <w:rFonts w:ascii="Cambria Math" w:hAnsi="Cambria Math"/>
                  </w:rPr>
                  <m:t> </m:t>
                </m:r>
                <m:r>
                  <w:rPr>
                    <w:rFonts w:ascii="Cambria Math" w:hAnsi="Cambria Math"/>
                  </w:rPr>
                  <m:t>to</m:t>
                </m:r>
                <m:r>
                  <m:rPr>
                    <m:sty m:val="p"/>
                  </m:rPr>
                  <w:rPr>
                    <w:rFonts w:ascii="Cambria Math" w:hAnsi="Cambria Math"/>
                  </w:rPr>
                  <m:t> </m:t>
                </m:r>
                <m:r>
                  <w:rPr>
                    <w:rFonts w:ascii="Cambria Math" w:hAnsi="Cambria Math"/>
                  </w:rPr>
                  <m:t>measured</m:t>
                </m:r>
                <m:r>
                  <m:rPr>
                    <m:sty m:val="p"/>
                  </m:rPr>
                  <w:rPr>
                    <w:rFonts w:ascii="Cambria Math" w:hAnsi="Cambria Math"/>
                  </w:rPr>
                  <m:t>, </m:t>
                </m:r>
                <m:r>
                  <w:rPr>
                    <w:rFonts w:ascii="Cambria Math" w:hAnsi="Cambria Math"/>
                  </w:rPr>
                  <m:t>fleet</m:t>
                </m:r>
                <m:r>
                  <m:rPr>
                    <m:sty m:val="p"/>
                  </m:rPr>
                  <w:rPr>
                    <w:rFonts w:ascii="Cambria Math" w:hAnsi="Cambria Math"/>
                  </w:rPr>
                  <m:t>,</m:t>
                </m:r>
                <m:r>
                  <w:rPr>
                    <w:rFonts w:ascii="Cambria Math" w:hAnsi="Cambria Math"/>
                  </w:rPr>
                  <m:t>v</m:t>
                </m:r>
              </m:sub>
            </m:sSub>
          </m:num>
          <m:den>
            <m:sSub>
              <m:sSubPr>
                <m:ctrlPr>
                  <w:rPr>
                    <w:rFonts w:ascii="Cambria Math" w:hAnsi="Cambria Math"/>
                    <w:iCs/>
                  </w:rPr>
                </m:ctrlPr>
              </m:sSubPr>
              <m:e>
                <m:r>
                  <w:rPr>
                    <w:rFonts w:ascii="Cambria Math" w:hAnsi="Cambria Math"/>
                  </w:rPr>
                  <m:t>r</m:t>
                </m:r>
              </m:e>
              <m:sub>
                <m:r>
                  <w:rPr>
                    <w:rFonts w:ascii="Cambria Math" w:hAnsi="Cambria Math"/>
                  </w:rPr>
                  <m:t>declared</m:t>
                </m:r>
                <m:r>
                  <m:rPr>
                    <m:sty m:val="p"/>
                  </m:rPr>
                  <w:rPr>
                    <w:rFonts w:ascii="Cambria Math" w:hAnsi="Cambria Math"/>
                  </w:rPr>
                  <m:t> </m:t>
                </m:r>
                <m:r>
                  <w:rPr>
                    <w:rFonts w:ascii="Cambria Math" w:hAnsi="Cambria Math"/>
                  </w:rPr>
                  <m:t>to</m:t>
                </m:r>
                <m:r>
                  <m:rPr>
                    <m:sty m:val="p"/>
                  </m:rPr>
                  <w:rPr>
                    <w:rFonts w:ascii="Cambria Math" w:hAnsi="Cambria Math"/>
                  </w:rPr>
                  <m:t> </m:t>
                </m:r>
                <m:r>
                  <w:rPr>
                    <w:rFonts w:ascii="Cambria Math" w:hAnsi="Cambria Math"/>
                  </w:rPr>
                  <m:t>measured</m:t>
                </m:r>
                <m:r>
                  <m:rPr>
                    <m:sty m:val="p"/>
                  </m:rPr>
                  <w:rPr>
                    <w:rFonts w:ascii="Cambria Math" w:hAnsi="Cambria Math"/>
                  </w:rPr>
                  <m:t>, </m:t>
                </m:r>
                <m:r>
                  <w:rPr>
                    <w:rFonts w:ascii="Cambria Math" w:hAnsi="Cambria Math"/>
                  </w:rPr>
                  <m:t>OEM</m:t>
                </m:r>
                <m:r>
                  <m:rPr>
                    <m:sty m:val="p"/>
                  </m:rPr>
                  <w:rPr>
                    <w:rFonts w:ascii="Cambria Math" w:hAnsi="Cambria Math"/>
                  </w:rPr>
                  <m:t>,</m:t>
                </m:r>
                <m:r>
                  <w:rPr>
                    <w:rFonts w:ascii="Cambria Math" w:hAnsi="Cambria Math"/>
                  </w:rPr>
                  <m:t>v</m:t>
                </m:r>
              </m:sub>
            </m:sSub>
          </m:den>
        </m:f>
      </m:oMath>
      <w:r w:rsidR="00834F8D" w:rsidRPr="00455191">
        <w:t xml:space="preserve"> ……………</w:t>
      </w:r>
      <w:proofErr w:type="gramStart"/>
      <w:r w:rsidR="00834F8D" w:rsidRPr="00455191">
        <w:t>…(</w:t>
      </w:r>
      <w:proofErr w:type="gramEnd"/>
      <w:r w:rsidR="00843217" w:rsidRPr="00455191">
        <w:t>2</w:t>
      </w:r>
      <w:r w:rsidR="00834F8D" w:rsidRPr="00455191">
        <w:t>)</w:t>
      </w:r>
    </w:p>
    <w:p w14:paraId="7174615B" w14:textId="5CB63223" w:rsidR="00834F8D" w:rsidRPr="00455191" w:rsidRDefault="00834F8D" w:rsidP="00F61408">
      <w:r w:rsidRPr="00455191">
        <w:t>Where</w:t>
      </w:r>
      <w:r w:rsidR="003256D7">
        <w:t>:</w:t>
      </w:r>
    </w:p>
    <w:p w14:paraId="18C7E090" w14:textId="6F3F0C69" w:rsidR="00834F8D" w:rsidRPr="00455191" w:rsidRDefault="00000000" w:rsidP="00F61408">
      <m:oMath>
        <m:sSub>
          <m:sSubPr>
            <m:ctrlPr>
              <w:rPr>
                <w:rFonts w:ascii="Cambria Math" w:hAnsi="Cambria Math"/>
                <w:i/>
              </w:rPr>
            </m:ctrlPr>
          </m:sSubPr>
          <m:e>
            <m:r>
              <w:rPr>
                <w:rFonts w:ascii="Cambria Math" w:hAnsi="Cambria Math"/>
              </w:rPr>
              <m:t>r</m:t>
            </m:r>
          </m:e>
          <m:sub>
            <m:r>
              <w:rPr>
                <w:rFonts w:ascii="Cambria Math" w:hAnsi="Cambria Math"/>
              </w:rPr>
              <m:t>declared to measured, fleet,v</m:t>
            </m:r>
          </m:sub>
        </m:sSub>
      </m:oMath>
      <w:r w:rsidR="00834F8D" w:rsidRPr="00455191">
        <w:t xml:space="preserve"> </w:t>
      </w:r>
      <w:r w:rsidR="00BB2F01" w:rsidRPr="00455191">
        <w:t>is the</w:t>
      </w:r>
      <w:r w:rsidR="00834F8D" w:rsidRPr="00455191">
        <w:t xml:space="preserve"> ratio of declared to measured </w:t>
      </w:r>
      <w:r w:rsidR="00BB2F01" w:rsidRPr="00455191">
        <w:t xml:space="preserve">WLTP </w:t>
      </w:r>
      <w:r w:rsidR="00834F8D" w:rsidRPr="00455191">
        <w:t>values</w:t>
      </w:r>
      <w:r w:rsidR="000924F4" w:rsidRPr="00455191">
        <w:t>,</w:t>
      </w:r>
      <w:r w:rsidR="00834F8D" w:rsidRPr="00455191">
        <w:t xml:space="preserve"> averaged over the 2020 fleet by vehicle category </w:t>
      </w:r>
      <m:oMath>
        <m:r>
          <w:rPr>
            <w:rFonts w:ascii="Cambria Math" w:hAnsi="Cambria Math"/>
          </w:rPr>
          <m:t>v</m:t>
        </m:r>
      </m:oMath>
      <w:r w:rsidR="00450DE5" w:rsidRPr="00455191">
        <w:t>—that is</w:t>
      </w:r>
      <w:r w:rsidR="00834F8D" w:rsidRPr="00455191">
        <w:t xml:space="preserve">, 4.8% for </w:t>
      </w:r>
      <w:r w:rsidR="00450DE5" w:rsidRPr="00455191">
        <w:t>PCs and</w:t>
      </w:r>
      <w:r w:rsidR="00834F8D" w:rsidRPr="00455191">
        <w:t xml:space="preserve"> 5.1% for </w:t>
      </w:r>
      <w:r w:rsidR="00450DE5" w:rsidRPr="00455191">
        <w:t>LCVs</w:t>
      </w:r>
      <w:r w:rsidR="000924F4" w:rsidRPr="00455191">
        <w:t xml:space="preserve">; and </w:t>
      </w:r>
    </w:p>
    <w:p w14:paraId="186593D1" w14:textId="7431D0FF" w:rsidR="006C13D6" w:rsidRPr="00455191" w:rsidRDefault="00000000" w:rsidP="00F61408">
      <w:pPr>
        <w:rPr>
          <w:color w:val="4E3227" w:themeColor="accent2"/>
        </w:rPr>
      </w:pPr>
      <m:oMath>
        <m:sSub>
          <m:sSubPr>
            <m:ctrlPr>
              <w:rPr>
                <w:rFonts w:ascii="Cambria Math" w:hAnsi="Cambria Math"/>
                <w:i/>
              </w:rPr>
            </m:ctrlPr>
          </m:sSubPr>
          <m:e>
            <m:r>
              <w:rPr>
                <w:rFonts w:ascii="Cambria Math" w:hAnsi="Cambria Math"/>
              </w:rPr>
              <m:t>r</m:t>
            </m:r>
          </m:e>
          <m:sub>
            <m:r>
              <w:rPr>
                <w:rFonts w:ascii="Cambria Math" w:hAnsi="Cambria Math"/>
              </w:rPr>
              <m:t>declared to measured, OEM,v</m:t>
            </m:r>
          </m:sub>
        </m:sSub>
      </m:oMath>
      <w:r w:rsidR="00834F8D" w:rsidRPr="00455191">
        <w:t xml:space="preserve"> </w:t>
      </w:r>
      <w:r w:rsidR="000924F4" w:rsidRPr="00455191">
        <w:t>is the</w:t>
      </w:r>
      <w:r w:rsidR="00834F8D" w:rsidRPr="00455191">
        <w:t xml:space="preserve"> ratio of declared to measured </w:t>
      </w:r>
      <w:r w:rsidR="000924F4" w:rsidRPr="00455191">
        <w:t xml:space="preserve">WLTP </w:t>
      </w:r>
      <w:r w:rsidR="00834F8D" w:rsidRPr="00455191">
        <w:t xml:space="preserve">values by manufacturer and vehicle category </w:t>
      </w:r>
      <m:oMath>
        <m:r>
          <w:rPr>
            <w:rFonts w:ascii="Cambria Math" w:hAnsi="Cambria Math"/>
          </w:rPr>
          <m:t>v</m:t>
        </m:r>
      </m:oMath>
      <w:r w:rsidR="00834F8D" w:rsidRPr="00455191">
        <w:t xml:space="preserve">, as listed in European Commission </w:t>
      </w:r>
      <w:r w:rsidR="000924F4" w:rsidRPr="00455191">
        <w:t>(2023a)</w:t>
      </w:r>
      <w:r w:rsidR="00834F8D" w:rsidRPr="00455191">
        <w:t>.</w:t>
      </w:r>
      <w:r w:rsidR="000477B4" w:rsidRPr="00455191">
        <w:rPr>
          <w:color w:val="4E3227" w:themeColor="accent2"/>
        </w:rPr>
        <w:t xml:space="preserve"> </w:t>
      </w:r>
    </w:p>
    <w:p w14:paraId="2D9B7FFE" w14:textId="54AE57AF" w:rsidR="003D7965" w:rsidRPr="00455191" w:rsidRDefault="00A42E1A" w:rsidP="00F61408">
      <w:r w:rsidRPr="00455191">
        <w:t>We used these adjusted WLTP values</w:t>
      </w:r>
      <w:r w:rsidR="006D78C2" w:rsidRPr="00455191">
        <w:t xml:space="preserve"> for generating the </w:t>
      </w:r>
      <w:r w:rsidR="00AF1E58" w:rsidRPr="00455191">
        <w:t>regression</w:t>
      </w:r>
      <w:r w:rsidR="006D78C2" w:rsidRPr="00455191">
        <w:t xml:space="preserve"> relations</w:t>
      </w:r>
      <w:r w:rsidR="00672BF8" w:rsidRPr="00455191">
        <w:t xml:space="preserve"> after performing the </w:t>
      </w:r>
      <w:r w:rsidR="00A126D5" w:rsidRPr="00455191">
        <w:t xml:space="preserve">data condensation and </w:t>
      </w:r>
      <w:r w:rsidR="006B06F7" w:rsidRPr="00455191">
        <w:t>outlier</w:t>
      </w:r>
      <w:r w:rsidR="00363BD7" w:rsidRPr="00455191">
        <w:t xml:space="preserve"> removal steps </w:t>
      </w:r>
      <w:r w:rsidR="009F751F" w:rsidRPr="00455191">
        <w:t>described below.</w:t>
      </w:r>
      <w:r w:rsidRPr="00455191">
        <w:t xml:space="preserve"> </w:t>
      </w:r>
    </w:p>
    <w:p w14:paraId="0856B4F2" w14:textId="3F66AECA" w:rsidR="00615F05" w:rsidRPr="00455191" w:rsidRDefault="006C13D6" w:rsidP="00F61408">
      <w:r w:rsidRPr="003A174C">
        <w:rPr>
          <w:rStyle w:val="Strong"/>
          <w:color w:val="4E3227"/>
        </w:rPr>
        <w:t>Step 3</w:t>
      </w:r>
      <w:r w:rsidR="00615F05" w:rsidRPr="003A174C">
        <w:rPr>
          <w:rStyle w:val="Strong"/>
          <w:color w:val="4E3227"/>
        </w:rPr>
        <w:t>: Data condensation</w:t>
      </w:r>
      <w:r w:rsidR="000924F4" w:rsidRPr="003A174C">
        <w:rPr>
          <w:rStyle w:val="Strong"/>
          <w:color w:val="4E3227"/>
        </w:rPr>
        <w:t>.</w:t>
      </w:r>
      <w:r w:rsidR="00615F05" w:rsidRPr="00455191">
        <w:t xml:space="preserve"> </w:t>
      </w:r>
      <w:r w:rsidR="000924F4" w:rsidRPr="00455191">
        <w:t>We</w:t>
      </w:r>
      <w:r w:rsidR="00615F05" w:rsidRPr="00455191">
        <w:t xml:space="preserve"> </w:t>
      </w:r>
      <w:r w:rsidR="00A358DF" w:rsidRPr="00455191">
        <w:t>select</w:t>
      </w:r>
      <w:r w:rsidR="000924F4" w:rsidRPr="00455191">
        <w:t>ed</w:t>
      </w:r>
      <w:r w:rsidR="00A358DF" w:rsidRPr="00455191">
        <w:t xml:space="preserve"> unique combinations</w:t>
      </w:r>
      <w:r w:rsidR="007817E0" w:rsidRPr="00455191">
        <w:t xml:space="preserve"> of</w:t>
      </w:r>
      <w:r w:rsidR="00615F05" w:rsidRPr="00455191">
        <w:t xml:space="preserve"> </w:t>
      </w:r>
      <w:proofErr w:type="gramStart"/>
      <w:r w:rsidR="00615F05" w:rsidRPr="00455191">
        <w:t>make,</w:t>
      </w:r>
      <w:proofErr w:type="gramEnd"/>
      <w:r w:rsidR="00615F05" w:rsidRPr="00455191">
        <w:t xml:space="preserve"> model, segment type, variant, version, fuel type, powertrain type, vehicle power, and engine displacement. </w:t>
      </w:r>
      <w:r w:rsidR="00E24B15" w:rsidRPr="00455191">
        <w:t>We ref</w:t>
      </w:r>
      <w:r w:rsidR="00C11D65" w:rsidRPr="00455191">
        <w:t xml:space="preserve">er to </w:t>
      </w:r>
      <w:r w:rsidR="008D30B6" w:rsidRPr="00455191">
        <w:t xml:space="preserve">each </w:t>
      </w:r>
      <w:r w:rsidR="004E6E2A" w:rsidRPr="00455191">
        <w:t>such</w:t>
      </w:r>
      <w:r w:rsidR="00C11D65" w:rsidRPr="00455191">
        <w:t xml:space="preserve"> unique combination as </w:t>
      </w:r>
      <w:r w:rsidR="008D30B6" w:rsidRPr="00455191">
        <w:t xml:space="preserve">a </w:t>
      </w:r>
      <w:r w:rsidR="004E6E2A" w:rsidRPr="00455191">
        <w:t>“model” f</w:t>
      </w:r>
      <w:r w:rsidR="006946D6" w:rsidRPr="00455191">
        <w:t xml:space="preserve">or the purpose of this analysis. For these models, we calculated the </w:t>
      </w:r>
      <w:r w:rsidR="003B65F5" w:rsidRPr="00455191">
        <w:t xml:space="preserve">sales-weighted </w:t>
      </w:r>
      <w:r w:rsidR="006946D6" w:rsidRPr="00455191">
        <w:t>average of NEDC and WLTP CO</w:t>
      </w:r>
      <w:r w:rsidR="006946D6" w:rsidRPr="00455191">
        <w:rPr>
          <w:vertAlign w:val="subscript"/>
        </w:rPr>
        <w:t>2</w:t>
      </w:r>
      <w:r w:rsidR="006946D6" w:rsidRPr="00455191">
        <w:t xml:space="preserve"> emission values</w:t>
      </w:r>
      <w:r w:rsidR="00930D87" w:rsidRPr="00455191">
        <w:t>.</w:t>
      </w:r>
      <w:r w:rsidR="006946D6" w:rsidRPr="00455191">
        <w:t xml:space="preserve"> </w:t>
      </w:r>
      <w:r w:rsidR="00615F05" w:rsidRPr="00455191">
        <w:t>We perform</w:t>
      </w:r>
      <w:r w:rsidR="00BA612C" w:rsidRPr="00455191">
        <w:t>ed</w:t>
      </w:r>
      <w:r w:rsidR="00615F05" w:rsidRPr="00455191">
        <w:t xml:space="preserve"> this data condensation to </w:t>
      </w:r>
      <w:r w:rsidR="001F3895" w:rsidRPr="00455191">
        <w:t>reduce</w:t>
      </w:r>
      <w:r w:rsidR="00615F05" w:rsidRPr="00455191">
        <w:t xml:space="preserve"> bias that could be introduced for manufacturers with large </w:t>
      </w:r>
      <w:r w:rsidR="00973334" w:rsidRPr="00455191">
        <w:t>sales volume</w:t>
      </w:r>
      <w:r w:rsidR="00BA612C" w:rsidRPr="00455191">
        <w:t>s</w:t>
      </w:r>
      <w:r w:rsidR="007046D0" w:rsidRPr="00455191">
        <w:t xml:space="preserve"> and </w:t>
      </w:r>
      <w:r w:rsidR="00C42655" w:rsidRPr="00455191">
        <w:t xml:space="preserve">for models that have </w:t>
      </w:r>
      <w:r w:rsidR="004846EE" w:rsidRPr="00455191">
        <w:t xml:space="preserve">multiple records with </w:t>
      </w:r>
      <w:r w:rsidR="00BA612C" w:rsidRPr="00455191">
        <w:t xml:space="preserve">the </w:t>
      </w:r>
      <w:r w:rsidR="004846EE" w:rsidRPr="00455191">
        <w:t>same information</w:t>
      </w:r>
      <w:r w:rsidR="00615F05" w:rsidRPr="00455191">
        <w:t>. Th</w:t>
      </w:r>
      <w:r w:rsidR="00BA612C" w:rsidRPr="00455191">
        <w:t>is</w:t>
      </w:r>
      <w:r w:rsidR="00615F05" w:rsidRPr="00455191">
        <w:t xml:space="preserve"> condensation process yield</w:t>
      </w:r>
      <w:r w:rsidR="00BA612C" w:rsidRPr="00455191">
        <w:t>ed</w:t>
      </w:r>
      <w:r w:rsidR="00615F05" w:rsidRPr="00455191">
        <w:t xml:space="preserve"> a</w:t>
      </w:r>
      <w:r w:rsidR="003F0C93" w:rsidRPr="00455191">
        <w:t>n aggregated</w:t>
      </w:r>
      <w:r w:rsidR="00615F05" w:rsidRPr="00455191">
        <w:t xml:space="preserve"> database with </w:t>
      </w:r>
      <w:r w:rsidR="003B65F5" w:rsidRPr="00455191">
        <w:t>65</w:t>
      </w:r>
      <w:r w:rsidR="00500575" w:rsidRPr="00455191">
        <w:t>,</w:t>
      </w:r>
      <w:r w:rsidR="003B65F5" w:rsidRPr="00455191">
        <w:t xml:space="preserve">308 </w:t>
      </w:r>
      <w:r w:rsidR="00615F05" w:rsidRPr="00455191">
        <w:t>unique records</w:t>
      </w:r>
      <w:r w:rsidR="0043175D" w:rsidRPr="00455191">
        <w:t>:</w:t>
      </w:r>
      <w:r w:rsidR="003B65F5" w:rsidRPr="00455191">
        <w:t xml:space="preserve"> 48,862</w:t>
      </w:r>
      <w:r w:rsidR="000F1460" w:rsidRPr="00455191">
        <w:t xml:space="preserve"> for PCs</w:t>
      </w:r>
      <w:r w:rsidR="003B65F5" w:rsidRPr="00455191">
        <w:t xml:space="preserve"> and 16,446</w:t>
      </w:r>
      <w:r w:rsidR="000F1460" w:rsidRPr="00455191">
        <w:t xml:space="preserve"> for LCVs</w:t>
      </w:r>
      <w:r w:rsidR="00615F05" w:rsidRPr="00455191">
        <w:t xml:space="preserve">. </w:t>
      </w:r>
    </w:p>
    <w:p w14:paraId="7413F87C" w14:textId="18A7DF3A" w:rsidR="000B6C62" w:rsidRPr="00455191" w:rsidRDefault="00615F05" w:rsidP="00F61408">
      <w:r w:rsidRPr="003A174C">
        <w:rPr>
          <w:b/>
          <w:bCs/>
          <w:color w:val="4E3227"/>
        </w:rPr>
        <w:t xml:space="preserve">Step </w:t>
      </w:r>
      <w:r w:rsidR="00A27E43" w:rsidRPr="003A174C">
        <w:rPr>
          <w:b/>
          <w:bCs/>
          <w:color w:val="4E3227"/>
        </w:rPr>
        <w:t>4</w:t>
      </w:r>
      <w:r w:rsidRPr="003A174C">
        <w:rPr>
          <w:b/>
          <w:bCs/>
          <w:color w:val="4E3227"/>
        </w:rPr>
        <w:t>: Removing statistical outliers</w:t>
      </w:r>
      <w:r w:rsidR="001874A3" w:rsidRPr="003A174C">
        <w:rPr>
          <w:b/>
          <w:bCs/>
          <w:color w:val="4E3227"/>
        </w:rPr>
        <w:t>.</w:t>
      </w:r>
      <w:r w:rsidRPr="00455191">
        <w:rPr>
          <w:color w:val="4E3227" w:themeColor="accent2"/>
        </w:rPr>
        <w:t xml:space="preserve"> </w:t>
      </w:r>
      <w:r w:rsidR="001874A3" w:rsidRPr="00455191">
        <w:t>We</w:t>
      </w:r>
      <w:r w:rsidRPr="00455191">
        <w:t xml:space="preserve"> define</w:t>
      </w:r>
      <w:r w:rsidR="00B134F4" w:rsidRPr="00455191">
        <w:t>d</w:t>
      </w:r>
      <w:r w:rsidRPr="00455191">
        <w:t xml:space="preserve"> </w:t>
      </w:r>
      <w:r w:rsidR="001874A3" w:rsidRPr="00455191">
        <w:t xml:space="preserve">outliers </w:t>
      </w:r>
      <w:r w:rsidRPr="00455191">
        <w:t xml:space="preserve">as vehicles </w:t>
      </w:r>
      <w:r w:rsidR="001874A3" w:rsidRPr="00455191">
        <w:t xml:space="preserve">with </w:t>
      </w:r>
      <w:r w:rsidR="00064D9B" w:rsidRPr="00455191">
        <w:t>a</w:t>
      </w:r>
      <w:r w:rsidR="001874A3" w:rsidRPr="00455191">
        <w:t>n</w:t>
      </w:r>
      <w:r w:rsidRPr="00455191">
        <w:t xml:space="preserve"> NEDC</w:t>
      </w:r>
      <w:r w:rsidR="001324E4" w:rsidRPr="00455191">
        <w:t>-to-WLTP</w:t>
      </w:r>
      <w:r w:rsidRPr="00455191">
        <w:t xml:space="preserve"> g</w:t>
      </w:r>
      <w:r w:rsidR="00A42B59" w:rsidRPr="00455191">
        <w:t xml:space="preserve"> </w:t>
      </w:r>
      <w:r w:rsidRPr="00455191">
        <w:t>CO</w:t>
      </w:r>
      <w:r w:rsidRPr="00455191">
        <w:rPr>
          <w:vertAlign w:val="subscript"/>
        </w:rPr>
        <w:t>2</w:t>
      </w:r>
      <w:r w:rsidRPr="00455191">
        <w:t xml:space="preserve">/km emissions </w:t>
      </w:r>
      <w:r w:rsidR="008278EE" w:rsidRPr="00455191">
        <w:t>ratio</w:t>
      </w:r>
      <w:r w:rsidRPr="00455191">
        <w:t xml:space="preserve"> outside </w:t>
      </w:r>
      <w:r w:rsidRPr="00455191">
        <w:rPr>
          <w:rFonts w:ascii="Symbol" w:eastAsia="Symbol" w:hAnsi="Symbol" w:cs="Symbol"/>
        </w:rPr>
        <w:t></w:t>
      </w:r>
      <w:r w:rsidRPr="00455191">
        <w:t xml:space="preserve"> 3 standard deviations of the mean ratio </w:t>
      </w:r>
      <w:r w:rsidR="002A7E94" w:rsidRPr="00455191">
        <w:t>for</w:t>
      </w:r>
      <w:r w:rsidRPr="00455191">
        <w:t xml:space="preserve"> all samples</w:t>
      </w:r>
      <w:r w:rsidR="002A7E94" w:rsidRPr="00455191">
        <w:t xml:space="preserve"> in </w:t>
      </w:r>
      <w:r w:rsidRPr="00455191">
        <w:t xml:space="preserve">a </w:t>
      </w:r>
      <w:r w:rsidR="002A7E94" w:rsidRPr="00455191">
        <w:t>vehicle group</w:t>
      </w:r>
      <w:r w:rsidR="002E3F47" w:rsidRPr="00455191">
        <w:t xml:space="preserve"> </w:t>
      </w:r>
      <w:r w:rsidR="00B601EE" w:rsidRPr="00455191">
        <w:t>subject to the regressio</w:t>
      </w:r>
      <w:r w:rsidR="00EB081D" w:rsidRPr="00455191">
        <w:t>n</w:t>
      </w:r>
      <w:r w:rsidRPr="00455191">
        <w:t xml:space="preserve">. </w:t>
      </w:r>
      <w:r w:rsidR="002604E0" w:rsidRPr="0078315D">
        <w:t xml:space="preserve">This is a standard </w:t>
      </w:r>
      <w:r w:rsidR="001E261A" w:rsidRPr="0078315D">
        <w:t>statistical</w:t>
      </w:r>
      <w:r w:rsidR="002604E0" w:rsidRPr="0078315D">
        <w:t xml:space="preserve"> rule </w:t>
      </w:r>
      <w:r w:rsidR="00C816A1" w:rsidRPr="0078315D">
        <w:t>for</w:t>
      </w:r>
      <w:r w:rsidR="002604E0" w:rsidRPr="0078315D">
        <w:t xml:space="preserve"> de</w:t>
      </w:r>
      <w:r w:rsidR="00C816A1" w:rsidRPr="0078315D">
        <w:t>termining</w:t>
      </w:r>
      <w:r w:rsidR="002604E0" w:rsidRPr="0078315D">
        <w:t xml:space="preserve"> outliers</w:t>
      </w:r>
      <w:r w:rsidR="00FD04DF" w:rsidRPr="0078315D">
        <w:t xml:space="preserve">, </w:t>
      </w:r>
      <w:r w:rsidR="009A451E" w:rsidRPr="0078315D">
        <w:t>based on 99.7% of values being within +/- 3 standard deviations where data is normally distributed</w:t>
      </w:r>
      <w:r w:rsidR="002604E0" w:rsidRPr="0078315D">
        <w:rPr>
          <w:color w:val="4E3227" w:themeColor="accent2"/>
        </w:rPr>
        <w:t>.</w:t>
      </w:r>
      <w:r w:rsidR="00283AC4" w:rsidRPr="00455191">
        <w:rPr>
          <w:color w:val="4E3227" w:themeColor="accent2"/>
        </w:rPr>
        <w:t xml:space="preserve"> </w:t>
      </w:r>
      <w:r w:rsidR="005B4ECD" w:rsidRPr="00455191">
        <w:t>T</w:t>
      </w:r>
      <w:r w:rsidR="00E74742" w:rsidRPr="00455191">
        <w:t xml:space="preserve">he </w:t>
      </w:r>
      <w:r w:rsidR="00DC48EA" w:rsidRPr="00455191">
        <w:t>vehicle grou</w:t>
      </w:r>
      <w:r w:rsidR="006F4980" w:rsidRPr="00455191">
        <w:t>p</w:t>
      </w:r>
      <w:r w:rsidR="00DC48EA" w:rsidRPr="00455191">
        <w:t xml:space="preserve">ings </w:t>
      </w:r>
      <w:r w:rsidR="001874A3" w:rsidRPr="00455191">
        <w:t xml:space="preserve">used </w:t>
      </w:r>
      <w:r w:rsidR="002F79E9" w:rsidRPr="00455191">
        <w:t xml:space="preserve">for </w:t>
      </w:r>
      <w:r w:rsidR="00B134F4" w:rsidRPr="00455191">
        <w:t xml:space="preserve">the </w:t>
      </w:r>
      <w:r w:rsidR="00800C1D" w:rsidRPr="00455191">
        <w:t xml:space="preserve">conversions </w:t>
      </w:r>
      <w:r w:rsidR="00203892" w:rsidRPr="00455191">
        <w:t xml:space="preserve">are </w:t>
      </w:r>
      <w:r w:rsidR="005B4ECD" w:rsidRPr="00455191">
        <w:t>discussed</w:t>
      </w:r>
      <w:r w:rsidR="00203892" w:rsidRPr="00455191">
        <w:t xml:space="preserve"> later</w:t>
      </w:r>
      <w:r w:rsidR="00233C0F" w:rsidRPr="00455191">
        <w:t xml:space="preserve"> in this section.</w:t>
      </w:r>
      <w:r w:rsidRPr="00455191">
        <w:t xml:space="preserve"> </w:t>
      </w:r>
      <w:r w:rsidR="00B134F4" w:rsidRPr="00455191">
        <w:t>Through</w:t>
      </w:r>
      <w:r w:rsidRPr="00455191">
        <w:t xml:space="preserve"> this process, </w:t>
      </w:r>
      <w:r w:rsidR="00F431E6" w:rsidRPr="00455191">
        <w:t xml:space="preserve">we removed </w:t>
      </w:r>
      <w:r w:rsidR="009F491D" w:rsidRPr="00455191">
        <w:t xml:space="preserve">393 outliers for </w:t>
      </w:r>
      <w:r w:rsidR="00B134F4" w:rsidRPr="00455191">
        <w:t xml:space="preserve">the </w:t>
      </w:r>
      <w:r w:rsidR="009F491D" w:rsidRPr="00455191">
        <w:t xml:space="preserve">PV-only analysis, </w:t>
      </w:r>
      <w:r w:rsidR="00F431E6" w:rsidRPr="00455191">
        <w:t xml:space="preserve">250 outliers for </w:t>
      </w:r>
      <w:r w:rsidR="00B134F4" w:rsidRPr="00455191">
        <w:t xml:space="preserve">the </w:t>
      </w:r>
      <w:r w:rsidR="00F431E6" w:rsidRPr="00455191">
        <w:t xml:space="preserve">LCV-only analysis, and 974 outliers for </w:t>
      </w:r>
      <w:r w:rsidR="00B134F4" w:rsidRPr="00455191">
        <w:t xml:space="preserve">the </w:t>
      </w:r>
      <w:r w:rsidR="00A14F90">
        <w:t xml:space="preserve">combined </w:t>
      </w:r>
      <w:r w:rsidR="00F431E6" w:rsidRPr="00455191">
        <w:t>PV</w:t>
      </w:r>
      <w:r w:rsidR="00A14F90">
        <w:t xml:space="preserve"> and </w:t>
      </w:r>
      <w:r w:rsidR="00F431E6" w:rsidRPr="00455191">
        <w:t>LCV analysis.</w:t>
      </w:r>
    </w:p>
    <w:p w14:paraId="3D30ABFA" w14:textId="2662E428" w:rsidR="000B6C62" w:rsidRPr="00455191" w:rsidRDefault="00E26AB0" w:rsidP="00B55BEC">
      <w:pPr>
        <w:pStyle w:val="Heading4"/>
      </w:pPr>
      <w:r w:rsidRPr="00455191">
        <w:t xml:space="preserve">4.1.3 </w:t>
      </w:r>
      <w:r w:rsidR="000B6C62" w:rsidRPr="00455191">
        <w:t xml:space="preserve">4p-WLTP to NEDC conversion relations by type of vehicle and powertrain </w:t>
      </w:r>
    </w:p>
    <w:p w14:paraId="1AF02A1B" w14:textId="1BB21A6B" w:rsidR="00CB00E7" w:rsidRPr="00455191" w:rsidRDefault="00FD6227" w:rsidP="00003F7B">
      <w:pPr>
        <w:keepNext/>
        <w:keepLines/>
      </w:pPr>
      <w:r w:rsidRPr="00455191">
        <w:t xml:space="preserve">We </w:t>
      </w:r>
      <w:r w:rsidR="006E1C7B" w:rsidRPr="00455191">
        <w:t xml:space="preserve">generated the regression relations </w:t>
      </w:r>
      <w:r w:rsidRPr="00455191">
        <w:t>us</w:t>
      </w:r>
      <w:r w:rsidR="000D48CD" w:rsidRPr="00455191">
        <w:t>ing</w:t>
      </w:r>
      <w:r w:rsidRPr="00455191">
        <w:t xml:space="preserve"> </w:t>
      </w:r>
      <w:r w:rsidR="007C16F9">
        <w:t>the</w:t>
      </w:r>
      <w:r w:rsidRPr="00455191">
        <w:t xml:space="preserve"> screened </w:t>
      </w:r>
      <w:r w:rsidR="001B4F1C" w:rsidRPr="00455191">
        <w:t xml:space="preserve">EEA 2020 </w:t>
      </w:r>
      <w:r w:rsidRPr="00455191">
        <w:t xml:space="preserve">database </w:t>
      </w:r>
      <w:r w:rsidR="000D48CD" w:rsidRPr="00455191">
        <w:t xml:space="preserve">obtained after </w:t>
      </w:r>
      <w:r w:rsidR="007A725B" w:rsidRPr="00455191">
        <w:t xml:space="preserve">performing </w:t>
      </w:r>
      <w:r w:rsidR="00FB53F3" w:rsidRPr="00455191">
        <w:t xml:space="preserve">the data processing and </w:t>
      </w:r>
      <w:r w:rsidR="00D32AAD" w:rsidRPr="00455191">
        <w:t xml:space="preserve">clean up steps described </w:t>
      </w:r>
      <w:r w:rsidR="004705BF" w:rsidRPr="00455191">
        <w:t xml:space="preserve">above. </w:t>
      </w:r>
      <w:r w:rsidR="0009355E" w:rsidRPr="00455191">
        <w:t xml:space="preserve">After evaluating a series of regressions for various vehicle groups, </w:t>
      </w:r>
      <w:r w:rsidR="004E0D72" w:rsidRPr="00455191">
        <w:t xml:space="preserve">we determined </w:t>
      </w:r>
      <w:r w:rsidR="003D7C59" w:rsidRPr="00455191">
        <w:t>t</w:t>
      </w:r>
      <w:r w:rsidR="008B69D8" w:rsidRPr="00455191">
        <w:t xml:space="preserve">he </w:t>
      </w:r>
      <w:r w:rsidR="003D7C59" w:rsidRPr="00455191">
        <w:t>4p-</w:t>
      </w:r>
      <w:r w:rsidR="008B69D8" w:rsidRPr="00455191">
        <w:t>WLTP to NEDC CO</w:t>
      </w:r>
      <w:r w:rsidR="008B69D8" w:rsidRPr="00455191">
        <w:rPr>
          <w:vertAlign w:val="subscript"/>
        </w:rPr>
        <w:t>2</w:t>
      </w:r>
      <w:r w:rsidR="008B69D8" w:rsidRPr="00455191">
        <w:t xml:space="preserve"> </w:t>
      </w:r>
      <w:r w:rsidR="00F40C4D">
        <w:t xml:space="preserve">emissions </w:t>
      </w:r>
      <w:r w:rsidR="00FE7F15" w:rsidRPr="00455191">
        <w:t xml:space="preserve">for </w:t>
      </w:r>
      <w:r w:rsidR="00DE4511" w:rsidRPr="00455191">
        <w:t xml:space="preserve">five </w:t>
      </w:r>
      <w:r w:rsidR="005C732D" w:rsidRPr="00455191">
        <w:t>vehicle groups</w:t>
      </w:r>
      <w:r w:rsidR="00F30EF7" w:rsidRPr="00455191">
        <w:t xml:space="preserve">, </w:t>
      </w:r>
      <w:r w:rsidR="00941616" w:rsidRPr="00455191">
        <w:t>shown in Figures 10–14</w:t>
      </w:r>
      <w:r w:rsidR="00ED27DE" w:rsidRPr="00455191">
        <w:t>:</w:t>
      </w:r>
    </w:p>
    <w:p w14:paraId="2746242F" w14:textId="46B98E15" w:rsidR="00DC53AF" w:rsidRPr="005D4BA8" w:rsidRDefault="00AD2B4F" w:rsidP="005D4BA8">
      <w:pPr>
        <w:pStyle w:val="ListParagraph"/>
        <w:numPr>
          <w:ilvl w:val="0"/>
          <w:numId w:val="41"/>
        </w:numPr>
        <w:ind w:left="567" w:hanging="567"/>
      </w:pPr>
      <w:r w:rsidRPr="005D4BA8">
        <w:t>PCs</w:t>
      </w:r>
      <w:r w:rsidR="00DC53AF" w:rsidRPr="005D4BA8">
        <w:t xml:space="preserve"> and </w:t>
      </w:r>
      <w:r w:rsidRPr="005D4BA8">
        <w:t>LCVs</w:t>
      </w:r>
      <w:r w:rsidR="00DC53AF" w:rsidRPr="005D4BA8">
        <w:t xml:space="preserve"> with internal combustion engine</w:t>
      </w:r>
      <w:r w:rsidRPr="005D4BA8">
        <w:t>s</w:t>
      </w:r>
      <w:r w:rsidR="00DC53AF" w:rsidRPr="005D4BA8">
        <w:t xml:space="preserve"> using petrol</w:t>
      </w:r>
    </w:p>
    <w:p w14:paraId="47AB8619" w14:textId="578C93AB" w:rsidR="00DC53AF" w:rsidRPr="005D4BA8" w:rsidRDefault="00AD2B4F" w:rsidP="005D4BA8">
      <w:pPr>
        <w:pStyle w:val="ListParagraph"/>
        <w:numPr>
          <w:ilvl w:val="0"/>
          <w:numId w:val="41"/>
        </w:numPr>
        <w:ind w:left="567" w:hanging="567"/>
      </w:pPr>
      <w:r w:rsidRPr="005D4BA8">
        <w:lastRenderedPageBreak/>
        <w:t>PCs</w:t>
      </w:r>
      <w:r w:rsidR="00DC53AF" w:rsidRPr="005D4BA8">
        <w:t xml:space="preserve"> with internal combustion engine</w:t>
      </w:r>
      <w:r w:rsidRPr="005D4BA8">
        <w:t>s</w:t>
      </w:r>
      <w:r w:rsidR="00DC53AF" w:rsidRPr="005D4BA8">
        <w:t xml:space="preserve"> using diesel</w:t>
      </w:r>
    </w:p>
    <w:p w14:paraId="21473047" w14:textId="4709F15F" w:rsidR="003D7C59" w:rsidRPr="005D4BA8" w:rsidRDefault="00AD2B4F" w:rsidP="005D4BA8">
      <w:pPr>
        <w:pStyle w:val="ListParagraph"/>
        <w:numPr>
          <w:ilvl w:val="0"/>
          <w:numId w:val="41"/>
        </w:numPr>
        <w:ind w:left="567" w:hanging="567"/>
      </w:pPr>
      <w:r w:rsidRPr="005D4BA8">
        <w:t>LCVs</w:t>
      </w:r>
      <w:r w:rsidR="009757EE" w:rsidRPr="005D4BA8">
        <w:t xml:space="preserve"> with internal combustion engine</w:t>
      </w:r>
      <w:r w:rsidR="001A0BE7" w:rsidRPr="005D4BA8">
        <w:t>s</w:t>
      </w:r>
      <w:r w:rsidR="009757EE" w:rsidRPr="005D4BA8">
        <w:t xml:space="preserve"> using diesel</w:t>
      </w:r>
    </w:p>
    <w:p w14:paraId="39D26C6E" w14:textId="637D92B7" w:rsidR="003D7C59" w:rsidRPr="005D4BA8" w:rsidRDefault="001A0BE7" w:rsidP="005D4BA8">
      <w:pPr>
        <w:pStyle w:val="ListParagraph"/>
        <w:numPr>
          <w:ilvl w:val="0"/>
          <w:numId w:val="41"/>
        </w:numPr>
        <w:ind w:left="567" w:hanging="567"/>
      </w:pPr>
      <w:r w:rsidRPr="005D4BA8">
        <w:t>PHEV</w:t>
      </w:r>
      <w:r w:rsidR="006D27E0" w:rsidRPr="005D4BA8">
        <w:t xml:space="preserve"> </w:t>
      </w:r>
      <w:r w:rsidR="00D6448C" w:rsidRPr="005D4BA8">
        <w:t xml:space="preserve">PCs </w:t>
      </w:r>
      <w:r w:rsidR="00B6156B" w:rsidRPr="005D4BA8">
        <w:t xml:space="preserve">and </w:t>
      </w:r>
      <w:r w:rsidRPr="005D4BA8">
        <w:t>LCVs</w:t>
      </w:r>
      <w:r w:rsidR="00B6156B" w:rsidRPr="005D4BA8">
        <w:t xml:space="preserve"> using petrol</w:t>
      </w:r>
    </w:p>
    <w:p w14:paraId="28423E20" w14:textId="63726213" w:rsidR="00B6156B" w:rsidRPr="005D4BA8" w:rsidRDefault="001A0BE7" w:rsidP="005D4BA8">
      <w:pPr>
        <w:pStyle w:val="ListParagraph"/>
        <w:numPr>
          <w:ilvl w:val="0"/>
          <w:numId w:val="41"/>
        </w:numPr>
        <w:ind w:left="567" w:hanging="567"/>
      </w:pPr>
      <w:r w:rsidRPr="005D4BA8">
        <w:t>PHEV</w:t>
      </w:r>
      <w:r w:rsidR="00B6156B" w:rsidRPr="005D4BA8">
        <w:t xml:space="preserve"> </w:t>
      </w:r>
      <w:r w:rsidR="00143945" w:rsidRPr="005D4BA8">
        <w:t>PCs</w:t>
      </w:r>
      <w:r w:rsidR="00B6156B" w:rsidRPr="005D4BA8">
        <w:t xml:space="preserve"> and </w:t>
      </w:r>
      <w:r w:rsidRPr="005D4BA8">
        <w:t>LCVs</w:t>
      </w:r>
      <w:r w:rsidR="00B6156B" w:rsidRPr="005D4BA8">
        <w:t xml:space="preserve"> </w:t>
      </w:r>
      <w:r w:rsidR="00143945" w:rsidRPr="005D4BA8">
        <w:t>using</w:t>
      </w:r>
      <w:r w:rsidR="00B6156B" w:rsidRPr="005D4BA8">
        <w:t xml:space="preserve"> diesel</w:t>
      </w:r>
    </w:p>
    <w:p w14:paraId="05E15D1A" w14:textId="13F99BAD" w:rsidR="001E01B7" w:rsidRPr="000E2ED1" w:rsidRDefault="001E01B7" w:rsidP="003A174C">
      <w:pPr>
        <w:pStyle w:val="Tablecaption"/>
      </w:pPr>
      <w:r w:rsidRPr="000E2ED1">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10</w:t>
      </w:r>
      <w:r w:rsidR="005867AA" w:rsidRPr="000E2ED1">
        <w:fldChar w:fldCharType="end"/>
      </w:r>
      <w:r w:rsidRPr="000E2ED1">
        <w:t xml:space="preserve"> </w:t>
      </w:r>
      <w:r w:rsidR="00583224">
        <w:br/>
      </w:r>
      <w:r w:rsidR="00101B79" w:rsidRPr="000E2ED1">
        <w:t>Regression</w:t>
      </w:r>
      <w:r w:rsidRPr="000E2ED1">
        <w:t xml:space="preserve"> between NEDC and 4p-WLTP CO</w:t>
      </w:r>
      <w:r w:rsidRPr="000E2ED1">
        <w:rPr>
          <w:vertAlign w:val="subscript"/>
        </w:rPr>
        <w:t>2</w:t>
      </w:r>
      <w:r w:rsidRPr="000E2ED1">
        <w:t xml:space="preserve"> emissions for </w:t>
      </w:r>
      <w:r w:rsidR="00DC53AF" w:rsidRPr="000E2ED1">
        <w:t>petrol</w:t>
      </w:r>
      <w:r w:rsidRPr="000E2ED1">
        <w:t xml:space="preserve"> </w:t>
      </w:r>
      <w:r w:rsidR="00930ED4" w:rsidRPr="000E2ED1">
        <w:t>internal combustion engine passenger cars and light commercial</w:t>
      </w:r>
      <w:r w:rsidRPr="000E2ED1">
        <w:t xml:space="preserve"> vehicles</w:t>
      </w:r>
      <w:r w:rsidR="00930ED4" w:rsidRPr="000E2ED1">
        <w:t>, including hybrid vehicles,</w:t>
      </w:r>
      <w:r w:rsidRPr="000E2ED1">
        <w:t xml:space="preserve"> in the EEA 2020 database</w:t>
      </w:r>
    </w:p>
    <w:p w14:paraId="67933D25" w14:textId="00C08ED2" w:rsidR="000B6C62" w:rsidRPr="00455191" w:rsidRDefault="00823AA2" w:rsidP="00F61408">
      <w:r w:rsidRPr="00455191">
        <w:rPr>
          <w:noProof/>
        </w:rPr>
        <w:drawing>
          <wp:inline distT="0" distB="0" distL="0" distR="0" wp14:anchorId="7633CECD" wp14:editId="50840C70">
            <wp:extent cx="4842344" cy="2840738"/>
            <wp:effectExtent l="0" t="0" r="0" b="4445"/>
            <wp:docPr id="164080626" name="Picture 1" descr="Figure 10 - diagram providing a  regression analysis of NEDC and 4 phase WLTP CO2 values for petrol vehicles sold in Europe in 2020. he slope of the regression is flatter, with the WLTP value being around 20 per cent higher than the NEDC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0626" name="Picture 1" descr="Figure 10 - diagram providing a  regression analysis of NEDC and 4 phase WLTP CO2 values for petrol vehicles sold in Europe in 2020. he slope of the regression is flatter, with the WLTP value being around 20 per cent higher than the NEDC value."/>
                    <pic:cNvPicPr/>
                  </pic:nvPicPr>
                  <pic:blipFill>
                    <a:blip r:embed="rId21"/>
                    <a:stretch>
                      <a:fillRect/>
                    </a:stretch>
                  </pic:blipFill>
                  <pic:spPr>
                    <a:xfrm>
                      <a:off x="0" y="0"/>
                      <a:ext cx="4843662" cy="2841511"/>
                    </a:xfrm>
                    <a:prstGeom prst="rect">
                      <a:avLst/>
                    </a:prstGeom>
                  </pic:spPr>
                </pic:pic>
              </a:graphicData>
            </a:graphic>
          </wp:inline>
        </w:drawing>
      </w:r>
    </w:p>
    <w:p w14:paraId="12D99CD8" w14:textId="10020E03" w:rsidR="00930ED4" w:rsidRPr="000E2ED1" w:rsidRDefault="00930ED4" w:rsidP="003A174C">
      <w:pPr>
        <w:pStyle w:val="Tablecaption"/>
      </w:pPr>
      <w:r w:rsidRPr="000E2ED1">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11</w:t>
      </w:r>
      <w:r w:rsidR="005867AA" w:rsidRPr="000E2ED1">
        <w:fldChar w:fldCharType="end"/>
      </w:r>
      <w:r w:rsidRPr="000E2ED1">
        <w:t xml:space="preserve"> </w:t>
      </w:r>
      <w:r w:rsidR="00B145A4">
        <w:br/>
      </w:r>
      <w:r w:rsidR="00101B79" w:rsidRPr="000E2ED1">
        <w:t>Regression</w:t>
      </w:r>
      <w:r w:rsidRPr="000E2ED1">
        <w:t xml:space="preserve"> between NEDC and 4p-WLTP CO</w:t>
      </w:r>
      <w:r w:rsidRPr="000E2ED1">
        <w:rPr>
          <w:vertAlign w:val="subscript"/>
        </w:rPr>
        <w:t>2</w:t>
      </w:r>
      <w:r w:rsidRPr="000E2ED1">
        <w:t xml:space="preserve"> emissions for diesel combustion engine passenger cars, including hybrid vehicles, in the EEA 2020 database</w:t>
      </w:r>
    </w:p>
    <w:p w14:paraId="36A74379" w14:textId="3A9BCDFE" w:rsidR="000B6C62" w:rsidRPr="00455191" w:rsidRDefault="00E36FC3" w:rsidP="00F61408">
      <w:r w:rsidRPr="00455191">
        <w:rPr>
          <w:noProof/>
        </w:rPr>
        <w:drawing>
          <wp:inline distT="0" distB="0" distL="0" distR="0" wp14:anchorId="063A5F12" wp14:editId="6D23A14B">
            <wp:extent cx="4570259" cy="2711394"/>
            <wp:effectExtent l="0" t="0" r="1905" b="0"/>
            <wp:docPr id="304836139" name="Picture 1" descr="Figure 11 - diagram providing a  regression analysis of NEDC and 4 phase WLTP CO2 values for diesel passenger vehicles sold in Europe in 2020. The slope of the regression is flatter, with the WLTP value on the x axis being higher than the NEDC value on the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36139" name="Picture 1" descr="Figure 11 - diagram providing a  regression analysis of NEDC and 4 phase WLTP CO2 values for diesel passenger vehicles sold in Europe in 2020. The slope of the regression is flatter, with the WLTP value on the x axis being higher than the NEDC value on the y axis."/>
                    <pic:cNvPicPr/>
                  </pic:nvPicPr>
                  <pic:blipFill>
                    <a:blip r:embed="rId22"/>
                    <a:stretch>
                      <a:fillRect/>
                    </a:stretch>
                  </pic:blipFill>
                  <pic:spPr>
                    <a:xfrm>
                      <a:off x="0" y="0"/>
                      <a:ext cx="4572137" cy="2712508"/>
                    </a:xfrm>
                    <a:prstGeom prst="rect">
                      <a:avLst/>
                    </a:prstGeom>
                  </pic:spPr>
                </pic:pic>
              </a:graphicData>
            </a:graphic>
          </wp:inline>
        </w:drawing>
      </w:r>
    </w:p>
    <w:p w14:paraId="49439B4E" w14:textId="72015B0F" w:rsidR="00930ED4" w:rsidRPr="000E2ED1" w:rsidRDefault="00930ED4" w:rsidP="003A174C">
      <w:pPr>
        <w:pStyle w:val="Tablecaption"/>
      </w:pPr>
      <w:r w:rsidRPr="000E2ED1">
        <w:lastRenderedPageBreak/>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12</w:t>
      </w:r>
      <w:r w:rsidR="005867AA" w:rsidRPr="000E2ED1">
        <w:fldChar w:fldCharType="end"/>
      </w:r>
      <w:r w:rsidRPr="000E2ED1">
        <w:t xml:space="preserve"> </w:t>
      </w:r>
      <w:r w:rsidR="00B145A4">
        <w:br/>
      </w:r>
      <w:r w:rsidR="00101B79" w:rsidRPr="000E2ED1">
        <w:t>Regression</w:t>
      </w:r>
      <w:r w:rsidRPr="000E2ED1">
        <w:t xml:space="preserve"> between NEDC and 4p-WLTP CO</w:t>
      </w:r>
      <w:r w:rsidRPr="000E2ED1">
        <w:rPr>
          <w:vertAlign w:val="subscript"/>
        </w:rPr>
        <w:t>2</w:t>
      </w:r>
      <w:r w:rsidRPr="000E2ED1">
        <w:t xml:space="preserve"> emissions for diesel combustion engine light commercial vehicles, including hybrid vehicles, in the EEA 2020 database</w:t>
      </w:r>
    </w:p>
    <w:p w14:paraId="07F1D171" w14:textId="3CE5A988" w:rsidR="000B6C62" w:rsidRPr="00455191" w:rsidRDefault="005D4389" w:rsidP="00F61408">
      <w:r w:rsidRPr="00455191">
        <w:rPr>
          <w:noProof/>
        </w:rPr>
        <w:drawing>
          <wp:inline distT="0" distB="0" distL="0" distR="0" wp14:anchorId="21065B91" wp14:editId="4748BE1D">
            <wp:extent cx="4572000" cy="2712427"/>
            <wp:effectExtent l="0" t="0" r="0" b="5715"/>
            <wp:docPr id="1589028001" name="Picture 1" descr="Figure 12 - diagram providing a  regression analysis of NEDC and 4 phase WLTP CO2 values for diesel light commercial vehicles sold in Europe in 2020. The slope of the regression is flatter, with the WLTP value on the x axis being higher than the NEDC value on the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28001" name="Picture 1" descr="Figure 12 - diagram providing a  regression analysis of NEDC and 4 phase WLTP CO2 values for diesel light commercial vehicles sold in Europe in 2020. The slope of the regression is flatter, with the WLTP value on the x axis being higher than the NEDC value on the y axis."/>
                    <pic:cNvPicPr/>
                  </pic:nvPicPr>
                  <pic:blipFill>
                    <a:blip r:embed="rId23"/>
                    <a:stretch>
                      <a:fillRect/>
                    </a:stretch>
                  </pic:blipFill>
                  <pic:spPr>
                    <a:xfrm>
                      <a:off x="0" y="0"/>
                      <a:ext cx="4572000" cy="2712427"/>
                    </a:xfrm>
                    <a:prstGeom prst="rect">
                      <a:avLst/>
                    </a:prstGeom>
                  </pic:spPr>
                </pic:pic>
              </a:graphicData>
            </a:graphic>
          </wp:inline>
        </w:drawing>
      </w:r>
    </w:p>
    <w:p w14:paraId="4EA3E0D8" w14:textId="69F88E62" w:rsidR="006844CE" w:rsidRPr="000E2ED1" w:rsidRDefault="006844CE" w:rsidP="003A174C">
      <w:pPr>
        <w:pStyle w:val="Tablecaption"/>
      </w:pPr>
      <w:r w:rsidRPr="000E2ED1">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13</w:t>
      </w:r>
      <w:r w:rsidR="005867AA" w:rsidRPr="000E2ED1">
        <w:fldChar w:fldCharType="end"/>
      </w:r>
      <w:r w:rsidRPr="000E2ED1">
        <w:t xml:space="preserve"> </w:t>
      </w:r>
      <w:r w:rsidR="00B145A4">
        <w:br/>
      </w:r>
      <w:r w:rsidR="00101B79" w:rsidRPr="000E2ED1">
        <w:t>Regression</w:t>
      </w:r>
      <w:r w:rsidRPr="000E2ED1">
        <w:t xml:space="preserve"> between NEDC and 4p-WLTP CO</w:t>
      </w:r>
      <w:r w:rsidRPr="000E2ED1">
        <w:rPr>
          <w:vertAlign w:val="subscript"/>
        </w:rPr>
        <w:t>2</w:t>
      </w:r>
      <w:r w:rsidRPr="000E2ED1">
        <w:t xml:space="preserve"> emissions for petrol plug-in hybrid </w:t>
      </w:r>
      <w:r w:rsidR="00083E8B" w:rsidRPr="000E2ED1">
        <w:t>passenger cars and</w:t>
      </w:r>
      <w:r w:rsidRPr="000E2ED1">
        <w:t xml:space="preserve"> light commercial vehicles in the EEA 2020 database</w:t>
      </w:r>
    </w:p>
    <w:p w14:paraId="7F0D3DF8" w14:textId="1DDEADC5" w:rsidR="000B6C62" w:rsidRPr="00455191" w:rsidRDefault="0067178B" w:rsidP="00F61408">
      <w:r w:rsidRPr="00455191">
        <w:rPr>
          <w:noProof/>
        </w:rPr>
        <w:drawing>
          <wp:inline distT="0" distB="0" distL="0" distR="0" wp14:anchorId="02BD2095" wp14:editId="369D3B9A">
            <wp:extent cx="4961614" cy="2910708"/>
            <wp:effectExtent l="0" t="0" r="4445" b="0"/>
            <wp:docPr id="1558285802" name="Picture 1" descr="Figure 13 - diagram providing a  regression analysis of NEDC and 4 phase WLTP CO2 values for petrol plug-in hybrid vehicles sold in Europe in 2020. The slope of the regression is flatter, with the WLTP value on the x axis being higher than the NEDC value on the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85802" name="Picture 1" descr="Figure 13 - diagram providing a  regression analysis of NEDC and 4 phase WLTP CO2 values for petrol plug-in hybrid vehicles sold in Europe in 2020. The slope of the regression is flatter, with the WLTP value on the x axis being higher than the NEDC value on the y axis."/>
                    <pic:cNvPicPr/>
                  </pic:nvPicPr>
                  <pic:blipFill>
                    <a:blip r:embed="rId24"/>
                    <a:stretch>
                      <a:fillRect/>
                    </a:stretch>
                  </pic:blipFill>
                  <pic:spPr>
                    <a:xfrm>
                      <a:off x="0" y="0"/>
                      <a:ext cx="4967351" cy="2914074"/>
                    </a:xfrm>
                    <a:prstGeom prst="rect">
                      <a:avLst/>
                    </a:prstGeom>
                  </pic:spPr>
                </pic:pic>
              </a:graphicData>
            </a:graphic>
          </wp:inline>
        </w:drawing>
      </w:r>
    </w:p>
    <w:p w14:paraId="571E416E" w14:textId="4C090182" w:rsidR="002673CE" w:rsidRPr="000E2ED1" w:rsidRDefault="002673CE" w:rsidP="003A174C">
      <w:pPr>
        <w:pStyle w:val="Tablecaption"/>
      </w:pPr>
      <w:r w:rsidRPr="000E2ED1">
        <w:lastRenderedPageBreak/>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14</w:t>
      </w:r>
      <w:r w:rsidR="005867AA" w:rsidRPr="000E2ED1">
        <w:fldChar w:fldCharType="end"/>
      </w:r>
      <w:r w:rsidRPr="000E2ED1">
        <w:t xml:space="preserve"> </w:t>
      </w:r>
      <w:r w:rsidR="00BC166E">
        <w:br/>
      </w:r>
      <w:r w:rsidR="00101B79" w:rsidRPr="000E2ED1">
        <w:t>Regression</w:t>
      </w:r>
      <w:r w:rsidRPr="000E2ED1">
        <w:t xml:space="preserve"> between NEDC and 4p-WLTP CO</w:t>
      </w:r>
      <w:r w:rsidRPr="000E2ED1">
        <w:rPr>
          <w:vertAlign w:val="subscript"/>
        </w:rPr>
        <w:t>2</w:t>
      </w:r>
      <w:r w:rsidRPr="000E2ED1">
        <w:t xml:space="preserve"> emissions for diesel plug-in hybrid </w:t>
      </w:r>
      <w:r w:rsidR="00083E8B" w:rsidRPr="000E2ED1">
        <w:t>passenger cars and</w:t>
      </w:r>
      <w:r w:rsidRPr="000E2ED1">
        <w:t xml:space="preserve"> light commercial vehicles in the EEA 2020 database</w:t>
      </w:r>
    </w:p>
    <w:p w14:paraId="75C04035" w14:textId="1C25085C" w:rsidR="000B6C62" w:rsidRPr="00455191" w:rsidRDefault="00206848" w:rsidP="00F61408">
      <w:r w:rsidRPr="00455191">
        <w:rPr>
          <w:noProof/>
        </w:rPr>
        <w:drawing>
          <wp:inline distT="0" distB="0" distL="0" distR="0" wp14:anchorId="53BE6964" wp14:editId="4CD1A06C">
            <wp:extent cx="4890052" cy="2901117"/>
            <wp:effectExtent l="0" t="0" r="0" b="0"/>
            <wp:docPr id="1366231223" name="Picture 1" descr="Figure 14 - Diagram providing a  regression analysis of NEDC and 4 phase WLTP CO2 values for diesel plug-in hybrid vehicles sold in Europe in 2020. The slope of the regression is flatter, with the WLTP value on the x axis being higher than the NEDC value on the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31223" name="Picture 1" descr="Figure 14 - Diagram providing a  regression analysis of NEDC and 4 phase WLTP CO2 values for diesel plug-in hybrid vehicles sold in Europe in 2020. The slope of the regression is flatter, with the WLTP value on the x axis being higher than the NEDC value on the y axis."/>
                    <pic:cNvPicPr/>
                  </pic:nvPicPr>
                  <pic:blipFill>
                    <a:blip r:embed="rId25"/>
                    <a:stretch>
                      <a:fillRect/>
                    </a:stretch>
                  </pic:blipFill>
                  <pic:spPr>
                    <a:xfrm>
                      <a:off x="0" y="0"/>
                      <a:ext cx="4900128" cy="2907095"/>
                    </a:xfrm>
                    <a:prstGeom prst="rect">
                      <a:avLst/>
                    </a:prstGeom>
                  </pic:spPr>
                </pic:pic>
              </a:graphicData>
            </a:graphic>
          </wp:inline>
        </w:drawing>
      </w:r>
    </w:p>
    <w:p w14:paraId="47C29108" w14:textId="06B9096E" w:rsidR="00E36EFD" w:rsidRPr="00455191" w:rsidRDefault="00E36EFD" w:rsidP="00F61408">
      <w:r w:rsidRPr="00455191">
        <w:t xml:space="preserve">The results showed noticeable differences between diesel and petrol vehicles </w:t>
      </w:r>
      <w:r w:rsidR="00615F45" w:rsidRPr="00455191">
        <w:t xml:space="preserve">and </w:t>
      </w:r>
      <w:r w:rsidRPr="00455191">
        <w:t>between ICE vehicles and PHEVs</w:t>
      </w:r>
      <w:r w:rsidR="00300107" w:rsidRPr="00455191">
        <w:t xml:space="preserve">. </w:t>
      </w:r>
      <w:r w:rsidRPr="00455191">
        <w:t xml:space="preserve">We therefore developed separate regression curves for each of these vehicle and powertrain types. </w:t>
      </w:r>
      <w:r w:rsidR="00596380" w:rsidRPr="00455191">
        <w:t>T</w:t>
      </w:r>
      <w:r w:rsidR="00DD31DC" w:rsidRPr="00455191">
        <w:t xml:space="preserve">he data clouds are similar </w:t>
      </w:r>
      <w:r w:rsidR="00930C87" w:rsidRPr="00455191">
        <w:t xml:space="preserve">between PCs and LCVs </w:t>
      </w:r>
      <w:r w:rsidR="00083946" w:rsidRPr="00455191">
        <w:t>of a given</w:t>
      </w:r>
      <w:r w:rsidR="00930C87" w:rsidRPr="00455191">
        <w:t xml:space="preserve"> fuel type</w:t>
      </w:r>
      <w:r w:rsidR="00186C11" w:rsidRPr="00455191">
        <w:t>;</w:t>
      </w:r>
      <w:r w:rsidR="00930C87" w:rsidRPr="00455191">
        <w:t xml:space="preserve"> </w:t>
      </w:r>
      <w:r w:rsidR="00B60C94" w:rsidRPr="00455191">
        <w:t xml:space="preserve">yet </w:t>
      </w:r>
      <w:r w:rsidR="00E564EB" w:rsidRPr="00455191">
        <w:t>we</w:t>
      </w:r>
      <w:r w:rsidR="00A2139C" w:rsidRPr="00455191">
        <w:t xml:space="preserve"> </w:t>
      </w:r>
      <w:r w:rsidR="0012268F" w:rsidRPr="00455191">
        <w:t>generate</w:t>
      </w:r>
      <w:r w:rsidR="009D4D5E" w:rsidRPr="00455191">
        <w:t xml:space="preserve"> </w:t>
      </w:r>
      <w:r w:rsidR="0006135A" w:rsidRPr="00455191">
        <w:t xml:space="preserve">separate </w:t>
      </w:r>
      <w:r w:rsidR="00967DF9" w:rsidRPr="00455191">
        <w:t xml:space="preserve">conversion curves for </w:t>
      </w:r>
      <w:r w:rsidR="00DD0E11" w:rsidRPr="00455191">
        <w:t xml:space="preserve">diesel PCs and </w:t>
      </w:r>
      <w:r w:rsidR="00725E31" w:rsidRPr="00455191">
        <w:t xml:space="preserve">diesel </w:t>
      </w:r>
      <w:r w:rsidR="00DD0E11" w:rsidRPr="00455191">
        <w:t xml:space="preserve">LCVs </w:t>
      </w:r>
      <w:r w:rsidR="00E473B9" w:rsidRPr="00455191">
        <w:t>considering</w:t>
      </w:r>
      <w:r w:rsidR="00430051" w:rsidRPr="00455191">
        <w:t xml:space="preserve"> </w:t>
      </w:r>
      <w:r w:rsidR="00EA552E" w:rsidRPr="00455191">
        <w:t xml:space="preserve">that </w:t>
      </w:r>
      <w:r w:rsidR="00793A3A" w:rsidRPr="00455191">
        <w:t>diesel PCs</w:t>
      </w:r>
      <w:r w:rsidR="00C50EB7">
        <w:t xml:space="preserve"> </w:t>
      </w:r>
      <w:r w:rsidR="00430051" w:rsidRPr="00455191">
        <w:t xml:space="preserve">have </w:t>
      </w:r>
      <w:r w:rsidR="004A36EC" w:rsidRPr="00455191">
        <w:t>sizable</w:t>
      </w:r>
      <w:r w:rsidR="006F332A" w:rsidRPr="00455191">
        <w:rPr>
          <w:rFonts w:hint="eastAsia"/>
        </w:rPr>
        <w:t xml:space="preserve"> </w:t>
      </w:r>
      <w:r w:rsidR="006F332A" w:rsidRPr="00455191">
        <w:t xml:space="preserve">sale </w:t>
      </w:r>
      <w:r w:rsidR="00695807" w:rsidRPr="00455191">
        <w:t>volume</w:t>
      </w:r>
      <w:r w:rsidR="00843A1F">
        <w:t>s</w:t>
      </w:r>
      <w:r w:rsidR="00695807" w:rsidRPr="00455191">
        <w:t xml:space="preserve"> </w:t>
      </w:r>
      <w:r w:rsidR="00167293" w:rsidRPr="00455191">
        <w:t>according to</w:t>
      </w:r>
      <w:r w:rsidR="00ED652C" w:rsidRPr="00455191">
        <w:t xml:space="preserve"> Australia’s 2024 market data</w:t>
      </w:r>
      <w:r w:rsidR="00517EF6" w:rsidRPr="00455191">
        <w:t xml:space="preserve"> </w:t>
      </w:r>
      <w:r w:rsidR="00843A1F">
        <w:t>(</w:t>
      </w:r>
      <w:r w:rsidR="00517EF6" w:rsidRPr="00455191">
        <w:t>Figure 5</w:t>
      </w:r>
      <w:r w:rsidR="00843A1F">
        <w:t>)</w:t>
      </w:r>
      <w:r w:rsidR="00ED652C" w:rsidRPr="00455191">
        <w:t>.</w:t>
      </w:r>
      <w:r w:rsidR="00430051" w:rsidRPr="00455191">
        <w:t xml:space="preserve"> </w:t>
      </w:r>
    </w:p>
    <w:p w14:paraId="0E42C85C" w14:textId="5F3333C9" w:rsidR="00E36EFD" w:rsidRPr="00455191" w:rsidRDefault="00E36EFD" w:rsidP="00F61408">
      <w:r w:rsidRPr="00455191">
        <w:t xml:space="preserve">Almost all SUVs </w:t>
      </w:r>
      <w:r w:rsidR="000C79D0">
        <w:t xml:space="preserve">in the EEA database </w:t>
      </w:r>
      <w:r w:rsidRPr="00455191">
        <w:t xml:space="preserve">are type approved </w:t>
      </w:r>
      <w:r w:rsidR="004C3F94" w:rsidRPr="00455191">
        <w:t>under</w:t>
      </w:r>
      <w:r w:rsidRPr="00455191">
        <w:t xml:space="preserve"> </w:t>
      </w:r>
      <w:r w:rsidR="0023654B">
        <w:t>the</w:t>
      </w:r>
      <w:r w:rsidR="0023654B" w:rsidRPr="00455191">
        <w:t xml:space="preserve"> </w:t>
      </w:r>
      <w:r w:rsidRPr="00455191">
        <w:t xml:space="preserve">PC class. Since those SUVs align with other non-SUV PCs in the WLTP–NEDC data cloud and the WLTP type procedure follows the same procedure as </w:t>
      </w:r>
      <w:r w:rsidR="007E42AF" w:rsidRPr="00455191">
        <w:t xml:space="preserve">for </w:t>
      </w:r>
      <w:r w:rsidRPr="00455191">
        <w:t>PCs, the conversion relations for SUVs refer to the respective PC relations in this analysis.</w:t>
      </w:r>
    </w:p>
    <w:p w14:paraId="330D2CD7" w14:textId="429273CD" w:rsidR="00E36EFD" w:rsidRPr="00455191" w:rsidRDefault="00E36EFD" w:rsidP="00F61408">
      <w:r w:rsidRPr="00455191">
        <w:t>Hybrid electric vehicles (HEVs) were grouped with conventional ICE vehicles for the regressions. The differentiation of hybrid and non-hybrid vehicles has blurred with the widespread adoption of micro- and mild-hybrid technologies. We evaluated HEVs separately</w:t>
      </w:r>
      <w:r w:rsidR="007B6AAB">
        <w:t>,</w:t>
      </w:r>
      <w:r w:rsidRPr="00455191">
        <w:t xml:space="preserve"> based on the category in the EEA 2020 database, and found that the regression curves of HEVs and non-HEVs were not significantly different from each other (see </w:t>
      </w:r>
      <w:r w:rsidR="00C2427C" w:rsidRPr="00455191">
        <w:t>A</w:t>
      </w:r>
      <w:r w:rsidR="00C2427C">
        <w:t>ppendix</w:t>
      </w:r>
      <w:r w:rsidR="00C2427C" w:rsidRPr="00455191">
        <w:t xml:space="preserve"> </w:t>
      </w:r>
      <w:r w:rsidR="00720928">
        <w:t>C</w:t>
      </w:r>
      <w:r w:rsidRPr="00455191">
        <w:t xml:space="preserve">). In addition, the HEV-only regression did not increase the predictive power compared with the HEV-inclusive ICE data regression. </w:t>
      </w:r>
    </w:p>
    <w:p w14:paraId="76412595" w14:textId="15846317" w:rsidR="00E36EFD" w:rsidRPr="00455191" w:rsidRDefault="00E36EFD" w:rsidP="00F61408">
      <w:r w:rsidRPr="00455191">
        <w:t xml:space="preserve">For the diesel LCV segment, we generate the relation based on the diesel pickups. This decision is based on </w:t>
      </w:r>
      <w:r w:rsidR="00217D01">
        <w:t>two</w:t>
      </w:r>
      <w:r w:rsidRPr="00455191">
        <w:t xml:space="preserve"> justifications</w:t>
      </w:r>
      <w:r w:rsidR="00301671">
        <w:t>.</w:t>
      </w:r>
      <w:r w:rsidRPr="00455191">
        <w:t xml:space="preserve"> </w:t>
      </w:r>
      <w:r w:rsidR="00217D01">
        <w:t>The first is that p</w:t>
      </w:r>
      <w:r w:rsidRPr="00455191">
        <w:t>ickup</w:t>
      </w:r>
      <w:r w:rsidR="00636348" w:rsidRPr="00217D01">
        <w:t xml:space="preserve"> and </w:t>
      </w:r>
      <w:r w:rsidRPr="00455191">
        <w:t xml:space="preserve">utility vehicles dominate Australia’s LCV market (excluding SUVs) </w:t>
      </w:r>
      <w:r w:rsidR="00636348" w:rsidRPr="00217D01">
        <w:t xml:space="preserve">comprising </w:t>
      </w:r>
      <w:r w:rsidRPr="00455191">
        <w:t>86% of LCV sales in 2024. As shown in Table 2, the GVG 2024 data</w:t>
      </w:r>
      <w:r w:rsidR="00991E66">
        <w:t>set</w:t>
      </w:r>
      <w:r w:rsidRPr="00455191">
        <w:t xml:space="preserve"> lists diesel pickup</w:t>
      </w:r>
      <w:r w:rsidR="00991E66">
        <w:t xml:space="preserve"> and </w:t>
      </w:r>
      <w:r w:rsidRPr="00455191">
        <w:t xml:space="preserve">utility vehicles separately from </w:t>
      </w:r>
      <w:r w:rsidR="004C5168">
        <w:t>c</w:t>
      </w:r>
      <w:r w:rsidRPr="00455191">
        <w:t>ab-chassis</w:t>
      </w:r>
      <w:r w:rsidR="004C5168">
        <w:t xml:space="preserve"> vehicles</w:t>
      </w:r>
      <w:r w:rsidRPr="00455191">
        <w:t>, which account for 44% and 23%</w:t>
      </w:r>
      <w:r w:rsidR="009D6C38">
        <w:t xml:space="preserve"> of </w:t>
      </w:r>
      <w:r w:rsidR="00266AAD">
        <w:t>new vehicle sales in 2024</w:t>
      </w:r>
      <w:r w:rsidRPr="00455191">
        <w:t xml:space="preserve">, respectively. However, most </w:t>
      </w:r>
      <w:r w:rsidR="009D6C38">
        <w:t>c</w:t>
      </w:r>
      <w:r w:rsidRPr="00455191">
        <w:t xml:space="preserve">ab-chassis </w:t>
      </w:r>
      <w:r w:rsidR="009D6C38">
        <w:t xml:space="preserve">vehicles </w:t>
      </w:r>
      <w:r w:rsidRPr="00455191">
        <w:t xml:space="preserve">are essentially derivatives or variants of the pickup models. Thus, the actual pickup market share after including the </w:t>
      </w:r>
      <w:r w:rsidR="009D6C38">
        <w:t>c</w:t>
      </w:r>
      <w:r w:rsidRPr="00455191">
        <w:t>ab-chassis variants is 66% of the diesel LCV market</w:t>
      </w:r>
      <w:r w:rsidR="00632D3E">
        <w:t xml:space="preserve">. </w:t>
      </w:r>
      <w:r w:rsidRPr="00455191">
        <w:t xml:space="preserve">Most wagons in the GVG database are SUVs that have been historically classified as </w:t>
      </w:r>
      <w:r w:rsidR="00235E70">
        <w:t>w</w:t>
      </w:r>
      <w:r w:rsidRPr="00455191">
        <w:t xml:space="preserve">agons in </w:t>
      </w:r>
      <w:r w:rsidR="00235E70">
        <w:t xml:space="preserve">the </w:t>
      </w:r>
      <w:r w:rsidRPr="00455191">
        <w:t xml:space="preserve">Australian registration and certification </w:t>
      </w:r>
      <w:proofErr w:type="gramStart"/>
      <w:r w:rsidRPr="00455191">
        <w:t xml:space="preserve">systems, </w:t>
      </w:r>
      <w:r w:rsidR="00DD3DA4">
        <w:t>and</w:t>
      </w:r>
      <w:proofErr w:type="gramEnd"/>
      <w:r w:rsidR="00DD3DA4">
        <w:t xml:space="preserve"> </w:t>
      </w:r>
      <w:r w:rsidRPr="00455191">
        <w:t xml:space="preserve">therefore are not representative as diesel LCVs in the EEA data and should refer to the respective PC conversion curves developed in this </w:t>
      </w:r>
      <w:r w:rsidRPr="00455191">
        <w:lastRenderedPageBreak/>
        <w:t xml:space="preserve">analysis. After excluding SUVs and </w:t>
      </w:r>
      <w:r w:rsidR="00DD3DA4">
        <w:t>w</w:t>
      </w:r>
      <w:r w:rsidRPr="00455191">
        <w:t>agons, the pickup</w:t>
      </w:r>
      <w:r w:rsidR="00DD3DA4" w:rsidRPr="00217D01">
        <w:t xml:space="preserve"> and </w:t>
      </w:r>
      <w:r w:rsidRPr="00455191">
        <w:t>utility vehicles</w:t>
      </w:r>
      <w:r w:rsidRPr="00455191" w:rsidDel="00F22AB8">
        <w:t xml:space="preserve"> </w:t>
      </w:r>
      <w:r w:rsidRPr="00455191">
        <w:t>account for 86% of the Australian diesel LCV market.</w:t>
      </w:r>
    </w:p>
    <w:p w14:paraId="3C4BBA05" w14:textId="1157C01C" w:rsidR="00E36EFD" w:rsidRDefault="00E36EFD" w:rsidP="003A174C">
      <w:pPr>
        <w:pStyle w:val="Tablecaption"/>
      </w:pPr>
      <w:r w:rsidRPr="00455191">
        <w:t xml:space="preserve">Table 2 </w:t>
      </w:r>
      <w:r w:rsidR="00BE6AB4">
        <w:br/>
        <w:t xml:space="preserve">Composition of </w:t>
      </w:r>
      <w:r w:rsidRPr="00455191">
        <w:t xml:space="preserve">Australia’s 2024 diesel </w:t>
      </w:r>
      <w:r w:rsidR="00DD3DA4">
        <w:t>light commercial vehicle</w:t>
      </w:r>
      <w:r w:rsidR="00DD3DA4" w:rsidRPr="00455191">
        <w:t xml:space="preserve"> </w:t>
      </w:r>
      <w:r w:rsidRPr="00455191">
        <w:t>market by body style</w:t>
      </w:r>
    </w:p>
    <w:tbl>
      <w:tblPr>
        <w:tblStyle w:val="DefaultTable11"/>
        <w:tblW w:w="5000" w:type="pct"/>
        <w:tblCellMar>
          <w:top w:w="28" w:type="dxa"/>
          <w:bottom w:w="28" w:type="dxa"/>
        </w:tblCellMar>
        <w:tblLook w:val="0420" w:firstRow="1" w:lastRow="0" w:firstColumn="0" w:lastColumn="0" w:noHBand="0" w:noVBand="1"/>
        <w:tblDescription w:val="Table 2 &#10;Composition of Australia’s 2024 diesel light commercial vehicle market by body style&#10;"/>
      </w:tblPr>
      <w:tblGrid>
        <w:gridCol w:w="2398"/>
        <w:gridCol w:w="2411"/>
        <w:gridCol w:w="2398"/>
        <w:gridCol w:w="2410"/>
      </w:tblGrid>
      <w:tr w:rsidR="00503B1C" w:rsidRPr="00654F9E" w14:paraId="66DA28E7" w14:textId="77777777" w:rsidTr="001C5ACD">
        <w:trPr>
          <w:cnfStyle w:val="100000000000" w:firstRow="1" w:lastRow="0" w:firstColumn="0" w:lastColumn="0" w:oddVBand="0" w:evenVBand="0" w:oddHBand="0" w:evenHBand="0" w:firstRowFirstColumn="0" w:firstRowLastColumn="0" w:lastRowFirstColumn="0" w:lastRowLastColumn="0"/>
          <w:cantSplit/>
        </w:trPr>
        <w:tc>
          <w:tcPr>
            <w:tcW w:w="0" w:type="pct"/>
            <w:gridSpan w:val="2"/>
          </w:tcPr>
          <w:p w14:paraId="0A5A502B" w14:textId="7B6FC679" w:rsidR="00503B1C" w:rsidRPr="00E12D88" w:rsidRDefault="00503B1C" w:rsidP="001C5ACD">
            <w:pPr>
              <w:pStyle w:val="Tablerowcolumnheading"/>
              <w:keepNext/>
              <w:spacing w:before="0" w:after="0"/>
              <w:jc w:val="center"/>
            </w:pPr>
            <w:r w:rsidRPr="00E12D88">
              <w:t>Market shares based on the body style classification in GVG database</w:t>
            </w:r>
          </w:p>
        </w:tc>
        <w:tc>
          <w:tcPr>
            <w:tcW w:w="0" w:type="pct"/>
            <w:gridSpan w:val="2"/>
          </w:tcPr>
          <w:p w14:paraId="1882A3FF" w14:textId="3511F081" w:rsidR="00503B1C" w:rsidRPr="00E12D88" w:rsidRDefault="00503B1C" w:rsidP="001C5ACD">
            <w:pPr>
              <w:pStyle w:val="Tablerowcolumnheading"/>
              <w:keepNext/>
              <w:spacing w:before="0" w:after="0"/>
              <w:jc w:val="center"/>
            </w:pPr>
            <w:r w:rsidRPr="00E12D88">
              <w:t>Market shares based on the primary body style</w:t>
            </w:r>
          </w:p>
        </w:tc>
      </w:tr>
      <w:tr w:rsidR="00E12D88" w:rsidRPr="00654F9E" w14:paraId="773380BF" w14:textId="77777777" w:rsidTr="001C5ACD">
        <w:trPr>
          <w:cantSplit/>
        </w:trPr>
        <w:tc>
          <w:tcPr>
            <w:tcW w:w="0" w:type="pct"/>
            <w:vAlign w:val="center"/>
          </w:tcPr>
          <w:p w14:paraId="5A6019C1" w14:textId="201A9894" w:rsidR="00E12D88" w:rsidRPr="001C5ACD" w:rsidRDefault="00E12D88" w:rsidP="003A174C">
            <w:pPr>
              <w:spacing w:before="0" w:after="0"/>
              <w:rPr>
                <w:b/>
              </w:rPr>
            </w:pPr>
            <w:r w:rsidRPr="001C5ACD">
              <w:rPr>
                <w:b/>
              </w:rPr>
              <w:t xml:space="preserve">Body style </w:t>
            </w:r>
          </w:p>
        </w:tc>
        <w:tc>
          <w:tcPr>
            <w:tcW w:w="0" w:type="pct"/>
            <w:vAlign w:val="center"/>
          </w:tcPr>
          <w:p w14:paraId="47958514" w14:textId="375C2827" w:rsidR="00E12D88" w:rsidRPr="001C5ACD" w:rsidRDefault="00E12D88" w:rsidP="003A174C">
            <w:pPr>
              <w:spacing w:before="0" w:after="0"/>
              <w:rPr>
                <w:b/>
              </w:rPr>
            </w:pPr>
            <w:r w:rsidRPr="001C5ACD">
              <w:rPr>
                <w:b/>
              </w:rPr>
              <w:t xml:space="preserve">%sales share, 2024 </w:t>
            </w:r>
          </w:p>
        </w:tc>
        <w:tc>
          <w:tcPr>
            <w:tcW w:w="0" w:type="pct"/>
            <w:vAlign w:val="center"/>
          </w:tcPr>
          <w:p w14:paraId="33C8FA46" w14:textId="657D3775" w:rsidR="00E12D88" w:rsidRPr="001C5ACD" w:rsidRDefault="00E12D88" w:rsidP="003A174C">
            <w:pPr>
              <w:spacing w:before="0" w:after="0"/>
              <w:rPr>
                <w:b/>
              </w:rPr>
            </w:pPr>
            <w:r w:rsidRPr="001C5ACD">
              <w:rPr>
                <w:b/>
              </w:rPr>
              <w:t xml:space="preserve">Body style </w:t>
            </w:r>
          </w:p>
        </w:tc>
        <w:tc>
          <w:tcPr>
            <w:tcW w:w="0" w:type="pct"/>
            <w:vAlign w:val="center"/>
          </w:tcPr>
          <w:p w14:paraId="40361E41" w14:textId="0FC574CC" w:rsidR="00E12D88" w:rsidRPr="001C5ACD" w:rsidRDefault="00E12D88" w:rsidP="003A174C">
            <w:pPr>
              <w:spacing w:before="0" w:after="0"/>
              <w:rPr>
                <w:b/>
              </w:rPr>
            </w:pPr>
            <w:r w:rsidRPr="001C5ACD">
              <w:rPr>
                <w:b/>
              </w:rPr>
              <w:t xml:space="preserve">%sales share, 2024 </w:t>
            </w:r>
          </w:p>
        </w:tc>
      </w:tr>
      <w:tr w:rsidR="00E12D88" w:rsidRPr="00654F9E" w14:paraId="71893E6A" w14:textId="77777777" w:rsidTr="001C5ACD">
        <w:trPr>
          <w:cnfStyle w:val="000000010000" w:firstRow="0" w:lastRow="0" w:firstColumn="0" w:lastColumn="0" w:oddVBand="0" w:evenVBand="0" w:oddHBand="0" w:evenHBand="1" w:firstRowFirstColumn="0" w:firstRowLastColumn="0" w:lastRowFirstColumn="0" w:lastRowLastColumn="0"/>
          <w:cantSplit/>
        </w:trPr>
        <w:tc>
          <w:tcPr>
            <w:tcW w:w="0" w:type="pct"/>
            <w:vAlign w:val="center"/>
          </w:tcPr>
          <w:p w14:paraId="0DDF1720" w14:textId="251E822A" w:rsidR="00E12D88" w:rsidRPr="00E12D88" w:rsidRDefault="00E12D88" w:rsidP="003A174C">
            <w:pPr>
              <w:spacing w:before="0" w:after="0"/>
            </w:pPr>
            <w:r w:rsidRPr="00E12D88">
              <w:t>Utility vehicle</w:t>
            </w:r>
          </w:p>
        </w:tc>
        <w:tc>
          <w:tcPr>
            <w:tcW w:w="0" w:type="pct"/>
            <w:vAlign w:val="center"/>
          </w:tcPr>
          <w:p w14:paraId="1F4580F6" w14:textId="1E7446BF" w:rsidR="00E12D88" w:rsidRPr="00784126" w:rsidRDefault="00E12D88" w:rsidP="003A174C">
            <w:pPr>
              <w:spacing w:before="0" w:after="0"/>
            </w:pPr>
            <w:r w:rsidRPr="00455191">
              <w:t>44%</w:t>
            </w:r>
          </w:p>
        </w:tc>
        <w:tc>
          <w:tcPr>
            <w:tcW w:w="0" w:type="pct"/>
            <w:vAlign w:val="center"/>
          </w:tcPr>
          <w:p w14:paraId="4286E44B" w14:textId="6DCADDC8" w:rsidR="00E12D88" w:rsidRPr="00784126" w:rsidRDefault="00E12D88" w:rsidP="003A174C">
            <w:pPr>
              <w:spacing w:before="0" w:after="0"/>
            </w:pPr>
            <w:r w:rsidRPr="00455191">
              <w:t>Utility vehicle / Cab-chassis</w:t>
            </w:r>
          </w:p>
        </w:tc>
        <w:tc>
          <w:tcPr>
            <w:tcW w:w="0" w:type="pct"/>
            <w:vAlign w:val="center"/>
          </w:tcPr>
          <w:p w14:paraId="4BF0D787" w14:textId="1AAB3E0A" w:rsidR="00E12D88" w:rsidRPr="00784126" w:rsidRDefault="00E12D88" w:rsidP="003A174C">
            <w:pPr>
              <w:spacing w:before="0" w:after="0"/>
            </w:pPr>
            <w:r w:rsidRPr="00455191">
              <w:t>66%</w:t>
            </w:r>
          </w:p>
        </w:tc>
      </w:tr>
      <w:tr w:rsidR="00E12D88" w:rsidRPr="00654F9E" w14:paraId="26BB89F1" w14:textId="77777777" w:rsidTr="001C5ACD">
        <w:trPr>
          <w:cantSplit/>
        </w:trPr>
        <w:tc>
          <w:tcPr>
            <w:tcW w:w="0" w:type="pct"/>
            <w:vAlign w:val="center"/>
          </w:tcPr>
          <w:p w14:paraId="392C69AF" w14:textId="3677CD31" w:rsidR="00E12D88" w:rsidRPr="00E12D88" w:rsidRDefault="00E12D88" w:rsidP="003A174C">
            <w:pPr>
              <w:spacing w:before="0" w:after="0"/>
            </w:pPr>
            <w:r w:rsidRPr="00E12D88">
              <w:t>Cab-chassis</w:t>
            </w:r>
          </w:p>
        </w:tc>
        <w:tc>
          <w:tcPr>
            <w:tcW w:w="0" w:type="pct"/>
            <w:vAlign w:val="center"/>
          </w:tcPr>
          <w:p w14:paraId="384915FB" w14:textId="2D079630" w:rsidR="00E12D88" w:rsidRPr="00784126" w:rsidRDefault="00E12D88" w:rsidP="003A174C">
            <w:pPr>
              <w:spacing w:before="0" w:after="0"/>
            </w:pPr>
            <w:r w:rsidRPr="00455191">
              <w:t>23%</w:t>
            </w:r>
          </w:p>
        </w:tc>
        <w:tc>
          <w:tcPr>
            <w:tcW w:w="0" w:type="pct"/>
            <w:vAlign w:val="center"/>
          </w:tcPr>
          <w:p w14:paraId="77DF3E1B" w14:textId="17196A8F" w:rsidR="00E12D88" w:rsidRPr="00784126" w:rsidRDefault="00E12D88" w:rsidP="003A174C">
            <w:pPr>
              <w:spacing w:before="0" w:after="0"/>
            </w:pPr>
            <w:r w:rsidRPr="00455191">
              <w:t>SUV / Wagon</w:t>
            </w:r>
          </w:p>
        </w:tc>
        <w:tc>
          <w:tcPr>
            <w:tcW w:w="0" w:type="pct"/>
            <w:vAlign w:val="center"/>
          </w:tcPr>
          <w:p w14:paraId="4A5E825A" w14:textId="4519AF7D" w:rsidR="00E12D88" w:rsidRPr="00784126" w:rsidRDefault="00E12D88" w:rsidP="003A174C">
            <w:pPr>
              <w:spacing w:before="0" w:after="0"/>
            </w:pPr>
            <w:r w:rsidRPr="00455191">
              <w:t>23%</w:t>
            </w:r>
          </w:p>
        </w:tc>
      </w:tr>
      <w:tr w:rsidR="00E12D88" w:rsidRPr="00654F9E" w14:paraId="1CF26514" w14:textId="77777777" w:rsidTr="001C5ACD">
        <w:trPr>
          <w:cnfStyle w:val="000000010000" w:firstRow="0" w:lastRow="0" w:firstColumn="0" w:lastColumn="0" w:oddVBand="0" w:evenVBand="0" w:oddHBand="0" w:evenHBand="1" w:firstRowFirstColumn="0" w:firstRowLastColumn="0" w:lastRowFirstColumn="0" w:lastRowLastColumn="0"/>
          <w:cantSplit/>
        </w:trPr>
        <w:tc>
          <w:tcPr>
            <w:tcW w:w="0" w:type="pct"/>
            <w:vAlign w:val="center"/>
          </w:tcPr>
          <w:p w14:paraId="03A7B4D3" w14:textId="056E2974" w:rsidR="00E12D88" w:rsidRPr="00E12D88" w:rsidRDefault="00E12D88" w:rsidP="003A174C">
            <w:pPr>
              <w:spacing w:before="0" w:after="0"/>
            </w:pPr>
            <w:r w:rsidRPr="00E12D88">
              <w:t>SUV</w:t>
            </w:r>
          </w:p>
        </w:tc>
        <w:tc>
          <w:tcPr>
            <w:tcW w:w="0" w:type="pct"/>
            <w:vAlign w:val="center"/>
          </w:tcPr>
          <w:p w14:paraId="4AC171EC" w14:textId="6E38EEDA" w:rsidR="00E12D88" w:rsidRPr="00784126" w:rsidRDefault="00E12D88" w:rsidP="003A174C">
            <w:pPr>
              <w:spacing w:before="0" w:after="0"/>
            </w:pPr>
            <w:r w:rsidRPr="00455191">
              <w:t>13%</w:t>
            </w:r>
          </w:p>
        </w:tc>
        <w:tc>
          <w:tcPr>
            <w:tcW w:w="0" w:type="pct"/>
            <w:vAlign w:val="center"/>
          </w:tcPr>
          <w:p w14:paraId="53D0C710" w14:textId="19300561" w:rsidR="00E12D88" w:rsidRPr="00784126" w:rsidRDefault="00E12D88" w:rsidP="003A174C">
            <w:pPr>
              <w:spacing w:before="0" w:after="0"/>
            </w:pPr>
            <w:r w:rsidRPr="00455191">
              <w:t>Vans</w:t>
            </w:r>
          </w:p>
        </w:tc>
        <w:tc>
          <w:tcPr>
            <w:tcW w:w="0" w:type="pct"/>
            <w:vAlign w:val="center"/>
          </w:tcPr>
          <w:p w14:paraId="0B718470" w14:textId="624B082B" w:rsidR="00E12D88" w:rsidRPr="00784126" w:rsidRDefault="00E12D88" w:rsidP="003A174C">
            <w:pPr>
              <w:spacing w:before="0" w:after="0"/>
            </w:pPr>
            <w:r w:rsidRPr="00455191">
              <w:t>11%</w:t>
            </w:r>
          </w:p>
        </w:tc>
      </w:tr>
      <w:tr w:rsidR="00E12D88" w:rsidRPr="00654F9E" w14:paraId="3F99F5BC" w14:textId="77777777" w:rsidTr="001C5ACD">
        <w:trPr>
          <w:cantSplit/>
        </w:trPr>
        <w:tc>
          <w:tcPr>
            <w:tcW w:w="0" w:type="pct"/>
            <w:vAlign w:val="center"/>
          </w:tcPr>
          <w:p w14:paraId="1A1C6013" w14:textId="738540B8" w:rsidR="00E12D88" w:rsidRPr="00E12D88" w:rsidRDefault="00E12D88" w:rsidP="003A174C">
            <w:pPr>
              <w:spacing w:before="0" w:after="0"/>
            </w:pPr>
            <w:r w:rsidRPr="00E12D88">
              <w:t>Wagon</w:t>
            </w:r>
          </w:p>
        </w:tc>
        <w:tc>
          <w:tcPr>
            <w:tcW w:w="0" w:type="pct"/>
            <w:vAlign w:val="center"/>
          </w:tcPr>
          <w:p w14:paraId="73706078" w14:textId="5A10D0A6" w:rsidR="00E12D88" w:rsidRPr="00784126" w:rsidRDefault="00E12D88" w:rsidP="003A174C">
            <w:pPr>
              <w:spacing w:before="0" w:after="0"/>
            </w:pPr>
            <w:r w:rsidRPr="00455191">
              <w:t>10%</w:t>
            </w:r>
          </w:p>
        </w:tc>
        <w:tc>
          <w:tcPr>
            <w:tcW w:w="0" w:type="pct"/>
            <w:vAlign w:val="center"/>
          </w:tcPr>
          <w:p w14:paraId="5109DE69" w14:textId="7A3C3955" w:rsidR="00E12D88" w:rsidRPr="00784126" w:rsidRDefault="00E12D88" w:rsidP="003A174C">
            <w:pPr>
              <w:spacing w:before="0" w:after="0"/>
            </w:pPr>
          </w:p>
        </w:tc>
        <w:tc>
          <w:tcPr>
            <w:tcW w:w="0" w:type="pct"/>
            <w:vAlign w:val="center"/>
          </w:tcPr>
          <w:p w14:paraId="02A64461" w14:textId="04CB5A7D" w:rsidR="00E12D88" w:rsidRPr="00784126" w:rsidRDefault="00E12D88" w:rsidP="003A174C">
            <w:pPr>
              <w:spacing w:before="0" w:after="0"/>
            </w:pPr>
          </w:p>
        </w:tc>
      </w:tr>
      <w:tr w:rsidR="00E12D88" w:rsidRPr="00654F9E" w14:paraId="490BD81F" w14:textId="77777777" w:rsidTr="001C5ACD">
        <w:trPr>
          <w:cnfStyle w:val="000000010000" w:firstRow="0" w:lastRow="0" w:firstColumn="0" w:lastColumn="0" w:oddVBand="0" w:evenVBand="0" w:oddHBand="0" w:evenHBand="1" w:firstRowFirstColumn="0" w:firstRowLastColumn="0" w:lastRowFirstColumn="0" w:lastRowLastColumn="0"/>
          <w:cantSplit/>
        </w:trPr>
        <w:tc>
          <w:tcPr>
            <w:tcW w:w="0" w:type="pct"/>
            <w:vAlign w:val="center"/>
          </w:tcPr>
          <w:p w14:paraId="11ECA17B" w14:textId="666EEB09" w:rsidR="00E12D88" w:rsidRPr="00E12D88" w:rsidRDefault="00E12D88" w:rsidP="003A174C">
            <w:pPr>
              <w:spacing w:before="0" w:after="0"/>
            </w:pPr>
            <w:r w:rsidRPr="00E12D88">
              <w:t>Van</w:t>
            </w:r>
          </w:p>
        </w:tc>
        <w:tc>
          <w:tcPr>
            <w:tcW w:w="0" w:type="pct"/>
            <w:vAlign w:val="center"/>
          </w:tcPr>
          <w:p w14:paraId="3DFBA262" w14:textId="483BA6F0" w:rsidR="00E12D88" w:rsidRPr="00455191" w:rsidRDefault="00E12D88" w:rsidP="003A174C">
            <w:pPr>
              <w:spacing w:before="0" w:after="0"/>
            </w:pPr>
            <w:r w:rsidRPr="00455191">
              <w:t>11%</w:t>
            </w:r>
          </w:p>
        </w:tc>
        <w:tc>
          <w:tcPr>
            <w:tcW w:w="0" w:type="pct"/>
            <w:vAlign w:val="center"/>
          </w:tcPr>
          <w:p w14:paraId="79915401" w14:textId="77777777" w:rsidR="00E12D88" w:rsidRPr="00784126" w:rsidRDefault="00E12D88" w:rsidP="003A174C">
            <w:pPr>
              <w:spacing w:before="0" w:after="0"/>
            </w:pPr>
          </w:p>
        </w:tc>
        <w:tc>
          <w:tcPr>
            <w:tcW w:w="0" w:type="pct"/>
            <w:vAlign w:val="center"/>
          </w:tcPr>
          <w:p w14:paraId="5750925D" w14:textId="77777777" w:rsidR="00E12D88" w:rsidRPr="00784126" w:rsidRDefault="00E12D88" w:rsidP="003A174C">
            <w:pPr>
              <w:spacing w:before="0" w:after="0"/>
            </w:pPr>
          </w:p>
        </w:tc>
      </w:tr>
    </w:tbl>
    <w:p w14:paraId="56CF18AE" w14:textId="575BCFD7" w:rsidR="00E36EFD" w:rsidRPr="00037DDB" w:rsidRDefault="00217D01" w:rsidP="00003F7B">
      <w:pPr>
        <w:spacing w:before="240"/>
      </w:pPr>
      <w:r>
        <w:t>Second, t</w:t>
      </w:r>
      <w:r w:rsidR="00E36EFD" w:rsidRPr="00037DDB">
        <w:t xml:space="preserve">he top-selling pickup models are the same in the EEA database and in Australian market, which provides the justification for using the EEA 2020 dataset for pickups to generate the relation for Australia. The pickup samples in the EEA database </w:t>
      </w:r>
      <w:r w:rsidR="004B2E49">
        <w:t>are</w:t>
      </w:r>
      <w:r w:rsidR="004B2E49" w:rsidRPr="000E2ED1">
        <w:t xml:space="preserve"> </w:t>
      </w:r>
      <w:r w:rsidR="00E36EFD" w:rsidRPr="00037DDB">
        <w:t>composed of two major models</w:t>
      </w:r>
      <w:r w:rsidR="00AD072D">
        <w:t>, the</w:t>
      </w:r>
      <w:r w:rsidR="00E36EFD" w:rsidRPr="00455191">
        <w:t xml:space="preserve"> </w:t>
      </w:r>
      <w:r w:rsidR="00E36EFD" w:rsidRPr="00037DDB">
        <w:t xml:space="preserve">Toyota Hilux and </w:t>
      </w:r>
      <w:r w:rsidR="00AD072D">
        <w:t xml:space="preserve">the </w:t>
      </w:r>
      <w:r w:rsidR="00E36EFD" w:rsidRPr="00037DDB">
        <w:t>Ford Ranger, which are also the two top-selling pickup models in Australia. In contrast, the van models are very different between the two markets.</w:t>
      </w:r>
      <w:r w:rsidR="004A6FA1">
        <w:t xml:space="preserve"> </w:t>
      </w:r>
      <w:r w:rsidR="004A6FA1" w:rsidRPr="00D325E0">
        <w:t xml:space="preserve">Except for a few shared models such as Mercedes-Benz Vito, Peugeot Expert, and Renault </w:t>
      </w:r>
      <w:proofErr w:type="spellStart"/>
      <w:r w:rsidR="004A6FA1" w:rsidRPr="00D325E0">
        <w:t>Trafic</w:t>
      </w:r>
      <w:proofErr w:type="spellEnd"/>
      <w:r w:rsidR="004A6FA1" w:rsidRPr="00D325E0">
        <w:t>, most brands with reported van sales in the EEA dataset do not sell vans in the Australian market. Likewise, few brands selling vans in Australia, do not have van sales data in the EEA dataset.</w:t>
      </w:r>
      <w:r w:rsidR="00E36EFD" w:rsidRPr="00037DDB">
        <w:t xml:space="preserve"> </w:t>
      </w:r>
    </w:p>
    <w:p w14:paraId="21F6D7CD" w14:textId="32234CE4" w:rsidR="00E36EFD" w:rsidRPr="00455191" w:rsidRDefault="00E36EFD" w:rsidP="00F61408">
      <w:r w:rsidRPr="00455191">
        <w:t xml:space="preserve">Considering pickup </w:t>
      </w:r>
      <w:r w:rsidR="002C684A">
        <w:t>vehicles</w:t>
      </w:r>
      <w:r w:rsidRPr="00455191">
        <w:t xml:space="preserve"> dominat</w:t>
      </w:r>
      <w:r w:rsidR="002C684A">
        <w:t>e</w:t>
      </w:r>
      <w:r w:rsidRPr="00455191">
        <w:t xml:space="preserve"> </w:t>
      </w:r>
      <w:r w:rsidR="002C684A">
        <w:t>the Australian</w:t>
      </w:r>
      <w:r w:rsidRPr="00455191">
        <w:t xml:space="preserve"> diesel LCV market and </w:t>
      </w:r>
      <w:r w:rsidR="002C684A" w:rsidRPr="00455191">
        <w:t>th</w:t>
      </w:r>
      <w:r w:rsidR="002C684A">
        <w:t>eir</w:t>
      </w:r>
      <w:r w:rsidR="002C684A" w:rsidRPr="00455191">
        <w:t xml:space="preserve"> </w:t>
      </w:r>
      <w:r w:rsidRPr="00455191">
        <w:t xml:space="preserve">similarity with the EU pickup models, it is reasonable to derive the conversion relation for Australia’s diesel LCVs based on the </w:t>
      </w:r>
      <w:r w:rsidRPr="00F95C7F">
        <w:t>diesel pickups</w:t>
      </w:r>
      <w:r w:rsidR="00335BB1" w:rsidRPr="00F95C7F">
        <w:t xml:space="preserve"> rather than the entire diesel-LCV sample in the EEA dataset.</w:t>
      </w:r>
      <w:r w:rsidR="00335BB1" w:rsidRPr="00F95C7F">
        <w:rPr>
          <w:rStyle w:val="FootnoteReference"/>
        </w:rPr>
        <w:footnoteReference w:id="15"/>
      </w:r>
      <w:r w:rsidRPr="00455191">
        <w:t xml:space="preserve"> </w:t>
      </w:r>
      <w:r w:rsidR="000939A9">
        <w:t>In addition</w:t>
      </w:r>
      <w:r w:rsidRPr="00455191">
        <w:t>, the relation we generate for diesel pickups closely approximated the average NEDC g CO</w:t>
      </w:r>
      <w:r w:rsidRPr="000E2ED1">
        <w:rPr>
          <w:vertAlign w:val="subscript"/>
        </w:rPr>
        <w:t>2</w:t>
      </w:r>
      <w:r w:rsidRPr="00455191">
        <w:t>/km emissions for vans in the EEA 2020 dataset.</w:t>
      </w:r>
      <w:r w:rsidRPr="000E2ED1">
        <w:rPr>
          <w:vertAlign w:val="superscript"/>
        </w:rPr>
        <w:footnoteReference w:id="16"/>
      </w:r>
      <w:r w:rsidRPr="00455191">
        <w:t xml:space="preserve"> </w:t>
      </w:r>
      <w:r w:rsidR="000939A9">
        <w:t>Therefore</w:t>
      </w:r>
      <w:r w:rsidRPr="00455191">
        <w:t xml:space="preserve">, the conversion relation for pickups covers the van segment as well and there is no need to generate </w:t>
      </w:r>
      <w:r w:rsidR="00321AF9">
        <w:t xml:space="preserve">an </w:t>
      </w:r>
      <w:r w:rsidRPr="00455191">
        <w:t>additional relation for vans.</w:t>
      </w:r>
    </w:p>
    <w:p w14:paraId="0050314C" w14:textId="4AC0F0C3" w:rsidR="0009355E" w:rsidRPr="00455191" w:rsidRDefault="000671ED" w:rsidP="00F61408">
      <w:r w:rsidRPr="00455191">
        <w:t>Table 3 summarizes the 4p-WLTP to NEDC regression line parameters, including the slope and intercept, and the respective statistics of the regression, including the coefficient of determination, R</w:t>
      </w:r>
      <w:r w:rsidRPr="00455191">
        <w:rPr>
          <w:vertAlign w:val="superscript"/>
        </w:rPr>
        <w:t>2</w:t>
      </w:r>
      <w:r w:rsidRPr="00455191">
        <w:t xml:space="preserve"> value, and standard error of prediction for each vehicle group.</w:t>
      </w:r>
      <w:r w:rsidRPr="00455191">
        <w:rPr>
          <w:rStyle w:val="FootnoteReference"/>
        </w:rPr>
        <w:footnoteReference w:id="17"/>
      </w:r>
      <w:r w:rsidRPr="00455191">
        <w:t xml:space="preserve"> The 4p-WLTP to NEDC CO</w:t>
      </w:r>
      <w:r w:rsidRPr="00455191">
        <w:rPr>
          <w:vertAlign w:val="subscript"/>
        </w:rPr>
        <w:t>2</w:t>
      </w:r>
      <w:r w:rsidRPr="00455191">
        <w:t xml:space="preserve"> values are highly correlated, as indicated by </w:t>
      </w:r>
      <w:r w:rsidR="006B163C" w:rsidRPr="006B163C">
        <w:t>coefficient of determination</w:t>
      </w:r>
      <w:r w:rsidR="00B85B6B">
        <w:t>, or</w:t>
      </w:r>
      <w:r w:rsidR="006B163C" w:rsidRPr="006B163C">
        <w:t xml:space="preserve"> </w:t>
      </w:r>
      <w:r w:rsidRPr="00455191">
        <w:t>R</w:t>
      </w:r>
      <w:r w:rsidRPr="00455191">
        <w:rPr>
          <w:vertAlign w:val="superscript"/>
        </w:rPr>
        <w:t>2</w:t>
      </w:r>
      <w:r w:rsidR="00B85B6B">
        <w:t>,</w:t>
      </w:r>
      <w:r w:rsidRPr="00455191">
        <w:t xml:space="preserve"> values of 0.9 or higher, and the prediction errors are all well below 9 g CO</w:t>
      </w:r>
      <w:r w:rsidRPr="000E2ED1">
        <w:rPr>
          <w:vertAlign w:val="subscript"/>
        </w:rPr>
        <w:t>2</w:t>
      </w:r>
      <w:r w:rsidRPr="00455191">
        <w:t xml:space="preserve">/km for each vehicle group, except for </w:t>
      </w:r>
      <w:r w:rsidRPr="00455191">
        <w:lastRenderedPageBreak/>
        <w:t xml:space="preserve">the diesel LCV class. </w:t>
      </w:r>
      <w:r w:rsidR="003959C9" w:rsidRPr="00455191">
        <w:t>The</w:t>
      </w:r>
      <w:r w:rsidR="00FA62CC" w:rsidRPr="00455191">
        <w:t xml:space="preserve"> </w:t>
      </w:r>
      <w:r w:rsidR="00B17F67" w:rsidRPr="00455191">
        <w:t xml:space="preserve">regression for </w:t>
      </w:r>
      <w:r w:rsidR="00BD59F5">
        <w:t xml:space="preserve">the </w:t>
      </w:r>
      <w:r w:rsidRPr="00455191">
        <w:t xml:space="preserve">diesel LCV group </w:t>
      </w:r>
      <w:r w:rsidR="00602170" w:rsidRPr="00455191">
        <w:t xml:space="preserve">has </w:t>
      </w:r>
      <w:r w:rsidR="005E7D3C" w:rsidRPr="00455191">
        <w:t xml:space="preserve">a </w:t>
      </w:r>
      <w:r w:rsidR="006364AC" w:rsidRPr="00455191">
        <w:t>stan</w:t>
      </w:r>
      <w:r w:rsidR="00281022" w:rsidRPr="00455191">
        <w:t>d</w:t>
      </w:r>
      <w:r w:rsidR="006364AC" w:rsidRPr="00455191">
        <w:t>ard</w:t>
      </w:r>
      <w:r w:rsidR="005E7D3C" w:rsidRPr="00455191">
        <w:t xml:space="preserve"> error </w:t>
      </w:r>
      <w:r w:rsidR="00316A3D" w:rsidRPr="00455191">
        <w:t xml:space="preserve">of </w:t>
      </w:r>
      <w:r w:rsidR="00D67404" w:rsidRPr="00455191">
        <w:t>12.6</w:t>
      </w:r>
      <w:r w:rsidR="00FF21C0" w:rsidRPr="00455191">
        <w:t xml:space="preserve"> g CO</w:t>
      </w:r>
      <w:r w:rsidR="00FF21C0" w:rsidRPr="000E2ED1">
        <w:rPr>
          <w:vertAlign w:val="subscript"/>
        </w:rPr>
        <w:t>2</w:t>
      </w:r>
      <w:r w:rsidR="00FF21C0" w:rsidRPr="00455191">
        <w:t>/km</w:t>
      </w:r>
      <w:r w:rsidR="00057656" w:rsidRPr="00455191">
        <w:t xml:space="preserve"> with </w:t>
      </w:r>
      <w:r w:rsidR="00BD59F5">
        <w:t>an</w:t>
      </w:r>
      <w:r w:rsidR="00057656" w:rsidRPr="00455191">
        <w:t xml:space="preserve"> </w:t>
      </w:r>
      <w:r w:rsidR="0011677B" w:rsidRPr="00455191">
        <w:t>R</w:t>
      </w:r>
      <w:r w:rsidR="0011677B" w:rsidRPr="00455191">
        <w:rPr>
          <w:vertAlign w:val="superscript"/>
        </w:rPr>
        <w:t>2</w:t>
      </w:r>
      <w:r w:rsidR="00D67404" w:rsidRPr="00455191">
        <w:t xml:space="preserve"> </w:t>
      </w:r>
      <w:r w:rsidR="00BD59F5">
        <w:t xml:space="preserve">value </w:t>
      </w:r>
      <w:r w:rsidR="0011677B" w:rsidRPr="00455191">
        <w:t>of 0.48.</w:t>
      </w:r>
      <w:r w:rsidR="003C574E" w:rsidRPr="00455191">
        <w:t xml:space="preserve"> </w:t>
      </w:r>
      <w:r w:rsidR="00E66DCA" w:rsidRPr="00455191">
        <w:t xml:space="preserve">The </w:t>
      </w:r>
      <w:r w:rsidR="00490FF5" w:rsidRPr="00455191">
        <w:t>low R</w:t>
      </w:r>
      <w:r w:rsidR="00490FF5" w:rsidRPr="00455191">
        <w:rPr>
          <w:vertAlign w:val="superscript"/>
        </w:rPr>
        <w:t>2</w:t>
      </w:r>
      <w:r w:rsidR="005F366D" w:rsidRPr="00455191">
        <w:t xml:space="preserve"> </w:t>
      </w:r>
      <w:r w:rsidR="00490FF5" w:rsidRPr="00455191">
        <w:t>value</w:t>
      </w:r>
      <w:r w:rsidR="00742464" w:rsidRPr="00455191">
        <w:t xml:space="preserve"> indicates </w:t>
      </w:r>
      <w:r w:rsidR="00593232" w:rsidRPr="00455191">
        <w:t xml:space="preserve">relatively lower </w:t>
      </w:r>
      <w:r w:rsidR="004D74DA" w:rsidRPr="00455191">
        <w:t xml:space="preserve">degree of </w:t>
      </w:r>
      <w:r w:rsidR="00593232" w:rsidRPr="00455191">
        <w:t>expla</w:t>
      </w:r>
      <w:r w:rsidR="004D74DA" w:rsidRPr="00455191">
        <w:t>inability</w:t>
      </w:r>
      <w:r w:rsidR="00DB70B5" w:rsidRPr="00455191">
        <w:t xml:space="preserve"> between the two test cycles</w:t>
      </w:r>
      <w:r w:rsidR="00E64A9F" w:rsidRPr="00455191">
        <w:t xml:space="preserve"> compared </w:t>
      </w:r>
      <w:r w:rsidR="00BD59F5">
        <w:t>with</w:t>
      </w:r>
      <w:r w:rsidR="00BD59F5" w:rsidRPr="00455191">
        <w:t xml:space="preserve"> </w:t>
      </w:r>
      <w:r w:rsidR="00E64A9F" w:rsidRPr="00455191">
        <w:t>other vehicle groups</w:t>
      </w:r>
      <w:r w:rsidR="007E4DAF" w:rsidRPr="00455191">
        <w:t>.</w:t>
      </w:r>
      <w:r w:rsidR="00BC6D95" w:rsidRPr="00455191">
        <w:t xml:space="preserve"> </w:t>
      </w:r>
      <w:r w:rsidR="004A3D82" w:rsidRPr="00455191">
        <w:t xml:space="preserve">However, </w:t>
      </w:r>
      <w:r w:rsidR="000D2A39" w:rsidRPr="00455191">
        <w:t>we find this R</w:t>
      </w:r>
      <w:r w:rsidR="000D2A39" w:rsidRPr="00455191">
        <w:rPr>
          <w:vertAlign w:val="superscript"/>
        </w:rPr>
        <w:t>2</w:t>
      </w:r>
      <w:r w:rsidR="000D2A39" w:rsidRPr="00455191">
        <w:t xml:space="preserve"> value is very sensitive </w:t>
      </w:r>
      <w:r w:rsidR="003D0172" w:rsidRPr="00455191">
        <w:t>to the</w:t>
      </w:r>
      <w:r w:rsidR="00DE7176" w:rsidRPr="00455191">
        <w:t xml:space="preserve"> LCV</w:t>
      </w:r>
      <w:r w:rsidR="003D0172" w:rsidRPr="00455191">
        <w:t xml:space="preserve"> </w:t>
      </w:r>
      <w:r w:rsidR="005E21BE" w:rsidRPr="00455191">
        <w:t xml:space="preserve">data selected </w:t>
      </w:r>
      <w:r w:rsidR="00DE7176" w:rsidRPr="00455191">
        <w:t>from the EEA database and can</w:t>
      </w:r>
      <w:r w:rsidR="000D2A39" w:rsidRPr="00455191">
        <w:t xml:space="preserve"> </w:t>
      </w:r>
      <w:r w:rsidR="005B0F87" w:rsidRPr="00455191">
        <w:t>increase significantly when removing</w:t>
      </w:r>
      <w:r w:rsidR="009200BD" w:rsidRPr="00455191">
        <w:t xml:space="preserve"> </w:t>
      </w:r>
      <w:r w:rsidR="009C2D58" w:rsidRPr="00455191">
        <w:t xml:space="preserve">some </w:t>
      </w:r>
      <w:r w:rsidR="00351256" w:rsidRPr="00455191">
        <w:t>data sample</w:t>
      </w:r>
      <w:r w:rsidR="00611EF1" w:rsidRPr="00455191">
        <w:t xml:space="preserve">s </w:t>
      </w:r>
      <w:r w:rsidR="00B50ABC" w:rsidRPr="00C1190A">
        <w:t>that do not report data on</w:t>
      </w:r>
      <w:r w:rsidR="0048546C" w:rsidRPr="00455191">
        <w:t xml:space="preserve"> vehicle weight, </w:t>
      </w:r>
      <w:r w:rsidR="00291744" w:rsidRPr="00455191">
        <w:t>power, or engine displacement information</w:t>
      </w:r>
      <w:r w:rsidR="00AE3C63">
        <w:t xml:space="preserve"> </w:t>
      </w:r>
      <w:r w:rsidR="00C1190A">
        <w:t>(</w:t>
      </w:r>
      <w:r w:rsidR="00AE3C63">
        <w:t>s</w:t>
      </w:r>
      <w:r w:rsidR="00611EF1" w:rsidRPr="00455191">
        <w:t xml:space="preserve">ee </w:t>
      </w:r>
      <w:r w:rsidR="00C2427C" w:rsidRPr="00455191">
        <w:t>A</w:t>
      </w:r>
      <w:r w:rsidR="00C2427C">
        <w:t>ppendix</w:t>
      </w:r>
      <w:r w:rsidR="00C2427C" w:rsidRPr="00455191">
        <w:t xml:space="preserve"> </w:t>
      </w:r>
      <w:r w:rsidR="0086191A">
        <w:t>B</w:t>
      </w:r>
      <w:r w:rsidR="0086191A" w:rsidRPr="00455191">
        <w:t xml:space="preserve"> </w:t>
      </w:r>
      <w:r w:rsidR="00B4215C" w:rsidRPr="00455191">
        <w:t>for details</w:t>
      </w:r>
      <w:r w:rsidR="00611EF1" w:rsidRPr="00455191">
        <w:t>)</w:t>
      </w:r>
      <w:r w:rsidR="00AF08A0">
        <w:t>.</w:t>
      </w:r>
      <w:r w:rsidR="00D341C3" w:rsidRPr="00455191">
        <w:t xml:space="preserve"> </w:t>
      </w:r>
      <w:r w:rsidR="00D8385E">
        <w:t>Hence</w:t>
      </w:r>
      <w:r w:rsidR="00AF08A0">
        <w:t>,</w:t>
      </w:r>
      <w:r w:rsidR="007663C8" w:rsidRPr="00455191">
        <w:t xml:space="preserve"> </w:t>
      </w:r>
      <w:r w:rsidR="00C86857" w:rsidRPr="00455191">
        <w:t>the low R</w:t>
      </w:r>
      <w:r w:rsidR="00C86857" w:rsidRPr="00455191">
        <w:rPr>
          <w:vertAlign w:val="superscript"/>
        </w:rPr>
        <w:t>2</w:t>
      </w:r>
      <w:r w:rsidR="00B4215C" w:rsidRPr="00455191">
        <w:rPr>
          <w:vertAlign w:val="superscript"/>
        </w:rPr>
        <w:t xml:space="preserve"> </w:t>
      </w:r>
      <w:r w:rsidR="00AB45CB" w:rsidRPr="00455191">
        <w:t>in this case</w:t>
      </w:r>
      <w:r w:rsidR="004A3D82" w:rsidRPr="00455191">
        <w:t xml:space="preserve"> </w:t>
      </w:r>
      <w:r w:rsidR="00AA4B69" w:rsidRPr="00455191">
        <w:t xml:space="preserve">does not </w:t>
      </w:r>
      <w:r w:rsidR="00B52927" w:rsidRPr="00455191">
        <w:t xml:space="preserve">necessarily </w:t>
      </w:r>
      <w:r w:rsidR="00914DA5" w:rsidRPr="00455191">
        <w:t xml:space="preserve">indicate </w:t>
      </w:r>
      <w:r w:rsidR="007E6578" w:rsidRPr="00455191">
        <w:t xml:space="preserve">a </w:t>
      </w:r>
      <w:r w:rsidR="004156D5" w:rsidRPr="00455191">
        <w:t xml:space="preserve">statistically </w:t>
      </w:r>
      <w:r w:rsidR="00E47A2B" w:rsidRPr="00455191">
        <w:t>weak</w:t>
      </w:r>
      <w:r w:rsidR="002314E2" w:rsidRPr="00455191">
        <w:t xml:space="preserve"> relation </w:t>
      </w:r>
      <w:r w:rsidR="00071DC2" w:rsidRPr="00455191">
        <w:t xml:space="preserve">or </w:t>
      </w:r>
      <w:r w:rsidR="00EF0027" w:rsidRPr="00455191">
        <w:t>less accuracy</w:t>
      </w:r>
      <w:r w:rsidR="00943EF6" w:rsidRPr="00455191">
        <w:t>.</w:t>
      </w:r>
    </w:p>
    <w:p w14:paraId="02245465" w14:textId="77777777" w:rsidR="008F4307" w:rsidRPr="000E2ED1" w:rsidRDefault="002673CE" w:rsidP="003A174C">
      <w:pPr>
        <w:pStyle w:val="Tablecaption"/>
      </w:pPr>
      <w:r w:rsidRPr="000E2ED1">
        <w:t xml:space="preserve">Table </w:t>
      </w:r>
      <w:r w:rsidR="00BE6B31" w:rsidRPr="000E2ED1">
        <w:t>3</w:t>
      </w:r>
      <w:r w:rsidRPr="000E2ED1">
        <w:t xml:space="preserve"> </w:t>
      </w:r>
      <w:r w:rsidR="00AF08A0">
        <w:br/>
      </w:r>
      <w:r w:rsidRPr="000E2ED1">
        <w:t>4</w:t>
      </w:r>
      <w:r w:rsidR="00D00B0B" w:rsidRPr="000E2ED1">
        <w:t>-</w:t>
      </w:r>
      <w:r w:rsidRPr="000E2ED1">
        <w:t>p</w:t>
      </w:r>
      <w:r w:rsidR="00D00B0B" w:rsidRPr="000E2ED1">
        <w:t xml:space="preserve"> </w:t>
      </w:r>
      <w:r w:rsidRPr="000E2ED1">
        <w:t>WLTP to NEDC regression parameters and statistics</w:t>
      </w:r>
    </w:p>
    <w:tbl>
      <w:tblPr>
        <w:tblStyle w:val="DefaultTable11"/>
        <w:tblW w:w="5000" w:type="pct"/>
        <w:tblCellMar>
          <w:top w:w="28" w:type="dxa"/>
          <w:bottom w:w="28" w:type="dxa"/>
        </w:tblCellMar>
        <w:tblLook w:val="04A0" w:firstRow="1" w:lastRow="0" w:firstColumn="1" w:lastColumn="0" w:noHBand="0" w:noVBand="1"/>
        <w:tblDescription w:val="Table 3 &#10;4-p WLTP to NEDC regression parameters and statistics&#10;"/>
      </w:tblPr>
      <w:tblGrid>
        <w:gridCol w:w="1578"/>
        <w:gridCol w:w="1578"/>
        <w:gridCol w:w="1578"/>
        <w:gridCol w:w="1576"/>
        <w:gridCol w:w="1732"/>
        <w:gridCol w:w="1575"/>
      </w:tblGrid>
      <w:tr w:rsidR="00E12D88" w:rsidRPr="00654F9E" w14:paraId="6B01198F" w14:textId="77777777" w:rsidTr="003A174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20" w:type="pct"/>
            <w:vAlign w:val="center"/>
          </w:tcPr>
          <w:p w14:paraId="46C668DA" w14:textId="49DB376A" w:rsidR="00E12D88" w:rsidRPr="00E12D88" w:rsidRDefault="00E12D88" w:rsidP="003A174C">
            <w:pPr>
              <w:pStyle w:val="Tablerowcolumnheading"/>
              <w:keepNext/>
              <w:spacing w:before="0" w:after="0"/>
              <w:rPr>
                <w:b/>
                <w:szCs w:val="22"/>
              </w:rPr>
            </w:pPr>
            <w:r w:rsidRPr="00E12D88">
              <w:rPr>
                <w:b/>
              </w:rPr>
              <w:t>Vehicle group</w:t>
            </w:r>
          </w:p>
        </w:tc>
        <w:tc>
          <w:tcPr>
            <w:tcW w:w="820" w:type="pct"/>
            <w:vAlign w:val="center"/>
          </w:tcPr>
          <w:p w14:paraId="6341C0AB" w14:textId="79E9A8E2" w:rsidR="00E12D88" w:rsidRPr="00E12D88" w:rsidRDefault="00E12D88" w:rsidP="003A174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E12D88">
              <w:rPr>
                <w:b/>
              </w:rPr>
              <w:t>Sample size</w:t>
            </w:r>
          </w:p>
        </w:tc>
        <w:tc>
          <w:tcPr>
            <w:tcW w:w="820" w:type="pct"/>
            <w:vAlign w:val="center"/>
          </w:tcPr>
          <w:p w14:paraId="3AB502E6" w14:textId="1400DBF7" w:rsidR="00E12D88" w:rsidRPr="00E12D88" w:rsidRDefault="00E12D88" w:rsidP="003A174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E12D88">
              <w:rPr>
                <w:b/>
              </w:rPr>
              <w:t>Slope</w:t>
            </w:r>
          </w:p>
        </w:tc>
        <w:tc>
          <w:tcPr>
            <w:tcW w:w="819" w:type="pct"/>
            <w:vAlign w:val="center"/>
          </w:tcPr>
          <w:p w14:paraId="44B15BF3" w14:textId="1CD0C114" w:rsidR="00E12D88" w:rsidRPr="00E12D88" w:rsidRDefault="00E12D88" w:rsidP="003A174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E12D88">
              <w:rPr>
                <w:b/>
              </w:rPr>
              <w:t>Intercept (g CO</w:t>
            </w:r>
            <w:r w:rsidRPr="00E12D88">
              <w:rPr>
                <w:b/>
                <w:vertAlign w:val="subscript"/>
              </w:rPr>
              <w:t>2</w:t>
            </w:r>
            <w:r w:rsidRPr="00E12D88">
              <w:rPr>
                <w:b/>
              </w:rPr>
              <w:t>/km)</w:t>
            </w:r>
          </w:p>
        </w:tc>
        <w:tc>
          <w:tcPr>
            <w:tcW w:w="900" w:type="pct"/>
            <w:vAlign w:val="center"/>
          </w:tcPr>
          <w:p w14:paraId="63214135" w14:textId="0311FB7D" w:rsidR="00E12D88" w:rsidRPr="00E12D88" w:rsidRDefault="00E12D88" w:rsidP="003A174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E12D88">
              <w:rPr>
                <w:b/>
              </w:rPr>
              <w:t>Coefficient of determination, R</w:t>
            </w:r>
            <w:r w:rsidRPr="00E12D88">
              <w:rPr>
                <w:b/>
                <w:vertAlign w:val="superscript"/>
              </w:rPr>
              <w:t>2</w:t>
            </w:r>
          </w:p>
        </w:tc>
        <w:tc>
          <w:tcPr>
            <w:tcW w:w="819" w:type="pct"/>
            <w:vAlign w:val="center"/>
          </w:tcPr>
          <w:p w14:paraId="0DCF767C" w14:textId="1284E449" w:rsidR="00E12D88" w:rsidRPr="00E12D88" w:rsidRDefault="00E12D88" w:rsidP="003A174C">
            <w:pPr>
              <w:pStyle w:val="Tablerowcolumnheadingcentred"/>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E12D88">
              <w:rPr>
                <w:b/>
              </w:rPr>
              <w:t>Standard error of prediction (g CO</w:t>
            </w:r>
            <w:r w:rsidRPr="00E12D88">
              <w:rPr>
                <w:b/>
                <w:vertAlign w:val="subscript"/>
              </w:rPr>
              <w:t>2</w:t>
            </w:r>
            <w:r w:rsidRPr="00E12D88">
              <w:rPr>
                <w:b/>
              </w:rPr>
              <w:t>/km)</w:t>
            </w:r>
          </w:p>
        </w:tc>
      </w:tr>
      <w:tr w:rsidR="00E12D88" w:rsidRPr="00654F9E" w14:paraId="10FC2073" w14:textId="77777777" w:rsidTr="003A174C">
        <w:trPr>
          <w:cantSplit/>
        </w:trPr>
        <w:tc>
          <w:tcPr>
            <w:cnfStyle w:val="001000000000" w:firstRow="0" w:lastRow="0" w:firstColumn="1" w:lastColumn="0" w:oddVBand="0" w:evenVBand="0" w:oddHBand="0" w:evenHBand="0" w:firstRowFirstColumn="0" w:firstRowLastColumn="0" w:lastRowFirstColumn="0" w:lastRowLastColumn="0"/>
            <w:tcW w:w="820" w:type="pct"/>
            <w:vAlign w:val="center"/>
          </w:tcPr>
          <w:p w14:paraId="243E6ABA" w14:textId="36D2FD46" w:rsidR="00E12D88" w:rsidRPr="00784126" w:rsidRDefault="00E12D88" w:rsidP="003A174C">
            <w:pPr>
              <w:spacing w:before="0" w:after="0"/>
            </w:pPr>
            <w:r w:rsidRPr="00455191">
              <w:t xml:space="preserve">Petrol </w:t>
            </w:r>
          </w:p>
        </w:tc>
        <w:tc>
          <w:tcPr>
            <w:tcW w:w="820" w:type="pct"/>
            <w:vAlign w:val="center"/>
          </w:tcPr>
          <w:p w14:paraId="67EE9F1F" w14:textId="574B3DDF" w:rsidR="00E12D88" w:rsidRPr="00784126" w:rsidRDefault="00E12D88" w:rsidP="003A174C">
            <w:pPr>
              <w:spacing w:before="0" w:after="0"/>
              <w:cnfStyle w:val="000000000000" w:firstRow="0" w:lastRow="0" w:firstColumn="0" w:lastColumn="0" w:oddVBand="0" w:evenVBand="0" w:oddHBand="0" w:evenHBand="0" w:firstRowFirstColumn="0" w:firstRowLastColumn="0" w:lastRowFirstColumn="0" w:lastRowLastColumn="0"/>
            </w:pPr>
            <w:r w:rsidRPr="00455191">
              <w:t>25,148</w:t>
            </w:r>
          </w:p>
        </w:tc>
        <w:tc>
          <w:tcPr>
            <w:tcW w:w="820" w:type="pct"/>
            <w:vAlign w:val="center"/>
          </w:tcPr>
          <w:p w14:paraId="37C02C53" w14:textId="7C916CE0" w:rsidR="00E12D88" w:rsidRPr="00784126" w:rsidRDefault="00E12D88" w:rsidP="003A174C">
            <w:pPr>
              <w:spacing w:before="0" w:after="0"/>
              <w:cnfStyle w:val="000000000000" w:firstRow="0" w:lastRow="0" w:firstColumn="0" w:lastColumn="0" w:oddVBand="0" w:evenVBand="0" w:oddHBand="0" w:evenHBand="0" w:firstRowFirstColumn="0" w:firstRowLastColumn="0" w:lastRowFirstColumn="0" w:lastRowLastColumn="0"/>
            </w:pPr>
            <w:r w:rsidRPr="00455191">
              <w:rPr>
                <w:rFonts w:eastAsiaTheme="minorEastAsia"/>
              </w:rPr>
              <w:t>0.9294</w:t>
            </w:r>
          </w:p>
        </w:tc>
        <w:tc>
          <w:tcPr>
            <w:tcW w:w="819" w:type="pct"/>
            <w:vAlign w:val="center"/>
          </w:tcPr>
          <w:p w14:paraId="09912B14" w14:textId="720AB78C" w:rsidR="00E12D88" w:rsidRPr="00784126" w:rsidRDefault="00E12D88" w:rsidP="003A174C">
            <w:pPr>
              <w:spacing w:before="0" w:after="0"/>
              <w:cnfStyle w:val="000000000000" w:firstRow="0" w:lastRow="0" w:firstColumn="0" w:lastColumn="0" w:oddVBand="0" w:evenVBand="0" w:oddHBand="0" w:evenHBand="0" w:firstRowFirstColumn="0" w:firstRowLastColumn="0" w:lastRowFirstColumn="0" w:lastRowLastColumn="0"/>
            </w:pPr>
            <w:r w:rsidRPr="00455191">
              <w:rPr>
                <w:rFonts w:eastAsiaTheme="minorEastAsia"/>
              </w:rPr>
              <w:t>-13.2248</w:t>
            </w:r>
          </w:p>
        </w:tc>
        <w:tc>
          <w:tcPr>
            <w:tcW w:w="900" w:type="pct"/>
            <w:vAlign w:val="center"/>
          </w:tcPr>
          <w:p w14:paraId="212E5903" w14:textId="20305E89" w:rsidR="00E12D88" w:rsidRPr="00784126" w:rsidRDefault="00E12D88" w:rsidP="003A174C">
            <w:pPr>
              <w:spacing w:before="0" w:after="0"/>
              <w:cnfStyle w:val="000000000000" w:firstRow="0" w:lastRow="0" w:firstColumn="0" w:lastColumn="0" w:oddVBand="0" w:evenVBand="0" w:oddHBand="0" w:evenHBand="0" w:firstRowFirstColumn="0" w:firstRowLastColumn="0" w:lastRowFirstColumn="0" w:lastRowLastColumn="0"/>
            </w:pPr>
            <w:r w:rsidRPr="00455191">
              <w:rPr>
                <w:rFonts w:eastAsiaTheme="minorEastAsia"/>
              </w:rPr>
              <w:t>0.95</w:t>
            </w:r>
          </w:p>
        </w:tc>
        <w:tc>
          <w:tcPr>
            <w:tcW w:w="819" w:type="pct"/>
            <w:vAlign w:val="center"/>
          </w:tcPr>
          <w:p w14:paraId="0A198B27" w14:textId="7AA77E2A" w:rsidR="00E12D88" w:rsidRPr="00784126" w:rsidRDefault="00E12D88" w:rsidP="003A174C">
            <w:pPr>
              <w:spacing w:before="0" w:after="0"/>
              <w:cnfStyle w:val="000000000000" w:firstRow="0" w:lastRow="0" w:firstColumn="0" w:lastColumn="0" w:oddVBand="0" w:evenVBand="0" w:oddHBand="0" w:evenHBand="0" w:firstRowFirstColumn="0" w:firstRowLastColumn="0" w:lastRowFirstColumn="0" w:lastRowLastColumn="0"/>
            </w:pPr>
            <w:r w:rsidRPr="00455191">
              <w:rPr>
                <w:rFonts w:eastAsiaTheme="minorEastAsia"/>
              </w:rPr>
              <w:t>8.1172</w:t>
            </w:r>
          </w:p>
        </w:tc>
      </w:tr>
      <w:tr w:rsidR="00E12D88" w:rsidRPr="00654F9E" w14:paraId="1BE70989" w14:textId="77777777" w:rsidTr="003A17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20" w:type="pct"/>
            <w:vAlign w:val="center"/>
          </w:tcPr>
          <w:p w14:paraId="3375A7FB" w14:textId="06A00DA5" w:rsidR="00E12D88" w:rsidRPr="00784126" w:rsidRDefault="00E12D88" w:rsidP="003A174C">
            <w:pPr>
              <w:spacing w:before="0" w:after="0"/>
            </w:pPr>
            <w:r w:rsidRPr="00455191">
              <w:t>Diesel PC</w:t>
            </w:r>
          </w:p>
        </w:tc>
        <w:tc>
          <w:tcPr>
            <w:tcW w:w="820" w:type="pct"/>
            <w:vAlign w:val="center"/>
          </w:tcPr>
          <w:p w14:paraId="7539751B" w14:textId="45381422" w:rsidR="00E12D88" w:rsidRPr="00784126" w:rsidRDefault="00E12D88" w:rsidP="003A174C">
            <w:pPr>
              <w:spacing w:before="0" w:after="0"/>
              <w:cnfStyle w:val="000000010000" w:firstRow="0" w:lastRow="0" w:firstColumn="0" w:lastColumn="0" w:oddVBand="0" w:evenVBand="0" w:oddHBand="0" w:evenHBand="1" w:firstRowFirstColumn="0" w:firstRowLastColumn="0" w:lastRowFirstColumn="0" w:lastRowLastColumn="0"/>
            </w:pPr>
            <w:r w:rsidRPr="00455191">
              <w:t>22,280</w:t>
            </w:r>
          </w:p>
        </w:tc>
        <w:tc>
          <w:tcPr>
            <w:tcW w:w="820" w:type="pct"/>
            <w:vAlign w:val="center"/>
          </w:tcPr>
          <w:p w14:paraId="2CFBE571" w14:textId="1369481A" w:rsidR="00E12D88" w:rsidRPr="00784126" w:rsidRDefault="00E12D88" w:rsidP="003A174C">
            <w:pPr>
              <w:spacing w:before="0" w:after="0"/>
              <w:cnfStyle w:val="000000010000" w:firstRow="0" w:lastRow="0" w:firstColumn="0" w:lastColumn="0" w:oddVBand="0" w:evenVBand="0" w:oddHBand="0" w:evenHBand="1" w:firstRowFirstColumn="0" w:firstRowLastColumn="0" w:lastRowFirstColumn="0" w:lastRowLastColumn="0"/>
            </w:pPr>
            <w:r w:rsidRPr="00455191">
              <w:rPr>
                <w:rFonts w:eastAsiaTheme="minorEastAsia"/>
              </w:rPr>
              <w:t>0.8075</w:t>
            </w:r>
          </w:p>
        </w:tc>
        <w:tc>
          <w:tcPr>
            <w:tcW w:w="819" w:type="pct"/>
            <w:vAlign w:val="center"/>
          </w:tcPr>
          <w:p w14:paraId="43BA179C" w14:textId="48FFC890" w:rsidR="00E12D88" w:rsidRPr="00784126" w:rsidRDefault="00E12D88" w:rsidP="003A174C">
            <w:pPr>
              <w:spacing w:before="0" w:after="0"/>
              <w:cnfStyle w:val="000000010000" w:firstRow="0" w:lastRow="0" w:firstColumn="0" w:lastColumn="0" w:oddVBand="0" w:evenVBand="0" w:oddHBand="0" w:evenHBand="1" w:firstRowFirstColumn="0" w:firstRowLastColumn="0" w:lastRowFirstColumn="0" w:lastRowLastColumn="0"/>
            </w:pPr>
            <w:r w:rsidRPr="00455191">
              <w:rPr>
                <w:rFonts w:eastAsiaTheme="minorEastAsia"/>
              </w:rPr>
              <w:t>1.8475</w:t>
            </w:r>
          </w:p>
        </w:tc>
        <w:tc>
          <w:tcPr>
            <w:tcW w:w="900" w:type="pct"/>
            <w:vAlign w:val="center"/>
          </w:tcPr>
          <w:p w14:paraId="552883D4" w14:textId="17BE2238" w:rsidR="00E12D88" w:rsidRPr="00784126" w:rsidRDefault="00E12D88" w:rsidP="003A174C">
            <w:pPr>
              <w:spacing w:before="0" w:after="0"/>
              <w:cnfStyle w:val="000000010000" w:firstRow="0" w:lastRow="0" w:firstColumn="0" w:lastColumn="0" w:oddVBand="0" w:evenVBand="0" w:oddHBand="0" w:evenHBand="1" w:firstRowFirstColumn="0" w:firstRowLastColumn="0" w:lastRowFirstColumn="0" w:lastRowLastColumn="0"/>
            </w:pPr>
            <w:r w:rsidRPr="00455191">
              <w:rPr>
                <w:rFonts w:eastAsiaTheme="minorEastAsia"/>
              </w:rPr>
              <w:t>0.94</w:t>
            </w:r>
          </w:p>
        </w:tc>
        <w:tc>
          <w:tcPr>
            <w:tcW w:w="819" w:type="pct"/>
            <w:vAlign w:val="center"/>
          </w:tcPr>
          <w:p w14:paraId="0E5632C9" w14:textId="74337304" w:rsidR="00E12D88" w:rsidRPr="00784126" w:rsidRDefault="00E12D88" w:rsidP="003A174C">
            <w:pPr>
              <w:spacing w:before="0" w:after="0"/>
              <w:cnfStyle w:val="000000010000" w:firstRow="0" w:lastRow="0" w:firstColumn="0" w:lastColumn="0" w:oddVBand="0" w:evenVBand="0" w:oddHBand="0" w:evenHBand="1" w:firstRowFirstColumn="0" w:firstRowLastColumn="0" w:lastRowFirstColumn="0" w:lastRowLastColumn="0"/>
            </w:pPr>
            <w:r w:rsidRPr="00455191">
              <w:rPr>
                <w:rFonts w:eastAsiaTheme="minorEastAsia"/>
              </w:rPr>
              <w:t>6.5759</w:t>
            </w:r>
          </w:p>
        </w:tc>
      </w:tr>
      <w:tr w:rsidR="00E12D88" w:rsidRPr="00654F9E" w14:paraId="6674744C" w14:textId="77777777" w:rsidTr="003A174C">
        <w:trPr>
          <w:cantSplit/>
        </w:trPr>
        <w:tc>
          <w:tcPr>
            <w:cnfStyle w:val="001000000000" w:firstRow="0" w:lastRow="0" w:firstColumn="1" w:lastColumn="0" w:oddVBand="0" w:evenVBand="0" w:oddHBand="0" w:evenHBand="0" w:firstRowFirstColumn="0" w:firstRowLastColumn="0" w:lastRowFirstColumn="0" w:lastRowLastColumn="0"/>
            <w:tcW w:w="820" w:type="pct"/>
            <w:vAlign w:val="center"/>
          </w:tcPr>
          <w:p w14:paraId="09658F4F" w14:textId="74D054E4" w:rsidR="00E12D88" w:rsidRPr="00784126" w:rsidRDefault="00E12D88" w:rsidP="003A174C">
            <w:pPr>
              <w:spacing w:before="0" w:after="0"/>
            </w:pPr>
            <w:r w:rsidRPr="00455191">
              <w:t>Diesel LCV</w:t>
            </w:r>
          </w:p>
        </w:tc>
        <w:tc>
          <w:tcPr>
            <w:tcW w:w="820" w:type="pct"/>
            <w:vAlign w:val="center"/>
          </w:tcPr>
          <w:p w14:paraId="39593444" w14:textId="77559327" w:rsidR="00E12D88" w:rsidRPr="00784126" w:rsidRDefault="00E12D88" w:rsidP="003A174C">
            <w:pPr>
              <w:spacing w:before="0" w:after="0"/>
              <w:cnfStyle w:val="000000000000" w:firstRow="0" w:lastRow="0" w:firstColumn="0" w:lastColumn="0" w:oddVBand="0" w:evenVBand="0" w:oddHBand="0" w:evenHBand="0" w:firstRowFirstColumn="0" w:firstRowLastColumn="0" w:lastRowFirstColumn="0" w:lastRowLastColumn="0"/>
            </w:pPr>
            <w:r w:rsidRPr="00455191">
              <w:t>518</w:t>
            </w:r>
          </w:p>
        </w:tc>
        <w:tc>
          <w:tcPr>
            <w:tcW w:w="820" w:type="pct"/>
            <w:vAlign w:val="center"/>
          </w:tcPr>
          <w:p w14:paraId="01CB3C92" w14:textId="28FB47C4" w:rsidR="00E12D88" w:rsidRPr="00784126" w:rsidRDefault="00E12D88" w:rsidP="003A174C">
            <w:pPr>
              <w:spacing w:before="0" w:after="0"/>
              <w:cnfStyle w:val="000000000000" w:firstRow="0" w:lastRow="0" w:firstColumn="0" w:lastColumn="0" w:oddVBand="0" w:evenVBand="0" w:oddHBand="0" w:evenHBand="0" w:firstRowFirstColumn="0" w:firstRowLastColumn="0" w:lastRowFirstColumn="0" w:lastRowLastColumn="0"/>
            </w:pPr>
            <w:r w:rsidRPr="00455191">
              <w:rPr>
                <w:rFonts w:eastAsiaTheme="minorEastAsia"/>
              </w:rPr>
              <w:t>0.7633</w:t>
            </w:r>
          </w:p>
        </w:tc>
        <w:tc>
          <w:tcPr>
            <w:tcW w:w="819" w:type="pct"/>
            <w:vAlign w:val="center"/>
          </w:tcPr>
          <w:p w14:paraId="18378891" w14:textId="4AFCE2C6" w:rsidR="00E12D88" w:rsidRPr="00784126" w:rsidRDefault="00E12D88" w:rsidP="003A174C">
            <w:pPr>
              <w:spacing w:before="0" w:after="0"/>
              <w:cnfStyle w:val="000000000000" w:firstRow="0" w:lastRow="0" w:firstColumn="0" w:lastColumn="0" w:oddVBand="0" w:evenVBand="0" w:oddHBand="0" w:evenHBand="0" w:firstRowFirstColumn="0" w:firstRowLastColumn="0" w:lastRowFirstColumn="0" w:lastRowLastColumn="0"/>
            </w:pPr>
            <w:r w:rsidRPr="00455191">
              <w:rPr>
                <w:rFonts w:eastAsiaTheme="minorEastAsia"/>
              </w:rPr>
              <w:t>1.0199</w:t>
            </w:r>
          </w:p>
        </w:tc>
        <w:tc>
          <w:tcPr>
            <w:tcW w:w="900" w:type="pct"/>
            <w:vAlign w:val="center"/>
          </w:tcPr>
          <w:p w14:paraId="257EE55D" w14:textId="6294A516" w:rsidR="00E12D88" w:rsidRPr="00784126" w:rsidRDefault="00E12D88" w:rsidP="003A174C">
            <w:pPr>
              <w:spacing w:before="0" w:after="0"/>
              <w:cnfStyle w:val="000000000000" w:firstRow="0" w:lastRow="0" w:firstColumn="0" w:lastColumn="0" w:oddVBand="0" w:evenVBand="0" w:oddHBand="0" w:evenHBand="0" w:firstRowFirstColumn="0" w:firstRowLastColumn="0" w:lastRowFirstColumn="0" w:lastRowLastColumn="0"/>
            </w:pPr>
            <w:r w:rsidRPr="00455191">
              <w:rPr>
                <w:rFonts w:eastAsiaTheme="minorEastAsia"/>
              </w:rPr>
              <w:t>0.48</w:t>
            </w:r>
          </w:p>
        </w:tc>
        <w:tc>
          <w:tcPr>
            <w:tcW w:w="819" w:type="pct"/>
            <w:vAlign w:val="center"/>
          </w:tcPr>
          <w:p w14:paraId="1031ED97" w14:textId="7B8E310E" w:rsidR="00E12D88" w:rsidRPr="00784126" w:rsidRDefault="00E12D88" w:rsidP="003A174C">
            <w:pPr>
              <w:spacing w:before="0" w:after="0"/>
              <w:cnfStyle w:val="000000000000" w:firstRow="0" w:lastRow="0" w:firstColumn="0" w:lastColumn="0" w:oddVBand="0" w:evenVBand="0" w:oddHBand="0" w:evenHBand="0" w:firstRowFirstColumn="0" w:firstRowLastColumn="0" w:lastRowFirstColumn="0" w:lastRowLastColumn="0"/>
            </w:pPr>
            <w:r w:rsidRPr="00455191">
              <w:rPr>
                <w:rFonts w:eastAsiaTheme="minorEastAsia"/>
              </w:rPr>
              <w:t>12.5823</w:t>
            </w:r>
          </w:p>
        </w:tc>
      </w:tr>
      <w:tr w:rsidR="00E12D88" w:rsidRPr="00654F9E" w14:paraId="695BE6FE" w14:textId="77777777" w:rsidTr="003A17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20" w:type="pct"/>
            <w:vAlign w:val="center"/>
          </w:tcPr>
          <w:p w14:paraId="1C9E7B87" w14:textId="18FCCDCA" w:rsidR="00E12D88" w:rsidRPr="00784126" w:rsidRDefault="00E12D88" w:rsidP="003A174C">
            <w:pPr>
              <w:spacing w:before="0" w:after="0"/>
            </w:pPr>
            <w:r w:rsidRPr="00455191">
              <w:t xml:space="preserve">Petrol PHEV </w:t>
            </w:r>
          </w:p>
        </w:tc>
        <w:tc>
          <w:tcPr>
            <w:tcW w:w="820" w:type="pct"/>
            <w:vAlign w:val="center"/>
          </w:tcPr>
          <w:p w14:paraId="0DAEED8F" w14:textId="356F80D8" w:rsidR="00E12D88" w:rsidRPr="00784126" w:rsidRDefault="00E12D88" w:rsidP="003A174C">
            <w:pPr>
              <w:spacing w:before="0" w:after="0"/>
              <w:cnfStyle w:val="000000010000" w:firstRow="0" w:lastRow="0" w:firstColumn="0" w:lastColumn="0" w:oddVBand="0" w:evenVBand="0" w:oddHBand="0" w:evenHBand="1" w:firstRowFirstColumn="0" w:firstRowLastColumn="0" w:lastRowFirstColumn="0" w:lastRowLastColumn="0"/>
            </w:pPr>
            <w:r w:rsidRPr="00455191">
              <w:t>1,331</w:t>
            </w:r>
          </w:p>
        </w:tc>
        <w:tc>
          <w:tcPr>
            <w:tcW w:w="820" w:type="pct"/>
            <w:vAlign w:val="center"/>
          </w:tcPr>
          <w:p w14:paraId="4F24E989" w14:textId="11AEBCBB" w:rsidR="00E12D88" w:rsidRPr="00784126" w:rsidRDefault="00E12D88" w:rsidP="003A174C">
            <w:pPr>
              <w:spacing w:before="0" w:after="0"/>
              <w:cnfStyle w:val="000000010000" w:firstRow="0" w:lastRow="0" w:firstColumn="0" w:lastColumn="0" w:oddVBand="0" w:evenVBand="0" w:oddHBand="0" w:evenHBand="1" w:firstRowFirstColumn="0" w:firstRowLastColumn="0" w:lastRowFirstColumn="0" w:lastRowLastColumn="0"/>
            </w:pPr>
            <w:r w:rsidRPr="00455191">
              <w:rPr>
                <w:rFonts w:eastAsiaTheme="minorEastAsia"/>
              </w:rPr>
              <w:t>0.6879</w:t>
            </w:r>
          </w:p>
        </w:tc>
        <w:tc>
          <w:tcPr>
            <w:tcW w:w="819" w:type="pct"/>
            <w:vAlign w:val="center"/>
          </w:tcPr>
          <w:p w14:paraId="06F59D73" w14:textId="778B18BD" w:rsidR="00E12D88" w:rsidRPr="00784126" w:rsidRDefault="00E12D88" w:rsidP="003A174C">
            <w:pPr>
              <w:spacing w:before="0" w:after="0"/>
              <w:cnfStyle w:val="000000010000" w:firstRow="0" w:lastRow="0" w:firstColumn="0" w:lastColumn="0" w:oddVBand="0" w:evenVBand="0" w:oddHBand="0" w:evenHBand="1" w:firstRowFirstColumn="0" w:firstRowLastColumn="0" w:lastRowFirstColumn="0" w:lastRowLastColumn="0"/>
            </w:pPr>
            <w:r w:rsidRPr="00455191">
              <w:rPr>
                <w:rFonts w:eastAsiaTheme="minorEastAsia"/>
              </w:rPr>
              <w:t>13.9135</w:t>
            </w:r>
          </w:p>
        </w:tc>
        <w:tc>
          <w:tcPr>
            <w:tcW w:w="900" w:type="pct"/>
            <w:vAlign w:val="center"/>
          </w:tcPr>
          <w:p w14:paraId="17A5E91F" w14:textId="2E40FD74" w:rsidR="00E12D88" w:rsidRPr="00784126" w:rsidRDefault="00E12D88" w:rsidP="003A174C">
            <w:pPr>
              <w:spacing w:before="0" w:after="0"/>
              <w:cnfStyle w:val="000000010000" w:firstRow="0" w:lastRow="0" w:firstColumn="0" w:lastColumn="0" w:oddVBand="0" w:evenVBand="0" w:oddHBand="0" w:evenHBand="1" w:firstRowFirstColumn="0" w:firstRowLastColumn="0" w:lastRowFirstColumn="0" w:lastRowLastColumn="0"/>
            </w:pPr>
            <w:r w:rsidRPr="00455191">
              <w:rPr>
                <w:rFonts w:eastAsiaTheme="minorEastAsia"/>
              </w:rPr>
              <w:t>0.90</w:t>
            </w:r>
          </w:p>
        </w:tc>
        <w:tc>
          <w:tcPr>
            <w:tcW w:w="819" w:type="pct"/>
            <w:vAlign w:val="center"/>
          </w:tcPr>
          <w:p w14:paraId="52ED0168" w14:textId="0E48091C" w:rsidR="00E12D88" w:rsidRPr="00784126" w:rsidRDefault="00E12D88" w:rsidP="003A174C">
            <w:pPr>
              <w:spacing w:before="0" w:after="0"/>
              <w:cnfStyle w:val="000000010000" w:firstRow="0" w:lastRow="0" w:firstColumn="0" w:lastColumn="0" w:oddVBand="0" w:evenVBand="0" w:oddHBand="0" w:evenHBand="1" w:firstRowFirstColumn="0" w:firstRowLastColumn="0" w:lastRowFirstColumn="0" w:lastRowLastColumn="0"/>
            </w:pPr>
            <w:r w:rsidRPr="00455191">
              <w:rPr>
                <w:rFonts w:eastAsiaTheme="minorEastAsia"/>
              </w:rPr>
              <w:t>4.2770</w:t>
            </w:r>
          </w:p>
        </w:tc>
      </w:tr>
      <w:tr w:rsidR="00E12D88" w:rsidRPr="00654F9E" w14:paraId="514B2745" w14:textId="77777777" w:rsidTr="003A174C">
        <w:trPr>
          <w:cantSplit/>
        </w:trPr>
        <w:tc>
          <w:tcPr>
            <w:cnfStyle w:val="001000000000" w:firstRow="0" w:lastRow="0" w:firstColumn="1" w:lastColumn="0" w:oddVBand="0" w:evenVBand="0" w:oddHBand="0" w:evenHBand="0" w:firstRowFirstColumn="0" w:firstRowLastColumn="0" w:lastRowFirstColumn="0" w:lastRowLastColumn="0"/>
            <w:tcW w:w="820" w:type="pct"/>
            <w:vAlign w:val="center"/>
          </w:tcPr>
          <w:p w14:paraId="05B993EA" w14:textId="7C9232F6" w:rsidR="00E12D88" w:rsidRPr="00784126" w:rsidRDefault="00E12D88" w:rsidP="003A174C">
            <w:pPr>
              <w:spacing w:before="0" w:after="0"/>
            </w:pPr>
            <w:r w:rsidRPr="00455191">
              <w:t>Diesel PHEV</w:t>
            </w:r>
          </w:p>
        </w:tc>
        <w:tc>
          <w:tcPr>
            <w:tcW w:w="820" w:type="pct"/>
            <w:vAlign w:val="center"/>
          </w:tcPr>
          <w:p w14:paraId="3CDCE33A" w14:textId="0FBA05A0" w:rsidR="00E12D88" w:rsidRPr="00784126" w:rsidRDefault="00E12D88" w:rsidP="003A174C">
            <w:pPr>
              <w:spacing w:before="0" w:after="0"/>
              <w:cnfStyle w:val="000000000000" w:firstRow="0" w:lastRow="0" w:firstColumn="0" w:lastColumn="0" w:oddVBand="0" w:evenVBand="0" w:oddHBand="0" w:evenHBand="0" w:firstRowFirstColumn="0" w:firstRowLastColumn="0" w:lastRowFirstColumn="0" w:lastRowLastColumn="0"/>
            </w:pPr>
            <w:r w:rsidRPr="00455191">
              <w:t>101</w:t>
            </w:r>
          </w:p>
        </w:tc>
        <w:tc>
          <w:tcPr>
            <w:tcW w:w="820" w:type="pct"/>
            <w:vAlign w:val="center"/>
          </w:tcPr>
          <w:p w14:paraId="24852D89" w14:textId="6E768125" w:rsidR="00E12D88" w:rsidRPr="00784126" w:rsidRDefault="00E12D88" w:rsidP="003A174C">
            <w:pPr>
              <w:spacing w:before="0" w:after="0"/>
              <w:cnfStyle w:val="000000000000" w:firstRow="0" w:lastRow="0" w:firstColumn="0" w:lastColumn="0" w:oddVBand="0" w:evenVBand="0" w:oddHBand="0" w:evenHBand="0" w:firstRowFirstColumn="0" w:firstRowLastColumn="0" w:lastRowFirstColumn="0" w:lastRowLastColumn="0"/>
            </w:pPr>
            <w:r w:rsidRPr="00455191">
              <w:rPr>
                <w:rFonts w:eastAsiaTheme="minorEastAsia"/>
              </w:rPr>
              <w:t>0.7084</w:t>
            </w:r>
          </w:p>
        </w:tc>
        <w:tc>
          <w:tcPr>
            <w:tcW w:w="819" w:type="pct"/>
            <w:vAlign w:val="center"/>
          </w:tcPr>
          <w:p w14:paraId="3B6C323A" w14:textId="53456738" w:rsidR="00E12D88" w:rsidRPr="00784126" w:rsidRDefault="00E12D88" w:rsidP="003A174C">
            <w:pPr>
              <w:spacing w:before="0" w:after="0"/>
              <w:cnfStyle w:val="000000000000" w:firstRow="0" w:lastRow="0" w:firstColumn="0" w:lastColumn="0" w:oddVBand="0" w:evenVBand="0" w:oddHBand="0" w:evenHBand="0" w:firstRowFirstColumn="0" w:firstRowLastColumn="0" w:lastRowFirstColumn="0" w:lastRowLastColumn="0"/>
            </w:pPr>
            <w:r w:rsidRPr="00455191">
              <w:rPr>
                <w:rFonts w:eastAsiaTheme="minorEastAsia"/>
              </w:rPr>
              <w:t>14.5883</w:t>
            </w:r>
          </w:p>
        </w:tc>
        <w:tc>
          <w:tcPr>
            <w:tcW w:w="900" w:type="pct"/>
            <w:vAlign w:val="center"/>
          </w:tcPr>
          <w:p w14:paraId="40CFBA14" w14:textId="2895B612" w:rsidR="00E12D88" w:rsidRPr="00784126" w:rsidRDefault="00E12D88" w:rsidP="003A174C">
            <w:pPr>
              <w:spacing w:before="0" w:after="0"/>
              <w:cnfStyle w:val="000000000000" w:firstRow="0" w:lastRow="0" w:firstColumn="0" w:lastColumn="0" w:oddVBand="0" w:evenVBand="0" w:oddHBand="0" w:evenHBand="0" w:firstRowFirstColumn="0" w:firstRowLastColumn="0" w:lastRowFirstColumn="0" w:lastRowLastColumn="0"/>
            </w:pPr>
            <w:r w:rsidRPr="00455191">
              <w:rPr>
                <w:rFonts w:eastAsiaTheme="minorEastAsia"/>
              </w:rPr>
              <w:t>0.96</w:t>
            </w:r>
          </w:p>
        </w:tc>
        <w:tc>
          <w:tcPr>
            <w:tcW w:w="819" w:type="pct"/>
            <w:vAlign w:val="center"/>
          </w:tcPr>
          <w:p w14:paraId="7C227764" w14:textId="1276AB81" w:rsidR="00E12D88" w:rsidRPr="00784126" w:rsidRDefault="00E12D88" w:rsidP="003A174C">
            <w:pPr>
              <w:spacing w:before="0" w:after="0"/>
              <w:cnfStyle w:val="000000000000" w:firstRow="0" w:lastRow="0" w:firstColumn="0" w:lastColumn="0" w:oddVBand="0" w:evenVBand="0" w:oddHBand="0" w:evenHBand="0" w:firstRowFirstColumn="0" w:firstRowLastColumn="0" w:lastRowFirstColumn="0" w:lastRowLastColumn="0"/>
            </w:pPr>
            <w:r w:rsidRPr="00455191">
              <w:rPr>
                <w:rFonts w:eastAsiaTheme="minorEastAsia"/>
              </w:rPr>
              <w:t>1.5554</w:t>
            </w:r>
          </w:p>
        </w:tc>
      </w:tr>
    </w:tbl>
    <w:p w14:paraId="2F554D8E" w14:textId="67A368CC" w:rsidR="00CB34C3" w:rsidRPr="00455191" w:rsidRDefault="00E74BAE" w:rsidP="00F61408">
      <w:r w:rsidRPr="000E2ED1">
        <w:rPr>
          <w:i/>
          <w:iCs/>
        </w:rPr>
        <w:t>Note</w:t>
      </w:r>
      <w:r>
        <w:t xml:space="preserve">: </w:t>
      </w:r>
      <w:r w:rsidR="000B6C62" w:rsidRPr="00455191">
        <w:t xml:space="preserve">Relations are of the form: NEDC = </w:t>
      </w:r>
      <w:r>
        <w:t>slope</w:t>
      </w:r>
      <w:r w:rsidRPr="00455191">
        <w:t xml:space="preserve"> </w:t>
      </w:r>
      <w:r w:rsidR="000B6C62" w:rsidRPr="00455191">
        <w:t>(4</w:t>
      </w:r>
      <w:r w:rsidR="00E36605" w:rsidRPr="00455191">
        <w:t>p</w:t>
      </w:r>
      <w:r w:rsidR="000B6C62" w:rsidRPr="00455191">
        <w:t xml:space="preserve">-WLTP) + </w:t>
      </w:r>
      <w:r>
        <w:t>intercept</w:t>
      </w:r>
      <w:r w:rsidR="000B6C62" w:rsidRPr="00455191">
        <w:t xml:space="preserve">, where NEDC and </w:t>
      </w:r>
      <w:r w:rsidR="00E36605" w:rsidRPr="00455191">
        <w:t>4p</w:t>
      </w:r>
      <w:r w:rsidR="000B6C62" w:rsidRPr="00455191">
        <w:t>-WLTP values are in g</w:t>
      </w:r>
      <w:r w:rsidR="00D00B0B" w:rsidRPr="00455191">
        <w:t xml:space="preserve"> </w:t>
      </w:r>
      <w:r w:rsidR="000B6C62" w:rsidRPr="00455191">
        <w:t>CO</w:t>
      </w:r>
      <w:r w:rsidR="000B6C62" w:rsidRPr="00455191">
        <w:rPr>
          <w:vertAlign w:val="subscript"/>
        </w:rPr>
        <w:t>2</w:t>
      </w:r>
      <w:r w:rsidR="000B6C62" w:rsidRPr="00455191">
        <w:t>/km.</w:t>
      </w:r>
    </w:p>
    <w:p w14:paraId="7255A295" w14:textId="65084110" w:rsidR="008E66D0" w:rsidRPr="00455191" w:rsidRDefault="00AD7B55" w:rsidP="003A174C">
      <w:pPr>
        <w:keepLines/>
      </w:pPr>
      <w:r w:rsidRPr="00455191">
        <w:t>S</w:t>
      </w:r>
      <w:r w:rsidR="008E66D0" w:rsidRPr="00455191">
        <w:t>eparate regression relations were derived for diesel and petrol PHEVs. The WLTP CO</w:t>
      </w:r>
      <w:r w:rsidR="008E66D0" w:rsidRPr="00455191">
        <w:rPr>
          <w:vertAlign w:val="subscript"/>
        </w:rPr>
        <w:t>2</w:t>
      </w:r>
      <w:r w:rsidR="008E66D0" w:rsidRPr="00455191">
        <w:t xml:space="preserve"> emissions in the EEA 2020 database were derived using the Euro 6d utility factor </w:t>
      </w:r>
      <w:r w:rsidR="00FB60A8" w:rsidRPr="00455191">
        <w:t xml:space="preserve">(see </w:t>
      </w:r>
      <w:r w:rsidR="008E66D0" w:rsidRPr="00455191">
        <w:fldChar w:fldCharType="begin" w:fldLock="1"/>
      </w:r>
      <w:r w:rsidR="008E66D0" w:rsidRPr="00455191">
        <w:instrText xml:space="preserve"> REF _Ref187321616 \h </w:instrText>
      </w:r>
      <w:r w:rsidR="00455191">
        <w:instrText xml:space="preserve"> \* MERGEFORMAT </w:instrText>
      </w:r>
      <w:r w:rsidR="008E66D0" w:rsidRPr="00455191">
        <w:fldChar w:fldCharType="separate"/>
      </w:r>
      <w:r w:rsidR="005867AA" w:rsidRPr="00455191">
        <w:t xml:space="preserve">Figure </w:t>
      </w:r>
      <w:r w:rsidR="005867AA" w:rsidRPr="00455191">
        <w:rPr>
          <w:noProof/>
        </w:rPr>
        <w:t>2</w:t>
      </w:r>
      <w:r w:rsidR="008E66D0" w:rsidRPr="00455191">
        <w:fldChar w:fldCharType="end"/>
      </w:r>
      <w:r w:rsidR="00FB60A8" w:rsidRPr="00455191">
        <w:t>)</w:t>
      </w:r>
      <w:r w:rsidR="008E66D0" w:rsidRPr="00455191">
        <w:t xml:space="preserve">. However, </w:t>
      </w:r>
      <w:r w:rsidR="00FB60A8" w:rsidRPr="00455191">
        <w:t xml:space="preserve">as noted above, </w:t>
      </w:r>
      <w:r w:rsidR="008E66D0" w:rsidRPr="00455191">
        <w:t xml:space="preserve">the Euro 6e-bis utility factor curve </w:t>
      </w:r>
      <w:r w:rsidR="003F49D4" w:rsidRPr="00455191">
        <w:t xml:space="preserve">has been </w:t>
      </w:r>
      <w:r w:rsidR="008E66D0" w:rsidRPr="00455191">
        <w:t>used for PHEV type-approval in the E</w:t>
      </w:r>
      <w:r w:rsidR="001070D2" w:rsidRPr="00455191">
        <w:t xml:space="preserve">uropean </w:t>
      </w:r>
      <w:r w:rsidR="008E66D0" w:rsidRPr="00455191">
        <w:t>U</w:t>
      </w:r>
      <w:r w:rsidR="001070D2" w:rsidRPr="00455191">
        <w:t>nion</w:t>
      </w:r>
      <w:r w:rsidR="003F49D4" w:rsidRPr="00455191">
        <w:t xml:space="preserve"> since </w:t>
      </w:r>
      <w:r w:rsidR="003F49D4" w:rsidRPr="00455191" w:rsidDel="006935D1">
        <w:t xml:space="preserve">January </w:t>
      </w:r>
      <w:r w:rsidR="006935D1" w:rsidRPr="00455191">
        <w:t>and</w:t>
      </w:r>
      <w:r w:rsidR="008E66D0" w:rsidRPr="00455191">
        <w:t xml:space="preserve"> a second adjustment of the curve is foreseen for 2027. Therefore, as discussed in </w:t>
      </w:r>
      <w:r w:rsidR="003D7EC4" w:rsidRPr="00455191">
        <w:t>Section</w:t>
      </w:r>
      <w:r w:rsidR="008E66D0" w:rsidRPr="00455191">
        <w:t xml:space="preserve"> 2</w:t>
      </w:r>
      <w:r w:rsidR="00564D77" w:rsidRPr="00455191">
        <w:t>.2.1</w:t>
      </w:r>
      <w:r w:rsidR="008E66D0" w:rsidRPr="00455191">
        <w:t>, the effect of the adjusted utility factor curves on PHEV WLTP CO</w:t>
      </w:r>
      <w:r w:rsidR="008E66D0" w:rsidRPr="00455191">
        <w:rPr>
          <w:vertAlign w:val="subscript"/>
        </w:rPr>
        <w:t>2</w:t>
      </w:r>
      <w:r w:rsidR="008E66D0" w:rsidRPr="00455191">
        <w:t xml:space="preserve"> emissions </w:t>
      </w:r>
      <w:r w:rsidR="001070D2" w:rsidRPr="00455191">
        <w:t>must</w:t>
      </w:r>
      <w:r w:rsidR="008E66D0" w:rsidRPr="00455191">
        <w:t xml:space="preserve"> be addressed for PHEVs type-approved in the E</w:t>
      </w:r>
      <w:r w:rsidR="0019250C" w:rsidRPr="00455191">
        <w:t xml:space="preserve">uropean </w:t>
      </w:r>
      <w:r w:rsidR="008E66D0" w:rsidRPr="00455191">
        <w:t>U</w:t>
      </w:r>
      <w:r w:rsidR="0019250C" w:rsidRPr="00455191">
        <w:t>nion</w:t>
      </w:r>
      <w:r w:rsidR="008E66D0" w:rsidRPr="00455191">
        <w:t xml:space="preserve"> after January 2025 and </w:t>
      </w:r>
      <w:r w:rsidR="00BD41AF" w:rsidRPr="00455191">
        <w:t xml:space="preserve">exported </w:t>
      </w:r>
      <w:r w:rsidR="008E66D0" w:rsidRPr="00455191">
        <w:t xml:space="preserve">to Australia. </w:t>
      </w:r>
      <w:r w:rsidR="00390E82" w:rsidRPr="00455191">
        <w:t xml:space="preserve">This will be discussed in </w:t>
      </w:r>
      <w:r w:rsidR="00A030A4" w:rsidRPr="00455191">
        <w:t>S</w:t>
      </w:r>
      <w:r w:rsidR="00390E82" w:rsidRPr="00455191">
        <w:t>ection</w:t>
      </w:r>
      <w:r w:rsidR="00A030A4" w:rsidRPr="00455191">
        <w:t xml:space="preserve"> 5</w:t>
      </w:r>
      <w:r w:rsidR="00390E82" w:rsidRPr="00455191">
        <w:t>.</w:t>
      </w:r>
    </w:p>
    <w:p w14:paraId="5C562986" w14:textId="431910C3" w:rsidR="000B6C62" w:rsidRPr="00455191" w:rsidRDefault="00E26AB0" w:rsidP="00B55BEC">
      <w:pPr>
        <w:pStyle w:val="Heading3"/>
      </w:pPr>
      <w:r w:rsidRPr="00455191">
        <w:t xml:space="preserve">4.2 </w:t>
      </w:r>
      <w:r w:rsidR="000B6C62" w:rsidRPr="00455191">
        <w:t>3-phase WLTP to NEDC conversion</w:t>
      </w:r>
    </w:p>
    <w:p w14:paraId="7083D684" w14:textId="2B2CCC99" w:rsidR="000B6C62" w:rsidRPr="00455191" w:rsidRDefault="00E26AB0" w:rsidP="00B55BEC">
      <w:pPr>
        <w:pStyle w:val="Heading4"/>
      </w:pPr>
      <w:r w:rsidRPr="00455191">
        <w:t xml:space="preserve">4.2.1 </w:t>
      </w:r>
      <w:r w:rsidR="000B6C62" w:rsidRPr="00455191">
        <w:t>Data source</w:t>
      </w:r>
    </w:p>
    <w:p w14:paraId="1D1AC02F" w14:textId="0DA6C875" w:rsidR="000B6C62" w:rsidRPr="00455191" w:rsidRDefault="007317D1" w:rsidP="00F61408">
      <w:r w:rsidRPr="00455191">
        <w:t>While the</w:t>
      </w:r>
      <w:r w:rsidR="00621844" w:rsidRPr="00455191">
        <w:t xml:space="preserve"> EEA 2020 database </w:t>
      </w:r>
      <w:r w:rsidRPr="00455191">
        <w:t xml:space="preserve">is </w:t>
      </w:r>
      <w:r w:rsidR="00621844" w:rsidRPr="00455191">
        <w:t xml:space="preserve">the most comprehensive publicly available </w:t>
      </w:r>
      <w:r w:rsidR="003E04BB" w:rsidRPr="00455191">
        <w:t>source for</w:t>
      </w:r>
      <w:r w:rsidR="00621844" w:rsidRPr="00455191">
        <w:t xml:space="preserve"> WLTP and NEDC values for same set of vehicles</w:t>
      </w:r>
      <w:r w:rsidRPr="00455191">
        <w:t xml:space="preserve">, it does not contain </w:t>
      </w:r>
      <w:r w:rsidR="009B7E2E" w:rsidRPr="00455191">
        <w:t>CO</w:t>
      </w:r>
      <w:r w:rsidR="009B7E2E" w:rsidRPr="00455191">
        <w:rPr>
          <w:vertAlign w:val="subscript"/>
        </w:rPr>
        <w:t>2</w:t>
      </w:r>
      <w:r w:rsidR="009B7E2E" w:rsidRPr="00455191">
        <w:t xml:space="preserve"> emission values for the individual phases of the </w:t>
      </w:r>
      <w:r w:rsidR="00BA0CAB" w:rsidRPr="00455191">
        <w:t>WLTP, or for a 3-phase composite</w:t>
      </w:r>
      <w:r w:rsidR="00621844" w:rsidRPr="00455191">
        <w:t xml:space="preserve">. </w:t>
      </w:r>
      <w:r w:rsidR="00D2382A" w:rsidRPr="00455191">
        <w:t xml:space="preserve">Therefore, </w:t>
      </w:r>
      <w:r w:rsidR="00D50CA1" w:rsidRPr="00455191">
        <w:t>we use</w:t>
      </w:r>
      <w:r w:rsidR="004C4BB1" w:rsidRPr="00455191">
        <w:t>d</w:t>
      </w:r>
      <w:r w:rsidR="00D50CA1" w:rsidRPr="00455191">
        <w:t xml:space="preserve"> </w:t>
      </w:r>
      <w:r w:rsidR="00D2382A" w:rsidRPr="00455191">
        <w:t xml:space="preserve">an alternative dataset </w:t>
      </w:r>
      <w:r w:rsidR="009A4C76" w:rsidRPr="00455191">
        <w:t xml:space="preserve">published by the </w:t>
      </w:r>
      <w:r w:rsidR="00E22CFD" w:rsidRPr="00455191">
        <w:rPr>
          <w:noProof/>
        </w:rPr>
        <w:t xml:space="preserve">UK Department for Transport Vehicle Certification Agency </w:t>
      </w:r>
      <w:r w:rsidR="00DF08D5" w:rsidRPr="00455191">
        <w:rPr>
          <w:noProof/>
        </w:rPr>
        <w:t>(</w:t>
      </w:r>
      <w:r w:rsidR="00E22CFD" w:rsidRPr="00455191">
        <w:rPr>
          <w:noProof/>
        </w:rPr>
        <w:t>2019</w:t>
      </w:r>
      <w:r w:rsidR="00DF08D5" w:rsidRPr="00455191">
        <w:t>)</w:t>
      </w:r>
      <w:r w:rsidR="0077591C" w:rsidRPr="00455191">
        <w:t xml:space="preserve"> </w:t>
      </w:r>
      <w:r w:rsidR="007E1D76" w:rsidRPr="00455191">
        <w:t>that</w:t>
      </w:r>
      <w:r w:rsidR="0077591C" w:rsidRPr="00455191">
        <w:t xml:space="preserve"> was </w:t>
      </w:r>
      <w:r w:rsidR="00415B83" w:rsidRPr="00455191">
        <w:t>also</w:t>
      </w:r>
      <w:r w:rsidR="0077591C" w:rsidRPr="00455191">
        <w:t xml:space="preserve"> used for determining</w:t>
      </w:r>
      <w:r w:rsidR="000B6C62" w:rsidRPr="00455191">
        <w:t xml:space="preserve"> </w:t>
      </w:r>
      <w:r w:rsidR="0077591C" w:rsidRPr="00455191">
        <w:t xml:space="preserve">cycle </w:t>
      </w:r>
      <w:r w:rsidR="00621844" w:rsidRPr="00455191">
        <w:t xml:space="preserve">conversion </w:t>
      </w:r>
      <w:r w:rsidR="0077591C" w:rsidRPr="00455191">
        <w:t xml:space="preserve">factors for </w:t>
      </w:r>
      <w:r w:rsidR="00621844" w:rsidRPr="00455191">
        <w:t>New Zealand in 2021</w:t>
      </w:r>
      <w:r w:rsidR="00D66DDF" w:rsidRPr="00455191">
        <w:t xml:space="preserve"> </w:t>
      </w:r>
      <w:r w:rsidR="001B6D5E" w:rsidRPr="00455191">
        <w:rPr>
          <w:noProof/>
        </w:rPr>
        <w:t>(Yang &amp; Bandivadekar, 2021)</w:t>
      </w:r>
      <w:r w:rsidR="008F3D7D" w:rsidRPr="00455191">
        <w:t>. It contains fuel consumption values</w:t>
      </w:r>
      <w:r w:rsidR="00621844" w:rsidRPr="00455191">
        <w:t xml:space="preserve"> for </w:t>
      </w:r>
      <w:r w:rsidR="00DA7AF3" w:rsidRPr="00455191">
        <w:t>5,492</w:t>
      </w:r>
      <w:r w:rsidR="00621844" w:rsidRPr="00455191">
        <w:t xml:space="preserve"> vehicle models </w:t>
      </w:r>
      <w:r w:rsidR="00DA7AF3" w:rsidRPr="00455191">
        <w:t xml:space="preserve">from 36 makes </w:t>
      </w:r>
      <w:r w:rsidR="00621844" w:rsidRPr="00455191">
        <w:t xml:space="preserve">available in </w:t>
      </w:r>
      <w:r w:rsidR="008F3D7D" w:rsidRPr="00455191">
        <w:t xml:space="preserve">the UK market in </w:t>
      </w:r>
      <w:r w:rsidR="00621844" w:rsidRPr="00455191">
        <w:t>2019</w:t>
      </w:r>
      <w:r w:rsidR="00FC2624" w:rsidRPr="00455191">
        <w:t>, both</w:t>
      </w:r>
      <w:r w:rsidR="00621844" w:rsidRPr="00455191">
        <w:t xml:space="preserve"> </w:t>
      </w:r>
      <w:r w:rsidR="009A0ABB" w:rsidRPr="00455191">
        <w:t xml:space="preserve">for the entire WLTC and </w:t>
      </w:r>
      <w:r w:rsidR="00CB6BB3" w:rsidRPr="00455191">
        <w:t xml:space="preserve">separately </w:t>
      </w:r>
      <w:r w:rsidR="009A0ABB" w:rsidRPr="00455191">
        <w:t>for the low, medium, high</w:t>
      </w:r>
      <w:r w:rsidR="002734CB" w:rsidRPr="00455191">
        <w:t>,</w:t>
      </w:r>
      <w:r w:rsidR="009A0ABB" w:rsidRPr="00455191">
        <w:t xml:space="preserve"> and extra-</w:t>
      </w:r>
      <w:proofErr w:type="gramStart"/>
      <w:r w:rsidR="009A0ABB" w:rsidRPr="00455191">
        <w:t>high speed</w:t>
      </w:r>
      <w:proofErr w:type="gramEnd"/>
      <w:r w:rsidR="009A0ABB" w:rsidRPr="00455191">
        <w:t xml:space="preserve"> phases</w:t>
      </w:r>
      <w:r w:rsidR="00621844" w:rsidRPr="00455191">
        <w:t xml:space="preserve"> </w:t>
      </w:r>
      <w:r w:rsidR="00CB6BB3" w:rsidRPr="00455191">
        <w:t xml:space="preserve">of the </w:t>
      </w:r>
      <w:r w:rsidR="000B0D2C" w:rsidRPr="00455191">
        <w:t>test</w:t>
      </w:r>
      <w:r w:rsidR="00CB6BB3" w:rsidRPr="00455191">
        <w:t xml:space="preserve">. </w:t>
      </w:r>
      <w:r w:rsidR="002379BE" w:rsidRPr="00455191">
        <w:t xml:space="preserve">This dataset </w:t>
      </w:r>
      <w:r w:rsidR="004A38E9" w:rsidRPr="00455191">
        <w:t>(</w:t>
      </w:r>
      <w:r w:rsidR="002379BE" w:rsidRPr="00455191">
        <w:t xml:space="preserve">referred to </w:t>
      </w:r>
      <w:r w:rsidR="00111C5D" w:rsidRPr="00455191">
        <w:t xml:space="preserve">here </w:t>
      </w:r>
      <w:r w:rsidR="002379BE" w:rsidRPr="00455191">
        <w:t>as the UK 2019 dataset</w:t>
      </w:r>
      <w:r w:rsidR="004A38E9" w:rsidRPr="00455191">
        <w:t>)</w:t>
      </w:r>
      <w:r w:rsidR="00621844" w:rsidRPr="00455191">
        <w:t xml:space="preserve"> was used to determine the </w:t>
      </w:r>
      <w:r w:rsidR="0036156F" w:rsidRPr="00455191">
        <w:t>relation</w:t>
      </w:r>
      <w:r w:rsidR="00621844" w:rsidRPr="00455191">
        <w:t xml:space="preserve"> between WLTP 3-phase and </w:t>
      </w:r>
      <w:r w:rsidR="009A28A5" w:rsidRPr="00455191">
        <w:t>4</w:t>
      </w:r>
      <w:r w:rsidR="00621844" w:rsidRPr="00455191">
        <w:t xml:space="preserve">-phase </w:t>
      </w:r>
      <w:r w:rsidR="005F178F" w:rsidRPr="00455191">
        <w:t>CO</w:t>
      </w:r>
      <w:r w:rsidR="005F178F" w:rsidRPr="00455191">
        <w:rPr>
          <w:vertAlign w:val="subscript"/>
        </w:rPr>
        <w:t>2</w:t>
      </w:r>
      <w:r w:rsidR="005F178F" w:rsidRPr="00455191">
        <w:t xml:space="preserve"> emission</w:t>
      </w:r>
      <w:r w:rsidR="004F316D" w:rsidRPr="00455191">
        <w:t>s</w:t>
      </w:r>
      <w:r w:rsidR="00621844" w:rsidRPr="00455191">
        <w:t>.</w:t>
      </w:r>
    </w:p>
    <w:p w14:paraId="264B7DE1" w14:textId="18A1DDE7" w:rsidR="000B6C62" w:rsidRPr="00455191" w:rsidRDefault="00E26AB0" w:rsidP="00B55BEC">
      <w:pPr>
        <w:pStyle w:val="Heading4"/>
      </w:pPr>
      <w:r w:rsidRPr="00455191">
        <w:t xml:space="preserve">4.2.2 </w:t>
      </w:r>
      <w:r w:rsidR="000B6C62" w:rsidRPr="00455191">
        <w:t>Data processing and quality assurance</w:t>
      </w:r>
    </w:p>
    <w:p w14:paraId="2C39FAC6" w14:textId="4AE8675B" w:rsidR="00FC2624" w:rsidRPr="00455191" w:rsidRDefault="00FC2624" w:rsidP="00F61408">
      <w:r w:rsidRPr="00455191">
        <w:t>Since fuel consumption and CO</w:t>
      </w:r>
      <w:r w:rsidRPr="00455191">
        <w:rPr>
          <w:vertAlign w:val="subscript"/>
        </w:rPr>
        <w:t>2</w:t>
      </w:r>
      <w:r w:rsidRPr="00455191">
        <w:t xml:space="preserve"> emissions are directly correlated, the fuel consumption was first converted to an equivalent CO</w:t>
      </w:r>
      <w:r w:rsidRPr="00455191">
        <w:rPr>
          <w:vertAlign w:val="subscript"/>
        </w:rPr>
        <w:t>2</w:t>
      </w:r>
      <w:r w:rsidRPr="00455191">
        <w:t xml:space="preserve"> emission value using emission factors of 2</w:t>
      </w:r>
      <w:r w:rsidR="004E7957" w:rsidRPr="00455191">
        <w:t>,</w:t>
      </w:r>
      <w:r w:rsidRPr="00455191">
        <w:t>631 g</w:t>
      </w:r>
      <w:r w:rsidR="00A42B59" w:rsidRPr="00455191">
        <w:t xml:space="preserve"> </w:t>
      </w:r>
      <w:r w:rsidRPr="00455191">
        <w:t>CO</w:t>
      </w:r>
      <w:r w:rsidRPr="00455191">
        <w:rPr>
          <w:vertAlign w:val="subscript"/>
        </w:rPr>
        <w:t>2</w:t>
      </w:r>
      <w:r w:rsidRPr="00455191">
        <w:t xml:space="preserve"> per liter </w:t>
      </w:r>
      <w:r w:rsidR="00C858D4" w:rsidRPr="00455191">
        <w:t xml:space="preserve">of </w:t>
      </w:r>
      <w:r w:rsidRPr="00455191">
        <w:t>diesel and 2</w:t>
      </w:r>
      <w:r w:rsidR="004E7957" w:rsidRPr="00455191">
        <w:t>,</w:t>
      </w:r>
      <w:r w:rsidRPr="00455191">
        <w:t>278 g</w:t>
      </w:r>
      <w:r w:rsidR="00A42B59" w:rsidRPr="00455191">
        <w:t xml:space="preserve"> </w:t>
      </w:r>
      <w:r w:rsidRPr="00455191">
        <w:t>CO</w:t>
      </w:r>
      <w:r w:rsidRPr="00455191">
        <w:rPr>
          <w:vertAlign w:val="subscript"/>
        </w:rPr>
        <w:t>2</w:t>
      </w:r>
      <w:r w:rsidRPr="00455191">
        <w:t xml:space="preserve"> per liter </w:t>
      </w:r>
      <w:r w:rsidR="00C858D4" w:rsidRPr="00455191">
        <w:t>of</w:t>
      </w:r>
      <w:r w:rsidRPr="00455191">
        <w:t xml:space="preserve"> petrol</w:t>
      </w:r>
      <w:r w:rsidR="002344AF" w:rsidRPr="00455191">
        <w:t>,</w:t>
      </w:r>
      <w:r w:rsidRPr="00455191">
        <w:t xml:space="preserve"> in accordance with EU type-approval fuel properties </w:t>
      </w:r>
      <w:r w:rsidR="000D6128" w:rsidRPr="00455191">
        <w:rPr>
          <w:noProof/>
        </w:rPr>
        <w:lastRenderedPageBreak/>
        <w:t>(European Commission, 2024)</w:t>
      </w:r>
      <w:r w:rsidR="00C858D4" w:rsidRPr="00455191">
        <w:t>.</w:t>
      </w:r>
      <w:r w:rsidR="00712B18" w:rsidRPr="00455191">
        <w:t xml:space="preserve"> </w:t>
      </w:r>
      <w:r w:rsidRPr="00455191">
        <w:t>After th</w:t>
      </w:r>
      <w:r w:rsidR="00C858D4" w:rsidRPr="00455191">
        <w:t>is</w:t>
      </w:r>
      <w:r w:rsidRPr="00455191">
        <w:t xml:space="preserve"> conversion, we calculated the composite 3-phase and 4-phase-WLTP emission values for each vehicle by weighting the phase</w:t>
      </w:r>
      <w:r w:rsidR="006D5E5C" w:rsidRPr="00455191">
        <w:t>-</w:t>
      </w:r>
      <w:r w:rsidRPr="00455191">
        <w:t xml:space="preserve">specific emission </w:t>
      </w:r>
      <w:r w:rsidR="006D5E5C" w:rsidRPr="00455191">
        <w:t>value</w:t>
      </w:r>
      <w:r w:rsidRPr="00455191">
        <w:t xml:space="preserve"> with the distance driven in each of the applicable phases. </w:t>
      </w:r>
    </w:p>
    <w:p w14:paraId="03395952" w14:textId="10971448" w:rsidR="00FC2624" w:rsidRPr="00455191" w:rsidRDefault="0054480D" w:rsidP="00F61408">
      <w:r w:rsidRPr="00455191">
        <w:t xml:space="preserve">The UK 2019 database contains declared </w:t>
      </w:r>
      <w:r w:rsidR="0054673C" w:rsidRPr="00455191">
        <w:t xml:space="preserve">NEDC </w:t>
      </w:r>
      <w:r w:rsidRPr="00455191">
        <w:t>g CO</w:t>
      </w:r>
      <w:r w:rsidRPr="00455191">
        <w:rPr>
          <w:vertAlign w:val="subscript"/>
        </w:rPr>
        <w:t>2</w:t>
      </w:r>
      <w:r w:rsidRPr="00455191">
        <w:t xml:space="preserve">/km values. However, </w:t>
      </w:r>
      <w:r w:rsidR="004C655F" w:rsidRPr="00455191">
        <w:t>given that the EEA 2020 database we used for the 4p-WLTP conversion includes</w:t>
      </w:r>
      <w:r w:rsidRPr="00455191">
        <w:t xml:space="preserve"> more updated NEDC data, we decided to use that relation and follow </w:t>
      </w:r>
      <w:r w:rsidR="00161668" w:rsidRPr="00455191">
        <w:t>a</w:t>
      </w:r>
      <w:r w:rsidRPr="00455191">
        <w:t xml:space="preserve"> 2-step conversion</w:t>
      </w:r>
      <w:r w:rsidR="00046EA4" w:rsidRPr="00455191">
        <w:t xml:space="preserve">: </w:t>
      </w:r>
      <w:r w:rsidR="00F33291" w:rsidRPr="00455191">
        <w:t xml:space="preserve">first </w:t>
      </w:r>
      <w:r w:rsidR="00FC1EBD" w:rsidRPr="00455191">
        <w:t>generat</w:t>
      </w:r>
      <w:r w:rsidR="00161668" w:rsidRPr="00455191">
        <w:t>ing</w:t>
      </w:r>
      <w:r w:rsidR="00FC1EBD" w:rsidRPr="00455191">
        <w:t xml:space="preserve"> the</w:t>
      </w:r>
      <w:r w:rsidR="00E37DFC" w:rsidRPr="00455191">
        <w:t xml:space="preserve"> conversion algorithm</w:t>
      </w:r>
      <w:r w:rsidR="00FC1EBD" w:rsidRPr="00455191">
        <w:t xml:space="preserve"> </w:t>
      </w:r>
      <w:r w:rsidR="00E37DFC" w:rsidRPr="00455191">
        <w:t>from</w:t>
      </w:r>
      <w:r w:rsidR="00FC1EBD" w:rsidRPr="00455191">
        <w:t xml:space="preserve"> 3p-WLTP to 4</w:t>
      </w:r>
      <w:r w:rsidR="00F33291" w:rsidRPr="00455191">
        <w:t xml:space="preserve">p-WLTP </w:t>
      </w:r>
      <w:r w:rsidR="001564C6" w:rsidRPr="00455191">
        <w:t xml:space="preserve">and </w:t>
      </w:r>
      <w:r w:rsidR="00F33291" w:rsidRPr="00455191">
        <w:t xml:space="preserve">then </w:t>
      </w:r>
      <w:r w:rsidR="00C9166E" w:rsidRPr="00455191">
        <w:t>follow</w:t>
      </w:r>
      <w:r w:rsidR="00161668" w:rsidRPr="00455191">
        <w:t>ing</w:t>
      </w:r>
      <w:r w:rsidR="00F33291" w:rsidRPr="00455191">
        <w:t xml:space="preserve"> the 4p-WLTP to NEDC </w:t>
      </w:r>
      <w:r w:rsidR="000B6982" w:rsidRPr="00455191">
        <w:t xml:space="preserve">conversion parameters </w:t>
      </w:r>
      <w:r w:rsidR="00161668" w:rsidRPr="00455191">
        <w:t>(</w:t>
      </w:r>
      <w:r w:rsidR="000B6982" w:rsidRPr="00455191">
        <w:t xml:space="preserve">Table </w:t>
      </w:r>
      <w:r w:rsidR="007F6FE3" w:rsidRPr="00455191">
        <w:t>3</w:t>
      </w:r>
      <w:r w:rsidR="00161668" w:rsidRPr="00455191">
        <w:t>)</w:t>
      </w:r>
      <w:r w:rsidR="0087028D" w:rsidRPr="00455191">
        <w:t xml:space="preserve">. </w:t>
      </w:r>
      <w:r w:rsidR="004912A9" w:rsidRPr="00455191">
        <w:t>W</w:t>
      </w:r>
      <w:r w:rsidR="00FC2624" w:rsidRPr="00455191">
        <w:t>e mathematically combined the steps so that the two conversions involve a single set of regression parameters. It should be emphasized that this does not result in a loss in precision</w:t>
      </w:r>
      <w:r w:rsidR="003201EC" w:rsidRPr="00455191">
        <w:t xml:space="preserve"> and is thus</w:t>
      </w:r>
      <w:r w:rsidR="00224166" w:rsidRPr="00455191">
        <w:t xml:space="preserve"> consistent with </w:t>
      </w:r>
      <w:r w:rsidR="00046EA4" w:rsidRPr="00455191">
        <w:t xml:space="preserve">directly </w:t>
      </w:r>
      <w:r w:rsidR="00224166" w:rsidRPr="00455191">
        <w:t xml:space="preserve">converting from </w:t>
      </w:r>
      <w:r w:rsidR="004C655F" w:rsidRPr="00455191">
        <w:t xml:space="preserve">the </w:t>
      </w:r>
      <w:r w:rsidR="00224166" w:rsidRPr="00455191">
        <w:t>3</w:t>
      </w:r>
      <w:r w:rsidR="004C655F" w:rsidRPr="00455191">
        <w:t>p</w:t>
      </w:r>
      <w:r w:rsidR="00224166" w:rsidRPr="00455191">
        <w:t>-</w:t>
      </w:r>
      <w:r w:rsidR="004C655F" w:rsidRPr="00455191">
        <w:t xml:space="preserve">WLTP </w:t>
      </w:r>
      <w:r w:rsidR="00224166" w:rsidRPr="00455191">
        <w:t xml:space="preserve">to </w:t>
      </w:r>
      <w:r w:rsidR="00046EA4" w:rsidRPr="00455191">
        <w:t xml:space="preserve">the </w:t>
      </w:r>
      <w:r w:rsidR="00224166" w:rsidRPr="00455191">
        <w:t>NEDC.</w:t>
      </w:r>
    </w:p>
    <w:p w14:paraId="35C388AA" w14:textId="5B918240" w:rsidR="00105073" w:rsidRPr="00455191" w:rsidRDefault="00046EA4" w:rsidP="00F61408">
      <w:r w:rsidRPr="00455191">
        <w:t>Like</w:t>
      </w:r>
      <w:r w:rsidR="00930C7C" w:rsidRPr="00455191">
        <w:t xml:space="preserve"> the </w:t>
      </w:r>
      <w:r w:rsidR="00AD271B" w:rsidRPr="00455191">
        <w:t>4p-WLTP to NEDC conversion</w:t>
      </w:r>
      <w:r w:rsidR="009E4BFD" w:rsidRPr="00455191">
        <w:t>, we followed a step-by-step procedure</w:t>
      </w:r>
      <w:r w:rsidR="00AD271B" w:rsidRPr="00455191">
        <w:t xml:space="preserve"> </w:t>
      </w:r>
      <w:r w:rsidR="009E4BFD" w:rsidRPr="00455191">
        <w:t xml:space="preserve">for </w:t>
      </w:r>
      <w:r w:rsidR="00ED6723" w:rsidRPr="00455191">
        <w:t xml:space="preserve">data </w:t>
      </w:r>
      <w:r w:rsidR="005D1EB0" w:rsidRPr="00455191">
        <w:t xml:space="preserve">screening and quality </w:t>
      </w:r>
      <w:r w:rsidR="00012B5E" w:rsidRPr="00455191">
        <w:t>assurance</w:t>
      </w:r>
      <w:r w:rsidR="00055F3E" w:rsidRPr="00455191">
        <w:t xml:space="preserve"> of the UK 2019 database</w:t>
      </w:r>
      <w:r w:rsidR="00012B5E" w:rsidRPr="00455191">
        <w:t xml:space="preserve">. </w:t>
      </w:r>
    </w:p>
    <w:p w14:paraId="534AD94D" w14:textId="3723B88F" w:rsidR="004C2A13" w:rsidRPr="00455191" w:rsidRDefault="004C2A13" w:rsidP="00736F4B">
      <w:pPr>
        <w:keepNext/>
      </w:pPr>
      <w:r w:rsidRPr="00455191">
        <w:rPr>
          <w:b/>
          <w:bCs/>
          <w:color w:val="4E3227" w:themeColor="accent2"/>
        </w:rPr>
        <w:t>Step 1: Data clean-up</w:t>
      </w:r>
      <w:r w:rsidR="00046EA4" w:rsidRPr="00455191">
        <w:rPr>
          <w:b/>
          <w:bCs/>
          <w:color w:val="4E3227" w:themeColor="accent2"/>
        </w:rPr>
        <w:t>.</w:t>
      </w:r>
      <w:r w:rsidRPr="00455191">
        <w:rPr>
          <w:b/>
          <w:bCs/>
          <w:color w:val="4E3227" w:themeColor="accent2"/>
        </w:rPr>
        <w:t xml:space="preserve"> </w:t>
      </w:r>
      <w:r w:rsidR="00AE76E4" w:rsidRPr="00455191">
        <w:t>W</w:t>
      </w:r>
      <w:r w:rsidR="00046EA4" w:rsidRPr="00455191">
        <w:t>e</w:t>
      </w:r>
      <w:r w:rsidRPr="00455191">
        <w:t xml:space="preserve"> eliminated the following</w:t>
      </w:r>
      <w:r w:rsidR="00046EA4" w:rsidRPr="00455191">
        <w:t>:</w:t>
      </w:r>
      <w:r w:rsidRPr="00455191">
        <w:t xml:space="preserve"> </w:t>
      </w:r>
    </w:p>
    <w:p w14:paraId="35C8BF78" w14:textId="7609FE42" w:rsidR="004C2A13" w:rsidRPr="00455191" w:rsidRDefault="004C2A13" w:rsidP="00736F4B">
      <w:pPr>
        <w:pStyle w:val="Listparagraphbullets"/>
        <w:keepNext/>
      </w:pPr>
      <w:r w:rsidRPr="00455191">
        <w:t>Records with no phase-specific data.</w:t>
      </w:r>
    </w:p>
    <w:p w14:paraId="71663030" w14:textId="706C0423" w:rsidR="004C2A13" w:rsidRPr="00455191" w:rsidRDefault="004C2A13" w:rsidP="00736F4B">
      <w:pPr>
        <w:pStyle w:val="Listparagraphbullets"/>
      </w:pPr>
      <w:r w:rsidRPr="00455191">
        <w:t xml:space="preserve">Records with reported composite fuel consumption </w:t>
      </w:r>
      <w:r w:rsidR="001B5CC5" w:rsidRPr="00455191">
        <w:t>less than</w:t>
      </w:r>
      <w:r w:rsidRPr="00455191">
        <w:t xml:space="preserve"> the lowest fuel consumption of any component phase.</w:t>
      </w:r>
    </w:p>
    <w:p w14:paraId="35F5978A" w14:textId="7AE7A9C6" w:rsidR="004C2A13" w:rsidRPr="00455191" w:rsidRDefault="004C2A13" w:rsidP="00736F4B">
      <w:pPr>
        <w:pStyle w:val="Listparagraphbullets"/>
      </w:pPr>
      <w:r w:rsidRPr="00455191">
        <w:t xml:space="preserve">Records with reported composite fuel consumption </w:t>
      </w:r>
      <w:r w:rsidR="001B5CC5" w:rsidRPr="00455191">
        <w:t>greater than</w:t>
      </w:r>
      <w:r w:rsidRPr="00455191">
        <w:t xml:space="preserve"> the highest fuel consumption of any component phase.</w:t>
      </w:r>
    </w:p>
    <w:p w14:paraId="473761F3" w14:textId="7A64ECF7" w:rsidR="004C2A13" w:rsidRPr="00455191" w:rsidRDefault="004C2A13" w:rsidP="00736F4B">
      <w:pPr>
        <w:pStyle w:val="Listparagraphbullets"/>
      </w:pPr>
      <w:r w:rsidRPr="00455191">
        <w:t xml:space="preserve">Records with reported composite fuel consumption </w:t>
      </w:r>
      <w:r w:rsidR="001B5CC5" w:rsidRPr="00455191">
        <w:t>equal to</w:t>
      </w:r>
      <w:r w:rsidRPr="00455191">
        <w:t xml:space="preserve"> reported composite fuel economy.</w:t>
      </w:r>
      <w:r w:rsidR="000C7112" w:rsidRPr="00455191">
        <w:rPr>
          <w:rStyle w:val="FootnoteReference"/>
          <w:rFonts w:eastAsia="SimSun" w:cs="Helvetica Neue"/>
          <w:color w:val="000000"/>
        </w:rPr>
        <w:footnoteReference w:id="18"/>
      </w:r>
    </w:p>
    <w:p w14:paraId="62835CE1" w14:textId="544604A1" w:rsidR="004C2A13" w:rsidRPr="00455191" w:rsidRDefault="004C2A13" w:rsidP="00736F4B">
      <w:pPr>
        <w:pStyle w:val="Listparagraphbullets"/>
      </w:pPr>
      <w:r w:rsidRPr="00455191">
        <w:t xml:space="preserve">Records where reported composite fuel consumption varied from the estimated composite fuel consumption by more than 0.1 </w:t>
      </w:r>
      <w:proofErr w:type="spellStart"/>
      <w:r w:rsidRPr="00455191">
        <w:t>liters</w:t>
      </w:r>
      <w:proofErr w:type="spellEnd"/>
      <w:r w:rsidRPr="00455191">
        <w:t xml:space="preserve"> per 100 km (i.e., the level of round</w:t>
      </w:r>
      <w:r w:rsidR="004B3A1E" w:rsidRPr="00455191">
        <w:t>-</w:t>
      </w:r>
      <w:r w:rsidRPr="00455191">
        <w:t>off error).</w:t>
      </w:r>
    </w:p>
    <w:p w14:paraId="78C03D2D" w14:textId="16A99589" w:rsidR="00046EA4" w:rsidRPr="00455191" w:rsidRDefault="00046EA4" w:rsidP="00F61408">
      <w:r w:rsidRPr="00455191">
        <w:t>This process result</w:t>
      </w:r>
      <w:r w:rsidR="00F92025" w:rsidRPr="00455191">
        <w:t>ed</w:t>
      </w:r>
      <w:r w:rsidRPr="00455191">
        <w:t xml:space="preserve"> in a database of 5,345 records.</w:t>
      </w:r>
    </w:p>
    <w:p w14:paraId="09CB0FB1" w14:textId="7818E681" w:rsidR="004C2A13" w:rsidRPr="00455191" w:rsidRDefault="004C2A13" w:rsidP="00F61408">
      <w:r w:rsidRPr="00455191">
        <w:rPr>
          <w:b/>
          <w:bCs/>
          <w:color w:val="4E3227" w:themeColor="accent2"/>
        </w:rPr>
        <w:t>Step 2</w:t>
      </w:r>
      <w:r w:rsidRPr="00455191">
        <w:rPr>
          <w:b/>
          <w:color w:val="4E3227" w:themeColor="accent2"/>
        </w:rPr>
        <w:t>: Data condensation</w:t>
      </w:r>
      <w:r w:rsidR="00F92025" w:rsidRPr="00455191">
        <w:rPr>
          <w:bCs/>
          <w:color w:val="4E3227" w:themeColor="accent2"/>
        </w:rPr>
        <w:t>.</w:t>
      </w:r>
      <w:r w:rsidRPr="00455191">
        <w:rPr>
          <w:b/>
          <w:color w:val="4E3227" w:themeColor="accent2"/>
        </w:rPr>
        <w:t xml:space="preserve"> </w:t>
      </w:r>
      <w:r w:rsidR="00F92025" w:rsidRPr="00455191">
        <w:t>W</w:t>
      </w:r>
      <w:r w:rsidRPr="00455191">
        <w:t>e condense</w:t>
      </w:r>
      <w:r w:rsidR="00F92025" w:rsidRPr="00455191">
        <w:t>d</w:t>
      </w:r>
      <w:r w:rsidRPr="00455191">
        <w:t xml:space="preserve"> the data using the database fields</w:t>
      </w:r>
      <w:r w:rsidR="00F92025" w:rsidRPr="00455191">
        <w:t>:</w:t>
      </w:r>
      <w:r w:rsidRPr="00455191">
        <w:t xml:space="preserve"> manufacturer, model, vehicle description, transmission, engine capacity, fuel type, engine power, testing scheme, Euro standard, </w:t>
      </w:r>
      <w:r w:rsidR="00CC0E1A" w:rsidRPr="00455191">
        <w:t>real-driving emission standard(</w:t>
      </w:r>
      <w:r w:rsidRPr="00455191">
        <w:t>V</w:t>
      </w:r>
      <w:r w:rsidR="008C2CCA" w:rsidRPr="00455191">
        <w:t xml:space="preserve">ehicle </w:t>
      </w:r>
      <w:r w:rsidRPr="00455191">
        <w:t>E</w:t>
      </w:r>
      <w:r w:rsidR="008C2CCA" w:rsidRPr="00455191">
        <w:t xml:space="preserve">xcise </w:t>
      </w:r>
      <w:r w:rsidRPr="00455191">
        <w:t>D</w:t>
      </w:r>
      <w:r w:rsidR="00BF54B9" w:rsidRPr="00455191">
        <w:t>uty</w:t>
      </w:r>
      <w:r w:rsidRPr="00455191">
        <w:t xml:space="preserve"> supplement</w:t>
      </w:r>
      <w:r w:rsidR="00BF54B9" w:rsidRPr="00455191">
        <w:t>)</w:t>
      </w:r>
      <w:r w:rsidRPr="00455191">
        <w:t>, electric energy consumption, and maximum electric range.</w:t>
      </w:r>
      <w:r w:rsidR="0046035B" w:rsidRPr="00455191">
        <w:rPr>
          <w:rStyle w:val="FootnoteReference"/>
        </w:rPr>
        <w:footnoteReference w:id="19"/>
      </w:r>
      <w:r w:rsidRPr="00455191">
        <w:t xml:space="preserve"> For each unique value, we aggregated the </w:t>
      </w:r>
      <w:r w:rsidR="009C60C9" w:rsidRPr="00455191">
        <w:t>4-</w:t>
      </w:r>
      <w:r w:rsidRPr="00455191">
        <w:t xml:space="preserve">phase-specific fuel consumption and reported composite fuel consumption values. We then recalculated the composite 4-phase fuel consumption from the aggregated individual phase values and compared that </w:t>
      </w:r>
      <w:r w:rsidR="009C60C9" w:rsidRPr="00455191">
        <w:t xml:space="preserve">with </w:t>
      </w:r>
      <w:r w:rsidRPr="00455191">
        <w:t xml:space="preserve">the aggregated reported 4-phase fuel consumption to verify that all condensed records agreed to within 0.1 </w:t>
      </w:r>
      <w:r w:rsidR="009C60C9" w:rsidRPr="00455191">
        <w:t>L/</w:t>
      </w:r>
      <w:r w:rsidRPr="00455191">
        <w:t>100 km. This result</w:t>
      </w:r>
      <w:r w:rsidR="009C60C9" w:rsidRPr="00455191">
        <w:t>ed</w:t>
      </w:r>
      <w:r w:rsidRPr="00455191">
        <w:t xml:space="preserve"> in a condensed database of 3,209 records (1,292 diesel and 1,917 petrol).</w:t>
      </w:r>
    </w:p>
    <w:p w14:paraId="55D39F95" w14:textId="79093451" w:rsidR="00C547AB" w:rsidRPr="00455191" w:rsidRDefault="004C2A13" w:rsidP="00F61408">
      <w:r w:rsidRPr="00455191">
        <w:rPr>
          <w:b/>
          <w:bCs/>
          <w:color w:val="4E3227" w:themeColor="accent2"/>
        </w:rPr>
        <w:t>Step 3: Statistical outlier</w:t>
      </w:r>
      <w:r w:rsidRPr="00455191">
        <w:t xml:space="preserve"> </w:t>
      </w:r>
      <w:r w:rsidRPr="00455191">
        <w:rPr>
          <w:b/>
          <w:bCs/>
          <w:color w:val="4E3227" w:themeColor="accent2"/>
        </w:rPr>
        <w:t>removal</w:t>
      </w:r>
      <w:r w:rsidR="009C60C9" w:rsidRPr="00455191">
        <w:t>.</w:t>
      </w:r>
      <w:r w:rsidRPr="00455191">
        <w:rPr>
          <w:color w:val="4E3227" w:themeColor="accent2"/>
        </w:rPr>
        <w:t xml:space="preserve"> </w:t>
      </w:r>
      <w:r w:rsidR="009C60C9" w:rsidRPr="00455191">
        <w:t xml:space="preserve">We </w:t>
      </w:r>
      <w:r w:rsidRPr="00455191">
        <w:t>identif</w:t>
      </w:r>
      <w:r w:rsidR="009C60C9" w:rsidRPr="00455191">
        <w:t>ied</w:t>
      </w:r>
      <w:r w:rsidRPr="00455191">
        <w:t xml:space="preserve"> and eliminate</w:t>
      </w:r>
      <w:r w:rsidR="009C60C9" w:rsidRPr="00455191">
        <w:t>d</w:t>
      </w:r>
      <w:r w:rsidRPr="00455191">
        <w:t xml:space="preserve"> the records for which the ratio of 3p-WLTP to 4p-WLTP reported composite fuel consumption </w:t>
      </w:r>
      <w:r w:rsidR="006E4857" w:rsidRPr="00455191">
        <w:t xml:space="preserve">was </w:t>
      </w:r>
      <w:r w:rsidRPr="00455191">
        <w:t xml:space="preserve">outside </w:t>
      </w:r>
      <w:r w:rsidRPr="00455191">
        <w:rPr>
          <w:rFonts w:ascii="Symbol" w:eastAsia="Symbol" w:hAnsi="Symbol" w:cs="Symbol"/>
        </w:rPr>
        <w:t></w:t>
      </w:r>
      <w:r w:rsidRPr="00455191">
        <w:t xml:space="preserve"> 3 standard deviations of the mean ratio. This resulted in the identification of </w:t>
      </w:r>
      <w:r w:rsidR="006E4857" w:rsidRPr="00455191">
        <w:t xml:space="preserve">three </w:t>
      </w:r>
      <w:r w:rsidRPr="00455191">
        <w:t>diesel record outliers, so that the final analysis database contain</w:t>
      </w:r>
      <w:r w:rsidR="006E2A7B" w:rsidRPr="00455191">
        <w:t>ed</w:t>
      </w:r>
      <w:r w:rsidRPr="00455191">
        <w:t xml:space="preserve"> 3,206 records (1,289 diesel and 1,917 petrol). </w:t>
      </w:r>
      <w:r w:rsidR="0003774B" w:rsidRPr="00455191">
        <w:t xml:space="preserve"> </w:t>
      </w:r>
    </w:p>
    <w:p w14:paraId="5F07CFA3" w14:textId="27E4E202" w:rsidR="00C547AB" w:rsidRPr="00455191" w:rsidRDefault="00E26AB0" w:rsidP="00B55BEC">
      <w:pPr>
        <w:pStyle w:val="Heading4"/>
      </w:pPr>
      <w:r w:rsidRPr="00455191">
        <w:rPr>
          <w:rFonts w:eastAsiaTheme="majorEastAsia"/>
        </w:rPr>
        <w:lastRenderedPageBreak/>
        <w:t xml:space="preserve">4.2.3 </w:t>
      </w:r>
      <w:r w:rsidR="000B6C62" w:rsidRPr="00455191">
        <w:rPr>
          <w:rFonts w:eastAsiaTheme="majorEastAsia"/>
        </w:rPr>
        <w:t>3p-WLTP to NEDC conversion relations by type of vehicle and powertrain</w:t>
      </w:r>
    </w:p>
    <w:p w14:paraId="5BA020BA" w14:textId="011A8887" w:rsidR="00E366E5" w:rsidRPr="00455191" w:rsidRDefault="000203AF" w:rsidP="00F61408">
      <w:r w:rsidRPr="00455191">
        <w:t xml:space="preserve">Using the screened </w:t>
      </w:r>
      <w:r w:rsidR="007505B8" w:rsidRPr="00455191">
        <w:t>UK 2019 dataset</w:t>
      </w:r>
      <w:r w:rsidR="001B4F1C" w:rsidRPr="00455191">
        <w:t xml:space="preserve">, </w:t>
      </w:r>
      <w:r w:rsidR="000C3073" w:rsidRPr="00455191">
        <w:t>w</w:t>
      </w:r>
      <w:r w:rsidR="000B6C62" w:rsidRPr="00455191">
        <w:t xml:space="preserve">e generated the 3p-WLTP to 4p-WLTP regressions </w:t>
      </w:r>
      <w:r w:rsidR="006632C2" w:rsidRPr="00455191">
        <w:t xml:space="preserve">separately </w:t>
      </w:r>
      <w:r w:rsidR="000C3073" w:rsidRPr="00455191">
        <w:t>for</w:t>
      </w:r>
      <w:r w:rsidR="000B6C62" w:rsidRPr="00455191">
        <w:t xml:space="preserve"> </w:t>
      </w:r>
      <w:r w:rsidR="00997120" w:rsidRPr="00455191">
        <w:t>petrol</w:t>
      </w:r>
      <w:r w:rsidR="000B6C62" w:rsidRPr="00455191">
        <w:t xml:space="preserve"> </w:t>
      </w:r>
      <w:r w:rsidR="00E81616" w:rsidRPr="00455191">
        <w:t>and</w:t>
      </w:r>
      <w:r w:rsidR="000B6C62" w:rsidRPr="00455191">
        <w:t xml:space="preserve"> diesel vehicles. </w:t>
      </w:r>
      <w:r w:rsidR="006A240B" w:rsidRPr="00455191">
        <w:t xml:space="preserve">As shown in Figure </w:t>
      </w:r>
      <w:r w:rsidR="0012704C" w:rsidRPr="00455191">
        <w:t>15,</w:t>
      </w:r>
      <w:r w:rsidR="006A240B" w:rsidRPr="00455191">
        <w:t xml:space="preserve"> </w:t>
      </w:r>
      <w:r w:rsidR="0012704C" w:rsidRPr="00455191">
        <w:t>t</w:t>
      </w:r>
      <w:r w:rsidR="000B6C62" w:rsidRPr="00455191">
        <w:t xml:space="preserve">he data trends appear highly consistent across </w:t>
      </w:r>
      <w:r w:rsidR="00AA534E" w:rsidRPr="00455191">
        <w:t>both</w:t>
      </w:r>
      <w:r w:rsidR="000B6C62" w:rsidRPr="00455191">
        <w:t xml:space="preserve"> regressions</w:t>
      </w:r>
      <w:r w:rsidR="00AA534E" w:rsidRPr="00455191">
        <w:t xml:space="preserve">, </w:t>
      </w:r>
      <w:r w:rsidR="00780570" w:rsidRPr="00455191">
        <w:t xml:space="preserve">thus we did not further split the regression by vehicle </w:t>
      </w:r>
      <w:r w:rsidR="003F338A" w:rsidRPr="00455191">
        <w:t>type</w:t>
      </w:r>
      <w:r w:rsidR="000B6C62" w:rsidRPr="00455191">
        <w:t xml:space="preserve">. We </w:t>
      </w:r>
      <w:r w:rsidR="000C3781" w:rsidRPr="00455191">
        <w:t>then</w:t>
      </w:r>
      <w:r w:rsidR="000B6C62" w:rsidRPr="00455191">
        <w:t xml:space="preserve"> algebraically combine</w:t>
      </w:r>
      <w:r w:rsidR="000C3781" w:rsidRPr="00455191">
        <w:t>d the two regressions</w:t>
      </w:r>
      <w:r w:rsidR="000B6C62" w:rsidRPr="00455191">
        <w:t xml:space="preserve"> with the 4p-WLTP to NEDC relations to derive the 3p-WLTP to NEDC relations</w:t>
      </w:r>
      <w:r w:rsidR="00DC53AF" w:rsidRPr="00455191">
        <w:t xml:space="preserve"> for petrol PCs and LCVs, diesel PCs, and diesel LCVs</w:t>
      </w:r>
      <w:r w:rsidR="000B6C62" w:rsidRPr="00455191">
        <w:t>.</w:t>
      </w:r>
      <w:r w:rsidR="00DC53AF" w:rsidRPr="00455191">
        <w:t xml:space="preserve"> </w:t>
      </w:r>
    </w:p>
    <w:p w14:paraId="73973919" w14:textId="3DB8F433" w:rsidR="00127CA1" w:rsidRPr="000E2ED1" w:rsidRDefault="00127CA1" w:rsidP="003A174C">
      <w:pPr>
        <w:pStyle w:val="Tablecaption"/>
      </w:pPr>
      <w:r w:rsidRPr="000E2ED1">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15</w:t>
      </w:r>
      <w:r w:rsidR="005867AA" w:rsidRPr="000E2ED1">
        <w:fldChar w:fldCharType="end"/>
      </w:r>
      <w:r w:rsidRPr="000E2ED1">
        <w:t xml:space="preserve"> </w:t>
      </w:r>
      <w:r w:rsidR="00BD060D">
        <w:br/>
      </w:r>
      <w:r w:rsidR="00A47A28" w:rsidRPr="000E2ED1">
        <w:t>Correlation between 4p-WLTP and 3p-WLTP CO</w:t>
      </w:r>
      <w:r w:rsidR="00A47A28" w:rsidRPr="000E2ED1">
        <w:rPr>
          <w:vertAlign w:val="subscript"/>
        </w:rPr>
        <w:t>2</w:t>
      </w:r>
      <w:r w:rsidR="00A47A28" w:rsidRPr="000E2ED1">
        <w:t xml:space="preserve"> emissions in the </w:t>
      </w:r>
      <w:r w:rsidR="00EA155D" w:rsidRPr="000E2ED1">
        <w:t>UK 2019</w:t>
      </w:r>
      <w:r w:rsidR="00A47A28" w:rsidRPr="000E2ED1">
        <w:t xml:space="preserve"> database</w:t>
      </w:r>
    </w:p>
    <w:p w14:paraId="2B879F7A" w14:textId="4D91C264" w:rsidR="00E93B8A" w:rsidRPr="00455191" w:rsidRDefault="000B6C62" w:rsidP="00F61408">
      <w:r w:rsidRPr="00455191">
        <w:rPr>
          <w:color w:val="FF0000"/>
        </w:rPr>
        <w:t xml:space="preserve"> </w:t>
      </w:r>
      <w:r w:rsidR="003A0ACE" w:rsidRPr="00455191">
        <w:rPr>
          <w:noProof/>
        </w:rPr>
        <w:drawing>
          <wp:inline distT="0" distB="0" distL="0" distR="0" wp14:anchorId="6BDB64EC" wp14:editId="5618DC25">
            <wp:extent cx="3832528" cy="2328409"/>
            <wp:effectExtent l="0" t="0" r="3175" b="0"/>
            <wp:docPr id="506065017" name="Picture 1" descr="Figure 15 -  diagram providing a  regression analysis of 3 and 4 phase phase WLTP CO2 values based on UK data from 2019. The slope is steeper as the 4 phase value on the  value on the y axis is generally  higher than the 3 phase value on the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65017" name="Picture 1" descr="Figure 15 -  diagram providing a  regression analysis of 3 and 4 phase phase WLTP CO2 values based on UK data from 2019. The slope is steeper as the 4 phase value on the  value on the y axis is generally  higher than the 3 phase value on the y axis."/>
                    <pic:cNvPicPr/>
                  </pic:nvPicPr>
                  <pic:blipFill>
                    <a:blip r:embed="rId26"/>
                    <a:stretch>
                      <a:fillRect/>
                    </a:stretch>
                  </pic:blipFill>
                  <pic:spPr>
                    <a:xfrm>
                      <a:off x="0" y="0"/>
                      <a:ext cx="3839965" cy="2332927"/>
                    </a:xfrm>
                    <a:prstGeom prst="rect">
                      <a:avLst/>
                    </a:prstGeom>
                  </pic:spPr>
                </pic:pic>
              </a:graphicData>
            </a:graphic>
          </wp:inline>
        </w:drawing>
      </w:r>
    </w:p>
    <w:p w14:paraId="4948E317" w14:textId="0884E369" w:rsidR="00CE378E" w:rsidRPr="00455191" w:rsidRDefault="00CE378E" w:rsidP="00F61408">
      <w:r w:rsidRPr="00455191">
        <w:t xml:space="preserve">Table </w:t>
      </w:r>
      <w:r w:rsidR="00BF5698" w:rsidRPr="00455191">
        <w:t xml:space="preserve">4 </w:t>
      </w:r>
      <w:r w:rsidRPr="00455191">
        <w:t xml:space="preserve">lists the 3p-WLTP to NEDC regression parameters and statistics by vehicle type. The regressions demonstrate similar effects </w:t>
      </w:r>
      <w:r w:rsidR="00DC733B" w:rsidRPr="00455191">
        <w:t>to those observed in</w:t>
      </w:r>
      <w:r w:rsidRPr="00455191">
        <w:t xml:space="preserve"> the 4p-WLTP to NEDC relations</w:t>
      </w:r>
      <w:r w:rsidR="00DC733B" w:rsidRPr="00455191">
        <w:t>:</w:t>
      </w:r>
      <w:r w:rsidRPr="00455191">
        <w:t xml:space="preserve">  strong correlat</w:t>
      </w:r>
      <w:r w:rsidR="00DC733B" w:rsidRPr="00455191">
        <w:t>ions</w:t>
      </w:r>
      <w:r w:rsidRPr="00455191">
        <w:t xml:space="preserve"> and </w:t>
      </w:r>
      <w:r w:rsidR="00077CAF" w:rsidRPr="00455191">
        <w:t xml:space="preserve">prediction </w:t>
      </w:r>
      <w:r w:rsidR="00DC733B" w:rsidRPr="00455191">
        <w:t>errors</w:t>
      </w:r>
      <w:r w:rsidRPr="00455191">
        <w:t xml:space="preserve"> </w:t>
      </w:r>
      <w:r w:rsidR="00077CAF" w:rsidRPr="00455191">
        <w:t>of less than</w:t>
      </w:r>
      <w:r w:rsidRPr="00455191">
        <w:t xml:space="preserve"> 10 g</w:t>
      </w:r>
      <w:r w:rsidR="00077CAF" w:rsidRPr="00455191">
        <w:t xml:space="preserve"> </w:t>
      </w:r>
      <w:r w:rsidRPr="00455191">
        <w:t>CO</w:t>
      </w:r>
      <w:r w:rsidRPr="00455191">
        <w:rPr>
          <w:vertAlign w:val="subscript"/>
        </w:rPr>
        <w:t>2</w:t>
      </w:r>
      <w:r w:rsidRPr="00455191">
        <w:t>/km across vehicle groups except diesel LCVs</w:t>
      </w:r>
      <w:r w:rsidR="00430874" w:rsidRPr="00455191">
        <w:t>, which exhibited relatively larger prediction errors</w:t>
      </w:r>
      <w:r w:rsidRPr="00455191">
        <w:t xml:space="preserve">. </w:t>
      </w:r>
      <w:r w:rsidR="003E30A9" w:rsidRPr="00455191">
        <w:t>We</w:t>
      </w:r>
      <w:r w:rsidR="00CA3CEB" w:rsidRPr="00455191">
        <w:t xml:space="preserve"> </w:t>
      </w:r>
      <w:r w:rsidR="00430874" w:rsidRPr="00455191">
        <w:t xml:space="preserve">did </w:t>
      </w:r>
      <w:r w:rsidR="00CA3CEB" w:rsidRPr="00455191">
        <w:t>not generate the relations for PHEVs</w:t>
      </w:r>
      <w:r w:rsidR="00430874" w:rsidRPr="00455191">
        <w:t>,</w:t>
      </w:r>
      <w:r w:rsidR="00CA3CEB" w:rsidRPr="00455191">
        <w:t xml:space="preserve"> </w:t>
      </w:r>
      <w:r w:rsidR="00C2459C" w:rsidRPr="00455191">
        <w:t>because</w:t>
      </w:r>
      <w:r w:rsidR="00430874" w:rsidRPr="00455191">
        <w:t xml:space="preserve"> </w:t>
      </w:r>
      <w:r w:rsidR="004458E1" w:rsidRPr="00455191">
        <w:t>Japan</w:t>
      </w:r>
      <w:r w:rsidR="001E201F" w:rsidRPr="00455191">
        <w:t xml:space="preserve">, </w:t>
      </w:r>
      <w:r w:rsidR="004458E1" w:rsidRPr="00455191">
        <w:t>where the 3p-WLTP vehicles are likely type-approved</w:t>
      </w:r>
      <w:r w:rsidR="001E201F" w:rsidRPr="00455191">
        <w:t>,</w:t>
      </w:r>
      <w:r w:rsidR="004458E1" w:rsidRPr="00455191">
        <w:t xml:space="preserve"> </w:t>
      </w:r>
      <w:r w:rsidR="00A238F8" w:rsidRPr="00455191">
        <w:t>uses a different UF curve than</w:t>
      </w:r>
      <w:r w:rsidR="00CA3CEB" w:rsidRPr="00455191">
        <w:t xml:space="preserve"> the E</w:t>
      </w:r>
      <w:r w:rsidR="0010215A" w:rsidRPr="00455191">
        <w:t xml:space="preserve">uropean </w:t>
      </w:r>
      <w:r w:rsidR="00CA3CEB" w:rsidRPr="00455191">
        <w:t>U</w:t>
      </w:r>
      <w:r w:rsidR="0010215A" w:rsidRPr="00455191">
        <w:t>nion</w:t>
      </w:r>
      <w:r w:rsidR="003E30A9" w:rsidRPr="00455191">
        <w:t xml:space="preserve">, </w:t>
      </w:r>
      <w:r w:rsidR="00A238F8" w:rsidRPr="00455191">
        <w:t xml:space="preserve">which would create inconsistencies with </w:t>
      </w:r>
      <w:r w:rsidR="00CA3CEB" w:rsidRPr="00455191">
        <w:t>the 4p-WLTP to NEDC relation</w:t>
      </w:r>
      <w:r w:rsidR="00A238F8" w:rsidRPr="00455191">
        <w:t>s</w:t>
      </w:r>
      <w:r w:rsidR="00CD6416" w:rsidRPr="00455191">
        <w:t xml:space="preserve"> that we developed</w:t>
      </w:r>
      <w:r w:rsidR="00893191" w:rsidRPr="00455191" w:rsidDel="00CD6416">
        <w:t xml:space="preserve"> </w:t>
      </w:r>
      <w:r w:rsidR="00CA3CEB" w:rsidRPr="00455191">
        <w:t xml:space="preserve">based on </w:t>
      </w:r>
      <w:r w:rsidR="00CD6416" w:rsidRPr="00455191">
        <w:t xml:space="preserve">the </w:t>
      </w:r>
      <w:r w:rsidR="00CA3CEB" w:rsidRPr="00455191">
        <w:t xml:space="preserve">EU </w:t>
      </w:r>
      <w:r w:rsidR="00893191" w:rsidRPr="00455191">
        <w:t>utility factors</w:t>
      </w:r>
      <w:r w:rsidR="00CA3CEB" w:rsidRPr="00455191">
        <w:t xml:space="preserve">. </w:t>
      </w:r>
      <w:r w:rsidR="00A030A4" w:rsidRPr="00455191">
        <w:t>S</w:t>
      </w:r>
      <w:r w:rsidR="00CA3CEB" w:rsidRPr="00455191">
        <w:t>e</w:t>
      </w:r>
      <w:r w:rsidR="004C5B49" w:rsidRPr="00455191">
        <w:t>ct</w:t>
      </w:r>
      <w:r w:rsidR="00CA3CEB" w:rsidRPr="00455191">
        <w:t xml:space="preserve">ion </w:t>
      </w:r>
      <w:r w:rsidR="00A030A4" w:rsidRPr="00455191">
        <w:t xml:space="preserve">5 </w:t>
      </w:r>
      <w:r w:rsidR="00CA3CEB" w:rsidRPr="00455191">
        <w:t>discuss</w:t>
      </w:r>
      <w:r w:rsidR="00F956C0">
        <w:t>es</w:t>
      </w:r>
      <w:r w:rsidR="00CA3CEB" w:rsidRPr="00455191">
        <w:t xml:space="preserve"> the proposed method </w:t>
      </w:r>
      <w:r w:rsidR="00893191" w:rsidRPr="00455191">
        <w:t xml:space="preserve">for </w:t>
      </w:r>
      <w:r w:rsidR="00CA3CEB" w:rsidRPr="00455191">
        <w:t>convert</w:t>
      </w:r>
      <w:r w:rsidR="00893191" w:rsidRPr="00455191">
        <w:t>ing the</w:t>
      </w:r>
      <w:r w:rsidR="00CA3CEB" w:rsidRPr="00455191">
        <w:t xml:space="preserve"> CO</w:t>
      </w:r>
      <w:r w:rsidR="00CA3CEB" w:rsidRPr="00455191">
        <w:rPr>
          <w:vertAlign w:val="subscript"/>
        </w:rPr>
        <w:t>2</w:t>
      </w:r>
      <w:r w:rsidR="00CA3CEB" w:rsidRPr="00455191">
        <w:t xml:space="preserve"> emissions of PHEVs.</w:t>
      </w:r>
    </w:p>
    <w:p w14:paraId="0A7D55A2" w14:textId="77777777" w:rsidR="008F4307" w:rsidRPr="000E2ED1" w:rsidRDefault="00890D24" w:rsidP="003A174C">
      <w:pPr>
        <w:pStyle w:val="Tablecaption"/>
      </w:pPr>
      <w:r w:rsidRPr="000E2ED1">
        <w:t xml:space="preserve">Table </w:t>
      </w:r>
      <w:r w:rsidR="00BF5698" w:rsidRPr="000E2ED1">
        <w:t>4</w:t>
      </w:r>
      <w:r w:rsidR="00960CC8">
        <w:br/>
      </w:r>
      <w:r w:rsidR="00A63D13" w:rsidRPr="000E2ED1">
        <w:t>3 phase-WLTP to NEDC regression parameters and statistics</w:t>
      </w:r>
    </w:p>
    <w:tbl>
      <w:tblPr>
        <w:tblStyle w:val="DefaultTable11"/>
        <w:tblW w:w="5000" w:type="pct"/>
        <w:tblCellMar>
          <w:top w:w="28" w:type="dxa"/>
          <w:bottom w:w="28" w:type="dxa"/>
        </w:tblCellMar>
        <w:tblLook w:val="04A0" w:firstRow="1" w:lastRow="0" w:firstColumn="1" w:lastColumn="0" w:noHBand="0" w:noVBand="1"/>
        <w:tblDescription w:val="Table 4&#10;3 phase-WLTP to NEDC regression parameters and statistics&#10;"/>
      </w:tblPr>
      <w:tblGrid>
        <w:gridCol w:w="1578"/>
        <w:gridCol w:w="1578"/>
        <w:gridCol w:w="1578"/>
        <w:gridCol w:w="1576"/>
        <w:gridCol w:w="1732"/>
        <w:gridCol w:w="1575"/>
      </w:tblGrid>
      <w:tr w:rsidR="00562351" w:rsidRPr="00654F9E" w14:paraId="33978F29" w14:textId="77777777" w:rsidTr="003A174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20" w:type="pct"/>
            <w:vAlign w:val="center"/>
          </w:tcPr>
          <w:p w14:paraId="782DC8EE" w14:textId="77777777" w:rsidR="00562351" w:rsidRPr="00E12D88" w:rsidRDefault="00562351" w:rsidP="003A174C">
            <w:pPr>
              <w:pStyle w:val="Tablerowcolumnheading"/>
              <w:keepNext/>
              <w:spacing w:before="0" w:after="0"/>
              <w:rPr>
                <w:b/>
                <w:szCs w:val="22"/>
              </w:rPr>
            </w:pPr>
            <w:r w:rsidRPr="00E12D88">
              <w:rPr>
                <w:b/>
              </w:rPr>
              <w:t>Vehicle group</w:t>
            </w:r>
          </w:p>
        </w:tc>
        <w:tc>
          <w:tcPr>
            <w:tcW w:w="820" w:type="pct"/>
            <w:vAlign w:val="center"/>
          </w:tcPr>
          <w:p w14:paraId="0F8244BB" w14:textId="77777777" w:rsidR="00562351" w:rsidRPr="00E12D88" w:rsidRDefault="00562351" w:rsidP="003A174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E12D88">
              <w:rPr>
                <w:b/>
              </w:rPr>
              <w:t>Sample size</w:t>
            </w:r>
          </w:p>
        </w:tc>
        <w:tc>
          <w:tcPr>
            <w:tcW w:w="820" w:type="pct"/>
            <w:vAlign w:val="center"/>
          </w:tcPr>
          <w:p w14:paraId="13936D90" w14:textId="77777777" w:rsidR="00562351" w:rsidRPr="00E12D88" w:rsidRDefault="00562351" w:rsidP="003A174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E12D88">
              <w:rPr>
                <w:b/>
              </w:rPr>
              <w:t>Slope</w:t>
            </w:r>
          </w:p>
        </w:tc>
        <w:tc>
          <w:tcPr>
            <w:tcW w:w="819" w:type="pct"/>
            <w:vAlign w:val="center"/>
          </w:tcPr>
          <w:p w14:paraId="19DEE68F" w14:textId="77777777" w:rsidR="00562351" w:rsidRPr="00E12D88" w:rsidRDefault="00562351" w:rsidP="003A174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E12D88">
              <w:rPr>
                <w:b/>
              </w:rPr>
              <w:t>Intercept (g CO</w:t>
            </w:r>
            <w:r w:rsidRPr="00E12D88">
              <w:rPr>
                <w:b/>
                <w:vertAlign w:val="subscript"/>
              </w:rPr>
              <w:t>2</w:t>
            </w:r>
            <w:r w:rsidRPr="00E12D88">
              <w:rPr>
                <w:b/>
              </w:rPr>
              <w:t>/km)</w:t>
            </w:r>
          </w:p>
        </w:tc>
        <w:tc>
          <w:tcPr>
            <w:tcW w:w="900" w:type="pct"/>
            <w:vAlign w:val="center"/>
          </w:tcPr>
          <w:p w14:paraId="173FCD19" w14:textId="77777777" w:rsidR="00562351" w:rsidRPr="00E12D88" w:rsidRDefault="00562351" w:rsidP="003A174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E12D88">
              <w:rPr>
                <w:b/>
              </w:rPr>
              <w:t>Coefficient of determination, R</w:t>
            </w:r>
            <w:r w:rsidRPr="00E12D88">
              <w:rPr>
                <w:b/>
                <w:vertAlign w:val="superscript"/>
              </w:rPr>
              <w:t>2</w:t>
            </w:r>
          </w:p>
        </w:tc>
        <w:tc>
          <w:tcPr>
            <w:tcW w:w="819" w:type="pct"/>
            <w:vAlign w:val="center"/>
          </w:tcPr>
          <w:p w14:paraId="05AC070F" w14:textId="1F5BC3CF" w:rsidR="00562351" w:rsidRPr="00E12D88" w:rsidRDefault="00562351" w:rsidP="003A174C">
            <w:pPr>
              <w:pStyle w:val="Tablerowcolumnheadingcentred"/>
              <w:keepNext/>
              <w:spacing w:before="0" w:after="0"/>
              <w:cnfStyle w:val="100000000000" w:firstRow="1" w:lastRow="0" w:firstColumn="0" w:lastColumn="0" w:oddVBand="0" w:evenVBand="0" w:oddHBand="0" w:evenHBand="0" w:firstRowFirstColumn="0" w:firstRowLastColumn="0" w:lastRowFirstColumn="0" w:lastRowLastColumn="0"/>
              <w:rPr>
                <w:b/>
                <w:szCs w:val="22"/>
              </w:rPr>
            </w:pPr>
            <w:r>
              <w:rPr>
                <w:b/>
              </w:rPr>
              <w:t>E</w:t>
            </w:r>
            <w:r w:rsidRPr="00E12D88">
              <w:rPr>
                <w:b/>
              </w:rPr>
              <w:t>rror of prediction (g CO</w:t>
            </w:r>
            <w:r w:rsidRPr="00E12D88">
              <w:rPr>
                <w:b/>
                <w:vertAlign w:val="subscript"/>
              </w:rPr>
              <w:t>2</w:t>
            </w:r>
            <w:r w:rsidRPr="00E12D88">
              <w:rPr>
                <w:b/>
              </w:rPr>
              <w:t>/km)</w:t>
            </w:r>
          </w:p>
        </w:tc>
      </w:tr>
      <w:tr w:rsidR="00562351" w:rsidRPr="00654F9E" w14:paraId="30CF012A" w14:textId="77777777" w:rsidTr="003A174C">
        <w:trPr>
          <w:cantSplit/>
        </w:trPr>
        <w:tc>
          <w:tcPr>
            <w:cnfStyle w:val="001000000000" w:firstRow="0" w:lastRow="0" w:firstColumn="1" w:lastColumn="0" w:oddVBand="0" w:evenVBand="0" w:oddHBand="0" w:evenHBand="0" w:firstRowFirstColumn="0" w:firstRowLastColumn="0" w:lastRowFirstColumn="0" w:lastRowLastColumn="0"/>
            <w:tcW w:w="820" w:type="pct"/>
            <w:vAlign w:val="center"/>
          </w:tcPr>
          <w:p w14:paraId="585BE106" w14:textId="77777777" w:rsidR="00562351" w:rsidRPr="00784126" w:rsidRDefault="00562351" w:rsidP="003A174C">
            <w:pPr>
              <w:spacing w:before="0" w:after="0"/>
            </w:pPr>
            <w:r w:rsidRPr="00455191">
              <w:t xml:space="preserve">Petrol </w:t>
            </w:r>
          </w:p>
        </w:tc>
        <w:tc>
          <w:tcPr>
            <w:tcW w:w="820" w:type="pct"/>
            <w:vAlign w:val="center"/>
          </w:tcPr>
          <w:p w14:paraId="57D487CF" w14:textId="2A33D2BD" w:rsidR="00562351" w:rsidRPr="00784126" w:rsidRDefault="00562351" w:rsidP="003A174C">
            <w:pPr>
              <w:spacing w:before="0" w:after="0"/>
              <w:cnfStyle w:val="000000000000" w:firstRow="0" w:lastRow="0" w:firstColumn="0" w:lastColumn="0" w:oddVBand="0" w:evenVBand="0" w:oddHBand="0" w:evenHBand="0" w:firstRowFirstColumn="0" w:firstRowLastColumn="0" w:lastRowFirstColumn="0" w:lastRowLastColumn="0"/>
            </w:pPr>
            <w:r w:rsidRPr="00455191">
              <w:t>1,917</w:t>
            </w:r>
          </w:p>
        </w:tc>
        <w:tc>
          <w:tcPr>
            <w:tcW w:w="820" w:type="pct"/>
            <w:vAlign w:val="center"/>
          </w:tcPr>
          <w:p w14:paraId="0F6AE7DE" w14:textId="315C628F" w:rsidR="00562351" w:rsidRPr="00784126" w:rsidRDefault="00562351" w:rsidP="003A174C">
            <w:pPr>
              <w:spacing w:before="0" w:after="0"/>
              <w:cnfStyle w:val="000000000000" w:firstRow="0" w:lastRow="0" w:firstColumn="0" w:lastColumn="0" w:oddVBand="0" w:evenVBand="0" w:oddHBand="0" w:evenHBand="0" w:firstRowFirstColumn="0" w:firstRowLastColumn="0" w:lastRowFirstColumn="0" w:lastRowLastColumn="0"/>
            </w:pPr>
            <w:r w:rsidRPr="00455191">
              <w:t>0.7946</w:t>
            </w:r>
          </w:p>
        </w:tc>
        <w:tc>
          <w:tcPr>
            <w:tcW w:w="819" w:type="pct"/>
            <w:vAlign w:val="center"/>
          </w:tcPr>
          <w:p w14:paraId="134DF70F" w14:textId="403DE622" w:rsidR="00562351" w:rsidRPr="00784126" w:rsidRDefault="00562351" w:rsidP="003A174C">
            <w:pPr>
              <w:spacing w:before="0" w:after="0"/>
              <w:cnfStyle w:val="000000000000" w:firstRow="0" w:lastRow="0" w:firstColumn="0" w:lastColumn="0" w:oddVBand="0" w:evenVBand="0" w:oddHBand="0" w:evenHBand="0" w:firstRowFirstColumn="0" w:firstRowLastColumn="0" w:lastRowFirstColumn="0" w:lastRowLastColumn="0"/>
            </w:pPr>
            <w:r w:rsidRPr="00455191">
              <w:t>11.8702</w:t>
            </w:r>
          </w:p>
        </w:tc>
        <w:tc>
          <w:tcPr>
            <w:tcW w:w="900" w:type="pct"/>
            <w:vAlign w:val="center"/>
          </w:tcPr>
          <w:p w14:paraId="310BB1E6" w14:textId="21B28C8E" w:rsidR="00562351" w:rsidRPr="00784126" w:rsidRDefault="00562351" w:rsidP="003A174C">
            <w:pPr>
              <w:spacing w:before="0" w:after="0"/>
              <w:cnfStyle w:val="000000000000" w:firstRow="0" w:lastRow="0" w:firstColumn="0" w:lastColumn="0" w:oddVBand="0" w:evenVBand="0" w:oddHBand="0" w:evenHBand="0" w:firstRowFirstColumn="0" w:firstRowLastColumn="0" w:lastRowFirstColumn="0" w:lastRowLastColumn="0"/>
            </w:pPr>
            <w:r w:rsidRPr="00455191">
              <w:t>0.94</w:t>
            </w:r>
          </w:p>
        </w:tc>
        <w:tc>
          <w:tcPr>
            <w:tcW w:w="819" w:type="pct"/>
            <w:vAlign w:val="center"/>
          </w:tcPr>
          <w:p w14:paraId="28B487EB" w14:textId="59C6F422" w:rsidR="00562351" w:rsidRPr="00784126" w:rsidRDefault="00562351" w:rsidP="003A174C">
            <w:pPr>
              <w:spacing w:before="0" w:after="0"/>
              <w:cnfStyle w:val="000000000000" w:firstRow="0" w:lastRow="0" w:firstColumn="0" w:lastColumn="0" w:oddVBand="0" w:evenVBand="0" w:oddHBand="0" w:evenHBand="0" w:firstRowFirstColumn="0" w:firstRowLastColumn="0" w:lastRowFirstColumn="0" w:lastRowLastColumn="0"/>
            </w:pPr>
            <w:r w:rsidRPr="00455191">
              <w:t>9.7676</w:t>
            </w:r>
          </w:p>
        </w:tc>
      </w:tr>
      <w:tr w:rsidR="00503B1C" w:rsidRPr="00654F9E" w14:paraId="2C874E99" w14:textId="77777777" w:rsidTr="003A17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20" w:type="pct"/>
            <w:vAlign w:val="center"/>
          </w:tcPr>
          <w:p w14:paraId="106C63FB" w14:textId="77777777" w:rsidR="00503B1C" w:rsidRPr="00784126" w:rsidRDefault="00503B1C" w:rsidP="003A174C">
            <w:pPr>
              <w:spacing w:before="0" w:after="0"/>
            </w:pPr>
            <w:r w:rsidRPr="00455191">
              <w:t>Diesel PC</w:t>
            </w:r>
          </w:p>
        </w:tc>
        <w:tc>
          <w:tcPr>
            <w:tcW w:w="820" w:type="pct"/>
            <w:vMerge w:val="restart"/>
            <w:vAlign w:val="center"/>
          </w:tcPr>
          <w:p w14:paraId="02DD750F" w14:textId="77777777" w:rsidR="00503B1C" w:rsidRPr="00784126" w:rsidRDefault="00503B1C" w:rsidP="003A174C">
            <w:pPr>
              <w:spacing w:before="0" w:after="0"/>
              <w:cnfStyle w:val="000000010000" w:firstRow="0" w:lastRow="0" w:firstColumn="0" w:lastColumn="0" w:oddVBand="0" w:evenVBand="0" w:oddHBand="0" w:evenHBand="1" w:firstRowFirstColumn="0" w:firstRowLastColumn="0" w:lastRowFirstColumn="0" w:lastRowLastColumn="0"/>
            </w:pPr>
            <w:r w:rsidRPr="00455191">
              <w:t>1,289</w:t>
            </w:r>
          </w:p>
          <w:p w14:paraId="29443EBF" w14:textId="04E07773" w:rsidR="00503B1C" w:rsidRPr="00784126" w:rsidRDefault="00503B1C" w:rsidP="003A174C">
            <w:pPr>
              <w:spacing w:before="0" w:after="0"/>
              <w:cnfStyle w:val="000000010000" w:firstRow="0" w:lastRow="0" w:firstColumn="0" w:lastColumn="0" w:oddVBand="0" w:evenVBand="0" w:oddHBand="0" w:evenHBand="1" w:firstRowFirstColumn="0" w:firstRowLastColumn="0" w:lastRowFirstColumn="0" w:lastRowLastColumn="0"/>
            </w:pPr>
            <w:r w:rsidRPr="00455191">
              <w:t>1,289</w:t>
            </w:r>
          </w:p>
        </w:tc>
        <w:tc>
          <w:tcPr>
            <w:tcW w:w="820" w:type="pct"/>
            <w:vAlign w:val="center"/>
          </w:tcPr>
          <w:p w14:paraId="3A27DF75" w14:textId="4090A04E" w:rsidR="00503B1C" w:rsidRPr="00784126" w:rsidRDefault="00503B1C" w:rsidP="003A174C">
            <w:pPr>
              <w:spacing w:before="0" w:after="0"/>
              <w:cnfStyle w:val="000000010000" w:firstRow="0" w:lastRow="0" w:firstColumn="0" w:lastColumn="0" w:oddVBand="0" w:evenVBand="0" w:oddHBand="0" w:evenHBand="1" w:firstRowFirstColumn="0" w:firstRowLastColumn="0" w:lastRowFirstColumn="0" w:lastRowLastColumn="0"/>
            </w:pPr>
            <w:r w:rsidRPr="00455191">
              <w:t>0.7773</w:t>
            </w:r>
          </w:p>
        </w:tc>
        <w:tc>
          <w:tcPr>
            <w:tcW w:w="819" w:type="pct"/>
            <w:vAlign w:val="center"/>
          </w:tcPr>
          <w:p w14:paraId="26B45C94" w14:textId="0762B604" w:rsidR="00503B1C" w:rsidRPr="00784126" w:rsidRDefault="00503B1C" w:rsidP="003A174C">
            <w:pPr>
              <w:spacing w:before="0" w:after="0"/>
              <w:cnfStyle w:val="000000010000" w:firstRow="0" w:lastRow="0" w:firstColumn="0" w:lastColumn="0" w:oddVBand="0" w:evenVBand="0" w:oddHBand="0" w:evenHBand="1" w:firstRowFirstColumn="0" w:firstRowLastColumn="0" w:lastRowFirstColumn="0" w:lastRowLastColumn="0"/>
            </w:pPr>
            <w:r w:rsidRPr="00455191">
              <w:t>10.0080</w:t>
            </w:r>
          </w:p>
        </w:tc>
        <w:tc>
          <w:tcPr>
            <w:tcW w:w="900" w:type="pct"/>
            <w:vAlign w:val="center"/>
          </w:tcPr>
          <w:p w14:paraId="705061C5" w14:textId="70ED7D95" w:rsidR="00503B1C" w:rsidRPr="00784126" w:rsidRDefault="00503B1C" w:rsidP="003A174C">
            <w:pPr>
              <w:spacing w:before="0" w:after="0"/>
              <w:cnfStyle w:val="000000010000" w:firstRow="0" w:lastRow="0" w:firstColumn="0" w:lastColumn="0" w:oddVBand="0" w:evenVBand="0" w:oddHBand="0" w:evenHBand="1" w:firstRowFirstColumn="0" w:firstRowLastColumn="0" w:lastRowFirstColumn="0" w:lastRowLastColumn="0"/>
            </w:pPr>
            <w:r w:rsidRPr="00455191">
              <w:t>0.92</w:t>
            </w:r>
          </w:p>
        </w:tc>
        <w:tc>
          <w:tcPr>
            <w:tcW w:w="819" w:type="pct"/>
            <w:vAlign w:val="center"/>
          </w:tcPr>
          <w:p w14:paraId="56C3B1C2" w14:textId="61F7BDEE" w:rsidR="00503B1C" w:rsidRPr="00784126" w:rsidRDefault="00503B1C" w:rsidP="003A174C">
            <w:pPr>
              <w:spacing w:before="0" w:after="0"/>
              <w:cnfStyle w:val="000000010000" w:firstRow="0" w:lastRow="0" w:firstColumn="0" w:lastColumn="0" w:oddVBand="0" w:evenVBand="0" w:oddHBand="0" w:evenHBand="1" w:firstRowFirstColumn="0" w:firstRowLastColumn="0" w:lastRowFirstColumn="0" w:lastRowLastColumn="0"/>
            </w:pPr>
            <w:r w:rsidRPr="00455191">
              <w:t>7.6972</w:t>
            </w:r>
          </w:p>
        </w:tc>
      </w:tr>
      <w:tr w:rsidR="00503B1C" w:rsidRPr="00654F9E" w14:paraId="61B1EF35" w14:textId="77777777" w:rsidTr="003A174C">
        <w:trPr>
          <w:cantSplit/>
        </w:trPr>
        <w:tc>
          <w:tcPr>
            <w:cnfStyle w:val="001000000000" w:firstRow="0" w:lastRow="0" w:firstColumn="1" w:lastColumn="0" w:oddVBand="0" w:evenVBand="0" w:oddHBand="0" w:evenHBand="0" w:firstRowFirstColumn="0" w:firstRowLastColumn="0" w:lastRowFirstColumn="0" w:lastRowLastColumn="0"/>
            <w:tcW w:w="820" w:type="pct"/>
            <w:vAlign w:val="center"/>
          </w:tcPr>
          <w:p w14:paraId="3AD62CAD" w14:textId="315D45AC" w:rsidR="00503B1C" w:rsidRPr="00455191" w:rsidRDefault="00503B1C" w:rsidP="003A174C">
            <w:pPr>
              <w:spacing w:before="0" w:after="0"/>
            </w:pPr>
            <w:r>
              <w:t>Diesel LCV</w:t>
            </w:r>
          </w:p>
        </w:tc>
        <w:tc>
          <w:tcPr>
            <w:tcW w:w="820" w:type="pct"/>
            <w:vMerge/>
            <w:vAlign w:val="center"/>
          </w:tcPr>
          <w:p w14:paraId="457CBDAB" w14:textId="1E88D844" w:rsidR="00503B1C" w:rsidRPr="00455191" w:rsidRDefault="00503B1C" w:rsidP="003A174C">
            <w:pPr>
              <w:spacing w:before="0" w:after="0"/>
              <w:cnfStyle w:val="000000000000" w:firstRow="0" w:lastRow="0" w:firstColumn="0" w:lastColumn="0" w:oddVBand="0" w:evenVBand="0" w:oddHBand="0" w:evenHBand="0" w:firstRowFirstColumn="0" w:firstRowLastColumn="0" w:lastRowFirstColumn="0" w:lastRowLastColumn="0"/>
            </w:pPr>
          </w:p>
        </w:tc>
        <w:tc>
          <w:tcPr>
            <w:tcW w:w="820" w:type="pct"/>
            <w:vAlign w:val="center"/>
          </w:tcPr>
          <w:p w14:paraId="5D851446" w14:textId="783E3697" w:rsidR="00503B1C" w:rsidRPr="00455191" w:rsidRDefault="00503B1C" w:rsidP="003A174C">
            <w:pPr>
              <w:spacing w:before="0" w:after="0"/>
              <w:cnfStyle w:val="000000000000" w:firstRow="0" w:lastRow="0" w:firstColumn="0" w:lastColumn="0" w:oddVBand="0" w:evenVBand="0" w:oddHBand="0" w:evenHBand="0" w:firstRowFirstColumn="0" w:firstRowLastColumn="0" w:lastRowFirstColumn="0" w:lastRowLastColumn="0"/>
              <w:rPr>
                <w:rFonts w:eastAsiaTheme="minorEastAsia"/>
              </w:rPr>
            </w:pPr>
            <w:r w:rsidRPr="00455191">
              <w:t>0.7347</w:t>
            </w:r>
          </w:p>
        </w:tc>
        <w:tc>
          <w:tcPr>
            <w:tcW w:w="819" w:type="pct"/>
            <w:vAlign w:val="center"/>
          </w:tcPr>
          <w:p w14:paraId="5567A263" w14:textId="05C1249D" w:rsidR="00503B1C" w:rsidRPr="00455191" w:rsidRDefault="00503B1C" w:rsidP="003A174C">
            <w:pPr>
              <w:spacing w:before="0" w:after="0"/>
              <w:cnfStyle w:val="000000000000" w:firstRow="0" w:lastRow="0" w:firstColumn="0" w:lastColumn="0" w:oddVBand="0" w:evenVBand="0" w:oddHBand="0" w:evenHBand="0" w:firstRowFirstColumn="0" w:firstRowLastColumn="0" w:lastRowFirstColumn="0" w:lastRowLastColumn="0"/>
              <w:rPr>
                <w:rFonts w:eastAsiaTheme="minorEastAsia"/>
              </w:rPr>
            </w:pPr>
            <w:r w:rsidRPr="00455191">
              <w:t>8.7332</w:t>
            </w:r>
          </w:p>
        </w:tc>
        <w:tc>
          <w:tcPr>
            <w:tcW w:w="900" w:type="pct"/>
            <w:vAlign w:val="center"/>
          </w:tcPr>
          <w:p w14:paraId="03CD8B75" w14:textId="5DA641EC" w:rsidR="00503B1C" w:rsidRPr="00455191" w:rsidRDefault="00503B1C" w:rsidP="003A174C">
            <w:pPr>
              <w:spacing w:before="0" w:after="0"/>
              <w:cnfStyle w:val="000000000000" w:firstRow="0" w:lastRow="0" w:firstColumn="0" w:lastColumn="0" w:oddVBand="0" w:evenVBand="0" w:oddHBand="0" w:evenHBand="0" w:firstRowFirstColumn="0" w:firstRowLastColumn="0" w:lastRowFirstColumn="0" w:lastRowLastColumn="0"/>
              <w:rPr>
                <w:rFonts w:eastAsiaTheme="minorEastAsia"/>
              </w:rPr>
            </w:pPr>
            <w:r w:rsidRPr="00455191">
              <w:t>0.47</w:t>
            </w:r>
          </w:p>
        </w:tc>
        <w:tc>
          <w:tcPr>
            <w:tcW w:w="819" w:type="pct"/>
            <w:vAlign w:val="center"/>
          </w:tcPr>
          <w:p w14:paraId="7F6BB2A9" w14:textId="4E3BDEFD" w:rsidR="00503B1C" w:rsidRPr="00455191" w:rsidRDefault="00503B1C" w:rsidP="003A174C">
            <w:pPr>
              <w:spacing w:before="0" w:after="0"/>
              <w:cnfStyle w:val="000000000000" w:firstRow="0" w:lastRow="0" w:firstColumn="0" w:lastColumn="0" w:oddVBand="0" w:evenVBand="0" w:oddHBand="0" w:evenHBand="0" w:firstRowFirstColumn="0" w:firstRowLastColumn="0" w:lastRowFirstColumn="0" w:lastRowLastColumn="0"/>
              <w:rPr>
                <w:rFonts w:eastAsiaTheme="minorEastAsia"/>
              </w:rPr>
            </w:pPr>
            <w:r w:rsidRPr="00455191">
              <w:t>13.2030</w:t>
            </w:r>
          </w:p>
        </w:tc>
      </w:tr>
    </w:tbl>
    <w:p w14:paraId="7ACFB448" w14:textId="3BAF6879" w:rsidR="000B6C62" w:rsidRPr="00455191" w:rsidRDefault="00C675EB" w:rsidP="003A174C">
      <w:pPr>
        <w:spacing w:before="240"/>
      </w:pPr>
      <w:r>
        <w:t xml:space="preserve">Notes: </w:t>
      </w:r>
      <w:r w:rsidR="000B6C62" w:rsidRPr="00455191">
        <w:t>Relations are of the form: NEDC = a (</w:t>
      </w:r>
      <w:r w:rsidR="006848AD" w:rsidRPr="00455191">
        <w:t>3p</w:t>
      </w:r>
      <w:r w:rsidR="000B6C62" w:rsidRPr="00455191">
        <w:t xml:space="preserve">-WLTP) + b, where </w:t>
      </w:r>
      <w:r w:rsidR="00BB178C">
        <w:t xml:space="preserve">a is the slope, b is the intercept, and </w:t>
      </w:r>
      <w:r w:rsidR="000B6C62" w:rsidRPr="00455191">
        <w:t xml:space="preserve">NEDC and </w:t>
      </w:r>
      <w:r w:rsidR="006848AD" w:rsidRPr="00455191">
        <w:t>3p</w:t>
      </w:r>
      <w:r w:rsidR="000B6C62" w:rsidRPr="00455191">
        <w:t>-WLTP values are in gCO</w:t>
      </w:r>
      <w:r w:rsidR="000B6C62" w:rsidRPr="00455191">
        <w:rPr>
          <w:vertAlign w:val="subscript"/>
        </w:rPr>
        <w:t>2</w:t>
      </w:r>
      <w:r w:rsidR="000B6C62" w:rsidRPr="00455191">
        <w:t>/km.</w:t>
      </w:r>
      <w:r w:rsidR="00930D2D">
        <w:t xml:space="preserve"> </w:t>
      </w:r>
      <w:r w:rsidR="000B6C62" w:rsidRPr="00455191">
        <w:t xml:space="preserve">The underlying </w:t>
      </w:r>
      <w:r w:rsidR="00A33ACA" w:rsidRPr="00455191">
        <w:t>4p</w:t>
      </w:r>
      <w:r w:rsidR="000B6C62" w:rsidRPr="00455191">
        <w:t>-WLTP = a1(</w:t>
      </w:r>
      <w:r w:rsidR="0073200F" w:rsidRPr="00455191">
        <w:t>3p</w:t>
      </w:r>
      <w:r w:rsidR="000B6C62" w:rsidRPr="00455191">
        <w:t>-WLTP) + b1 analysis was algebraically combined with a separate NEDC = a2(</w:t>
      </w:r>
      <w:r w:rsidR="00A33ACA" w:rsidRPr="00455191">
        <w:t>4p</w:t>
      </w:r>
      <w:r w:rsidR="000B6C62" w:rsidRPr="00455191">
        <w:t xml:space="preserve">-WLTP) + b2 analysis (the statistics for which are reported in Table </w:t>
      </w:r>
      <w:r w:rsidR="00BF5698" w:rsidRPr="00455191">
        <w:t>3</w:t>
      </w:r>
      <w:r w:rsidR="000B6C62" w:rsidRPr="00455191">
        <w:t>). The aggregated statistics are developed as follows: a = (a</w:t>
      </w:r>
      <w:proofErr w:type="gramStart"/>
      <w:r w:rsidR="000B6C62" w:rsidRPr="00455191">
        <w:t>1)(</w:t>
      </w:r>
      <w:proofErr w:type="gramEnd"/>
      <w:r w:rsidR="000B6C62" w:rsidRPr="00455191">
        <w:t>a2), b = (a</w:t>
      </w:r>
      <w:proofErr w:type="gramStart"/>
      <w:r w:rsidR="000B6C62" w:rsidRPr="00455191">
        <w:t>2)(</w:t>
      </w:r>
      <w:proofErr w:type="gramEnd"/>
      <w:r w:rsidR="000B6C62" w:rsidRPr="00455191">
        <w:t>b1) + b2, and standard error = [(standard error1)</w:t>
      </w:r>
      <w:r w:rsidR="000B6C62" w:rsidRPr="00455191">
        <w:rPr>
          <w:vertAlign w:val="superscript"/>
        </w:rPr>
        <w:t>2</w:t>
      </w:r>
      <w:r w:rsidR="000B6C62" w:rsidRPr="00455191">
        <w:t xml:space="preserve"> + (standard error2)</w:t>
      </w:r>
      <w:r w:rsidR="000B6C62" w:rsidRPr="00455191">
        <w:rPr>
          <w:vertAlign w:val="superscript"/>
        </w:rPr>
        <w:t>2</w:t>
      </w:r>
      <w:r w:rsidR="000B6C62" w:rsidRPr="00455191">
        <w:t>]</w:t>
      </w:r>
      <w:r w:rsidR="000B6C62" w:rsidRPr="00455191">
        <w:rPr>
          <w:vertAlign w:val="superscript"/>
        </w:rPr>
        <w:t>0.5</w:t>
      </w:r>
      <w:r w:rsidR="000B6C62" w:rsidRPr="00455191">
        <w:t>.</w:t>
      </w:r>
    </w:p>
    <w:p w14:paraId="0D44187C" w14:textId="6BCAD38B" w:rsidR="000725F1" w:rsidRPr="00455191" w:rsidRDefault="00B806AA" w:rsidP="00B55BEC">
      <w:pPr>
        <w:pStyle w:val="Heading3"/>
      </w:pPr>
      <w:r w:rsidRPr="00455191">
        <w:lastRenderedPageBreak/>
        <w:t xml:space="preserve">4.3 </w:t>
      </w:r>
      <w:r w:rsidR="000725F1" w:rsidRPr="00455191">
        <w:t>U</w:t>
      </w:r>
      <w:r w:rsidR="00525F28" w:rsidRPr="00455191">
        <w:t>.</w:t>
      </w:r>
      <w:r w:rsidR="000725F1" w:rsidRPr="00455191">
        <w:t>S</w:t>
      </w:r>
      <w:r w:rsidR="00525F28" w:rsidRPr="00455191">
        <w:t>.</w:t>
      </w:r>
      <w:r w:rsidR="000725F1" w:rsidRPr="00455191">
        <w:t xml:space="preserve"> 2-cycle to NEDC conversion</w:t>
      </w:r>
    </w:p>
    <w:p w14:paraId="086BF6EF" w14:textId="404910EE" w:rsidR="000B6C62" w:rsidRPr="00455191" w:rsidRDefault="00B806AA" w:rsidP="00B55BEC">
      <w:pPr>
        <w:pStyle w:val="Heading4"/>
      </w:pPr>
      <w:r w:rsidRPr="00455191">
        <w:t xml:space="preserve">4.3.1 </w:t>
      </w:r>
      <w:r w:rsidR="000B6C62" w:rsidRPr="00455191">
        <w:t>Data source</w:t>
      </w:r>
    </w:p>
    <w:p w14:paraId="6FDBD9C6" w14:textId="1E5D7344" w:rsidR="006369A9" w:rsidRPr="00455191" w:rsidRDefault="000B6C62" w:rsidP="003A174C">
      <w:pPr>
        <w:keepLines/>
      </w:pPr>
      <w:r w:rsidRPr="00455191">
        <w:t xml:space="preserve">In </w:t>
      </w:r>
      <w:r w:rsidR="00893191" w:rsidRPr="00455191">
        <w:t xml:space="preserve">the </w:t>
      </w:r>
      <w:r w:rsidRPr="00455191">
        <w:t xml:space="preserve">absence of </w:t>
      </w:r>
      <w:r w:rsidR="00893191" w:rsidRPr="00455191">
        <w:t>public data</w:t>
      </w:r>
      <w:r w:rsidRPr="00455191">
        <w:t xml:space="preserve"> </w:t>
      </w:r>
      <w:r w:rsidR="008A1475" w:rsidRPr="00455191">
        <w:t xml:space="preserve">containing both </w:t>
      </w:r>
      <w:r w:rsidR="008B17BE" w:rsidRPr="00455191">
        <w:t xml:space="preserve">the </w:t>
      </w:r>
      <w:r w:rsidRPr="00455191">
        <w:t xml:space="preserve">U.S. 2-cycle </w:t>
      </w:r>
      <w:r w:rsidR="0011268E" w:rsidRPr="00455191">
        <w:t>CO</w:t>
      </w:r>
      <w:r w:rsidR="0011268E" w:rsidRPr="00455191">
        <w:rPr>
          <w:vertAlign w:val="subscript"/>
        </w:rPr>
        <w:t>2</w:t>
      </w:r>
      <w:r w:rsidR="0011268E" w:rsidRPr="00455191">
        <w:t xml:space="preserve"> emission values and </w:t>
      </w:r>
      <w:r w:rsidRPr="00455191">
        <w:t xml:space="preserve">NEDC or WLTP </w:t>
      </w:r>
      <w:r w:rsidR="0011268E" w:rsidRPr="00455191">
        <w:t>C</w:t>
      </w:r>
      <w:r w:rsidR="00A71F25" w:rsidRPr="00455191">
        <w:t>O</w:t>
      </w:r>
      <w:r w:rsidR="0011268E" w:rsidRPr="00455191">
        <w:rPr>
          <w:vertAlign w:val="subscript"/>
        </w:rPr>
        <w:t>2</w:t>
      </w:r>
      <w:r w:rsidR="0011268E" w:rsidRPr="00455191">
        <w:t xml:space="preserve"> emission </w:t>
      </w:r>
      <w:r w:rsidR="00D874D2" w:rsidRPr="00455191">
        <w:t xml:space="preserve">measurements </w:t>
      </w:r>
      <w:r w:rsidR="008B17BE" w:rsidRPr="00455191">
        <w:t>for the same vehicle</w:t>
      </w:r>
      <w:r w:rsidRPr="00455191">
        <w:t>, we use</w:t>
      </w:r>
      <w:r w:rsidR="00893191" w:rsidRPr="00455191">
        <w:t>d</w:t>
      </w:r>
      <w:r w:rsidRPr="00455191">
        <w:t xml:space="preserve"> the simulation model results from ICCT (2014), as discussed in </w:t>
      </w:r>
      <w:r w:rsidR="00C401EF" w:rsidRPr="00455191">
        <w:t>S</w:t>
      </w:r>
      <w:r w:rsidRPr="00455191">
        <w:t>ection 2</w:t>
      </w:r>
      <w:r w:rsidR="00910330" w:rsidRPr="00455191">
        <w:t>.3.2</w:t>
      </w:r>
      <w:r w:rsidRPr="00455191">
        <w:t xml:space="preserve">. </w:t>
      </w:r>
      <w:r w:rsidR="006369A9" w:rsidRPr="00455191">
        <w:t xml:space="preserve">This simulation model dataset was </w:t>
      </w:r>
      <w:r w:rsidR="002E37C6" w:rsidRPr="00455191">
        <w:t xml:space="preserve">also </w:t>
      </w:r>
      <w:r w:rsidR="006369A9" w:rsidRPr="00455191">
        <w:t xml:space="preserve">used </w:t>
      </w:r>
      <w:r w:rsidR="002E37C6" w:rsidRPr="00455191">
        <w:t xml:space="preserve">in </w:t>
      </w:r>
      <w:r w:rsidR="002E37C6" w:rsidRPr="00455191">
        <w:rPr>
          <w:noProof/>
        </w:rPr>
        <w:t>Yang &amp; Bandivadekar (2021)</w:t>
      </w:r>
      <w:r w:rsidR="002E37C6" w:rsidRPr="00455191">
        <w:t xml:space="preserve"> for New Zealand</w:t>
      </w:r>
      <w:r w:rsidR="006369A9" w:rsidRPr="00455191">
        <w:t xml:space="preserve">, </w:t>
      </w:r>
      <w:r w:rsidR="002E37C6" w:rsidRPr="00455191">
        <w:t xml:space="preserve">albeit </w:t>
      </w:r>
      <w:r w:rsidR="006369A9" w:rsidRPr="00455191">
        <w:t>for a different conversion</w:t>
      </w:r>
      <w:r w:rsidR="002E37C6" w:rsidRPr="00455191">
        <w:t xml:space="preserve"> (</w:t>
      </w:r>
      <w:r w:rsidR="006369A9" w:rsidRPr="00455191">
        <w:t>U.S. 2-cycle to 3p-WLTP</w:t>
      </w:r>
      <w:r w:rsidR="002E37C6" w:rsidRPr="00455191">
        <w:t>)</w:t>
      </w:r>
      <w:r w:rsidR="006369A9" w:rsidRPr="00455191">
        <w:t xml:space="preserve">. </w:t>
      </w:r>
    </w:p>
    <w:p w14:paraId="5974E472" w14:textId="0E9EC2AC" w:rsidR="000B6C62" w:rsidRPr="00455191" w:rsidRDefault="00505000" w:rsidP="00F61408">
      <w:r>
        <w:t>Use of t</w:t>
      </w:r>
      <w:r w:rsidR="000B6C62" w:rsidRPr="00455191">
        <w:t xml:space="preserve">he </w:t>
      </w:r>
      <w:r w:rsidR="00963E18" w:rsidRPr="00455191">
        <w:t>simulation</w:t>
      </w:r>
      <w:r w:rsidR="000B6C62" w:rsidRPr="00455191">
        <w:t xml:space="preserve"> data </w:t>
      </w:r>
      <w:r w:rsidR="009426C9" w:rsidRPr="00455191">
        <w:t xml:space="preserve">from </w:t>
      </w:r>
      <w:r w:rsidR="000B6C62" w:rsidRPr="00455191">
        <w:t xml:space="preserve">ICCT (2014) </w:t>
      </w:r>
      <w:r w:rsidR="009426C9" w:rsidRPr="00455191">
        <w:t>offer</w:t>
      </w:r>
      <w:r>
        <w:t>s</w:t>
      </w:r>
      <w:r w:rsidR="009426C9" w:rsidRPr="00455191">
        <w:t xml:space="preserve"> several benefits. </w:t>
      </w:r>
      <w:r w:rsidR="00A865A7" w:rsidRPr="00455191">
        <w:t>First, t</w:t>
      </w:r>
      <w:r w:rsidR="009426C9" w:rsidRPr="00455191">
        <w:t>he</w:t>
      </w:r>
      <w:r w:rsidR="00612D62">
        <w:t xml:space="preserve"> data</w:t>
      </w:r>
      <w:r w:rsidR="009426C9" w:rsidRPr="00455191">
        <w:t xml:space="preserve"> </w:t>
      </w:r>
      <w:r w:rsidR="000B6C62" w:rsidRPr="00455191">
        <w:t>cover the U.S. 2-cycle and NEDC procedures</w:t>
      </w:r>
      <w:r w:rsidR="00A865A7" w:rsidRPr="00455191">
        <w:t>.</w:t>
      </w:r>
      <w:r w:rsidR="000B6C62" w:rsidRPr="00455191">
        <w:t xml:space="preserve"> </w:t>
      </w:r>
      <w:r w:rsidR="0004579B" w:rsidRPr="00455191">
        <w:t>Developed through rigorous methodologies consistent with industry practice, they are based on well-research</w:t>
      </w:r>
      <w:r w:rsidR="00963E18" w:rsidRPr="00455191">
        <w:t>ed</w:t>
      </w:r>
      <w:r w:rsidR="0004579B" w:rsidRPr="00455191">
        <w:t xml:space="preserve">, established analytical methods. </w:t>
      </w:r>
      <w:r w:rsidR="00A865A7" w:rsidRPr="00455191">
        <w:t>They also</w:t>
      </w:r>
      <w:r w:rsidR="000B6C62" w:rsidRPr="00455191">
        <w:t xml:space="preserve"> </w:t>
      </w:r>
      <w:bookmarkStart w:id="13" w:name="OLE_LINK2"/>
      <w:r w:rsidR="000B6C62" w:rsidRPr="00455191">
        <w:t xml:space="preserve">account for advanced </w:t>
      </w:r>
      <w:r w:rsidR="0011591B" w:rsidRPr="00455191">
        <w:t xml:space="preserve">ICE </w:t>
      </w:r>
      <w:r w:rsidR="000B6C62" w:rsidRPr="00455191">
        <w:t xml:space="preserve">vehicle technology data </w:t>
      </w:r>
      <w:r w:rsidR="00A865A7" w:rsidRPr="00455191">
        <w:t xml:space="preserve">through </w:t>
      </w:r>
      <w:r w:rsidR="000B6C62" w:rsidRPr="00455191">
        <w:t>2025</w:t>
      </w:r>
      <w:bookmarkEnd w:id="13"/>
      <w:r w:rsidR="000B6C62" w:rsidRPr="00455191">
        <w:t xml:space="preserve">. </w:t>
      </w:r>
      <w:r w:rsidR="0011591B" w:rsidRPr="00455191">
        <w:t>However, the database does not account for PHEVs.</w:t>
      </w:r>
    </w:p>
    <w:p w14:paraId="0DC8F215" w14:textId="69992164" w:rsidR="000B6C62" w:rsidRPr="00455191" w:rsidRDefault="00B806AA" w:rsidP="00B55BEC">
      <w:pPr>
        <w:pStyle w:val="Heading4"/>
        <w:rPr>
          <w:szCs w:val="22"/>
        </w:rPr>
      </w:pPr>
      <w:r w:rsidRPr="00455191">
        <w:t xml:space="preserve">4.3.2 </w:t>
      </w:r>
      <w:r w:rsidR="000B6C62" w:rsidRPr="00455191">
        <w:t>Data processing and quality assurance</w:t>
      </w:r>
    </w:p>
    <w:p w14:paraId="74CC81E0" w14:textId="597BDB18" w:rsidR="00642D64" w:rsidRPr="00455191" w:rsidRDefault="000B6C62" w:rsidP="00F61408">
      <w:r w:rsidRPr="00455191">
        <w:t xml:space="preserve">The simulation data did not require much cleaning </w:t>
      </w:r>
      <w:r w:rsidR="00642D64" w:rsidRPr="00455191">
        <w:t>or merging</w:t>
      </w:r>
      <w:r w:rsidRPr="00455191">
        <w:t>.</w:t>
      </w:r>
      <w:r w:rsidR="00642D64" w:rsidRPr="00455191">
        <w:t xml:space="preserve"> </w:t>
      </w:r>
      <w:r w:rsidR="00F44BF3" w:rsidRPr="00455191">
        <w:t>W</w:t>
      </w:r>
      <w:r w:rsidR="00642D64" w:rsidRPr="00455191">
        <w:t xml:space="preserve">e </w:t>
      </w:r>
      <w:r w:rsidR="00F83152" w:rsidRPr="00455191">
        <w:t xml:space="preserve">compared </w:t>
      </w:r>
      <w:r w:rsidR="00642D64" w:rsidRPr="00455191">
        <w:t xml:space="preserve">the U.S. 2-cycle </w:t>
      </w:r>
      <w:r w:rsidR="00F83152" w:rsidRPr="00455191">
        <w:t xml:space="preserve">and </w:t>
      </w:r>
      <w:r w:rsidR="00642D64" w:rsidRPr="00455191">
        <w:t xml:space="preserve">NEDC data </w:t>
      </w:r>
      <w:r w:rsidR="00F83152" w:rsidRPr="00455191">
        <w:t xml:space="preserve">in terms of </w:t>
      </w:r>
      <w:r w:rsidR="00642D64" w:rsidRPr="00455191">
        <w:t xml:space="preserve">technology </w:t>
      </w:r>
      <w:r w:rsidR="001F70B0" w:rsidRPr="00455191">
        <w:t xml:space="preserve">timeframe </w:t>
      </w:r>
      <w:r w:rsidR="00E85D11" w:rsidRPr="00455191">
        <w:t>(</w:t>
      </w:r>
      <w:r w:rsidR="00642D64" w:rsidRPr="00455191">
        <w:t>2014-era v</w:t>
      </w:r>
      <w:r w:rsidR="00C94211">
        <w:t>ersus</w:t>
      </w:r>
      <w:r w:rsidR="00642D64" w:rsidRPr="00455191">
        <w:t xml:space="preserve"> 2025-era technology</w:t>
      </w:r>
      <w:r w:rsidR="00E85D11" w:rsidRPr="00455191">
        <w:t>)</w:t>
      </w:r>
      <w:r w:rsidR="00AF6F00" w:rsidRPr="00455191">
        <w:t>,</w:t>
      </w:r>
      <w:r w:rsidR="00642D64" w:rsidRPr="00455191">
        <w:t xml:space="preserve"> technology type </w:t>
      </w:r>
      <w:r w:rsidR="00E85D11" w:rsidRPr="00455191">
        <w:t>(</w:t>
      </w:r>
      <w:r w:rsidR="002652C8" w:rsidRPr="00455191">
        <w:t>P</w:t>
      </w:r>
      <w:r w:rsidR="002652C8">
        <w:t>C</w:t>
      </w:r>
      <w:r w:rsidR="002652C8" w:rsidRPr="00455191">
        <w:t xml:space="preserve"> </w:t>
      </w:r>
      <w:r w:rsidR="00642D64" w:rsidRPr="00455191">
        <w:t>v</w:t>
      </w:r>
      <w:r w:rsidR="00C94211">
        <w:t>ersus</w:t>
      </w:r>
      <w:r w:rsidR="00642D64" w:rsidRPr="00455191">
        <w:t xml:space="preserve"> LCV</w:t>
      </w:r>
      <w:r w:rsidR="00E85D11" w:rsidRPr="00455191">
        <w:t>)</w:t>
      </w:r>
      <w:r w:rsidR="00642D64" w:rsidRPr="00455191">
        <w:t xml:space="preserve">, and </w:t>
      </w:r>
      <w:r w:rsidR="00E85D11" w:rsidRPr="00455191">
        <w:t>fuel type (</w:t>
      </w:r>
      <w:r w:rsidR="00642D64" w:rsidRPr="00455191">
        <w:t>petrol v</w:t>
      </w:r>
      <w:r w:rsidR="00C94211">
        <w:t>ersus</w:t>
      </w:r>
      <w:r w:rsidR="00642D64" w:rsidRPr="00455191">
        <w:t xml:space="preserve"> diesel</w:t>
      </w:r>
      <w:r w:rsidR="00E85D11" w:rsidRPr="00455191">
        <w:t>)</w:t>
      </w:r>
      <w:r w:rsidR="00642D64" w:rsidRPr="00455191">
        <w:t xml:space="preserve">. </w:t>
      </w:r>
      <w:r w:rsidR="00CE3C2F" w:rsidRPr="00455191">
        <w:t>S</w:t>
      </w:r>
      <w:r w:rsidR="00642D64" w:rsidRPr="00455191">
        <w:t xml:space="preserve">ignificant relational differences </w:t>
      </w:r>
      <w:r w:rsidR="00CE3C2F" w:rsidRPr="00455191">
        <w:t>were only observed between</w:t>
      </w:r>
      <w:r w:rsidR="00EA463B" w:rsidRPr="00455191">
        <w:t xml:space="preserve"> </w:t>
      </w:r>
      <w:r w:rsidR="00642D64" w:rsidRPr="00455191">
        <w:t xml:space="preserve">2014-era </w:t>
      </w:r>
      <w:r w:rsidR="00D63FCD" w:rsidRPr="00455191">
        <w:t>and</w:t>
      </w:r>
      <w:r w:rsidR="00642D64" w:rsidRPr="00455191">
        <w:t xml:space="preserve"> 2025-era technology</w:t>
      </w:r>
      <w:r w:rsidR="00191DD0" w:rsidRPr="00455191">
        <w:t xml:space="preserve"> data</w:t>
      </w:r>
      <w:r w:rsidR="00642D64" w:rsidRPr="00455191">
        <w:t xml:space="preserve">. </w:t>
      </w:r>
      <w:r w:rsidR="00191DD0" w:rsidRPr="00455191">
        <w:t>As the</w:t>
      </w:r>
      <w:r w:rsidR="00642D64" w:rsidRPr="00455191">
        <w:t xml:space="preserve"> 2025-era technology </w:t>
      </w:r>
      <w:r w:rsidR="00191DD0" w:rsidRPr="00455191">
        <w:t xml:space="preserve">is current and </w:t>
      </w:r>
      <w:r w:rsidR="00642D64" w:rsidRPr="00455191">
        <w:t xml:space="preserve">the emissions data for the 2014-era technology </w:t>
      </w:r>
      <w:r w:rsidR="00191DD0" w:rsidRPr="00455191">
        <w:t>were</w:t>
      </w:r>
      <w:r w:rsidR="00D63FCD" w:rsidRPr="00455191">
        <w:t xml:space="preserve"> </w:t>
      </w:r>
      <w:r w:rsidR="00642D64" w:rsidRPr="00455191">
        <w:t xml:space="preserve">on the high end of </w:t>
      </w:r>
      <w:r w:rsidR="002812DB" w:rsidRPr="00455191">
        <w:t xml:space="preserve">the </w:t>
      </w:r>
      <w:r w:rsidR="00642D64" w:rsidRPr="00455191">
        <w:t>expect</w:t>
      </w:r>
      <w:r w:rsidR="00191DD0" w:rsidRPr="00455191">
        <w:t>ed</w:t>
      </w:r>
      <w:r w:rsidR="00642D64" w:rsidRPr="00455191">
        <w:t xml:space="preserve"> </w:t>
      </w:r>
      <w:r w:rsidR="002812DB" w:rsidRPr="00455191">
        <w:t>ranges for</w:t>
      </w:r>
      <w:r w:rsidR="00642D64" w:rsidRPr="00455191">
        <w:t xml:space="preserve"> current certification </w:t>
      </w:r>
      <w:r w:rsidR="002812DB" w:rsidRPr="00455191">
        <w:t>values</w:t>
      </w:r>
      <w:r w:rsidR="00642D64" w:rsidRPr="00455191">
        <w:t>, we focused our analysis on the 2025-era technology only.</w:t>
      </w:r>
    </w:p>
    <w:p w14:paraId="70FBD443" w14:textId="49F8F567" w:rsidR="000B6C62" w:rsidRPr="00455191" w:rsidRDefault="0004339E" w:rsidP="00F61408">
      <w:r w:rsidRPr="00455191">
        <w:t>Like</w:t>
      </w:r>
      <w:r w:rsidR="00642D64" w:rsidRPr="00455191">
        <w:t xml:space="preserve"> the 4p-WLTP and 3p-WLTP databases, we applied the same </w:t>
      </w:r>
      <w:r w:rsidR="00642D64" w:rsidRPr="00455191">
        <w:sym w:font="Symbol" w:char="F0B1"/>
      </w:r>
      <w:r w:rsidR="00642D64" w:rsidRPr="00455191">
        <w:t xml:space="preserve"> 3 standard deviation </w:t>
      </w:r>
      <w:r w:rsidR="005B0B9D" w:rsidRPr="00455191">
        <w:t>outlier screening criteria</w:t>
      </w:r>
      <w:r w:rsidR="00642D64" w:rsidRPr="00455191">
        <w:t xml:space="preserve"> </w:t>
      </w:r>
      <w:r w:rsidR="005B0B9D" w:rsidRPr="00455191">
        <w:t>to the 2025-era data based on</w:t>
      </w:r>
      <w:r w:rsidR="00642D64" w:rsidRPr="00455191">
        <w:t xml:space="preserve"> the ratios of NEDC</w:t>
      </w:r>
      <w:r w:rsidRPr="00455191">
        <w:t xml:space="preserve"> </w:t>
      </w:r>
      <w:r w:rsidR="00642D64" w:rsidRPr="00455191">
        <w:t>to</w:t>
      </w:r>
      <w:r w:rsidRPr="00455191">
        <w:t xml:space="preserve"> </w:t>
      </w:r>
      <w:r w:rsidR="00642D64" w:rsidRPr="00455191">
        <w:t>U.S. 2-cycle g</w:t>
      </w:r>
      <w:r w:rsidRPr="00455191">
        <w:t xml:space="preserve"> </w:t>
      </w:r>
      <w:r w:rsidR="00642D64" w:rsidRPr="00455191">
        <w:t>CO</w:t>
      </w:r>
      <w:r w:rsidR="00642D64" w:rsidRPr="00455191">
        <w:rPr>
          <w:vertAlign w:val="subscript"/>
        </w:rPr>
        <w:t>2</w:t>
      </w:r>
      <w:r w:rsidR="00642D64" w:rsidRPr="00455191">
        <w:t xml:space="preserve">/km emissions. </w:t>
      </w:r>
      <w:r w:rsidR="005B0B9D" w:rsidRPr="00455191">
        <w:t xml:space="preserve">This resulted in the exclusion of three petrol PV records and one diesel PV record. </w:t>
      </w:r>
      <w:r w:rsidR="00A106FF" w:rsidRPr="00455191">
        <w:t>The final analysis database contain</w:t>
      </w:r>
      <w:r w:rsidR="001578F9" w:rsidRPr="00455191">
        <w:t>ed</w:t>
      </w:r>
      <w:r w:rsidR="00A106FF" w:rsidRPr="00455191">
        <w:t xml:space="preserve"> </w:t>
      </w:r>
      <w:r w:rsidR="004E6487" w:rsidRPr="00455191">
        <w:t>752</w:t>
      </w:r>
      <w:r w:rsidR="00A106FF" w:rsidRPr="00455191">
        <w:t xml:space="preserve"> records (</w:t>
      </w:r>
      <w:r w:rsidR="004E6487" w:rsidRPr="00455191">
        <w:t>669</w:t>
      </w:r>
      <w:r w:rsidR="00A106FF" w:rsidRPr="00455191">
        <w:t xml:space="preserve"> </w:t>
      </w:r>
      <w:r w:rsidR="004E6487" w:rsidRPr="00455191">
        <w:t>petrol</w:t>
      </w:r>
      <w:r w:rsidR="00A106FF" w:rsidRPr="00455191">
        <w:t xml:space="preserve"> and </w:t>
      </w:r>
      <w:r w:rsidR="004E6487" w:rsidRPr="00455191">
        <w:t>83</w:t>
      </w:r>
      <w:r w:rsidR="00A106FF" w:rsidRPr="00455191">
        <w:t xml:space="preserve"> diesel).</w:t>
      </w:r>
    </w:p>
    <w:p w14:paraId="080AF6DE" w14:textId="25101681" w:rsidR="000B6C62" w:rsidRPr="00455191" w:rsidRDefault="00B806AA" w:rsidP="00B55BEC">
      <w:pPr>
        <w:pStyle w:val="Heading4"/>
        <w:rPr>
          <w:szCs w:val="22"/>
        </w:rPr>
      </w:pPr>
      <w:r w:rsidRPr="00455191">
        <w:t xml:space="preserve">4.3.3 </w:t>
      </w:r>
      <w:r w:rsidR="000B6C62" w:rsidRPr="00455191">
        <w:t>U.S. 2-cycle to NEDC conversion relations by type of vehicle and powertrain</w:t>
      </w:r>
    </w:p>
    <w:p w14:paraId="7E658621" w14:textId="1BC0BFC6" w:rsidR="000B6C62" w:rsidRPr="00455191" w:rsidRDefault="001A6CFC" w:rsidP="00F61408">
      <w:r w:rsidRPr="00455191">
        <w:t xml:space="preserve">Figures 16 and 17 show that the NEDC </w:t>
      </w:r>
      <w:r w:rsidR="001578F9" w:rsidRPr="00455191">
        <w:t xml:space="preserve">and </w:t>
      </w:r>
      <w:r w:rsidRPr="00455191">
        <w:t xml:space="preserve">U.S. 2-cycle trends are almost perfectly linear and highly consistent across vehicle groups. </w:t>
      </w:r>
      <w:r w:rsidR="00E33C26" w:rsidRPr="00455191">
        <w:t>However, to be consistent with the other cycle conversions, we generate</w:t>
      </w:r>
      <w:r w:rsidR="001578F9" w:rsidRPr="00455191">
        <w:t>d</w:t>
      </w:r>
      <w:r w:rsidR="00E33C26" w:rsidRPr="00455191">
        <w:t xml:space="preserve"> the U.S. 2-cycle to NEDC conversion relations for the same set of vehicle groups</w:t>
      </w:r>
      <w:r w:rsidR="00F1138D" w:rsidRPr="00455191">
        <w:t>:</w:t>
      </w:r>
      <w:r w:rsidR="00E33C26" w:rsidRPr="00455191">
        <w:t xml:space="preserve"> petrol PC</w:t>
      </w:r>
      <w:r w:rsidR="00F1138D" w:rsidRPr="00455191">
        <w:t>s</w:t>
      </w:r>
      <w:r w:rsidR="00E33C26" w:rsidRPr="00455191">
        <w:t xml:space="preserve"> and LCV</w:t>
      </w:r>
      <w:r w:rsidR="00F1138D" w:rsidRPr="00455191">
        <w:t>s</w:t>
      </w:r>
      <w:r w:rsidR="00E33C26" w:rsidRPr="00455191">
        <w:t>, diesel PC</w:t>
      </w:r>
      <w:r w:rsidR="00F1138D" w:rsidRPr="00455191">
        <w:t>s</w:t>
      </w:r>
      <w:r w:rsidR="00E33C26" w:rsidRPr="00455191">
        <w:t>, and diesel LCV</w:t>
      </w:r>
      <w:r w:rsidR="00F1138D" w:rsidRPr="00455191">
        <w:t>s</w:t>
      </w:r>
      <w:r w:rsidR="00E33C26" w:rsidRPr="00455191">
        <w:t>.</w:t>
      </w:r>
    </w:p>
    <w:p w14:paraId="64530034" w14:textId="7FEE5B3B" w:rsidR="00933E2B" w:rsidRPr="000E2ED1" w:rsidRDefault="00933E2B" w:rsidP="003A174C">
      <w:pPr>
        <w:pStyle w:val="Tablecaption"/>
      </w:pPr>
      <w:r w:rsidRPr="000E2ED1">
        <w:lastRenderedPageBreak/>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16</w:t>
      </w:r>
      <w:r w:rsidR="005867AA" w:rsidRPr="000E2ED1">
        <w:fldChar w:fldCharType="end"/>
      </w:r>
      <w:r w:rsidRPr="000E2ED1">
        <w:t xml:space="preserve"> </w:t>
      </w:r>
      <w:r w:rsidR="00632D46">
        <w:br/>
      </w:r>
      <w:r w:rsidRPr="000E2ED1">
        <w:t>Correlation between NEDC and U.S. 2-cycle CO</w:t>
      </w:r>
      <w:r w:rsidRPr="000E2ED1">
        <w:rPr>
          <w:vertAlign w:val="subscript"/>
        </w:rPr>
        <w:t>2</w:t>
      </w:r>
      <w:r w:rsidRPr="000E2ED1">
        <w:t xml:space="preserve"> emissions for petrol passenger cars and light commercial vehicles</w:t>
      </w:r>
    </w:p>
    <w:p w14:paraId="5F056249" w14:textId="025B5EED" w:rsidR="001F2EFA" w:rsidRPr="00455191" w:rsidRDefault="00E64232" w:rsidP="00F61408">
      <w:r w:rsidRPr="00455191">
        <w:rPr>
          <w:noProof/>
        </w:rPr>
        <w:drawing>
          <wp:inline distT="0" distB="0" distL="0" distR="0" wp14:anchorId="06554B5F" wp14:editId="72703B7D">
            <wp:extent cx="4277802" cy="2537888"/>
            <wp:effectExtent l="0" t="0" r="2540" b="2540"/>
            <wp:docPr id="1813896396" name="Picture 1" descr="Figure 16 - diagram illustrating a regression analysis of US 2 cycle and NEDC CO2 values for petrol vehicle based on a simulation done by the ICCT.  As the slope is close to a 1 to 1 ratio, this means the US 2 cycle on the x axis and NEDC CO2 values on the y axis are very sim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96396" name="Picture 1" descr="Figure 16 - diagram illustrating a regression analysis of US 2 cycle and NEDC CO2 values for petrol vehicle based on a simulation done by the ICCT.  As the slope is close to a 1 to 1 ratio, this means the US 2 cycle on the x axis and NEDC CO2 values on the y axis are very similar."/>
                    <pic:cNvPicPr/>
                  </pic:nvPicPr>
                  <pic:blipFill>
                    <a:blip r:embed="rId27"/>
                    <a:stretch>
                      <a:fillRect/>
                    </a:stretch>
                  </pic:blipFill>
                  <pic:spPr>
                    <a:xfrm>
                      <a:off x="0" y="0"/>
                      <a:ext cx="4289772" cy="2544989"/>
                    </a:xfrm>
                    <a:prstGeom prst="rect">
                      <a:avLst/>
                    </a:prstGeom>
                  </pic:spPr>
                </pic:pic>
              </a:graphicData>
            </a:graphic>
          </wp:inline>
        </w:drawing>
      </w:r>
    </w:p>
    <w:p w14:paraId="0E3E14ED" w14:textId="321E533B" w:rsidR="00663E80" w:rsidRPr="000E2ED1" w:rsidRDefault="00663E80" w:rsidP="003A174C">
      <w:pPr>
        <w:pStyle w:val="Tablecaption"/>
      </w:pPr>
      <w:r w:rsidRPr="000E2ED1">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17</w:t>
      </w:r>
      <w:r w:rsidR="005867AA" w:rsidRPr="000E2ED1">
        <w:fldChar w:fldCharType="end"/>
      </w:r>
      <w:r w:rsidR="00D0012B" w:rsidRPr="000E2ED1">
        <w:t xml:space="preserve"> </w:t>
      </w:r>
      <w:r w:rsidR="00632D46">
        <w:br/>
      </w:r>
      <w:r w:rsidR="00D0012B" w:rsidRPr="000E2ED1">
        <w:t>Correlation between NEDC and U.S. 2-cycle CO</w:t>
      </w:r>
      <w:r w:rsidR="00D0012B" w:rsidRPr="000E2ED1">
        <w:rPr>
          <w:vertAlign w:val="subscript"/>
        </w:rPr>
        <w:t>2</w:t>
      </w:r>
      <w:r w:rsidR="00D0012B" w:rsidRPr="000E2ED1">
        <w:t xml:space="preserve"> emissions for diesel passenger cars and light commercial vehicles</w:t>
      </w:r>
    </w:p>
    <w:p w14:paraId="6104CB25" w14:textId="260CA15E" w:rsidR="00663E80" w:rsidRPr="00455191" w:rsidRDefault="00E13F09" w:rsidP="00F61408">
      <w:r w:rsidRPr="00455191">
        <w:rPr>
          <w:noProof/>
        </w:rPr>
        <w:drawing>
          <wp:inline distT="0" distB="0" distL="0" distR="0" wp14:anchorId="4D976D36" wp14:editId="642F10D2">
            <wp:extent cx="4365266" cy="2589778"/>
            <wp:effectExtent l="0" t="0" r="3810" b="1270"/>
            <wp:docPr id="412717700" name="Picture 1" descr="Figure 16 - diagram illustrating a regression analysis of US 2 cycle and NEDC CO2 values for diesel vehicles based on a simulation done by the ICCT.  As the slope is close to a 1 to 1 ratio, this means the US 2 cycle on the x axis and NEDC CO2 values on the y axis are very sim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17700" name="Picture 1" descr="Figure 16 - diagram illustrating a regression analysis of US 2 cycle and NEDC CO2 values for diesel vehicles based on a simulation done by the ICCT.  As the slope is close to a 1 to 1 ratio, this means the US 2 cycle on the x axis and NEDC CO2 values on the y axis are very similar."/>
                    <pic:cNvPicPr/>
                  </pic:nvPicPr>
                  <pic:blipFill>
                    <a:blip r:embed="rId28"/>
                    <a:stretch>
                      <a:fillRect/>
                    </a:stretch>
                  </pic:blipFill>
                  <pic:spPr>
                    <a:xfrm>
                      <a:off x="0" y="0"/>
                      <a:ext cx="4380121" cy="2598591"/>
                    </a:xfrm>
                    <a:prstGeom prst="rect">
                      <a:avLst/>
                    </a:prstGeom>
                  </pic:spPr>
                </pic:pic>
              </a:graphicData>
            </a:graphic>
          </wp:inline>
        </w:drawing>
      </w:r>
    </w:p>
    <w:p w14:paraId="3F78A8B8" w14:textId="7834E63C" w:rsidR="0038136A" w:rsidRPr="00455191" w:rsidRDefault="0038136A" w:rsidP="00F61408">
      <w:r w:rsidRPr="00455191">
        <w:t xml:space="preserve">Table </w:t>
      </w:r>
      <w:r w:rsidR="0095207F" w:rsidRPr="00455191">
        <w:t xml:space="preserve">5 </w:t>
      </w:r>
      <w:r w:rsidRPr="00455191">
        <w:t>shows the respective regression line parameters and statistics by vehicle group. The R</w:t>
      </w:r>
      <w:r w:rsidRPr="00455191">
        <w:rPr>
          <w:vertAlign w:val="superscript"/>
        </w:rPr>
        <w:t>2</w:t>
      </w:r>
      <w:r w:rsidRPr="00455191">
        <w:t xml:space="preserve"> values for these regressions are almost 1.0</w:t>
      </w:r>
      <w:r w:rsidR="00B3368A" w:rsidRPr="00455191">
        <w:t>,</w:t>
      </w:r>
      <w:r w:rsidRPr="00455191">
        <w:t xml:space="preserve"> indicating a perfect linear fit across all vehicle groups, and prediction errors are very low </w:t>
      </w:r>
      <w:r w:rsidR="00B3368A" w:rsidRPr="00455191">
        <w:t>(less than</w:t>
      </w:r>
      <w:r w:rsidRPr="00455191">
        <w:t xml:space="preserve"> 2 g</w:t>
      </w:r>
      <w:r w:rsidR="00B3368A" w:rsidRPr="00455191">
        <w:t xml:space="preserve"> </w:t>
      </w:r>
      <w:r w:rsidRPr="00455191">
        <w:t>CO</w:t>
      </w:r>
      <w:r w:rsidRPr="00455191">
        <w:rPr>
          <w:vertAlign w:val="subscript"/>
        </w:rPr>
        <w:t>2</w:t>
      </w:r>
      <w:r w:rsidRPr="00455191">
        <w:t>/km for petrol vehicles and 1 g</w:t>
      </w:r>
      <w:r w:rsidR="00B3368A" w:rsidRPr="00455191">
        <w:t xml:space="preserve"> </w:t>
      </w:r>
      <w:r w:rsidRPr="00455191">
        <w:t>CO</w:t>
      </w:r>
      <w:r w:rsidRPr="00455191">
        <w:rPr>
          <w:vertAlign w:val="subscript"/>
        </w:rPr>
        <w:t>2</w:t>
      </w:r>
      <w:r w:rsidRPr="00455191">
        <w:t>/km for diesel vehicles</w:t>
      </w:r>
      <w:r w:rsidR="00B3368A" w:rsidRPr="00455191">
        <w:t>)</w:t>
      </w:r>
      <w:r w:rsidRPr="00455191">
        <w:t xml:space="preserve">. This is due to the more controlled </w:t>
      </w:r>
      <w:r w:rsidR="00281220" w:rsidRPr="00455191">
        <w:t xml:space="preserve">and systematic </w:t>
      </w:r>
      <w:r w:rsidRPr="00455191">
        <w:t xml:space="preserve">behavior of the simulated data compared </w:t>
      </w:r>
      <w:r w:rsidR="00281220" w:rsidRPr="00455191">
        <w:t xml:space="preserve">with </w:t>
      </w:r>
      <w:r w:rsidRPr="00455191">
        <w:t>the large range of variability in actual vehicle samples.</w:t>
      </w:r>
    </w:p>
    <w:p w14:paraId="0A342B5D" w14:textId="77777777" w:rsidR="008F4307" w:rsidRPr="000E2ED1" w:rsidRDefault="008C2D4E" w:rsidP="003A174C">
      <w:pPr>
        <w:pStyle w:val="Tablecaption"/>
      </w:pPr>
      <w:r w:rsidRPr="000E2ED1">
        <w:lastRenderedPageBreak/>
        <w:t xml:space="preserve">Table </w:t>
      </w:r>
      <w:r w:rsidR="0095207F" w:rsidRPr="000E2ED1">
        <w:t>5</w:t>
      </w:r>
      <w:r w:rsidRPr="000E2ED1">
        <w:t>: U.S. 2-cycle to NEDC regression parameters and statistics</w:t>
      </w:r>
    </w:p>
    <w:tbl>
      <w:tblPr>
        <w:tblStyle w:val="DefaultTable11"/>
        <w:tblW w:w="5000" w:type="pct"/>
        <w:tblCellMar>
          <w:top w:w="28" w:type="dxa"/>
          <w:bottom w:w="28" w:type="dxa"/>
        </w:tblCellMar>
        <w:tblLook w:val="04A0" w:firstRow="1" w:lastRow="0" w:firstColumn="1" w:lastColumn="0" w:noHBand="0" w:noVBand="1"/>
        <w:tblDescription w:val="Table 5: U.S. 2-cycle to NEDC regression parameters and statistics"/>
      </w:tblPr>
      <w:tblGrid>
        <w:gridCol w:w="1603"/>
        <w:gridCol w:w="1603"/>
        <w:gridCol w:w="1602"/>
        <w:gridCol w:w="1600"/>
        <w:gridCol w:w="1611"/>
        <w:gridCol w:w="1598"/>
      </w:tblGrid>
      <w:tr w:rsidR="00DF2510" w:rsidRPr="00654F9E" w14:paraId="797A136F" w14:textId="77777777" w:rsidTr="00DF251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E70444A" w14:textId="7D024219" w:rsidR="00DF2510" w:rsidRPr="008E534F" w:rsidRDefault="00DF2510" w:rsidP="00DF2510">
            <w:pPr>
              <w:pStyle w:val="Tablerowcolumnheading"/>
              <w:keepNext/>
              <w:spacing w:before="0" w:after="0"/>
              <w:rPr>
                <w:b/>
                <w:szCs w:val="22"/>
              </w:rPr>
            </w:pPr>
            <w:r w:rsidRPr="00455191">
              <w:t>Vehicle group</w:t>
            </w:r>
          </w:p>
        </w:tc>
        <w:tc>
          <w:tcPr>
            <w:tcW w:w="833" w:type="pct"/>
            <w:vAlign w:val="center"/>
          </w:tcPr>
          <w:p w14:paraId="39D212D4" w14:textId="5AAEB59D" w:rsidR="00DF2510" w:rsidRDefault="00DF2510" w:rsidP="00DF2510">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455191">
              <w:t>Sample size</w:t>
            </w:r>
          </w:p>
        </w:tc>
        <w:tc>
          <w:tcPr>
            <w:tcW w:w="833" w:type="pct"/>
            <w:vAlign w:val="center"/>
          </w:tcPr>
          <w:p w14:paraId="38B7AB9F" w14:textId="7B7A1DAD" w:rsidR="00DF2510" w:rsidRDefault="00DF2510" w:rsidP="00DF2510">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455191">
              <w:t>Slope</w:t>
            </w:r>
          </w:p>
        </w:tc>
        <w:tc>
          <w:tcPr>
            <w:tcW w:w="832" w:type="pct"/>
            <w:vAlign w:val="center"/>
          </w:tcPr>
          <w:p w14:paraId="03F87286" w14:textId="16D1674B" w:rsidR="00DF2510" w:rsidRPr="008E534F" w:rsidRDefault="00DF2510" w:rsidP="00DF2510">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455191">
              <w:t>Intercept (gCO</w:t>
            </w:r>
            <w:r w:rsidRPr="00455191">
              <w:rPr>
                <w:vertAlign w:val="subscript"/>
              </w:rPr>
              <w:t>2</w:t>
            </w:r>
            <w:r w:rsidRPr="00455191">
              <w:t>/km)</w:t>
            </w:r>
          </w:p>
        </w:tc>
        <w:tc>
          <w:tcPr>
            <w:tcW w:w="837" w:type="pct"/>
            <w:vAlign w:val="center"/>
          </w:tcPr>
          <w:p w14:paraId="6D4E3586" w14:textId="7A745C05" w:rsidR="00DF2510" w:rsidRPr="008E534F" w:rsidRDefault="00DF2510" w:rsidP="00DF2510">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455191">
              <w:t>Coefficient of determination, R</w:t>
            </w:r>
            <w:r w:rsidRPr="00455191">
              <w:rPr>
                <w:vertAlign w:val="superscript"/>
              </w:rPr>
              <w:t>2</w:t>
            </w:r>
          </w:p>
        </w:tc>
        <w:tc>
          <w:tcPr>
            <w:tcW w:w="831" w:type="pct"/>
            <w:vAlign w:val="center"/>
          </w:tcPr>
          <w:p w14:paraId="6C685462" w14:textId="5CFB195C" w:rsidR="00DF2510" w:rsidRPr="008E534F" w:rsidRDefault="00DF2510" w:rsidP="00DF2510">
            <w:pPr>
              <w:pStyle w:val="Tablerowcolumnheadingcentred"/>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455191">
              <w:t>Error of prediction (gCO</w:t>
            </w:r>
            <w:r w:rsidRPr="00455191">
              <w:rPr>
                <w:vertAlign w:val="subscript"/>
              </w:rPr>
              <w:t>2</w:t>
            </w:r>
            <w:r w:rsidRPr="00455191">
              <w:t>/km)</w:t>
            </w:r>
          </w:p>
        </w:tc>
      </w:tr>
      <w:tr w:rsidR="00DF2510" w:rsidRPr="00654F9E" w14:paraId="72E972B4" w14:textId="77777777" w:rsidTr="00DF2510">
        <w:trPr>
          <w:cantSplit/>
        </w:trPr>
        <w:tc>
          <w:tcPr>
            <w:cnfStyle w:val="001000000000" w:firstRow="0" w:lastRow="0" w:firstColumn="1" w:lastColumn="0" w:oddVBand="0" w:evenVBand="0" w:oddHBand="0" w:evenHBand="0" w:firstRowFirstColumn="0" w:firstRowLastColumn="0" w:lastRowFirstColumn="0" w:lastRowLastColumn="0"/>
            <w:tcW w:w="833" w:type="pct"/>
            <w:vAlign w:val="center"/>
          </w:tcPr>
          <w:p w14:paraId="5B486F73" w14:textId="210C0DD3" w:rsidR="00DF2510" w:rsidRPr="00784126" w:rsidRDefault="00DF2510" w:rsidP="00DF2510">
            <w:pPr>
              <w:spacing w:before="0" w:after="0"/>
            </w:pPr>
            <w:r w:rsidRPr="00455191">
              <w:t>Petrol PC</w:t>
            </w:r>
            <w:r>
              <w:t xml:space="preserve"> and </w:t>
            </w:r>
            <w:r w:rsidRPr="00455191">
              <w:t xml:space="preserve">LCV </w:t>
            </w:r>
          </w:p>
        </w:tc>
        <w:tc>
          <w:tcPr>
            <w:tcW w:w="833" w:type="pct"/>
            <w:vAlign w:val="center"/>
          </w:tcPr>
          <w:p w14:paraId="05DA622E" w14:textId="667B1936" w:rsidR="00DF2510" w:rsidRPr="00784126" w:rsidRDefault="00DF2510" w:rsidP="00DF2510">
            <w:pPr>
              <w:spacing w:after="0"/>
              <w:cnfStyle w:val="000000000000" w:firstRow="0" w:lastRow="0" w:firstColumn="0" w:lastColumn="0" w:oddVBand="0" w:evenVBand="0" w:oddHBand="0" w:evenHBand="0" w:firstRowFirstColumn="0" w:firstRowLastColumn="0" w:lastRowFirstColumn="0" w:lastRowLastColumn="0"/>
            </w:pPr>
            <w:r w:rsidRPr="00455191">
              <w:t>669</w:t>
            </w:r>
          </w:p>
        </w:tc>
        <w:tc>
          <w:tcPr>
            <w:tcW w:w="833" w:type="pct"/>
            <w:vAlign w:val="center"/>
          </w:tcPr>
          <w:p w14:paraId="1DD895CB" w14:textId="1B832A59" w:rsidR="00DF2510" w:rsidRPr="00784126" w:rsidRDefault="00DF2510" w:rsidP="00DF2510">
            <w:pPr>
              <w:spacing w:after="0"/>
              <w:cnfStyle w:val="000000000000" w:firstRow="0" w:lastRow="0" w:firstColumn="0" w:lastColumn="0" w:oddVBand="0" w:evenVBand="0" w:oddHBand="0" w:evenHBand="0" w:firstRowFirstColumn="0" w:firstRowLastColumn="0" w:lastRowFirstColumn="0" w:lastRowLastColumn="0"/>
            </w:pPr>
            <w:r w:rsidRPr="00455191">
              <w:t>0.9849</w:t>
            </w:r>
          </w:p>
        </w:tc>
        <w:tc>
          <w:tcPr>
            <w:tcW w:w="832" w:type="pct"/>
            <w:vAlign w:val="center"/>
          </w:tcPr>
          <w:p w14:paraId="04E87ECD" w14:textId="11FC6A3B" w:rsidR="00DF2510" w:rsidRPr="00784126" w:rsidRDefault="00DF2510" w:rsidP="00DF2510">
            <w:pPr>
              <w:spacing w:before="0" w:after="0"/>
              <w:cnfStyle w:val="000000000000" w:firstRow="0" w:lastRow="0" w:firstColumn="0" w:lastColumn="0" w:oddVBand="0" w:evenVBand="0" w:oddHBand="0" w:evenHBand="0" w:firstRowFirstColumn="0" w:firstRowLastColumn="0" w:lastRowFirstColumn="0" w:lastRowLastColumn="0"/>
            </w:pPr>
            <w:r w:rsidRPr="00455191">
              <w:t>0.9819</w:t>
            </w:r>
          </w:p>
        </w:tc>
        <w:tc>
          <w:tcPr>
            <w:tcW w:w="837" w:type="pct"/>
            <w:vAlign w:val="center"/>
          </w:tcPr>
          <w:p w14:paraId="665520CA" w14:textId="1B84215E" w:rsidR="00DF2510" w:rsidRPr="00784126" w:rsidRDefault="00DF2510" w:rsidP="00DF2510">
            <w:pPr>
              <w:spacing w:before="0" w:after="0"/>
              <w:cnfStyle w:val="000000000000" w:firstRow="0" w:lastRow="0" w:firstColumn="0" w:lastColumn="0" w:oddVBand="0" w:evenVBand="0" w:oddHBand="0" w:evenHBand="0" w:firstRowFirstColumn="0" w:firstRowLastColumn="0" w:lastRowFirstColumn="0" w:lastRowLastColumn="0"/>
            </w:pPr>
            <w:r w:rsidRPr="00455191">
              <w:t>0.99</w:t>
            </w:r>
          </w:p>
        </w:tc>
        <w:tc>
          <w:tcPr>
            <w:tcW w:w="831" w:type="pct"/>
            <w:vAlign w:val="center"/>
          </w:tcPr>
          <w:p w14:paraId="6AD7C690" w14:textId="3700D503" w:rsidR="00DF2510" w:rsidRPr="00784126" w:rsidRDefault="00DF2510" w:rsidP="00DF2510">
            <w:pPr>
              <w:spacing w:before="0" w:after="0"/>
              <w:cnfStyle w:val="000000000000" w:firstRow="0" w:lastRow="0" w:firstColumn="0" w:lastColumn="0" w:oddVBand="0" w:evenVBand="0" w:oddHBand="0" w:evenHBand="0" w:firstRowFirstColumn="0" w:firstRowLastColumn="0" w:lastRowFirstColumn="0" w:lastRowLastColumn="0"/>
            </w:pPr>
            <w:r w:rsidRPr="00455191">
              <w:t>1.6204</w:t>
            </w:r>
          </w:p>
        </w:tc>
      </w:tr>
      <w:tr w:rsidR="00DF2510" w:rsidRPr="00654F9E" w14:paraId="4DD6F250" w14:textId="77777777" w:rsidTr="00DF251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0E24EEB" w14:textId="35F8A0F8" w:rsidR="00DF2510" w:rsidRPr="00784126" w:rsidRDefault="00DF2510" w:rsidP="00DF2510">
            <w:pPr>
              <w:spacing w:before="0" w:after="0"/>
            </w:pPr>
            <w:r w:rsidRPr="00455191">
              <w:t>Diesel PC</w:t>
            </w:r>
          </w:p>
        </w:tc>
        <w:tc>
          <w:tcPr>
            <w:tcW w:w="833" w:type="pct"/>
            <w:vAlign w:val="center"/>
          </w:tcPr>
          <w:p w14:paraId="4D450E12" w14:textId="1E440B82" w:rsidR="00DF2510" w:rsidRPr="00784126" w:rsidRDefault="00DF2510" w:rsidP="00DF2510">
            <w:pPr>
              <w:spacing w:after="0"/>
              <w:cnfStyle w:val="000000010000" w:firstRow="0" w:lastRow="0" w:firstColumn="0" w:lastColumn="0" w:oddVBand="0" w:evenVBand="0" w:oddHBand="0" w:evenHBand="1" w:firstRowFirstColumn="0" w:firstRowLastColumn="0" w:lastRowFirstColumn="0" w:lastRowLastColumn="0"/>
            </w:pPr>
            <w:r w:rsidRPr="00455191">
              <w:t>55</w:t>
            </w:r>
          </w:p>
        </w:tc>
        <w:tc>
          <w:tcPr>
            <w:tcW w:w="833" w:type="pct"/>
            <w:vAlign w:val="center"/>
          </w:tcPr>
          <w:p w14:paraId="64B76AB7" w14:textId="337A43A8" w:rsidR="00DF2510" w:rsidRPr="00784126" w:rsidRDefault="00DF2510" w:rsidP="00DF2510">
            <w:pPr>
              <w:spacing w:after="0"/>
              <w:cnfStyle w:val="000000010000" w:firstRow="0" w:lastRow="0" w:firstColumn="0" w:lastColumn="0" w:oddVBand="0" w:evenVBand="0" w:oddHBand="0" w:evenHBand="1" w:firstRowFirstColumn="0" w:firstRowLastColumn="0" w:lastRowFirstColumn="0" w:lastRowLastColumn="0"/>
            </w:pPr>
            <w:r w:rsidRPr="00455191">
              <w:t>1.0478</w:t>
            </w:r>
          </w:p>
        </w:tc>
        <w:tc>
          <w:tcPr>
            <w:tcW w:w="832" w:type="pct"/>
            <w:vAlign w:val="center"/>
          </w:tcPr>
          <w:p w14:paraId="04FA33AA" w14:textId="74825E2B" w:rsidR="00DF2510" w:rsidRPr="00784126" w:rsidRDefault="00DF2510" w:rsidP="00DF2510">
            <w:pPr>
              <w:spacing w:before="0" w:after="0"/>
              <w:cnfStyle w:val="000000010000" w:firstRow="0" w:lastRow="0" w:firstColumn="0" w:lastColumn="0" w:oddVBand="0" w:evenVBand="0" w:oddHBand="0" w:evenHBand="1" w:firstRowFirstColumn="0" w:firstRowLastColumn="0" w:lastRowFirstColumn="0" w:lastRowLastColumn="0"/>
            </w:pPr>
            <w:r w:rsidRPr="00455191">
              <w:t>-3.0061</w:t>
            </w:r>
          </w:p>
        </w:tc>
        <w:tc>
          <w:tcPr>
            <w:tcW w:w="837" w:type="pct"/>
            <w:vAlign w:val="center"/>
          </w:tcPr>
          <w:p w14:paraId="0D9CAD45" w14:textId="4863852B" w:rsidR="00DF2510" w:rsidRPr="00784126" w:rsidRDefault="00DF2510" w:rsidP="00DF2510">
            <w:pPr>
              <w:spacing w:before="0" w:after="0"/>
              <w:cnfStyle w:val="000000010000" w:firstRow="0" w:lastRow="0" w:firstColumn="0" w:lastColumn="0" w:oddVBand="0" w:evenVBand="0" w:oddHBand="0" w:evenHBand="1" w:firstRowFirstColumn="0" w:firstRowLastColumn="0" w:lastRowFirstColumn="0" w:lastRowLastColumn="0"/>
            </w:pPr>
            <w:r w:rsidRPr="00455191">
              <w:t>0.99</w:t>
            </w:r>
          </w:p>
        </w:tc>
        <w:tc>
          <w:tcPr>
            <w:tcW w:w="831" w:type="pct"/>
            <w:vAlign w:val="center"/>
          </w:tcPr>
          <w:p w14:paraId="4EAFEAFE" w14:textId="2CF88BAD" w:rsidR="00DF2510" w:rsidRPr="00784126" w:rsidRDefault="00DF2510" w:rsidP="00DF2510">
            <w:pPr>
              <w:spacing w:before="0" w:after="0"/>
              <w:cnfStyle w:val="000000010000" w:firstRow="0" w:lastRow="0" w:firstColumn="0" w:lastColumn="0" w:oddVBand="0" w:evenVBand="0" w:oddHBand="0" w:evenHBand="1" w:firstRowFirstColumn="0" w:firstRowLastColumn="0" w:lastRowFirstColumn="0" w:lastRowLastColumn="0"/>
            </w:pPr>
            <w:r w:rsidRPr="00455191">
              <w:t>0.8978</w:t>
            </w:r>
          </w:p>
        </w:tc>
      </w:tr>
      <w:tr w:rsidR="00DF2510" w:rsidRPr="00654F9E" w14:paraId="04262E35" w14:textId="77777777" w:rsidTr="00DF2510">
        <w:trPr>
          <w:cantSplit/>
        </w:trPr>
        <w:tc>
          <w:tcPr>
            <w:cnfStyle w:val="001000000000" w:firstRow="0" w:lastRow="0" w:firstColumn="1" w:lastColumn="0" w:oddVBand="0" w:evenVBand="0" w:oddHBand="0" w:evenHBand="0" w:firstRowFirstColumn="0" w:firstRowLastColumn="0" w:lastRowFirstColumn="0" w:lastRowLastColumn="0"/>
            <w:tcW w:w="833" w:type="pct"/>
            <w:vAlign w:val="center"/>
          </w:tcPr>
          <w:p w14:paraId="4A1AC386" w14:textId="56134982" w:rsidR="00DF2510" w:rsidRPr="00784126" w:rsidRDefault="00DF2510" w:rsidP="00DF2510">
            <w:pPr>
              <w:spacing w:before="0" w:after="0"/>
            </w:pPr>
            <w:r w:rsidRPr="00455191">
              <w:t>Diesel LCV</w:t>
            </w:r>
          </w:p>
        </w:tc>
        <w:tc>
          <w:tcPr>
            <w:tcW w:w="833" w:type="pct"/>
            <w:vAlign w:val="center"/>
          </w:tcPr>
          <w:p w14:paraId="5847E733" w14:textId="3CF7DC04" w:rsidR="00DF2510" w:rsidRPr="00784126" w:rsidRDefault="00DF2510" w:rsidP="00DF2510">
            <w:pPr>
              <w:spacing w:after="0"/>
              <w:cnfStyle w:val="000000000000" w:firstRow="0" w:lastRow="0" w:firstColumn="0" w:lastColumn="0" w:oddVBand="0" w:evenVBand="0" w:oddHBand="0" w:evenHBand="0" w:firstRowFirstColumn="0" w:firstRowLastColumn="0" w:lastRowFirstColumn="0" w:lastRowLastColumn="0"/>
            </w:pPr>
            <w:r w:rsidRPr="00455191">
              <w:t>28</w:t>
            </w:r>
          </w:p>
        </w:tc>
        <w:tc>
          <w:tcPr>
            <w:tcW w:w="833" w:type="pct"/>
            <w:vAlign w:val="center"/>
          </w:tcPr>
          <w:p w14:paraId="0AA15294" w14:textId="0BC04C7D" w:rsidR="00DF2510" w:rsidRPr="00784126" w:rsidRDefault="00DF2510" w:rsidP="00DF2510">
            <w:pPr>
              <w:spacing w:after="0"/>
              <w:cnfStyle w:val="000000000000" w:firstRow="0" w:lastRow="0" w:firstColumn="0" w:lastColumn="0" w:oddVBand="0" w:evenVBand="0" w:oddHBand="0" w:evenHBand="0" w:firstRowFirstColumn="0" w:firstRowLastColumn="0" w:lastRowFirstColumn="0" w:lastRowLastColumn="0"/>
            </w:pPr>
            <w:r w:rsidRPr="00455191">
              <w:t>1.0419</w:t>
            </w:r>
          </w:p>
        </w:tc>
        <w:tc>
          <w:tcPr>
            <w:tcW w:w="832" w:type="pct"/>
            <w:vAlign w:val="center"/>
          </w:tcPr>
          <w:p w14:paraId="7FCBCB0F" w14:textId="6B431260" w:rsidR="00DF2510" w:rsidRPr="00784126" w:rsidRDefault="00DF2510" w:rsidP="00DF2510">
            <w:pPr>
              <w:spacing w:before="0" w:after="0"/>
              <w:cnfStyle w:val="000000000000" w:firstRow="0" w:lastRow="0" w:firstColumn="0" w:lastColumn="0" w:oddVBand="0" w:evenVBand="0" w:oddHBand="0" w:evenHBand="0" w:firstRowFirstColumn="0" w:firstRowLastColumn="0" w:lastRowFirstColumn="0" w:lastRowLastColumn="0"/>
            </w:pPr>
            <w:r w:rsidRPr="00455191">
              <w:t>-3.2551</w:t>
            </w:r>
          </w:p>
        </w:tc>
        <w:tc>
          <w:tcPr>
            <w:tcW w:w="837" w:type="pct"/>
            <w:vAlign w:val="center"/>
          </w:tcPr>
          <w:p w14:paraId="483A076B" w14:textId="0724EB35" w:rsidR="00DF2510" w:rsidRPr="00784126" w:rsidRDefault="00DF2510" w:rsidP="00DF2510">
            <w:pPr>
              <w:spacing w:before="0" w:after="0"/>
              <w:cnfStyle w:val="000000000000" w:firstRow="0" w:lastRow="0" w:firstColumn="0" w:lastColumn="0" w:oddVBand="0" w:evenVBand="0" w:oddHBand="0" w:evenHBand="0" w:firstRowFirstColumn="0" w:firstRowLastColumn="0" w:lastRowFirstColumn="0" w:lastRowLastColumn="0"/>
            </w:pPr>
            <w:r w:rsidRPr="00455191">
              <w:t>0.99</w:t>
            </w:r>
          </w:p>
        </w:tc>
        <w:tc>
          <w:tcPr>
            <w:tcW w:w="831" w:type="pct"/>
            <w:vAlign w:val="center"/>
          </w:tcPr>
          <w:p w14:paraId="753B6F35" w14:textId="2E600D52" w:rsidR="00DF2510" w:rsidRPr="00784126" w:rsidRDefault="00DF2510" w:rsidP="00DF2510">
            <w:pPr>
              <w:spacing w:before="0" w:after="0"/>
              <w:cnfStyle w:val="000000000000" w:firstRow="0" w:lastRow="0" w:firstColumn="0" w:lastColumn="0" w:oddVBand="0" w:evenVBand="0" w:oddHBand="0" w:evenHBand="0" w:firstRowFirstColumn="0" w:firstRowLastColumn="0" w:lastRowFirstColumn="0" w:lastRowLastColumn="0"/>
            </w:pPr>
            <w:r w:rsidRPr="00455191">
              <w:t>0.8609</w:t>
            </w:r>
          </w:p>
        </w:tc>
      </w:tr>
    </w:tbl>
    <w:p w14:paraId="593E648F" w14:textId="76D17349" w:rsidR="000B6C62" w:rsidRPr="00455191" w:rsidRDefault="000B6C62" w:rsidP="00DF2510">
      <w:pPr>
        <w:spacing w:before="240"/>
      </w:pPr>
      <w:r w:rsidRPr="00455191">
        <w:t xml:space="preserve">Relations are of the form: NEDC = a (U.S. 2-cycle) + b, where </w:t>
      </w:r>
      <w:r w:rsidR="0047693D">
        <w:t xml:space="preserve">a is the slope, b is the intercept, and </w:t>
      </w:r>
      <w:r w:rsidRPr="00455191">
        <w:t>NEDC and U.S. 2-cycle values are in gCO2/km.</w:t>
      </w:r>
    </w:p>
    <w:p w14:paraId="51D9BEBE" w14:textId="3E34C71D" w:rsidR="00281220" w:rsidRPr="00455191" w:rsidRDefault="00281220" w:rsidP="00F61408">
      <w:r w:rsidRPr="00455191">
        <w:t>In the absence of simulation data for PHEVs, we cannot determine a direct U.S. 2-cycle to NEDC conversion relation for these vehicles. The next section discusses the conversion for PHEVs.</w:t>
      </w:r>
    </w:p>
    <w:p w14:paraId="045A2158" w14:textId="37F792C8" w:rsidR="00883662" w:rsidRPr="00455191" w:rsidRDefault="00281220" w:rsidP="00B55BEC">
      <w:pPr>
        <w:pStyle w:val="Heading2"/>
      </w:pPr>
      <w:r w:rsidRPr="00455191">
        <w:t>S</w:t>
      </w:r>
      <w:r w:rsidR="00883662" w:rsidRPr="00455191">
        <w:t>ummary and verification</w:t>
      </w:r>
    </w:p>
    <w:p w14:paraId="10BDCD7E" w14:textId="2993B949" w:rsidR="00F45E74" w:rsidRPr="00455191" w:rsidRDefault="0091730B" w:rsidP="00F61408">
      <w:r w:rsidRPr="00455191">
        <w:fldChar w:fldCharType="begin" w:fldLock="1"/>
      </w:r>
      <w:r w:rsidRPr="00455191">
        <w:instrText xml:space="preserve"> REF _Ref192762719 \h </w:instrText>
      </w:r>
      <w:r w:rsidR="00455191">
        <w:instrText xml:space="preserve"> \* MERGEFORMAT </w:instrText>
      </w:r>
      <w:r w:rsidRPr="00455191">
        <w:fldChar w:fldCharType="separate"/>
      </w:r>
      <w:r w:rsidRPr="00455191">
        <w:t xml:space="preserve">Table </w:t>
      </w:r>
      <w:r w:rsidRPr="00455191">
        <w:rPr>
          <w:noProof/>
        </w:rPr>
        <w:t>6</w:t>
      </w:r>
      <w:r w:rsidRPr="00455191">
        <w:fldChar w:fldCharType="end"/>
      </w:r>
      <w:r w:rsidRPr="00455191">
        <w:t xml:space="preserve"> </w:t>
      </w:r>
      <w:r w:rsidR="00F45E74" w:rsidRPr="00455191">
        <w:t xml:space="preserve">provides a summary of the conversion relations for the specified pairs of test cycles by type of fuel, vehicle, and powertrain. As mentioned in </w:t>
      </w:r>
      <w:r w:rsidR="00281220" w:rsidRPr="00455191">
        <w:t>S</w:t>
      </w:r>
      <w:r w:rsidR="00F45E74" w:rsidRPr="00455191">
        <w:t xml:space="preserve">ection 4, the conversion relations are of the form: </w:t>
      </w:r>
    </w:p>
    <w:p w14:paraId="5C8107CE" w14:textId="20F3C15C" w:rsidR="00F45E74" w:rsidRPr="00455191" w:rsidRDefault="00F45E74" w:rsidP="00F61408">
      <w:r w:rsidRPr="00455191">
        <w:t xml:space="preserve">NEDC = a </w:t>
      </w:r>
      <w:r w:rsidR="009E122D" w:rsidRPr="00455191">
        <w:t xml:space="preserve">x </w:t>
      </w:r>
      <w:r w:rsidRPr="00455191">
        <w:t xml:space="preserve">(From cycle) + b </w:t>
      </w:r>
    </w:p>
    <w:p w14:paraId="5D154A0B" w14:textId="42E83104" w:rsidR="00F45E74" w:rsidRPr="00455191" w:rsidRDefault="00F45E74" w:rsidP="00F61408">
      <w:r w:rsidRPr="00455191">
        <w:t>Where NEDC and “From cycle” are in g</w:t>
      </w:r>
      <w:r w:rsidR="00281220" w:rsidRPr="00455191">
        <w:t xml:space="preserve"> </w:t>
      </w:r>
      <w:r w:rsidRPr="00455191">
        <w:t>CO</w:t>
      </w:r>
      <w:r w:rsidRPr="00455191">
        <w:rPr>
          <w:vertAlign w:val="subscript"/>
        </w:rPr>
        <w:t>2</w:t>
      </w:r>
      <w:r w:rsidRPr="00455191">
        <w:t>/km</w:t>
      </w:r>
      <w:r w:rsidR="00281220" w:rsidRPr="00455191">
        <w:t>,</w:t>
      </w:r>
      <w:r w:rsidRPr="00455191">
        <w:t xml:space="preserve"> a is the slope</w:t>
      </w:r>
      <w:r w:rsidR="00281220" w:rsidRPr="00455191">
        <w:t>,</w:t>
      </w:r>
      <w:r w:rsidRPr="00455191">
        <w:t xml:space="preserve"> and b is the intercept (g</w:t>
      </w:r>
      <w:r w:rsidR="00281220" w:rsidRPr="00455191">
        <w:t xml:space="preserve"> </w:t>
      </w:r>
      <w:r w:rsidRPr="00455191">
        <w:t>CO</w:t>
      </w:r>
      <w:r w:rsidRPr="00455191">
        <w:rPr>
          <w:vertAlign w:val="subscript"/>
        </w:rPr>
        <w:t>2</w:t>
      </w:r>
      <w:r w:rsidRPr="00455191">
        <w:t xml:space="preserve">/km) of the regression line.  </w:t>
      </w:r>
    </w:p>
    <w:p w14:paraId="5D50381C" w14:textId="77777777" w:rsidR="008F4307" w:rsidRPr="000E2ED1" w:rsidRDefault="00F45E74" w:rsidP="003A174C">
      <w:pPr>
        <w:pStyle w:val="Tablecaption"/>
      </w:pPr>
      <w:r w:rsidRPr="000E2ED1">
        <w:t xml:space="preserve">Table </w:t>
      </w:r>
      <w:r w:rsidR="008B7073" w:rsidRPr="000E2ED1">
        <w:t>6</w:t>
      </w:r>
      <w:r w:rsidRPr="000E2ED1">
        <w:t xml:space="preserve"> </w:t>
      </w:r>
      <w:r w:rsidR="00755A2C">
        <w:br/>
      </w:r>
      <w:r w:rsidRPr="000E2ED1">
        <w:t>Summary of test cycle conversion parameters for Australia</w:t>
      </w:r>
    </w:p>
    <w:tbl>
      <w:tblPr>
        <w:tblStyle w:val="DefaultTable11"/>
        <w:tblW w:w="5202" w:type="pct"/>
        <w:tblCellMar>
          <w:top w:w="28" w:type="dxa"/>
          <w:bottom w:w="28" w:type="dxa"/>
        </w:tblCellMar>
        <w:tblLook w:val="04A0" w:firstRow="1" w:lastRow="0" w:firstColumn="1" w:lastColumn="0" w:noHBand="0" w:noVBand="1"/>
        <w:tblDescription w:val="Table 6 &#10;Summary of test cycle conversion parameters for Australia&#10;"/>
      </w:tblPr>
      <w:tblGrid>
        <w:gridCol w:w="1605"/>
        <w:gridCol w:w="1605"/>
        <w:gridCol w:w="1605"/>
        <w:gridCol w:w="1991"/>
        <w:gridCol w:w="1603"/>
        <w:gridCol w:w="1597"/>
      </w:tblGrid>
      <w:tr w:rsidR="00813729" w:rsidRPr="00654F9E" w14:paraId="19E71EEC" w14:textId="77777777" w:rsidTr="00DF251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2" w:type="pct"/>
            <w:vAlign w:val="center"/>
          </w:tcPr>
          <w:p w14:paraId="69857671" w14:textId="35EB7BA9" w:rsidR="00813729" w:rsidRPr="008E534F" w:rsidRDefault="00813729" w:rsidP="00DF2510">
            <w:pPr>
              <w:pStyle w:val="Tablerowcolumnheading"/>
              <w:keepNext/>
              <w:spacing w:before="0" w:after="0"/>
              <w:rPr>
                <w:b/>
                <w:szCs w:val="22"/>
              </w:rPr>
            </w:pPr>
            <w:r w:rsidRPr="00455191">
              <w:t>From cycle</w:t>
            </w:r>
          </w:p>
        </w:tc>
        <w:tc>
          <w:tcPr>
            <w:tcW w:w="802" w:type="pct"/>
            <w:vAlign w:val="center"/>
          </w:tcPr>
          <w:p w14:paraId="3FEE97DF" w14:textId="25F3DF75" w:rsidR="00813729" w:rsidRPr="008E534F" w:rsidRDefault="00813729" w:rsidP="00DF2510">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455191">
              <w:t>To cycle</w:t>
            </w:r>
          </w:p>
        </w:tc>
        <w:tc>
          <w:tcPr>
            <w:tcW w:w="802" w:type="pct"/>
            <w:vAlign w:val="center"/>
          </w:tcPr>
          <w:p w14:paraId="41732CF4" w14:textId="17D055E9" w:rsidR="00813729" w:rsidRPr="008E534F" w:rsidRDefault="00813729" w:rsidP="00DF2510">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455191">
              <w:t>Fuel</w:t>
            </w:r>
          </w:p>
        </w:tc>
        <w:tc>
          <w:tcPr>
            <w:tcW w:w="995" w:type="pct"/>
            <w:vAlign w:val="center"/>
          </w:tcPr>
          <w:p w14:paraId="401DB8F3" w14:textId="2E7C8D48" w:rsidR="00813729" w:rsidRPr="008E534F" w:rsidRDefault="00813729" w:rsidP="00DF2510">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455191">
              <w:t>Vehicle and powertrain type</w:t>
            </w:r>
          </w:p>
        </w:tc>
        <w:tc>
          <w:tcPr>
            <w:tcW w:w="801" w:type="pct"/>
            <w:vAlign w:val="center"/>
          </w:tcPr>
          <w:p w14:paraId="4F4D0B55" w14:textId="7B44E17D" w:rsidR="00813729" w:rsidRPr="008E534F" w:rsidRDefault="00813729" w:rsidP="00DF2510">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455191">
              <w:t>Slope</w:t>
            </w:r>
          </w:p>
        </w:tc>
        <w:tc>
          <w:tcPr>
            <w:tcW w:w="800" w:type="pct"/>
            <w:vAlign w:val="center"/>
          </w:tcPr>
          <w:p w14:paraId="59B8998A" w14:textId="1C8B6C8D" w:rsidR="00813729" w:rsidRPr="008E534F" w:rsidRDefault="00813729" w:rsidP="00DF2510">
            <w:pPr>
              <w:pStyle w:val="Tablerowcolumnheadingcentred"/>
              <w:keepNext/>
              <w:spacing w:before="0" w:after="0"/>
              <w:cnfStyle w:val="100000000000" w:firstRow="1" w:lastRow="0" w:firstColumn="0" w:lastColumn="0" w:oddVBand="0" w:evenVBand="0" w:oddHBand="0" w:evenHBand="0" w:firstRowFirstColumn="0" w:firstRowLastColumn="0" w:lastRowFirstColumn="0" w:lastRowLastColumn="0"/>
              <w:rPr>
                <w:b/>
                <w:szCs w:val="22"/>
              </w:rPr>
            </w:pPr>
            <w:r w:rsidRPr="00455191">
              <w:t>Intercept (g CO</w:t>
            </w:r>
            <w:r w:rsidRPr="00455191">
              <w:rPr>
                <w:vertAlign w:val="subscript"/>
              </w:rPr>
              <w:t>2</w:t>
            </w:r>
            <w:r w:rsidRPr="00455191">
              <w:t>/km)</w:t>
            </w:r>
          </w:p>
        </w:tc>
      </w:tr>
      <w:tr w:rsidR="00813729" w:rsidRPr="00654F9E" w14:paraId="563F2ED5" w14:textId="77777777" w:rsidTr="00DF2510">
        <w:trPr>
          <w:cantSplit/>
        </w:trPr>
        <w:tc>
          <w:tcPr>
            <w:cnfStyle w:val="001000000000" w:firstRow="0" w:lastRow="0" w:firstColumn="1" w:lastColumn="0" w:oddVBand="0" w:evenVBand="0" w:oddHBand="0" w:evenHBand="0" w:firstRowFirstColumn="0" w:firstRowLastColumn="0" w:lastRowFirstColumn="0" w:lastRowLastColumn="0"/>
            <w:tcW w:w="802" w:type="pct"/>
            <w:vAlign w:val="center"/>
          </w:tcPr>
          <w:p w14:paraId="529A0AC4" w14:textId="688F929C" w:rsidR="00813729" w:rsidRPr="00784126" w:rsidRDefault="00813729" w:rsidP="00DF2510">
            <w:pPr>
              <w:spacing w:before="0" w:after="0"/>
            </w:pPr>
            <w:r w:rsidRPr="00455191">
              <w:t>4p-WLTP</w:t>
            </w:r>
          </w:p>
        </w:tc>
        <w:tc>
          <w:tcPr>
            <w:tcW w:w="802" w:type="pct"/>
          </w:tcPr>
          <w:p w14:paraId="5C0E86E8" w14:textId="7FF8EC2F" w:rsidR="00813729" w:rsidRPr="00784126" w:rsidRDefault="00813729" w:rsidP="00DF2510">
            <w:pPr>
              <w:spacing w:before="0" w:after="0"/>
              <w:cnfStyle w:val="000000000000" w:firstRow="0" w:lastRow="0" w:firstColumn="0" w:lastColumn="0" w:oddVBand="0" w:evenVBand="0" w:oddHBand="0" w:evenHBand="0" w:firstRowFirstColumn="0" w:firstRowLastColumn="0" w:lastRowFirstColumn="0" w:lastRowLastColumn="0"/>
            </w:pPr>
            <w:r w:rsidRPr="00455191">
              <w:t>NEDC</w:t>
            </w:r>
          </w:p>
        </w:tc>
        <w:tc>
          <w:tcPr>
            <w:tcW w:w="802" w:type="pct"/>
          </w:tcPr>
          <w:p w14:paraId="0FE0B80F" w14:textId="1EAE7937" w:rsidR="00813729" w:rsidRPr="00784126" w:rsidRDefault="00813729" w:rsidP="00DF2510">
            <w:pPr>
              <w:spacing w:before="0" w:after="0"/>
              <w:cnfStyle w:val="000000000000" w:firstRow="0" w:lastRow="0" w:firstColumn="0" w:lastColumn="0" w:oddVBand="0" w:evenVBand="0" w:oddHBand="0" w:evenHBand="0" w:firstRowFirstColumn="0" w:firstRowLastColumn="0" w:lastRowFirstColumn="0" w:lastRowLastColumn="0"/>
            </w:pPr>
            <w:r w:rsidRPr="00455191">
              <w:t>Petrol</w:t>
            </w:r>
          </w:p>
        </w:tc>
        <w:tc>
          <w:tcPr>
            <w:tcW w:w="995" w:type="pct"/>
          </w:tcPr>
          <w:p w14:paraId="7A9BE288" w14:textId="62F197A2" w:rsidR="00813729" w:rsidRPr="00784126" w:rsidRDefault="00813729" w:rsidP="00DF2510">
            <w:pPr>
              <w:spacing w:before="0" w:after="0"/>
              <w:cnfStyle w:val="000000000000" w:firstRow="0" w:lastRow="0" w:firstColumn="0" w:lastColumn="0" w:oddVBand="0" w:evenVBand="0" w:oddHBand="0" w:evenHBand="0" w:firstRowFirstColumn="0" w:firstRowLastColumn="0" w:lastRowFirstColumn="0" w:lastRowLastColumn="0"/>
            </w:pPr>
            <w:r w:rsidRPr="00455191">
              <w:t>ICE PCs and LCVs (including HEVs)</w:t>
            </w:r>
          </w:p>
        </w:tc>
        <w:tc>
          <w:tcPr>
            <w:tcW w:w="801" w:type="pct"/>
            <w:vAlign w:val="center"/>
          </w:tcPr>
          <w:p w14:paraId="494E79BC" w14:textId="65194B15" w:rsidR="00813729" w:rsidRPr="00784126" w:rsidRDefault="00813729" w:rsidP="00DF2510">
            <w:pPr>
              <w:spacing w:before="0" w:after="0"/>
              <w:cnfStyle w:val="000000000000" w:firstRow="0" w:lastRow="0" w:firstColumn="0" w:lastColumn="0" w:oddVBand="0" w:evenVBand="0" w:oddHBand="0" w:evenHBand="0" w:firstRowFirstColumn="0" w:firstRowLastColumn="0" w:lastRowFirstColumn="0" w:lastRowLastColumn="0"/>
            </w:pPr>
            <w:r w:rsidRPr="00455191">
              <w:t>0.9294</w:t>
            </w:r>
          </w:p>
        </w:tc>
        <w:tc>
          <w:tcPr>
            <w:tcW w:w="800" w:type="pct"/>
            <w:vAlign w:val="center"/>
          </w:tcPr>
          <w:p w14:paraId="62A104BA" w14:textId="1662558C" w:rsidR="00813729" w:rsidRPr="00784126" w:rsidRDefault="00813729" w:rsidP="00DF2510">
            <w:pPr>
              <w:spacing w:before="0" w:after="0"/>
              <w:cnfStyle w:val="000000000000" w:firstRow="0" w:lastRow="0" w:firstColumn="0" w:lastColumn="0" w:oddVBand="0" w:evenVBand="0" w:oddHBand="0" w:evenHBand="0" w:firstRowFirstColumn="0" w:firstRowLastColumn="0" w:lastRowFirstColumn="0" w:lastRowLastColumn="0"/>
            </w:pPr>
            <w:r w:rsidRPr="00455191">
              <w:t>-13.2248</w:t>
            </w:r>
          </w:p>
        </w:tc>
      </w:tr>
      <w:tr w:rsidR="00813729" w:rsidRPr="00654F9E" w14:paraId="01271297" w14:textId="77777777" w:rsidTr="00DF251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2" w:type="pct"/>
            <w:vAlign w:val="center"/>
          </w:tcPr>
          <w:p w14:paraId="50F4845C" w14:textId="66F8543E" w:rsidR="00813729" w:rsidRPr="00784126" w:rsidRDefault="00813729" w:rsidP="00DF2510">
            <w:pPr>
              <w:spacing w:before="0" w:after="0"/>
            </w:pPr>
            <w:r w:rsidRPr="00455191">
              <w:t>3p-WLTP</w:t>
            </w:r>
          </w:p>
        </w:tc>
        <w:tc>
          <w:tcPr>
            <w:tcW w:w="802" w:type="pct"/>
          </w:tcPr>
          <w:p w14:paraId="089FA1FF" w14:textId="7EE60BF0" w:rsidR="00813729" w:rsidRPr="00784126" w:rsidRDefault="00813729" w:rsidP="00DF2510">
            <w:pPr>
              <w:spacing w:before="0" w:after="0"/>
              <w:cnfStyle w:val="000000010000" w:firstRow="0" w:lastRow="0" w:firstColumn="0" w:lastColumn="0" w:oddVBand="0" w:evenVBand="0" w:oddHBand="0" w:evenHBand="1" w:firstRowFirstColumn="0" w:firstRowLastColumn="0" w:lastRowFirstColumn="0" w:lastRowLastColumn="0"/>
            </w:pPr>
            <w:r w:rsidRPr="00455191">
              <w:t>NEDC</w:t>
            </w:r>
          </w:p>
        </w:tc>
        <w:tc>
          <w:tcPr>
            <w:tcW w:w="802" w:type="pct"/>
          </w:tcPr>
          <w:p w14:paraId="4F17B4AA" w14:textId="2387D45C" w:rsidR="00813729" w:rsidRPr="00784126" w:rsidRDefault="00813729" w:rsidP="00DF2510">
            <w:pPr>
              <w:spacing w:before="0" w:after="0"/>
              <w:cnfStyle w:val="000000010000" w:firstRow="0" w:lastRow="0" w:firstColumn="0" w:lastColumn="0" w:oddVBand="0" w:evenVBand="0" w:oddHBand="0" w:evenHBand="1" w:firstRowFirstColumn="0" w:firstRowLastColumn="0" w:lastRowFirstColumn="0" w:lastRowLastColumn="0"/>
            </w:pPr>
            <w:r w:rsidRPr="00455191">
              <w:t>Petrol</w:t>
            </w:r>
          </w:p>
        </w:tc>
        <w:tc>
          <w:tcPr>
            <w:tcW w:w="995" w:type="pct"/>
          </w:tcPr>
          <w:p w14:paraId="4F86953D" w14:textId="19C1D2C9" w:rsidR="00813729" w:rsidRPr="00784126" w:rsidRDefault="00813729" w:rsidP="00DF2510">
            <w:pPr>
              <w:spacing w:before="0" w:after="0"/>
              <w:cnfStyle w:val="000000010000" w:firstRow="0" w:lastRow="0" w:firstColumn="0" w:lastColumn="0" w:oddVBand="0" w:evenVBand="0" w:oddHBand="0" w:evenHBand="1" w:firstRowFirstColumn="0" w:firstRowLastColumn="0" w:lastRowFirstColumn="0" w:lastRowLastColumn="0"/>
            </w:pPr>
            <w:r w:rsidRPr="00455191">
              <w:t>ICE PCs and LCVs (including HEVs)</w:t>
            </w:r>
          </w:p>
        </w:tc>
        <w:tc>
          <w:tcPr>
            <w:tcW w:w="801" w:type="pct"/>
            <w:vAlign w:val="center"/>
          </w:tcPr>
          <w:p w14:paraId="79181A80" w14:textId="5578AB6F" w:rsidR="00813729" w:rsidRPr="00784126" w:rsidRDefault="00813729" w:rsidP="00DF2510">
            <w:pPr>
              <w:spacing w:before="0" w:after="0"/>
              <w:cnfStyle w:val="000000010000" w:firstRow="0" w:lastRow="0" w:firstColumn="0" w:lastColumn="0" w:oddVBand="0" w:evenVBand="0" w:oddHBand="0" w:evenHBand="1" w:firstRowFirstColumn="0" w:firstRowLastColumn="0" w:lastRowFirstColumn="0" w:lastRowLastColumn="0"/>
            </w:pPr>
            <w:r w:rsidRPr="00455191">
              <w:t>0.7946</w:t>
            </w:r>
          </w:p>
        </w:tc>
        <w:tc>
          <w:tcPr>
            <w:tcW w:w="800" w:type="pct"/>
            <w:vAlign w:val="center"/>
          </w:tcPr>
          <w:p w14:paraId="2CBD9C6F" w14:textId="1155976C" w:rsidR="00813729" w:rsidRPr="00784126" w:rsidRDefault="00813729" w:rsidP="00DF2510">
            <w:pPr>
              <w:spacing w:before="0" w:after="0"/>
              <w:cnfStyle w:val="000000010000" w:firstRow="0" w:lastRow="0" w:firstColumn="0" w:lastColumn="0" w:oddVBand="0" w:evenVBand="0" w:oddHBand="0" w:evenHBand="1" w:firstRowFirstColumn="0" w:firstRowLastColumn="0" w:lastRowFirstColumn="0" w:lastRowLastColumn="0"/>
            </w:pPr>
            <w:r w:rsidRPr="00455191">
              <w:t>11.8702</w:t>
            </w:r>
          </w:p>
        </w:tc>
      </w:tr>
      <w:tr w:rsidR="00813729" w:rsidRPr="00654F9E" w14:paraId="1BB1001B" w14:textId="77777777" w:rsidTr="00DF2510">
        <w:trPr>
          <w:cantSplit/>
        </w:trPr>
        <w:tc>
          <w:tcPr>
            <w:cnfStyle w:val="001000000000" w:firstRow="0" w:lastRow="0" w:firstColumn="1" w:lastColumn="0" w:oddVBand="0" w:evenVBand="0" w:oddHBand="0" w:evenHBand="0" w:firstRowFirstColumn="0" w:firstRowLastColumn="0" w:lastRowFirstColumn="0" w:lastRowLastColumn="0"/>
            <w:tcW w:w="802" w:type="pct"/>
            <w:vAlign w:val="center"/>
          </w:tcPr>
          <w:p w14:paraId="5300CA2D" w14:textId="5FC4CC1A" w:rsidR="00813729" w:rsidRPr="00784126" w:rsidRDefault="00813729" w:rsidP="00DF2510">
            <w:pPr>
              <w:spacing w:before="0" w:after="0"/>
            </w:pPr>
            <w:r w:rsidRPr="00455191">
              <w:t>U.S. 2-cycle</w:t>
            </w:r>
          </w:p>
        </w:tc>
        <w:tc>
          <w:tcPr>
            <w:tcW w:w="802" w:type="pct"/>
          </w:tcPr>
          <w:p w14:paraId="4902FAC5" w14:textId="0CAC8196" w:rsidR="00813729" w:rsidRPr="00784126" w:rsidRDefault="00813729" w:rsidP="00DF2510">
            <w:pPr>
              <w:spacing w:before="0" w:after="0"/>
              <w:cnfStyle w:val="000000000000" w:firstRow="0" w:lastRow="0" w:firstColumn="0" w:lastColumn="0" w:oddVBand="0" w:evenVBand="0" w:oddHBand="0" w:evenHBand="0" w:firstRowFirstColumn="0" w:firstRowLastColumn="0" w:lastRowFirstColumn="0" w:lastRowLastColumn="0"/>
            </w:pPr>
            <w:r w:rsidRPr="00455191">
              <w:t>NEDC</w:t>
            </w:r>
          </w:p>
        </w:tc>
        <w:tc>
          <w:tcPr>
            <w:tcW w:w="802" w:type="pct"/>
          </w:tcPr>
          <w:p w14:paraId="103DDF19" w14:textId="1944C6F3" w:rsidR="00813729" w:rsidRPr="00784126" w:rsidRDefault="00813729" w:rsidP="00DF2510">
            <w:pPr>
              <w:spacing w:before="0" w:after="0"/>
              <w:cnfStyle w:val="000000000000" w:firstRow="0" w:lastRow="0" w:firstColumn="0" w:lastColumn="0" w:oddVBand="0" w:evenVBand="0" w:oddHBand="0" w:evenHBand="0" w:firstRowFirstColumn="0" w:firstRowLastColumn="0" w:lastRowFirstColumn="0" w:lastRowLastColumn="0"/>
            </w:pPr>
            <w:r w:rsidRPr="00455191">
              <w:t>Petrol</w:t>
            </w:r>
          </w:p>
        </w:tc>
        <w:tc>
          <w:tcPr>
            <w:tcW w:w="995" w:type="pct"/>
          </w:tcPr>
          <w:p w14:paraId="6058F757" w14:textId="178731D2" w:rsidR="00813729" w:rsidRPr="00784126" w:rsidRDefault="00813729" w:rsidP="00DF2510">
            <w:pPr>
              <w:spacing w:before="0" w:after="0"/>
              <w:cnfStyle w:val="000000000000" w:firstRow="0" w:lastRow="0" w:firstColumn="0" w:lastColumn="0" w:oddVBand="0" w:evenVBand="0" w:oddHBand="0" w:evenHBand="0" w:firstRowFirstColumn="0" w:firstRowLastColumn="0" w:lastRowFirstColumn="0" w:lastRowLastColumn="0"/>
            </w:pPr>
            <w:r w:rsidRPr="00455191">
              <w:t>ICE PCs and LCVs (including HEVs)</w:t>
            </w:r>
          </w:p>
        </w:tc>
        <w:tc>
          <w:tcPr>
            <w:tcW w:w="801" w:type="pct"/>
            <w:vAlign w:val="center"/>
          </w:tcPr>
          <w:p w14:paraId="5015A57D" w14:textId="1B9EB266" w:rsidR="00813729" w:rsidRPr="00784126" w:rsidRDefault="00813729" w:rsidP="00DF2510">
            <w:pPr>
              <w:spacing w:before="0" w:after="0"/>
              <w:cnfStyle w:val="000000000000" w:firstRow="0" w:lastRow="0" w:firstColumn="0" w:lastColumn="0" w:oddVBand="0" w:evenVBand="0" w:oddHBand="0" w:evenHBand="0" w:firstRowFirstColumn="0" w:firstRowLastColumn="0" w:lastRowFirstColumn="0" w:lastRowLastColumn="0"/>
            </w:pPr>
            <w:r w:rsidRPr="00455191">
              <w:t>0.9849</w:t>
            </w:r>
          </w:p>
        </w:tc>
        <w:tc>
          <w:tcPr>
            <w:tcW w:w="800" w:type="pct"/>
            <w:vAlign w:val="center"/>
          </w:tcPr>
          <w:p w14:paraId="697A80ED" w14:textId="322EB452" w:rsidR="00813729" w:rsidRPr="00784126" w:rsidRDefault="00813729" w:rsidP="00DF2510">
            <w:pPr>
              <w:spacing w:before="0" w:after="0"/>
              <w:cnfStyle w:val="000000000000" w:firstRow="0" w:lastRow="0" w:firstColumn="0" w:lastColumn="0" w:oddVBand="0" w:evenVBand="0" w:oddHBand="0" w:evenHBand="0" w:firstRowFirstColumn="0" w:firstRowLastColumn="0" w:lastRowFirstColumn="0" w:lastRowLastColumn="0"/>
            </w:pPr>
            <w:r w:rsidRPr="00455191">
              <w:t>0.9819</w:t>
            </w:r>
          </w:p>
        </w:tc>
      </w:tr>
      <w:tr w:rsidR="00813729" w:rsidRPr="00654F9E" w14:paraId="10A3436C" w14:textId="77777777" w:rsidTr="00DF251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2" w:type="pct"/>
            <w:vAlign w:val="center"/>
          </w:tcPr>
          <w:p w14:paraId="705DD6E2" w14:textId="6C63C3DD" w:rsidR="00813729" w:rsidRPr="00784126" w:rsidRDefault="00813729" w:rsidP="00DF2510">
            <w:pPr>
              <w:spacing w:before="0" w:after="0"/>
            </w:pPr>
            <w:r w:rsidRPr="00455191">
              <w:t>4p-WLTP</w:t>
            </w:r>
          </w:p>
        </w:tc>
        <w:tc>
          <w:tcPr>
            <w:tcW w:w="802" w:type="pct"/>
          </w:tcPr>
          <w:p w14:paraId="4D444E51" w14:textId="181B3185" w:rsidR="00813729" w:rsidRPr="00784126" w:rsidRDefault="00813729" w:rsidP="00DF2510">
            <w:pPr>
              <w:spacing w:before="0" w:after="0"/>
              <w:cnfStyle w:val="000000010000" w:firstRow="0" w:lastRow="0" w:firstColumn="0" w:lastColumn="0" w:oddVBand="0" w:evenVBand="0" w:oddHBand="0" w:evenHBand="1" w:firstRowFirstColumn="0" w:firstRowLastColumn="0" w:lastRowFirstColumn="0" w:lastRowLastColumn="0"/>
            </w:pPr>
            <w:r w:rsidRPr="00455191">
              <w:t>NEDC</w:t>
            </w:r>
          </w:p>
        </w:tc>
        <w:tc>
          <w:tcPr>
            <w:tcW w:w="802" w:type="pct"/>
          </w:tcPr>
          <w:p w14:paraId="32B7242C" w14:textId="03D3C78F" w:rsidR="00813729" w:rsidRPr="00784126" w:rsidRDefault="00813729" w:rsidP="00DF2510">
            <w:pPr>
              <w:spacing w:before="0" w:after="0"/>
              <w:cnfStyle w:val="000000010000" w:firstRow="0" w:lastRow="0" w:firstColumn="0" w:lastColumn="0" w:oddVBand="0" w:evenVBand="0" w:oddHBand="0" w:evenHBand="1" w:firstRowFirstColumn="0" w:firstRowLastColumn="0" w:lastRowFirstColumn="0" w:lastRowLastColumn="0"/>
            </w:pPr>
            <w:r w:rsidRPr="00455191">
              <w:t>Diesel</w:t>
            </w:r>
          </w:p>
        </w:tc>
        <w:tc>
          <w:tcPr>
            <w:tcW w:w="995" w:type="pct"/>
          </w:tcPr>
          <w:p w14:paraId="5B099C74" w14:textId="5817BF0F" w:rsidR="00813729" w:rsidRPr="00784126" w:rsidRDefault="00813729" w:rsidP="00DF2510">
            <w:pPr>
              <w:spacing w:before="0" w:after="0"/>
              <w:cnfStyle w:val="000000010000" w:firstRow="0" w:lastRow="0" w:firstColumn="0" w:lastColumn="0" w:oddVBand="0" w:evenVBand="0" w:oddHBand="0" w:evenHBand="1" w:firstRowFirstColumn="0" w:firstRowLastColumn="0" w:lastRowFirstColumn="0" w:lastRowLastColumn="0"/>
            </w:pPr>
            <w:r w:rsidRPr="00455191">
              <w:t>ICE PCs (including HEVs)</w:t>
            </w:r>
          </w:p>
        </w:tc>
        <w:tc>
          <w:tcPr>
            <w:tcW w:w="801" w:type="pct"/>
            <w:vAlign w:val="center"/>
          </w:tcPr>
          <w:p w14:paraId="1AC3EDD4" w14:textId="5DD60968" w:rsidR="00813729" w:rsidRPr="00784126" w:rsidRDefault="00813729" w:rsidP="00DF2510">
            <w:pPr>
              <w:spacing w:before="0" w:after="0"/>
              <w:cnfStyle w:val="000000010000" w:firstRow="0" w:lastRow="0" w:firstColumn="0" w:lastColumn="0" w:oddVBand="0" w:evenVBand="0" w:oddHBand="0" w:evenHBand="1" w:firstRowFirstColumn="0" w:firstRowLastColumn="0" w:lastRowFirstColumn="0" w:lastRowLastColumn="0"/>
            </w:pPr>
            <w:r w:rsidRPr="00455191">
              <w:t>0.8075</w:t>
            </w:r>
          </w:p>
        </w:tc>
        <w:tc>
          <w:tcPr>
            <w:tcW w:w="800" w:type="pct"/>
            <w:vAlign w:val="center"/>
          </w:tcPr>
          <w:p w14:paraId="69878FC4" w14:textId="7733CDA5" w:rsidR="00813729" w:rsidRPr="00784126" w:rsidRDefault="00813729" w:rsidP="00DF2510">
            <w:pPr>
              <w:spacing w:before="0" w:after="0"/>
              <w:cnfStyle w:val="000000010000" w:firstRow="0" w:lastRow="0" w:firstColumn="0" w:lastColumn="0" w:oddVBand="0" w:evenVBand="0" w:oddHBand="0" w:evenHBand="1" w:firstRowFirstColumn="0" w:firstRowLastColumn="0" w:lastRowFirstColumn="0" w:lastRowLastColumn="0"/>
            </w:pPr>
            <w:r w:rsidRPr="00455191">
              <w:t>1.8475</w:t>
            </w:r>
          </w:p>
        </w:tc>
      </w:tr>
      <w:tr w:rsidR="00813729" w:rsidRPr="00654F9E" w14:paraId="0FDF5A13" w14:textId="77777777" w:rsidTr="00DF2510">
        <w:trPr>
          <w:cantSplit/>
        </w:trPr>
        <w:tc>
          <w:tcPr>
            <w:cnfStyle w:val="001000000000" w:firstRow="0" w:lastRow="0" w:firstColumn="1" w:lastColumn="0" w:oddVBand="0" w:evenVBand="0" w:oddHBand="0" w:evenHBand="0" w:firstRowFirstColumn="0" w:firstRowLastColumn="0" w:lastRowFirstColumn="0" w:lastRowLastColumn="0"/>
            <w:tcW w:w="802" w:type="pct"/>
            <w:vAlign w:val="center"/>
          </w:tcPr>
          <w:p w14:paraId="625E4B51" w14:textId="4A5DF8B6" w:rsidR="00813729" w:rsidRPr="00784126" w:rsidRDefault="00813729" w:rsidP="00DF2510">
            <w:pPr>
              <w:spacing w:before="0" w:after="0"/>
            </w:pPr>
            <w:r w:rsidRPr="00455191">
              <w:t>3p-WLTP</w:t>
            </w:r>
          </w:p>
        </w:tc>
        <w:tc>
          <w:tcPr>
            <w:tcW w:w="802" w:type="pct"/>
          </w:tcPr>
          <w:p w14:paraId="75A7CA13" w14:textId="696177D8" w:rsidR="00813729" w:rsidRPr="00784126" w:rsidRDefault="00813729" w:rsidP="00DF2510">
            <w:pPr>
              <w:spacing w:before="0" w:after="0"/>
              <w:cnfStyle w:val="000000000000" w:firstRow="0" w:lastRow="0" w:firstColumn="0" w:lastColumn="0" w:oddVBand="0" w:evenVBand="0" w:oddHBand="0" w:evenHBand="0" w:firstRowFirstColumn="0" w:firstRowLastColumn="0" w:lastRowFirstColumn="0" w:lastRowLastColumn="0"/>
            </w:pPr>
            <w:r w:rsidRPr="00455191">
              <w:t>NEDC</w:t>
            </w:r>
          </w:p>
        </w:tc>
        <w:tc>
          <w:tcPr>
            <w:tcW w:w="802" w:type="pct"/>
          </w:tcPr>
          <w:p w14:paraId="33AD2C01" w14:textId="31F60F70" w:rsidR="00813729" w:rsidRPr="00784126" w:rsidRDefault="00813729" w:rsidP="00DF2510">
            <w:pPr>
              <w:spacing w:before="0" w:after="0"/>
              <w:cnfStyle w:val="000000000000" w:firstRow="0" w:lastRow="0" w:firstColumn="0" w:lastColumn="0" w:oddVBand="0" w:evenVBand="0" w:oddHBand="0" w:evenHBand="0" w:firstRowFirstColumn="0" w:firstRowLastColumn="0" w:lastRowFirstColumn="0" w:lastRowLastColumn="0"/>
            </w:pPr>
            <w:r w:rsidRPr="00455191">
              <w:t>Diesel</w:t>
            </w:r>
          </w:p>
        </w:tc>
        <w:tc>
          <w:tcPr>
            <w:tcW w:w="995" w:type="pct"/>
          </w:tcPr>
          <w:p w14:paraId="567C4E65" w14:textId="4180061C" w:rsidR="00813729" w:rsidRPr="00784126" w:rsidRDefault="00813729" w:rsidP="00DF2510">
            <w:pPr>
              <w:spacing w:before="0" w:after="0"/>
              <w:cnfStyle w:val="000000000000" w:firstRow="0" w:lastRow="0" w:firstColumn="0" w:lastColumn="0" w:oddVBand="0" w:evenVBand="0" w:oddHBand="0" w:evenHBand="0" w:firstRowFirstColumn="0" w:firstRowLastColumn="0" w:lastRowFirstColumn="0" w:lastRowLastColumn="0"/>
            </w:pPr>
            <w:r w:rsidRPr="00455191">
              <w:t>ICE PCs (including HEVs)</w:t>
            </w:r>
          </w:p>
        </w:tc>
        <w:tc>
          <w:tcPr>
            <w:tcW w:w="801" w:type="pct"/>
            <w:vAlign w:val="center"/>
          </w:tcPr>
          <w:p w14:paraId="79D86F13" w14:textId="19651E3E" w:rsidR="00813729" w:rsidRPr="00784126" w:rsidRDefault="00813729" w:rsidP="00DF2510">
            <w:pPr>
              <w:spacing w:before="0" w:after="0"/>
              <w:cnfStyle w:val="000000000000" w:firstRow="0" w:lastRow="0" w:firstColumn="0" w:lastColumn="0" w:oddVBand="0" w:evenVBand="0" w:oddHBand="0" w:evenHBand="0" w:firstRowFirstColumn="0" w:firstRowLastColumn="0" w:lastRowFirstColumn="0" w:lastRowLastColumn="0"/>
            </w:pPr>
            <w:r w:rsidRPr="00455191">
              <w:t>0.7773</w:t>
            </w:r>
          </w:p>
        </w:tc>
        <w:tc>
          <w:tcPr>
            <w:tcW w:w="800" w:type="pct"/>
            <w:vAlign w:val="center"/>
          </w:tcPr>
          <w:p w14:paraId="7F2A2BCD" w14:textId="5745E832" w:rsidR="00813729" w:rsidRPr="00784126" w:rsidRDefault="00813729" w:rsidP="00DF2510">
            <w:pPr>
              <w:spacing w:before="0" w:after="0"/>
              <w:cnfStyle w:val="000000000000" w:firstRow="0" w:lastRow="0" w:firstColumn="0" w:lastColumn="0" w:oddVBand="0" w:evenVBand="0" w:oddHBand="0" w:evenHBand="0" w:firstRowFirstColumn="0" w:firstRowLastColumn="0" w:lastRowFirstColumn="0" w:lastRowLastColumn="0"/>
            </w:pPr>
            <w:r w:rsidRPr="00455191">
              <w:t>10.0080</w:t>
            </w:r>
          </w:p>
        </w:tc>
      </w:tr>
      <w:tr w:rsidR="00813729" w:rsidRPr="00654F9E" w14:paraId="7C19D69F" w14:textId="77777777" w:rsidTr="00DF251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2" w:type="pct"/>
            <w:vAlign w:val="center"/>
          </w:tcPr>
          <w:p w14:paraId="1CDA02E9" w14:textId="121B28AD" w:rsidR="00813729" w:rsidRPr="00784126" w:rsidRDefault="00813729" w:rsidP="00DF2510">
            <w:pPr>
              <w:spacing w:before="0" w:after="0"/>
            </w:pPr>
            <w:r w:rsidRPr="00455191">
              <w:t>U.S. 2-cycle</w:t>
            </w:r>
          </w:p>
        </w:tc>
        <w:tc>
          <w:tcPr>
            <w:tcW w:w="802" w:type="pct"/>
          </w:tcPr>
          <w:p w14:paraId="72AE5E1D" w14:textId="04B0089B" w:rsidR="00813729" w:rsidRPr="00455191" w:rsidRDefault="00813729" w:rsidP="00DF2510">
            <w:pPr>
              <w:spacing w:before="0" w:after="0"/>
              <w:cnfStyle w:val="000000010000" w:firstRow="0" w:lastRow="0" w:firstColumn="0" w:lastColumn="0" w:oddVBand="0" w:evenVBand="0" w:oddHBand="0" w:evenHBand="1" w:firstRowFirstColumn="0" w:firstRowLastColumn="0" w:lastRowFirstColumn="0" w:lastRowLastColumn="0"/>
            </w:pPr>
            <w:r w:rsidRPr="00455191">
              <w:t>NEDC</w:t>
            </w:r>
          </w:p>
        </w:tc>
        <w:tc>
          <w:tcPr>
            <w:tcW w:w="802" w:type="pct"/>
          </w:tcPr>
          <w:p w14:paraId="265D6497" w14:textId="01B6B493" w:rsidR="00813729" w:rsidRPr="00784126" w:rsidRDefault="00813729" w:rsidP="00DF2510">
            <w:pPr>
              <w:spacing w:before="0" w:after="0"/>
              <w:cnfStyle w:val="000000010000" w:firstRow="0" w:lastRow="0" w:firstColumn="0" w:lastColumn="0" w:oddVBand="0" w:evenVBand="0" w:oddHBand="0" w:evenHBand="1" w:firstRowFirstColumn="0" w:firstRowLastColumn="0" w:lastRowFirstColumn="0" w:lastRowLastColumn="0"/>
            </w:pPr>
            <w:r w:rsidRPr="00455191">
              <w:t>Diesel</w:t>
            </w:r>
          </w:p>
        </w:tc>
        <w:tc>
          <w:tcPr>
            <w:tcW w:w="995" w:type="pct"/>
          </w:tcPr>
          <w:p w14:paraId="67E8B79D" w14:textId="5D2937AF" w:rsidR="00813729" w:rsidRPr="00784126" w:rsidRDefault="00813729" w:rsidP="00DF2510">
            <w:pPr>
              <w:spacing w:before="0" w:after="0"/>
              <w:cnfStyle w:val="000000010000" w:firstRow="0" w:lastRow="0" w:firstColumn="0" w:lastColumn="0" w:oddVBand="0" w:evenVBand="0" w:oddHBand="0" w:evenHBand="1" w:firstRowFirstColumn="0" w:firstRowLastColumn="0" w:lastRowFirstColumn="0" w:lastRowLastColumn="0"/>
            </w:pPr>
            <w:r w:rsidRPr="00455191">
              <w:t>ICE PCs (including HEVs)</w:t>
            </w:r>
          </w:p>
        </w:tc>
        <w:tc>
          <w:tcPr>
            <w:tcW w:w="801" w:type="pct"/>
            <w:vAlign w:val="center"/>
          </w:tcPr>
          <w:p w14:paraId="65D8FC2B" w14:textId="2FE99E6E" w:rsidR="00813729" w:rsidRPr="00784126" w:rsidRDefault="00813729" w:rsidP="00DF2510">
            <w:pPr>
              <w:spacing w:before="0" w:after="0"/>
              <w:cnfStyle w:val="000000010000" w:firstRow="0" w:lastRow="0" w:firstColumn="0" w:lastColumn="0" w:oddVBand="0" w:evenVBand="0" w:oddHBand="0" w:evenHBand="1" w:firstRowFirstColumn="0" w:firstRowLastColumn="0" w:lastRowFirstColumn="0" w:lastRowLastColumn="0"/>
            </w:pPr>
            <w:r w:rsidRPr="00455191">
              <w:t>1.0478</w:t>
            </w:r>
          </w:p>
        </w:tc>
        <w:tc>
          <w:tcPr>
            <w:tcW w:w="800" w:type="pct"/>
            <w:vAlign w:val="center"/>
          </w:tcPr>
          <w:p w14:paraId="504EDA4F" w14:textId="306FBAC1" w:rsidR="00813729" w:rsidRPr="00784126" w:rsidRDefault="00813729" w:rsidP="00DF2510">
            <w:pPr>
              <w:spacing w:before="0" w:after="0"/>
              <w:cnfStyle w:val="000000010000" w:firstRow="0" w:lastRow="0" w:firstColumn="0" w:lastColumn="0" w:oddVBand="0" w:evenVBand="0" w:oddHBand="0" w:evenHBand="1" w:firstRowFirstColumn="0" w:firstRowLastColumn="0" w:lastRowFirstColumn="0" w:lastRowLastColumn="0"/>
            </w:pPr>
            <w:r w:rsidRPr="00455191">
              <w:t>-3.0061</w:t>
            </w:r>
          </w:p>
        </w:tc>
      </w:tr>
      <w:tr w:rsidR="00E928AE" w:rsidRPr="00654F9E" w14:paraId="0F6E1B7C" w14:textId="77777777" w:rsidTr="00DF2510">
        <w:trPr>
          <w:cantSplit/>
        </w:trPr>
        <w:tc>
          <w:tcPr>
            <w:cnfStyle w:val="001000000000" w:firstRow="0" w:lastRow="0" w:firstColumn="1" w:lastColumn="0" w:oddVBand="0" w:evenVBand="0" w:oddHBand="0" w:evenHBand="0" w:firstRowFirstColumn="0" w:firstRowLastColumn="0" w:lastRowFirstColumn="0" w:lastRowLastColumn="0"/>
            <w:tcW w:w="802" w:type="pct"/>
            <w:vAlign w:val="center"/>
          </w:tcPr>
          <w:p w14:paraId="3843F028" w14:textId="46A42F07" w:rsidR="00E928AE" w:rsidRPr="00784126" w:rsidRDefault="00E928AE" w:rsidP="00DF2510">
            <w:pPr>
              <w:spacing w:before="0" w:after="0"/>
            </w:pPr>
            <w:r w:rsidRPr="00455191">
              <w:t>4p-WLTP</w:t>
            </w:r>
          </w:p>
        </w:tc>
        <w:tc>
          <w:tcPr>
            <w:tcW w:w="802" w:type="pct"/>
          </w:tcPr>
          <w:p w14:paraId="2161132A" w14:textId="373D8A4A" w:rsidR="00E928AE" w:rsidRPr="00455191" w:rsidRDefault="00E928AE" w:rsidP="00DF2510">
            <w:pPr>
              <w:spacing w:before="0" w:after="0"/>
              <w:cnfStyle w:val="000000000000" w:firstRow="0" w:lastRow="0" w:firstColumn="0" w:lastColumn="0" w:oddVBand="0" w:evenVBand="0" w:oddHBand="0" w:evenHBand="0" w:firstRowFirstColumn="0" w:firstRowLastColumn="0" w:lastRowFirstColumn="0" w:lastRowLastColumn="0"/>
            </w:pPr>
            <w:r w:rsidRPr="00455191">
              <w:t>NEDC</w:t>
            </w:r>
          </w:p>
        </w:tc>
        <w:tc>
          <w:tcPr>
            <w:tcW w:w="802" w:type="pct"/>
          </w:tcPr>
          <w:p w14:paraId="2428E390" w14:textId="2464A123" w:rsidR="00E928AE" w:rsidRPr="00784126" w:rsidRDefault="00E928AE" w:rsidP="00DF2510">
            <w:pPr>
              <w:spacing w:before="0" w:after="0"/>
              <w:cnfStyle w:val="000000000000" w:firstRow="0" w:lastRow="0" w:firstColumn="0" w:lastColumn="0" w:oddVBand="0" w:evenVBand="0" w:oddHBand="0" w:evenHBand="0" w:firstRowFirstColumn="0" w:firstRowLastColumn="0" w:lastRowFirstColumn="0" w:lastRowLastColumn="0"/>
            </w:pPr>
            <w:r w:rsidRPr="00455191">
              <w:t>Diesel</w:t>
            </w:r>
          </w:p>
        </w:tc>
        <w:tc>
          <w:tcPr>
            <w:tcW w:w="995" w:type="pct"/>
          </w:tcPr>
          <w:p w14:paraId="4FAED2B8" w14:textId="3CA441B9" w:rsidR="00E928AE" w:rsidRPr="00784126" w:rsidRDefault="00E928AE" w:rsidP="00DF2510">
            <w:pPr>
              <w:spacing w:before="0" w:after="0"/>
              <w:cnfStyle w:val="000000000000" w:firstRow="0" w:lastRow="0" w:firstColumn="0" w:lastColumn="0" w:oddVBand="0" w:evenVBand="0" w:oddHBand="0" w:evenHBand="0" w:firstRowFirstColumn="0" w:firstRowLastColumn="0" w:lastRowFirstColumn="0" w:lastRowLastColumn="0"/>
            </w:pPr>
            <w:r w:rsidRPr="00455191">
              <w:t>ICE LCVs (including HEVs)</w:t>
            </w:r>
          </w:p>
        </w:tc>
        <w:tc>
          <w:tcPr>
            <w:tcW w:w="801" w:type="pct"/>
            <w:vAlign w:val="center"/>
          </w:tcPr>
          <w:p w14:paraId="00D6BAA8" w14:textId="4AAA8B27" w:rsidR="00E928AE" w:rsidRPr="00784126" w:rsidRDefault="00E928AE" w:rsidP="00DF2510">
            <w:pPr>
              <w:spacing w:before="0" w:after="0"/>
              <w:cnfStyle w:val="000000000000" w:firstRow="0" w:lastRow="0" w:firstColumn="0" w:lastColumn="0" w:oddVBand="0" w:evenVBand="0" w:oddHBand="0" w:evenHBand="0" w:firstRowFirstColumn="0" w:firstRowLastColumn="0" w:lastRowFirstColumn="0" w:lastRowLastColumn="0"/>
            </w:pPr>
            <w:r w:rsidRPr="00455191">
              <w:t>0.7633</w:t>
            </w:r>
          </w:p>
        </w:tc>
        <w:tc>
          <w:tcPr>
            <w:tcW w:w="800" w:type="pct"/>
            <w:vAlign w:val="center"/>
          </w:tcPr>
          <w:p w14:paraId="48C38264" w14:textId="0BA933A2" w:rsidR="00E928AE" w:rsidRPr="00784126" w:rsidRDefault="00E928AE" w:rsidP="00DF2510">
            <w:pPr>
              <w:spacing w:before="0" w:after="0"/>
              <w:cnfStyle w:val="000000000000" w:firstRow="0" w:lastRow="0" w:firstColumn="0" w:lastColumn="0" w:oddVBand="0" w:evenVBand="0" w:oddHBand="0" w:evenHBand="0" w:firstRowFirstColumn="0" w:firstRowLastColumn="0" w:lastRowFirstColumn="0" w:lastRowLastColumn="0"/>
            </w:pPr>
            <w:r w:rsidRPr="00455191">
              <w:t>1.0199</w:t>
            </w:r>
          </w:p>
        </w:tc>
      </w:tr>
      <w:tr w:rsidR="00E928AE" w:rsidRPr="00654F9E" w14:paraId="122C7C6B" w14:textId="77777777" w:rsidTr="00DF251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2" w:type="pct"/>
            <w:vAlign w:val="center"/>
          </w:tcPr>
          <w:p w14:paraId="4C400ADD" w14:textId="23AD0573" w:rsidR="00E928AE" w:rsidRPr="00784126" w:rsidRDefault="00E928AE" w:rsidP="00DF2510">
            <w:pPr>
              <w:spacing w:before="0" w:after="0"/>
            </w:pPr>
            <w:r w:rsidRPr="00455191">
              <w:lastRenderedPageBreak/>
              <w:t>3p-WLTP</w:t>
            </w:r>
          </w:p>
        </w:tc>
        <w:tc>
          <w:tcPr>
            <w:tcW w:w="802" w:type="pct"/>
          </w:tcPr>
          <w:p w14:paraId="4FEDB0C0" w14:textId="35F37C3E" w:rsidR="00E928AE" w:rsidRPr="00455191" w:rsidRDefault="00E928AE" w:rsidP="00DF2510">
            <w:pPr>
              <w:spacing w:before="0" w:after="0"/>
              <w:cnfStyle w:val="000000010000" w:firstRow="0" w:lastRow="0" w:firstColumn="0" w:lastColumn="0" w:oddVBand="0" w:evenVBand="0" w:oddHBand="0" w:evenHBand="1" w:firstRowFirstColumn="0" w:firstRowLastColumn="0" w:lastRowFirstColumn="0" w:lastRowLastColumn="0"/>
            </w:pPr>
            <w:r w:rsidRPr="00455191">
              <w:t>NEDC</w:t>
            </w:r>
          </w:p>
        </w:tc>
        <w:tc>
          <w:tcPr>
            <w:tcW w:w="802" w:type="pct"/>
          </w:tcPr>
          <w:p w14:paraId="6CA2A83D" w14:textId="783181A6" w:rsidR="00E928AE" w:rsidRPr="00784126" w:rsidRDefault="00E928AE" w:rsidP="00DF2510">
            <w:pPr>
              <w:spacing w:before="0" w:after="0"/>
              <w:cnfStyle w:val="000000010000" w:firstRow="0" w:lastRow="0" w:firstColumn="0" w:lastColumn="0" w:oddVBand="0" w:evenVBand="0" w:oddHBand="0" w:evenHBand="1" w:firstRowFirstColumn="0" w:firstRowLastColumn="0" w:lastRowFirstColumn="0" w:lastRowLastColumn="0"/>
            </w:pPr>
            <w:r w:rsidRPr="00455191">
              <w:t>Diesel</w:t>
            </w:r>
          </w:p>
        </w:tc>
        <w:tc>
          <w:tcPr>
            <w:tcW w:w="995" w:type="pct"/>
          </w:tcPr>
          <w:p w14:paraId="371D1AFB" w14:textId="3778A80F" w:rsidR="00E928AE" w:rsidRPr="00784126" w:rsidRDefault="00E928AE" w:rsidP="00DF2510">
            <w:pPr>
              <w:spacing w:before="0" w:after="0"/>
              <w:cnfStyle w:val="000000010000" w:firstRow="0" w:lastRow="0" w:firstColumn="0" w:lastColumn="0" w:oddVBand="0" w:evenVBand="0" w:oddHBand="0" w:evenHBand="1" w:firstRowFirstColumn="0" w:firstRowLastColumn="0" w:lastRowFirstColumn="0" w:lastRowLastColumn="0"/>
            </w:pPr>
            <w:r w:rsidRPr="00455191">
              <w:t>ICE LCVs (including HEVs)</w:t>
            </w:r>
          </w:p>
        </w:tc>
        <w:tc>
          <w:tcPr>
            <w:tcW w:w="801" w:type="pct"/>
            <w:vAlign w:val="center"/>
          </w:tcPr>
          <w:p w14:paraId="72A0DB88" w14:textId="752E86DE" w:rsidR="00E928AE" w:rsidRPr="00784126" w:rsidRDefault="00E928AE" w:rsidP="00DF2510">
            <w:pPr>
              <w:spacing w:before="0" w:after="0"/>
              <w:cnfStyle w:val="000000010000" w:firstRow="0" w:lastRow="0" w:firstColumn="0" w:lastColumn="0" w:oddVBand="0" w:evenVBand="0" w:oddHBand="0" w:evenHBand="1" w:firstRowFirstColumn="0" w:firstRowLastColumn="0" w:lastRowFirstColumn="0" w:lastRowLastColumn="0"/>
            </w:pPr>
            <w:r w:rsidRPr="0078315D">
              <w:t>0.7347</w:t>
            </w:r>
          </w:p>
        </w:tc>
        <w:tc>
          <w:tcPr>
            <w:tcW w:w="800" w:type="pct"/>
            <w:vAlign w:val="center"/>
          </w:tcPr>
          <w:p w14:paraId="2012F422" w14:textId="14F8FB9F" w:rsidR="00E928AE" w:rsidRPr="00784126" w:rsidRDefault="00E928AE" w:rsidP="00DF2510">
            <w:pPr>
              <w:spacing w:before="0" w:after="0"/>
              <w:cnfStyle w:val="000000010000" w:firstRow="0" w:lastRow="0" w:firstColumn="0" w:lastColumn="0" w:oddVBand="0" w:evenVBand="0" w:oddHBand="0" w:evenHBand="1" w:firstRowFirstColumn="0" w:firstRowLastColumn="0" w:lastRowFirstColumn="0" w:lastRowLastColumn="0"/>
            </w:pPr>
            <w:r w:rsidRPr="0078315D">
              <w:t>8.7332</w:t>
            </w:r>
          </w:p>
        </w:tc>
      </w:tr>
      <w:tr w:rsidR="00E928AE" w:rsidRPr="00654F9E" w14:paraId="48F17085" w14:textId="77777777" w:rsidTr="00DF2510">
        <w:trPr>
          <w:cantSplit/>
        </w:trPr>
        <w:tc>
          <w:tcPr>
            <w:cnfStyle w:val="001000000000" w:firstRow="0" w:lastRow="0" w:firstColumn="1" w:lastColumn="0" w:oddVBand="0" w:evenVBand="0" w:oddHBand="0" w:evenHBand="0" w:firstRowFirstColumn="0" w:firstRowLastColumn="0" w:lastRowFirstColumn="0" w:lastRowLastColumn="0"/>
            <w:tcW w:w="802" w:type="pct"/>
            <w:vAlign w:val="center"/>
          </w:tcPr>
          <w:p w14:paraId="44B97C7E" w14:textId="3FB6C174" w:rsidR="00E928AE" w:rsidRPr="00784126" w:rsidRDefault="00E928AE" w:rsidP="00DF2510">
            <w:pPr>
              <w:spacing w:before="0" w:after="0"/>
            </w:pPr>
            <w:r w:rsidRPr="00455191">
              <w:t>U.S. 2-cycle</w:t>
            </w:r>
          </w:p>
        </w:tc>
        <w:tc>
          <w:tcPr>
            <w:tcW w:w="802" w:type="pct"/>
          </w:tcPr>
          <w:p w14:paraId="1AE9C046" w14:textId="3E666F10" w:rsidR="00E928AE" w:rsidRPr="00455191" w:rsidRDefault="00E928AE" w:rsidP="00DF2510">
            <w:pPr>
              <w:spacing w:before="0" w:after="0"/>
              <w:cnfStyle w:val="000000000000" w:firstRow="0" w:lastRow="0" w:firstColumn="0" w:lastColumn="0" w:oddVBand="0" w:evenVBand="0" w:oddHBand="0" w:evenHBand="0" w:firstRowFirstColumn="0" w:firstRowLastColumn="0" w:lastRowFirstColumn="0" w:lastRowLastColumn="0"/>
            </w:pPr>
            <w:r w:rsidRPr="00455191">
              <w:t>NEDC</w:t>
            </w:r>
          </w:p>
        </w:tc>
        <w:tc>
          <w:tcPr>
            <w:tcW w:w="802" w:type="pct"/>
          </w:tcPr>
          <w:p w14:paraId="1481F062" w14:textId="226C596C" w:rsidR="00E928AE" w:rsidRPr="00784126" w:rsidRDefault="00E928AE" w:rsidP="00DF2510">
            <w:pPr>
              <w:spacing w:before="0" w:after="0"/>
              <w:cnfStyle w:val="000000000000" w:firstRow="0" w:lastRow="0" w:firstColumn="0" w:lastColumn="0" w:oddVBand="0" w:evenVBand="0" w:oddHBand="0" w:evenHBand="0" w:firstRowFirstColumn="0" w:firstRowLastColumn="0" w:lastRowFirstColumn="0" w:lastRowLastColumn="0"/>
            </w:pPr>
            <w:r w:rsidRPr="00455191">
              <w:t>Diesel</w:t>
            </w:r>
          </w:p>
        </w:tc>
        <w:tc>
          <w:tcPr>
            <w:tcW w:w="995" w:type="pct"/>
          </w:tcPr>
          <w:p w14:paraId="57EFA6DB" w14:textId="344DB8DA" w:rsidR="00E928AE" w:rsidRPr="00784126" w:rsidRDefault="00E928AE" w:rsidP="00DF2510">
            <w:pPr>
              <w:spacing w:before="0" w:after="0"/>
              <w:cnfStyle w:val="000000000000" w:firstRow="0" w:lastRow="0" w:firstColumn="0" w:lastColumn="0" w:oddVBand="0" w:evenVBand="0" w:oddHBand="0" w:evenHBand="0" w:firstRowFirstColumn="0" w:firstRowLastColumn="0" w:lastRowFirstColumn="0" w:lastRowLastColumn="0"/>
            </w:pPr>
            <w:r w:rsidRPr="00455191">
              <w:t>ICE LCVs (including HEVs)</w:t>
            </w:r>
          </w:p>
        </w:tc>
        <w:tc>
          <w:tcPr>
            <w:tcW w:w="801" w:type="pct"/>
            <w:vAlign w:val="center"/>
          </w:tcPr>
          <w:p w14:paraId="1FE115CC" w14:textId="2ED9B7BD" w:rsidR="00E928AE" w:rsidRPr="00784126" w:rsidRDefault="00E928AE" w:rsidP="00DF2510">
            <w:pPr>
              <w:spacing w:before="0" w:after="0"/>
              <w:cnfStyle w:val="000000000000" w:firstRow="0" w:lastRow="0" w:firstColumn="0" w:lastColumn="0" w:oddVBand="0" w:evenVBand="0" w:oddHBand="0" w:evenHBand="0" w:firstRowFirstColumn="0" w:firstRowLastColumn="0" w:lastRowFirstColumn="0" w:lastRowLastColumn="0"/>
            </w:pPr>
            <w:r w:rsidRPr="00455191">
              <w:t>1.0419</w:t>
            </w:r>
          </w:p>
        </w:tc>
        <w:tc>
          <w:tcPr>
            <w:tcW w:w="800" w:type="pct"/>
            <w:vAlign w:val="center"/>
          </w:tcPr>
          <w:p w14:paraId="190DFEB7" w14:textId="716A913E" w:rsidR="00E928AE" w:rsidRPr="00784126" w:rsidRDefault="00E928AE" w:rsidP="00DF2510">
            <w:pPr>
              <w:spacing w:before="0" w:after="0"/>
              <w:cnfStyle w:val="000000000000" w:firstRow="0" w:lastRow="0" w:firstColumn="0" w:lastColumn="0" w:oddVBand="0" w:evenVBand="0" w:oddHBand="0" w:evenHBand="0" w:firstRowFirstColumn="0" w:firstRowLastColumn="0" w:lastRowFirstColumn="0" w:lastRowLastColumn="0"/>
            </w:pPr>
            <w:r w:rsidRPr="00455191">
              <w:t>-3.2551</w:t>
            </w:r>
          </w:p>
        </w:tc>
      </w:tr>
      <w:tr w:rsidR="00E928AE" w:rsidRPr="00654F9E" w14:paraId="76830DEC" w14:textId="77777777" w:rsidTr="00DF251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2" w:type="pct"/>
            <w:vAlign w:val="center"/>
          </w:tcPr>
          <w:p w14:paraId="28C46ED5" w14:textId="5D29EA02" w:rsidR="00E928AE" w:rsidRPr="00784126" w:rsidRDefault="00E928AE" w:rsidP="00DF2510">
            <w:pPr>
              <w:spacing w:before="0" w:after="0"/>
            </w:pPr>
            <w:r w:rsidRPr="00455191">
              <w:t>4p-WLTP</w:t>
            </w:r>
          </w:p>
        </w:tc>
        <w:tc>
          <w:tcPr>
            <w:tcW w:w="802" w:type="pct"/>
          </w:tcPr>
          <w:p w14:paraId="12DCB3F4" w14:textId="579905C4" w:rsidR="00E928AE" w:rsidRPr="00455191" w:rsidRDefault="00E928AE" w:rsidP="00DF2510">
            <w:pPr>
              <w:spacing w:before="0" w:after="0"/>
              <w:cnfStyle w:val="000000010000" w:firstRow="0" w:lastRow="0" w:firstColumn="0" w:lastColumn="0" w:oddVBand="0" w:evenVBand="0" w:oddHBand="0" w:evenHBand="1" w:firstRowFirstColumn="0" w:firstRowLastColumn="0" w:lastRowFirstColumn="0" w:lastRowLastColumn="0"/>
            </w:pPr>
            <w:r w:rsidRPr="00455191">
              <w:t>NEDC</w:t>
            </w:r>
          </w:p>
        </w:tc>
        <w:tc>
          <w:tcPr>
            <w:tcW w:w="802" w:type="pct"/>
          </w:tcPr>
          <w:p w14:paraId="37F05190" w14:textId="295AAFE0" w:rsidR="00E928AE" w:rsidRPr="00784126" w:rsidRDefault="00E928AE" w:rsidP="00DF2510">
            <w:pPr>
              <w:spacing w:before="0" w:after="0"/>
              <w:cnfStyle w:val="000000010000" w:firstRow="0" w:lastRow="0" w:firstColumn="0" w:lastColumn="0" w:oddVBand="0" w:evenVBand="0" w:oddHBand="0" w:evenHBand="1" w:firstRowFirstColumn="0" w:firstRowLastColumn="0" w:lastRowFirstColumn="0" w:lastRowLastColumn="0"/>
            </w:pPr>
            <w:r w:rsidRPr="00455191">
              <w:t>Petrol</w:t>
            </w:r>
          </w:p>
        </w:tc>
        <w:tc>
          <w:tcPr>
            <w:tcW w:w="995" w:type="pct"/>
            <w:vAlign w:val="center"/>
          </w:tcPr>
          <w:p w14:paraId="1975C473" w14:textId="1FDD79E9" w:rsidR="00E928AE" w:rsidRPr="00784126" w:rsidRDefault="00E928AE" w:rsidP="00DF2510">
            <w:pPr>
              <w:spacing w:before="0" w:after="0"/>
              <w:cnfStyle w:val="000000010000" w:firstRow="0" w:lastRow="0" w:firstColumn="0" w:lastColumn="0" w:oddVBand="0" w:evenVBand="0" w:oddHBand="0" w:evenHBand="1" w:firstRowFirstColumn="0" w:firstRowLastColumn="0" w:lastRowFirstColumn="0" w:lastRowLastColumn="0"/>
            </w:pPr>
            <w:r w:rsidRPr="00455191">
              <w:t>PHEV PCs and LCVs</w:t>
            </w:r>
          </w:p>
        </w:tc>
        <w:tc>
          <w:tcPr>
            <w:tcW w:w="801" w:type="pct"/>
            <w:vAlign w:val="center"/>
          </w:tcPr>
          <w:p w14:paraId="55FE4006" w14:textId="0E9AA7F4" w:rsidR="00E928AE" w:rsidRPr="00784126" w:rsidRDefault="00E928AE" w:rsidP="00DF2510">
            <w:pPr>
              <w:spacing w:before="0" w:after="0"/>
              <w:cnfStyle w:val="000000010000" w:firstRow="0" w:lastRow="0" w:firstColumn="0" w:lastColumn="0" w:oddVBand="0" w:evenVBand="0" w:oddHBand="0" w:evenHBand="1" w:firstRowFirstColumn="0" w:firstRowLastColumn="0" w:lastRowFirstColumn="0" w:lastRowLastColumn="0"/>
            </w:pPr>
            <w:r w:rsidRPr="00455191">
              <w:rPr>
                <w:rFonts w:eastAsiaTheme="minorEastAsia"/>
              </w:rPr>
              <w:t>0.6879</w:t>
            </w:r>
          </w:p>
        </w:tc>
        <w:tc>
          <w:tcPr>
            <w:tcW w:w="800" w:type="pct"/>
            <w:vAlign w:val="center"/>
          </w:tcPr>
          <w:p w14:paraId="15EB14A0" w14:textId="5E29F9FB" w:rsidR="00E928AE" w:rsidRPr="00784126" w:rsidRDefault="00E928AE" w:rsidP="00DF2510">
            <w:pPr>
              <w:spacing w:before="0" w:after="0"/>
              <w:cnfStyle w:val="000000010000" w:firstRow="0" w:lastRow="0" w:firstColumn="0" w:lastColumn="0" w:oddVBand="0" w:evenVBand="0" w:oddHBand="0" w:evenHBand="1" w:firstRowFirstColumn="0" w:firstRowLastColumn="0" w:lastRowFirstColumn="0" w:lastRowLastColumn="0"/>
            </w:pPr>
            <w:r w:rsidRPr="00455191">
              <w:rPr>
                <w:rFonts w:eastAsiaTheme="minorEastAsia"/>
              </w:rPr>
              <w:t>13.9135</w:t>
            </w:r>
          </w:p>
        </w:tc>
      </w:tr>
      <w:tr w:rsidR="00E928AE" w:rsidRPr="00654F9E" w14:paraId="3387759A" w14:textId="77777777" w:rsidTr="00DF2510">
        <w:trPr>
          <w:cantSplit/>
        </w:trPr>
        <w:tc>
          <w:tcPr>
            <w:cnfStyle w:val="001000000000" w:firstRow="0" w:lastRow="0" w:firstColumn="1" w:lastColumn="0" w:oddVBand="0" w:evenVBand="0" w:oddHBand="0" w:evenHBand="0" w:firstRowFirstColumn="0" w:firstRowLastColumn="0" w:lastRowFirstColumn="0" w:lastRowLastColumn="0"/>
            <w:tcW w:w="802" w:type="pct"/>
            <w:vAlign w:val="center"/>
          </w:tcPr>
          <w:p w14:paraId="31A14B38" w14:textId="2C0325B8" w:rsidR="00E928AE" w:rsidRPr="00784126" w:rsidRDefault="00E928AE" w:rsidP="00DF2510">
            <w:pPr>
              <w:spacing w:before="0" w:after="0"/>
            </w:pPr>
            <w:r w:rsidRPr="00455191">
              <w:t>4p-WLTP</w:t>
            </w:r>
          </w:p>
        </w:tc>
        <w:tc>
          <w:tcPr>
            <w:tcW w:w="802" w:type="pct"/>
          </w:tcPr>
          <w:p w14:paraId="13CF6296" w14:textId="39CAF1E3" w:rsidR="00E928AE" w:rsidRPr="00455191" w:rsidRDefault="00E928AE" w:rsidP="00DF2510">
            <w:pPr>
              <w:spacing w:before="0" w:after="0"/>
              <w:cnfStyle w:val="000000000000" w:firstRow="0" w:lastRow="0" w:firstColumn="0" w:lastColumn="0" w:oddVBand="0" w:evenVBand="0" w:oddHBand="0" w:evenHBand="0" w:firstRowFirstColumn="0" w:firstRowLastColumn="0" w:lastRowFirstColumn="0" w:lastRowLastColumn="0"/>
            </w:pPr>
            <w:r w:rsidRPr="00455191">
              <w:t>NEDC</w:t>
            </w:r>
          </w:p>
        </w:tc>
        <w:tc>
          <w:tcPr>
            <w:tcW w:w="802" w:type="pct"/>
          </w:tcPr>
          <w:p w14:paraId="1605D3A9" w14:textId="6610E0B8" w:rsidR="00E928AE" w:rsidRPr="00784126" w:rsidRDefault="00E928AE" w:rsidP="00DF2510">
            <w:pPr>
              <w:spacing w:before="0" w:after="0"/>
              <w:cnfStyle w:val="000000000000" w:firstRow="0" w:lastRow="0" w:firstColumn="0" w:lastColumn="0" w:oddVBand="0" w:evenVBand="0" w:oddHBand="0" w:evenHBand="0" w:firstRowFirstColumn="0" w:firstRowLastColumn="0" w:lastRowFirstColumn="0" w:lastRowLastColumn="0"/>
            </w:pPr>
            <w:r w:rsidRPr="00455191">
              <w:t>Diesel</w:t>
            </w:r>
          </w:p>
        </w:tc>
        <w:tc>
          <w:tcPr>
            <w:tcW w:w="995" w:type="pct"/>
            <w:vAlign w:val="center"/>
          </w:tcPr>
          <w:p w14:paraId="7895B296" w14:textId="0B67F0D2" w:rsidR="00E928AE" w:rsidRPr="00784126" w:rsidRDefault="00E928AE" w:rsidP="00DF2510">
            <w:pPr>
              <w:spacing w:before="0" w:after="0"/>
              <w:cnfStyle w:val="000000000000" w:firstRow="0" w:lastRow="0" w:firstColumn="0" w:lastColumn="0" w:oddVBand="0" w:evenVBand="0" w:oddHBand="0" w:evenHBand="0" w:firstRowFirstColumn="0" w:firstRowLastColumn="0" w:lastRowFirstColumn="0" w:lastRowLastColumn="0"/>
            </w:pPr>
            <w:r w:rsidRPr="00455191">
              <w:t>PHEV PCs and LCVs</w:t>
            </w:r>
          </w:p>
        </w:tc>
        <w:tc>
          <w:tcPr>
            <w:tcW w:w="801" w:type="pct"/>
            <w:vAlign w:val="center"/>
          </w:tcPr>
          <w:p w14:paraId="21F12D8A" w14:textId="2D8E6B93" w:rsidR="00E928AE" w:rsidRPr="00784126" w:rsidRDefault="00E928AE" w:rsidP="00DF2510">
            <w:pPr>
              <w:spacing w:before="0" w:after="0"/>
              <w:cnfStyle w:val="000000000000" w:firstRow="0" w:lastRow="0" w:firstColumn="0" w:lastColumn="0" w:oddVBand="0" w:evenVBand="0" w:oddHBand="0" w:evenHBand="0" w:firstRowFirstColumn="0" w:firstRowLastColumn="0" w:lastRowFirstColumn="0" w:lastRowLastColumn="0"/>
            </w:pPr>
            <w:r w:rsidRPr="00455191">
              <w:rPr>
                <w:rFonts w:eastAsiaTheme="minorEastAsia"/>
              </w:rPr>
              <w:t>0.7084</w:t>
            </w:r>
          </w:p>
        </w:tc>
        <w:tc>
          <w:tcPr>
            <w:tcW w:w="800" w:type="pct"/>
            <w:vAlign w:val="center"/>
          </w:tcPr>
          <w:p w14:paraId="3C6CC327" w14:textId="4BC1C496" w:rsidR="00E928AE" w:rsidRPr="00784126" w:rsidRDefault="00E928AE" w:rsidP="00DF2510">
            <w:pPr>
              <w:spacing w:before="0" w:after="0"/>
              <w:cnfStyle w:val="000000000000" w:firstRow="0" w:lastRow="0" w:firstColumn="0" w:lastColumn="0" w:oddVBand="0" w:evenVBand="0" w:oddHBand="0" w:evenHBand="0" w:firstRowFirstColumn="0" w:firstRowLastColumn="0" w:lastRowFirstColumn="0" w:lastRowLastColumn="0"/>
            </w:pPr>
            <w:r w:rsidRPr="00455191">
              <w:rPr>
                <w:rFonts w:eastAsiaTheme="minorEastAsia"/>
              </w:rPr>
              <w:t>14.5883</w:t>
            </w:r>
          </w:p>
        </w:tc>
      </w:tr>
    </w:tbl>
    <w:p w14:paraId="11D8E605" w14:textId="16410737" w:rsidR="000C1616" w:rsidRPr="00455191" w:rsidRDefault="002000B3" w:rsidP="00003F7B">
      <w:pPr>
        <w:spacing w:before="360"/>
      </w:pPr>
      <w:r w:rsidRPr="00455191">
        <w:t>For PHEVs, if the original test cycle is 4p-WLTP</w:t>
      </w:r>
      <w:r w:rsidR="005D0393" w:rsidRPr="00455191">
        <w:t xml:space="preserve">, </w:t>
      </w:r>
      <w:r w:rsidRPr="00455191">
        <w:t xml:space="preserve">the parameters listed in the last two rows </w:t>
      </w:r>
      <w:r w:rsidR="00606E4F" w:rsidRPr="00455191">
        <w:t xml:space="preserve">of </w:t>
      </w:r>
      <w:r w:rsidR="0082395B" w:rsidRPr="00455191">
        <w:t xml:space="preserve">Table </w:t>
      </w:r>
      <w:r w:rsidR="00406C17" w:rsidRPr="00455191">
        <w:t xml:space="preserve">6 </w:t>
      </w:r>
      <w:r w:rsidRPr="00455191">
        <w:t xml:space="preserve">can be used for the conversion for </w:t>
      </w:r>
      <w:r w:rsidR="00606E4F" w:rsidRPr="00455191">
        <w:t xml:space="preserve">each </w:t>
      </w:r>
      <w:r w:rsidRPr="00455191">
        <w:t xml:space="preserve">respective fuel type. </w:t>
      </w:r>
      <w:r w:rsidR="004730CE" w:rsidRPr="00455191">
        <w:t>F</w:t>
      </w:r>
      <w:r w:rsidR="00797D90" w:rsidRPr="00455191">
        <w:t xml:space="preserve">or PHEVs </w:t>
      </w:r>
      <w:r w:rsidR="00BC406C" w:rsidRPr="00455191">
        <w:t>type-approved to Euro 6e</w:t>
      </w:r>
      <w:r w:rsidR="00AE5871" w:rsidRPr="00455191">
        <w:t>-bis</w:t>
      </w:r>
      <w:r w:rsidR="00BC406C" w:rsidRPr="00455191">
        <w:t xml:space="preserve"> </w:t>
      </w:r>
      <w:r w:rsidR="00D930D8" w:rsidRPr="00455191">
        <w:t xml:space="preserve">or </w:t>
      </w:r>
      <w:r w:rsidR="00E027E2" w:rsidRPr="00455191">
        <w:t>later emission</w:t>
      </w:r>
      <w:r w:rsidR="009F553D" w:rsidRPr="00455191">
        <w:t xml:space="preserve"> </w:t>
      </w:r>
      <w:r w:rsidR="00D930D8" w:rsidRPr="00455191">
        <w:t>standards</w:t>
      </w:r>
      <w:r w:rsidR="006002E0" w:rsidRPr="00455191">
        <w:t>,</w:t>
      </w:r>
      <w:r w:rsidR="00D930D8" w:rsidRPr="00455191">
        <w:t xml:space="preserve"> </w:t>
      </w:r>
      <w:r w:rsidR="00063382" w:rsidRPr="00455191">
        <w:t>3p-WLTP or U.S. 2-cycle</w:t>
      </w:r>
      <w:r w:rsidR="001333F0" w:rsidRPr="00455191">
        <w:t>,</w:t>
      </w:r>
      <w:r w:rsidR="00063382" w:rsidRPr="00455191">
        <w:t xml:space="preserve"> </w:t>
      </w:r>
      <w:r w:rsidR="00E20C93" w:rsidRPr="00455191">
        <w:t xml:space="preserve">emission </w:t>
      </w:r>
      <w:r w:rsidR="002502A8" w:rsidRPr="00455191">
        <w:t xml:space="preserve">values can be </w:t>
      </w:r>
      <w:r w:rsidR="00C83004" w:rsidRPr="00455191">
        <w:t xml:space="preserve">estimated </w:t>
      </w:r>
      <w:r w:rsidR="002502A8" w:rsidRPr="00455191">
        <w:t xml:space="preserve">by first converting the charge-sustaining mode emissions </w:t>
      </w:r>
      <w:r w:rsidR="00E92853" w:rsidRPr="00455191">
        <w:t>using</w:t>
      </w:r>
      <w:r w:rsidR="00C43161" w:rsidRPr="00455191">
        <w:t xml:space="preserve"> </w:t>
      </w:r>
      <w:r w:rsidR="0075514E" w:rsidRPr="00455191">
        <w:t xml:space="preserve">ICE conversion relations </w:t>
      </w:r>
      <w:r w:rsidR="0055076D" w:rsidRPr="00455191">
        <w:t xml:space="preserve">from Table </w:t>
      </w:r>
      <w:r w:rsidR="001C0A12" w:rsidRPr="00455191">
        <w:t xml:space="preserve">6 </w:t>
      </w:r>
      <w:r w:rsidR="00C769CA" w:rsidRPr="00455191">
        <w:t xml:space="preserve">and then </w:t>
      </w:r>
      <w:r w:rsidR="00842ED5" w:rsidRPr="00455191">
        <w:t>using</w:t>
      </w:r>
      <w:r w:rsidR="00C17B1D" w:rsidRPr="00455191">
        <w:t xml:space="preserve"> the </w:t>
      </w:r>
      <w:r w:rsidR="004870C9" w:rsidRPr="00455191">
        <w:t>NEDC rule</w:t>
      </w:r>
      <w:r w:rsidR="00C82D48" w:rsidRPr="00455191">
        <w:t xml:space="preserve"> shown in Equation </w:t>
      </w:r>
      <w:r w:rsidR="00447FDA" w:rsidRPr="00455191">
        <w:t xml:space="preserve">2 </w:t>
      </w:r>
      <w:r w:rsidR="004059E4" w:rsidRPr="00455191">
        <w:t xml:space="preserve">in section 2.2.1, </w:t>
      </w:r>
      <w:r w:rsidR="009A6410" w:rsidRPr="00455191">
        <w:t>to generate</w:t>
      </w:r>
      <w:r w:rsidR="00E75306" w:rsidRPr="00455191">
        <w:t xml:space="preserve"> </w:t>
      </w:r>
      <w:r w:rsidR="00E146DF" w:rsidRPr="00455191">
        <w:t xml:space="preserve">the </w:t>
      </w:r>
      <w:r w:rsidR="00E75306" w:rsidRPr="00455191">
        <w:t xml:space="preserve">combined </w:t>
      </w:r>
      <w:r w:rsidR="007A2D9B" w:rsidRPr="00455191">
        <w:t xml:space="preserve">NEDC </w:t>
      </w:r>
      <w:r w:rsidR="00E75306" w:rsidRPr="00455191">
        <w:t>CO</w:t>
      </w:r>
      <w:r w:rsidR="00E75306" w:rsidRPr="00455191">
        <w:rPr>
          <w:vertAlign w:val="subscript"/>
        </w:rPr>
        <w:t>2</w:t>
      </w:r>
      <w:r w:rsidR="00E75306" w:rsidRPr="00455191">
        <w:t xml:space="preserve"> emission</w:t>
      </w:r>
      <w:r w:rsidR="007A2D9B" w:rsidRPr="00455191">
        <w:t xml:space="preserve"> values</w:t>
      </w:r>
      <w:r w:rsidR="00C82D48" w:rsidRPr="00455191">
        <w:t>.</w:t>
      </w:r>
    </w:p>
    <w:p w14:paraId="6AA400A9" w14:textId="4FDB1AF0" w:rsidR="002000B3" w:rsidRPr="00455191" w:rsidRDefault="002000B3" w:rsidP="00003F7B">
      <w:r w:rsidRPr="00455191">
        <w:t xml:space="preserve">The following sub-sections </w:t>
      </w:r>
      <w:r w:rsidR="00210669" w:rsidRPr="00455191">
        <w:t xml:space="preserve">provide </w:t>
      </w:r>
      <w:r w:rsidRPr="00455191">
        <w:t xml:space="preserve">details on the </w:t>
      </w:r>
      <w:r w:rsidR="00210669" w:rsidRPr="00455191">
        <w:t xml:space="preserve">results of </w:t>
      </w:r>
      <w:r w:rsidRPr="00455191">
        <w:t>residual distribution and verification exercise</w:t>
      </w:r>
      <w:r w:rsidR="00210669" w:rsidRPr="00455191">
        <w:t>s</w:t>
      </w:r>
      <w:r w:rsidRPr="00455191">
        <w:t xml:space="preserve"> assessing the robustness of the developed conversion relations.</w:t>
      </w:r>
    </w:p>
    <w:p w14:paraId="74C5EE98" w14:textId="66C29AFE" w:rsidR="00883662" w:rsidRPr="00455191" w:rsidRDefault="008C2514" w:rsidP="00B55BEC">
      <w:pPr>
        <w:pStyle w:val="Heading3"/>
      </w:pPr>
      <w:r w:rsidRPr="00455191">
        <w:t xml:space="preserve">5.1 </w:t>
      </w:r>
      <w:r w:rsidR="00883662" w:rsidRPr="00455191">
        <w:t>Residual distribution</w:t>
      </w:r>
    </w:p>
    <w:p w14:paraId="3C3C58D9" w14:textId="6BE25BE7" w:rsidR="00100D1C" w:rsidRPr="00455191" w:rsidRDefault="001C0A12" w:rsidP="00F61408">
      <w:r w:rsidRPr="00455191">
        <w:fldChar w:fldCharType="begin" w:fldLock="1"/>
      </w:r>
      <w:r w:rsidRPr="00455191">
        <w:instrText xml:space="preserve"> REF _Ref192767174 \h </w:instrText>
      </w:r>
      <w:r w:rsidR="00455191">
        <w:instrText xml:space="preserve"> \* MERGEFORMAT </w:instrText>
      </w:r>
      <w:r w:rsidRPr="00455191">
        <w:fldChar w:fldCharType="separate"/>
      </w:r>
      <w:r w:rsidRPr="00455191">
        <w:t xml:space="preserve">Table </w:t>
      </w:r>
      <w:r w:rsidRPr="00455191">
        <w:rPr>
          <w:noProof/>
        </w:rPr>
        <w:t>7</w:t>
      </w:r>
      <w:r w:rsidRPr="00455191">
        <w:fldChar w:fldCharType="end"/>
      </w:r>
      <w:r w:rsidRPr="00455191">
        <w:t xml:space="preserve"> </w:t>
      </w:r>
      <w:r w:rsidR="00100D1C" w:rsidRPr="00455191">
        <w:t>presents the percentile distribution of the regression residuals</w:t>
      </w:r>
      <w:r w:rsidR="00F93DA7" w:rsidRPr="00455191">
        <w:t>—that is, the</w:t>
      </w:r>
      <w:r w:rsidR="00100D1C" w:rsidRPr="00455191">
        <w:t xml:space="preserve"> absolute difference between predicted and observed values, in g</w:t>
      </w:r>
      <w:r w:rsidR="008B2614" w:rsidRPr="00455191">
        <w:t xml:space="preserve"> </w:t>
      </w:r>
      <w:r w:rsidR="00100D1C" w:rsidRPr="00455191">
        <w:t>CO</w:t>
      </w:r>
      <w:r w:rsidR="00100D1C" w:rsidRPr="00455191">
        <w:rPr>
          <w:vertAlign w:val="subscript"/>
        </w:rPr>
        <w:t>2</w:t>
      </w:r>
      <w:r w:rsidR="00100D1C" w:rsidRPr="00455191">
        <w:t xml:space="preserve">/km, for </w:t>
      </w:r>
      <w:r w:rsidR="000727BD" w:rsidRPr="00455191">
        <w:t xml:space="preserve">the </w:t>
      </w:r>
      <w:r w:rsidR="0092360D" w:rsidRPr="00455191">
        <w:t xml:space="preserve">4p-WLTP and U.S. 2-cycle to NEDC </w:t>
      </w:r>
      <w:r w:rsidR="00100D1C" w:rsidRPr="00455191">
        <w:t xml:space="preserve">conversions. The prediction errors are low for </w:t>
      </w:r>
      <w:proofErr w:type="gramStart"/>
      <w:r w:rsidR="008B2614" w:rsidRPr="00455191">
        <w:t xml:space="preserve">the </w:t>
      </w:r>
      <w:r w:rsidR="00100D1C" w:rsidRPr="00455191">
        <w:t>majority of</w:t>
      </w:r>
      <w:proofErr w:type="gramEnd"/>
      <w:r w:rsidR="00100D1C" w:rsidRPr="00455191">
        <w:t xml:space="preserve"> vehicle samples in the distribution across most vehicle groups.</w:t>
      </w:r>
    </w:p>
    <w:p w14:paraId="685F3C4C" w14:textId="3827B785" w:rsidR="00883662" w:rsidRPr="00455191" w:rsidRDefault="00100D1C" w:rsidP="00F61408">
      <w:r w:rsidRPr="00455191">
        <w:t xml:space="preserve">For instance, for the 4p-WLTP to NEDC conversion, except for the diesel LCV class, </w:t>
      </w:r>
      <w:r w:rsidR="00D1658C" w:rsidRPr="00455191">
        <w:t>difference</w:t>
      </w:r>
      <w:r w:rsidR="00104DFE" w:rsidRPr="00455191">
        <w:t>s</w:t>
      </w:r>
      <w:r w:rsidR="00D1658C" w:rsidRPr="00455191">
        <w:t xml:space="preserve"> between the </w:t>
      </w:r>
      <w:r w:rsidRPr="00455191">
        <w:t>predict</w:t>
      </w:r>
      <w:r w:rsidR="00B32D6C" w:rsidRPr="00455191">
        <w:t xml:space="preserve">ed </w:t>
      </w:r>
      <w:r w:rsidR="008B2614" w:rsidRPr="00455191">
        <w:t xml:space="preserve">and </w:t>
      </w:r>
      <w:r w:rsidR="00B32D6C" w:rsidRPr="00455191">
        <w:t>observed values</w:t>
      </w:r>
      <w:r w:rsidRPr="00455191">
        <w:t xml:space="preserve"> are well below 10 g</w:t>
      </w:r>
      <w:r w:rsidR="008B2614" w:rsidRPr="00455191">
        <w:t xml:space="preserve"> </w:t>
      </w:r>
      <w:r w:rsidRPr="00455191">
        <w:t>CO</w:t>
      </w:r>
      <w:r w:rsidRPr="00455191">
        <w:rPr>
          <w:vertAlign w:val="subscript"/>
        </w:rPr>
        <w:t>2</w:t>
      </w:r>
      <w:r w:rsidRPr="00455191">
        <w:t xml:space="preserve">/km for 80% of the vehicle records. For the diesel LCV class, </w:t>
      </w:r>
      <w:r w:rsidR="00CF3A43" w:rsidRPr="00455191">
        <w:t>6</w:t>
      </w:r>
      <w:r w:rsidR="00B55055" w:rsidRPr="00455191">
        <w:t>0</w:t>
      </w:r>
      <w:r w:rsidR="00F50708" w:rsidRPr="00455191">
        <w:t xml:space="preserve">% of vehicles have </w:t>
      </w:r>
      <w:r w:rsidR="00D620B8" w:rsidRPr="00455191">
        <w:t>prediction errors</w:t>
      </w:r>
      <w:r w:rsidRPr="00455191">
        <w:t xml:space="preserve"> below 1</w:t>
      </w:r>
      <w:r w:rsidR="003419B0" w:rsidRPr="00455191">
        <w:t>0</w:t>
      </w:r>
      <w:r w:rsidRPr="00455191">
        <w:t xml:space="preserve"> g</w:t>
      </w:r>
      <w:r w:rsidR="008B2614" w:rsidRPr="00455191">
        <w:t xml:space="preserve"> </w:t>
      </w:r>
      <w:r w:rsidRPr="00455191">
        <w:t>CO</w:t>
      </w:r>
      <w:r w:rsidRPr="00455191">
        <w:rPr>
          <w:vertAlign w:val="subscript"/>
        </w:rPr>
        <w:t>2</w:t>
      </w:r>
      <w:r w:rsidRPr="00455191">
        <w:t xml:space="preserve">/km and </w:t>
      </w:r>
      <w:r w:rsidR="00DB0686" w:rsidRPr="00455191">
        <w:t>7</w:t>
      </w:r>
      <w:r w:rsidR="005E6E5C" w:rsidRPr="00455191">
        <w:t xml:space="preserve">0% of the vehicles have a difference </w:t>
      </w:r>
      <w:r w:rsidR="00730582" w:rsidRPr="00455191">
        <w:t xml:space="preserve">well </w:t>
      </w:r>
      <w:r w:rsidRPr="00455191">
        <w:t xml:space="preserve">below </w:t>
      </w:r>
      <w:r w:rsidR="00DB0686" w:rsidRPr="00455191">
        <w:t xml:space="preserve">the </w:t>
      </w:r>
      <w:r w:rsidR="000056A0" w:rsidRPr="00455191">
        <w:t xml:space="preserve">standard error </w:t>
      </w:r>
      <w:r w:rsidR="0062497A" w:rsidRPr="00455191">
        <w:t xml:space="preserve">of </w:t>
      </w:r>
      <w:r w:rsidRPr="00455191">
        <w:t>prediction</w:t>
      </w:r>
      <w:r w:rsidRPr="00455191" w:rsidDel="0062497A">
        <w:t xml:space="preserve"> </w:t>
      </w:r>
      <w:r w:rsidR="00DB0686" w:rsidRPr="00455191">
        <w:t xml:space="preserve">of </w:t>
      </w:r>
      <w:r w:rsidR="00730582" w:rsidRPr="00455191">
        <w:t>12</w:t>
      </w:r>
      <w:r w:rsidR="00DB0686" w:rsidRPr="00455191">
        <w:t>.</w:t>
      </w:r>
      <w:r w:rsidR="00730582" w:rsidRPr="00455191">
        <w:t xml:space="preserve">6 </w:t>
      </w:r>
      <w:r w:rsidR="00DB0686" w:rsidRPr="00455191">
        <w:t>g</w:t>
      </w:r>
      <w:r w:rsidR="008B2614" w:rsidRPr="00455191">
        <w:t xml:space="preserve"> </w:t>
      </w:r>
      <w:r w:rsidR="00DB0686" w:rsidRPr="00455191">
        <w:t>CO</w:t>
      </w:r>
      <w:r w:rsidR="00DB0686" w:rsidRPr="00455191">
        <w:rPr>
          <w:vertAlign w:val="subscript"/>
        </w:rPr>
        <w:t>2</w:t>
      </w:r>
      <w:r w:rsidR="00DB0686" w:rsidRPr="00455191">
        <w:t>/km</w:t>
      </w:r>
      <w:r w:rsidR="00AC0044" w:rsidRPr="00455191">
        <w:t>.</w:t>
      </w:r>
    </w:p>
    <w:p w14:paraId="15B9C046" w14:textId="7C76B2A9" w:rsidR="008F4307" w:rsidRPr="00455191" w:rsidRDefault="00E32F01" w:rsidP="003A174C">
      <w:pPr>
        <w:pStyle w:val="Tablecaption"/>
      </w:pPr>
      <w:bookmarkStart w:id="14" w:name="_Ref192767174"/>
      <w:r w:rsidRPr="00455191">
        <w:t xml:space="preserve">Table </w:t>
      </w:r>
      <w:r w:rsidR="00AA763B">
        <w:fldChar w:fldCharType="begin"/>
      </w:r>
      <w:r w:rsidR="00AA763B">
        <w:instrText xml:space="preserve"> SEQ Table \* ARABIC </w:instrText>
      </w:r>
      <w:r w:rsidR="00AA763B">
        <w:fldChar w:fldCharType="separate"/>
      </w:r>
      <w:r w:rsidR="00EB15AE">
        <w:rPr>
          <w:noProof/>
        </w:rPr>
        <w:t>2</w:t>
      </w:r>
      <w:r w:rsidR="00AA763B">
        <w:rPr>
          <w:noProof/>
        </w:rPr>
        <w:fldChar w:fldCharType="end"/>
      </w:r>
      <w:bookmarkEnd w:id="14"/>
      <w:r w:rsidRPr="00455191">
        <w:t xml:space="preserve"> </w:t>
      </w:r>
      <w:r w:rsidR="00FC3D9D">
        <w:br/>
      </w:r>
      <w:r w:rsidRPr="00455191">
        <w:t>Percentile distribution of regression residuals (g</w:t>
      </w:r>
      <w:r w:rsidR="00D8188B">
        <w:t xml:space="preserve"> </w:t>
      </w:r>
      <w:r w:rsidRPr="00455191">
        <w:t>CO</w:t>
      </w:r>
      <w:r w:rsidRPr="00455191">
        <w:rPr>
          <w:vertAlign w:val="subscript"/>
        </w:rPr>
        <w:t>2</w:t>
      </w:r>
      <w:r w:rsidRPr="00455191">
        <w:t>/km) for cycle conversions</w:t>
      </w:r>
    </w:p>
    <w:tbl>
      <w:tblPr>
        <w:tblStyle w:val="DefaultTable11"/>
        <w:tblW w:w="11288" w:type="dxa"/>
        <w:jc w:val="center"/>
        <w:tblLayout w:type="fixed"/>
        <w:tblCellMar>
          <w:top w:w="28" w:type="dxa"/>
          <w:bottom w:w="28" w:type="dxa"/>
        </w:tblCellMar>
        <w:tblLook w:val="04A0" w:firstRow="1" w:lastRow="0" w:firstColumn="1" w:lastColumn="0" w:noHBand="0" w:noVBand="1"/>
        <w:tblDescription w:val="Table B1 &#10;4 phase-WLTP to NEDC regression parameters and statistics, univariate versus multivariate regression&#10;"/>
      </w:tblPr>
      <w:tblGrid>
        <w:gridCol w:w="2268"/>
        <w:gridCol w:w="835"/>
        <w:gridCol w:w="758"/>
        <w:gridCol w:w="680"/>
        <w:gridCol w:w="745"/>
        <w:gridCol w:w="667"/>
        <w:gridCol w:w="731"/>
        <w:gridCol w:w="654"/>
        <w:gridCol w:w="718"/>
        <w:gridCol w:w="641"/>
        <w:gridCol w:w="705"/>
        <w:gridCol w:w="627"/>
        <w:gridCol w:w="692"/>
        <w:gridCol w:w="567"/>
      </w:tblGrid>
      <w:tr w:rsidR="00503B1C" w:rsidRPr="00E928AE" w14:paraId="1E43F5D9" w14:textId="77777777" w:rsidTr="003A174C">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C964008" w14:textId="5D8439CA" w:rsidR="00503B1C" w:rsidRPr="00E928AE" w:rsidRDefault="00503B1C" w:rsidP="00503B1C">
            <w:pPr>
              <w:pStyle w:val="Tablerowcolumnheading"/>
              <w:keepNext/>
              <w:spacing w:before="0" w:after="0"/>
              <w:rPr>
                <w:rFonts w:cs="Helvetica"/>
                <w:b/>
                <w:sz w:val="16"/>
                <w:szCs w:val="16"/>
              </w:rPr>
            </w:pPr>
          </w:p>
        </w:tc>
        <w:tc>
          <w:tcPr>
            <w:tcW w:w="835" w:type="dxa"/>
            <w:vAlign w:val="center"/>
          </w:tcPr>
          <w:p w14:paraId="7B2326AE" w14:textId="34A9D905" w:rsidR="00503B1C" w:rsidRPr="00E928AE" w:rsidRDefault="00503B1C" w:rsidP="00503B1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6"/>
                <w:szCs w:val="16"/>
              </w:rPr>
            </w:pPr>
            <w:r w:rsidRPr="00E928AE">
              <w:rPr>
                <w:rFonts w:cs="Helvetica"/>
                <w:sz w:val="16"/>
                <w:szCs w:val="16"/>
              </w:rPr>
              <w:t>Standard error</w:t>
            </w:r>
          </w:p>
        </w:tc>
        <w:tc>
          <w:tcPr>
            <w:tcW w:w="758" w:type="dxa"/>
            <w:vAlign w:val="center"/>
          </w:tcPr>
          <w:p w14:paraId="0E8FCEC2" w14:textId="72F75819" w:rsidR="00503B1C" w:rsidRPr="00E928AE" w:rsidRDefault="00503B1C" w:rsidP="00503B1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6"/>
                <w:szCs w:val="16"/>
              </w:rPr>
            </w:pPr>
            <w:r w:rsidRPr="00E928AE">
              <w:rPr>
                <w:rFonts w:cs="Helvetica"/>
                <w:sz w:val="16"/>
                <w:szCs w:val="16"/>
              </w:rPr>
              <w:t>10th Percentile</w:t>
            </w:r>
          </w:p>
        </w:tc>
        <w:tc>
          <w:tcPr>
            <w:tcW w:w="680" w:type="dxa"/>
            <w:vAlign w:val="center"/>
          </w:tcPr>
          <w:p w14:paraId="3DFBB188" w14:textId="15FBBBA2" w:rsidR="00503B1C" w:rsidRPr="00E928AE" w:rsidRDefault="00503B1C" w:rsidP="00503B1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6"/>
                <w:szCs w:val="16"/>
              </w:rPr>
            </w:pPr>
            <w:r w:rsidRPr="00E928AE">
              <w:rPr>
                <w:rFonts w:cs="Helvetica"/>
                <w:sz w:val="16"/>
                <w:szCs w:val="16"/>
              </w:rPr>
              <w:t>20th Percentile</w:t>
            </w:r>
          </w:p>
        </w:tc>
        <w:tc>
          <w:tcPr>
            <w:tcW w:w="745" w:type="dxa"/>
            <w:vAlign w:val="center"/>
          </w:tcPr>
          <w:p w14:paraId="7BD68C10" w14:textId="7559F5C3" w:rsidR="00503B1C" w:rsidRPr="00E928AE" w:rsidRDefault="00503B1C" w:rsidP="00503B1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6"/>
                <w:szCs w:val="16"/>
              </w:rPr>
            </w:pPr>
            <w:r w:rsidRPr="00E928AE">
              <w:rPr>
                <w:rFonts w:cs="Helvetica"/>
                <w:sz w:val="16"/>
                <w:szCs w:val="16"/>
              </w:rPr>
              <w:t>30th Percentile</w:t>
            </w:r>
          </w:p>
        </w:tc>
        <w:tc>
          <w:tcPr>
            <w:tcW w:w="667" w:type="dxa"/>
            <w:vAlign w:val="center"/>
          </w:tcPr>
          <w:p w14:paraId="7A19E79F" w14:textId="173637B9" w:rsidR="00503B1C" w:rsidRPr="00E928AE" w:rsidRDefault="00503B1C" w:rsidP="00503B1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6"/>
                <w:szCs w:val="16"/>
              </w:rPr>
            </w:pPr>
            <w:r w:rsidRPr="00E928AE">
              <w:rPr>
                <w:rFonts w:cs="Helvetica"/>
                <w:sz w:val="16"/>
                <w:szCs w:val="16"/>
              </w:rPr>
              <w:t>40th Percentile</w:t>
            </w:r>
          </w:p>
        </w:tc>
        <w:tc>
          <w:tcPr>
            <w:tcW w:w="731" w:type="dxa"/>
            <w:vAlign w:val="center"/>
          </w:tcPr>
          <w:p w14:paraId="2301F829" w14:textId="16046DAE" w:rsidR="00503B1C" w:rsidRPr="00E928AE" w:rsidRDefault="00503B1C" w:rsidP="00503B1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6"/>
                <w:szCs w:val="16"/>
              </w:rPr>
            </w:pPr>
            <w:r w:rsidRPr="00E928AE">
              <w:rPr>
                <w:rFonts w:cs="Helvetica"/>
                <w:sz w:val="16"/>
                <w:szCs w:val="16"/>
              </w:rPr>
              <w:t>50th Percentile</w:t>
            </w:r>
          </w:p>
        </w:tc>
        <w:tc>
          <w:tcPr>
            <w:tcW w:w="654" w:type="dxa"/>
            <w:vAlign w:val="center"/>
          </w:tcPr>
          <w:p w14:paraId="689AB34F" w14:textId="42F06BE6" w:rsidR="00503B1C" w:rsidRPr="00E928AE" w:rsidRDefault="00503B1C" w:rsidP="00503B1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6"/>
                <w:szCs w:val="16"/>
              </w:rPr>
            </w:pPr>
            <w:r w:rsidRPr="00E928AE">
              <w:rPr>
                <w:rFonts w:cs="Helvetica"/>
                <w:sz w:val="16"/>
                <w:szCs w:val="16"/>
              </w:rPr>
              <w:t>60th Percentile</w:t>
            </w:r>
          </w:p>
        </w:tc>
        <w:tc>
          <w:tcPr>
            <w:tcW w:w="718" w:type="dxa"/>
            <w:vAlign w:val="center"/>
          </w:tcPr>
          <w:p w14:paraId="0C512E17" w14:textId="1C683F88" w:rsidR="00503B1C" w:rsidRPr="00E928AE" w:rsidRDefault="00503B1C" w:rsidP="00503B1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6"/>
                <w:szCs w:val="16"/>
              </w:rPr>
            </w:pPr>
            <w:r w:rsidRPr="00E928AE">
              <w:rPr>
                <w:rFonts w:cs="Helvetica"/>
                <w:sz w:val="16"/>
                <w:szCs w:val="16"/>
              </w:rPr>
              <w:t>70th Percentile</w:t>
            </w:r>
          </w:p>
        </w:tc>
        <w:tc>
          <w:tcPr>
            <w:tcW w:w="641" w:type="dxa"/>
            <w:vAlign w:val="center"/>
          </w:tcPr>
          <w:p w14:paraId="70C843F6" w14:textId="665A0A3D" w:rsidR="00503B1C" w:rsidRPr="00E928AE" w:rsidRDefault="00503B1C" w:rsidP="00503B1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6"/>
                <w:szCs w:val="16"/>
              </w:rPr>
            </w:pPr>
            <w:r w:rsidRPr="00E928AE">
              <w:rPr>
                <w:rFonts w:cs="Helvetica"/>
                <w:sz w:val="16"/>
                <w:szCs w:val="16"/>
              </w:rPr>
              <w:t>80th Percentile</w:t>
            </w:r>
          </w:p>
        </w:tc>
        <w:tc>
          <w:tcPr>
            <w:tcW w:w="705" w:type="dxa"/>
            <w:vAlign w:val="center"/>
          </w:tcPr>
          <w:p w14:paraId="4DE421D6" w14:textId="2747AB17" w:rsidR="00503B1C" w:rsidRPr="00E928AE" w:rsidRDefault="00503B1C" w:rsidP="00503B1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6"/>
                <w:szCs w:val="16"/>
              </w:rPr>
            </w:pPr>
            <w:r w:rsidRPr="00E928AE">
              <w:rPr>
                <w:rFonts w:cs="Helvetica"/>
                <w:sz w:val="16"/>
                <w:szCs w:val="16"/>
              </w:rPr>
              <w:t>90th Percentile</w:t>
            </w:r>
          </w:p>
        </w:tc>
        <w:tc>
          <w:tcPr>
            <w:tcW w:w="627" w:type="dxa"/>
            <w:vAlign w:val="center"/>
          </w:tcPr>
          <w:p w14:paraId="43F2F71E" w14:textId="037B5E89" w:rsidR="00503B1C" w:rsidRPr="00E928AE" w:rsidRDefault="00503B1C" w:rsidP="00503B1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6"/>
                <w:szCs w:val="16"/>
              </w:rPr>
            </w:pPr>
            <w:r w:rsidRPr="00E928AE">
              <w:rPr>
                <w:rFonts w:cs="Helvetica"/>
                <w:sz w:val="16"/>
                <w:szCs w:val="16"/>
              </w:rPr>
              <w:t>95th Percentile</w:t>
            </w:r>
          </w:p>
        </w:tc>
        <w:tc>
          <w:tcPr>
            <w:tcW w:w="692" w:type="dxa"/>
            <w:vAlign w:val="center"/>
          </w:tcPr>
          <w:p w14:paraId="5AFF14B6" w14:textId="2EE664B1" w:rsidR="00503B1C" w:rsidRPr="00E928AE" w:rsidRDefault="00503B1C" w:rsidP="00503B1C">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6"/>
                <w:szCs w:val="16"/>
              </w:rPr>
            </w:pPr>
            <w:r w:rsidRPr="00E928AE">
              <w:rPr>
                <w:rFonts w:cs="Helvetica"/>
                <w:sz w:val="16"/>
                <w:szCs w:val="16"/>
              </w:rPr>
              <w:t>99th Percentile</w:t>
            </w:r>
          </w:p>
        </w:tc>
        <w:tc>
          <w:tcPr>
            <w:tcW w:w="567" w:type="dxa"/>
            <w:vAlign w:val="center"/>
          </w:tcPr>
          <w:p w14:paraId="06CA69A8" w14:textId="7C821C5A" w:rsidR="00503B1C" w:rsidRPr="00E928AE" w:rsidRDefault="00503B1C" w:rsidP="00503B1C">
            <w:pPr>
              <w:pStyle w:val="Tablerowcolumnheadingcentred"/>
              <w:keepNext/>
              <w:spacing w:before="0" w:after="0"/>
              <w:jc w:val="left"/>
              <w:cnfStyle w:val="100000000000" w:firstRow="1" w:lastRow="0" w:firstColumn="0" w:lastColumn="0" w:oddVBand="0" w:evenVBand="0" w:oddHBand="0" w:evenHBand="0" w:firstRowFirstColumn="0" w:firstRowLastColumn="0" w:lastRowFirstColumn="0" w:lastRowLastColumn="0"/>
              <w:rPr>
                <w:rFonts w:cs="Helvetica"/>
                <w:b/>
                <w:sz w:val="16"/>
                <w:szCs w:val="16"/>
              </w:rPr>
            </w:pPr>
            <w:r w:rsidRPr="00E928AE">
              <w:rPr>
                <w:rFonts w:cs="Helvetica"/>
                <w:sz w:val="16"/>
                <w:szCs w:val="16"/>
              </w:rPr>
              <w:t>100th Percentile</w:t>
            </w:r>
          </w:p>
        </w:tc>
      </w:tr>
      <w:tr w:rsidR="00503B1C" w:rsidRPr="00E928AE" w14:paraId="6799854E" w14:textId="77777777" w:rsidTr="001D4DDD">
        <w:trPr>
          <w:cantSplit/>
          <w:jc w:val="center"/>
        </w:trPr>
        <w:tc>
          <w:tcPr>
            <w:cnfStyle w:val="001000000000" w:firstRow="0" w:lastRow="0" w:firstColumn="1" w:lastColumn="0" w:oddVBand="0" w:evenVBand="0" w:oddHBand="0" w:evenHBand="0" w:firstRowFirstColumn="0" w:firstRowLastColumn="0" w:lastRowFirstColumn="0" w:lastRowLastColumn="0"/>
            <w:tcW w:w="11288" w:type="dxa"/>
            <w:gridSpan w:val="14"/>
            <w:vAlign w:val="center"/>
          </w:tcPr>
          <w:p w14:paraId="01EC76E3" w14:textId="28E9F954" w:rsidR="00503B1C" w:rsidRPr="00E928AE" w:rsidRDefault="00503B1C" w:rsidP="00503B1C">
            <w:pPr>
              <w:spacing w:before="0" w:after="0"/>
              <w:rPr>
                <w:rFonts w:cs="Helvetica"/>
                <w:sz w:val="18"/>
                <w:szCs w:val="18"/>
              </w:rPr>
            </w:pPr>
            <w:r w:rsidRPr="00E928AE">
              <w:rPr>
                <w:rFonts w:cs="Helvetica"/>
                <w:sz w:val="18"/>
                <w:szCs w:val="18"/>
              </w:rPr>
              <w:t>4p-WLTP to NEDC</w:t>
            </w:r>
          </w:p>
        </w:tc>
      </w:tr>
      <w:tr w:rsidR="00503B1C" w:rsidRPr="00E928AE" w14:paraId="057663A6" w14:textId="77777777" w:rsidTr="003A174C">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79BECF0" w14:textId="75AC8929" w:rsidR="00503B1C" w:rsidRPr="00E928AE" w:rsidRDefault="00503B1C" w:rsidP="00503B1C">
            <w:pPr>
              <w:spacing w:before="0" w:after="0"/>
              <w:rPr>
                <w:rFonts w:cs="Helvetica"/>
                <w:b w:val="0"/>
                <w:sz w:val="18"/>
                <w:szCs w:val="18"/>
              </w:rPr>
            </w:pPr>
            <w:r w:rsidRPr="00E928AE">
              <w:rPr>
                <w:rFonts w:cs="Helvetica"/>
                <w:b w:val="0"/>
                <w:sz w:val="18"/>
                <w:szCs w:val="18"/>
              </w:rPr>
              <w:t>Petrol PC and LCV</w:t>
            </w:r>
          </w:p>
        </w:tc>
        <w:tc>
          <w:tcPr>
            <w:tcW w:w="835" w:type="dxa"/>
            <w:vAlign w:val="center"/>
          </w:tcPr>
          <w:p w14:paraId="03DD7760" w14:textId="7716E4C6"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8.1172</w:t>
            </w:r>
          </w:p>
        </w:tc>
        <w:tc>
          <w:tcPr>
            <w:tcW w:w="758" w:type="dxa"/>
            <w:vAlign w:val="center"/>
          </w:tcPr>
          <w:p w14:paraId="62395C97" w14:textId="44537BF0"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1.0</w:t>
            </w:r>
          </w:p>
        </w:tc>
        <w:tc>
          <w:tcPr>
            <w:tcW w:w="680" w:type="dxa"/>
            <w:vAlign w:val="center"/>
          </w:tcPr>
          <w:p w14:paraId="4DA1E7F8" w14:textId="51C67157"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2.0</w:t>
            </w:r>
          </w:p>
        </w:tc>
        <w:tc>
          <w:tcPr>
            <w:tcW w:w="745" w:type="dxa"/>
            <w:vAlign w:val="center"/>
          </w:tcPr>
          <w:p w14:paraId="574CEA23" w14:textId="44F6F790"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3.0</w:t>
            </w:r>
          </w:p>
        </w:tc>
        <w:tc>
          <w:tcPr>
            <w:tcW w:w="667" w:type="dxa"/>
            <w:vAlign w:val="center"/>
          </w:tcPr>
          <w:p w14:paraId="20AFBFCB" w14:textId="51842ACD"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4.0</w:t>
            </w:r>
          </w:p>
        </w:tc>
        <w:tc>
          <w:tcPr>
            <w:tcW w:w="731" w:type="dxa"/>
            <w:vAlign w:val="center"/>
          </w:tcPr>
          <w:p w14:paraId="3AC2BC34" w14:textId="566ACBFE"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5.1</w:t>
            </w:r>
          </w:p>
        </w:tc>
        <w:tc>
          <w:tcPr>
            <w:tcW w:w="654" w:type="dxa"/>
            <w:vAlign w:val="center"/>
          </w:tcPr>
          <w:p w14:paraId="7CEDFCF6" w14:textId="5A20C117"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6.3</w:t>
            </w:r>
          </w:p>
        </w:tc>
        <w:tc>
          <w:tcPr>
            <w:tcW w:w="718" w:type="dxa"/>
            <w:vAlign w:val="center"/>
          </w:tcPr>
          <w:p w14:paraId="15FFDDC9" w14:textId="359C65D3"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7.6</w:t>
            </w:r>
          </w:p>
        </w:tc>
        <w:tc>
          <w:tcPr>
            <w:tcW w:w="641" w:type="dxa"/>
            <w:vAlign w:val="center"/>
          </w:tcPr>
          <w:p w14:paraId="3CBF20C6" w14:textId="4BFB1AA8"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9.5</w:t>
            </w:r>
          </w:p>
        </w:tc>
        <w:tc>
          <w:tcPr>
            <w:tcW w:w="705" w:type="dxa"/>
            <w:vAlign w:val="center"/>
          </w:tcPr>
          <w:p w14:paraId="0B592087" w14:textId="7B3A720C"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12.8</w:t>
            </w:r>
          </w:p>
        </w:tc>
        <w:tc>
          <w:tcPr>
            <w:tcW w:w="627" w:type="dxa"/>
            <w:vAlign w:val="center"/>
          </w:tcPr>
          <w:p w14:paraId="7541914A" w14:textId="0C364075"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16.6</w:t>
            </w:r>
          </w:p>
        </w:tc>
        <w:tc>
          <w:tcPr>
            <w:tcW w:w="692" w:type="dxa"/>
            <w:vAlign w:val="center"/>
          </w:tcPr>
          <w:p w14:paraId="6F6FB133" w14:textId="185372FE"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24.0</w:t>
            </w:r>
          </w:p>
        </w:tc>
        <w:tc>
          <w:tcPr>
            <w:tcW w:w="567" w:type="dxa"/>
            <w:vAlign w:val="center"/>
          </w:tcPr>
          <w:p w14:paraId="2AEDF255" w14:textId="546F2D60"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39.5</w:t>
            </w:r>
          </w:p>
        </w:tc>
      </w:tr>
      <w:tr w:rsidR="00503B1C" w:rsidRPr="00E928AE" w14:paraId="0145153C" w14:textId="77777777" w:rsidTr="003A174C">
        <w:trPr>
          <w:cantSplit/>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8956DD2" w14:textId="524C447C" w:rsidR="00503B1C" w:rsidRPr="00E928AE" w:rsidRDefault="00503B1C" w:rsidP="00503B1C">
            <w:pPr>
              <w:spacing w:before="0" w:after="0"/>
              <w:rPr>
                <w:rFonts w:cs="Helvetica"/>
                <w:b w:val="0"/>
                <w:sz w:val="18"/>
                <w:szCs w:val="18"/>
              </w:rPr>
            </w:pPr>
            <w:r w:rsidRPr="00E928AE">
              <w:rPr>
                <w:rFonts w:cs="Helvetica"/>
                <w:b w:val="0"/>
                <w:sz w:val="18"/>
                <w:szCs w:val="18"/>
              </w:rPr>
              <w:t>Diesel PC</w:t>
            </w:r>
          </w:p>
        </w:tc>
        <w:tc>
          <w:tcPr>
            <w:tcW w:w="835" w:type="dxa"/>
            <w:vAlign w:val="center"/>
          </w:tcPr>
          <w:p w14:paraId="47A30BA6" w14:textId="52EC30E6"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6.5759</w:t>
            </w:r>
          </w:p>
        </w:tc>
        <w:tc>
          <w:tcPr>
            <w:tcW w:w="758" w:type="dxa"/>
            <w:vAlign w:val="center"/>
          </w:tcPr>
          <w:p w14:paraId="5502AA88" w14:textId="4A1CC36B"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0.9</w:t>
            </w:r>
          </w:p>
        </w:tc>
        <w:tc>
          <w:tcPr>
            <w:tcW w:w="680" w:type="dxa"/>
            <w:vAlign w:val="center"/>
          </w:tcPr>
          <w:p w14:paraId="62550B54" w14:textId="4C81ADDF"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1.7</w:t>
            </w:r>
          </w:p>
        </w:tc>
        <w:tc>
          <w:tcPr>
            <w:tcW w:w="745" w:type="dxa"/>
            <w:vAlign w:val="center"/>
          </w:tcPr>
          <w:p w14:paraId="73A0933E" w14:textId="25F82139"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2.4</w:t>
            </w:r>
          </w:p>
        </w:tc>
        <w:tc>
          <w:tcPr>
            <w:tcW w:w="667" w:type="dxa"/>
            <w:vAlign w:val="center"/>
          </w:tcPr>
          <w:p w14:paraId="723DA9C8" w14:textId="3B1F600C"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3.3</w:t>
            </w:r>
          </w:p>
        </w:tc>
        <w:tc>
          <w:tcPr>
            <w:tcW w:w="731" w:type="dxa"/>
            <w:vAlign w:val="center"/>
          </w:tcPr>
          <w:p w14:paraId="42A74C07" w14:textId="3DB48C1E"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4.4</w:t>
            </w:r>
          </w:p>
        </w:tc>
        <w:tc>
          <w:tcPr>
            <w:tcW w:w="654" w:type="dxa"/>
            <w:vAlign w:val="center"/>
          </w:tcPr>
          <w:p w14:paraId="271C7173" w14:textId="527039FB"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5.4</w:t>
            </w:r>
          </w:p>
        </w:tc>
        <w:tc>
          <w:tcPr>
            <w:tcW w:w="718" w:type="dxa"/>
            <w:vAlign w:val="center"/>
          </w:tcPr>
          <w:p w14:paraId="09391881" w14:textId="366D3F48"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6.7</w:t>
            </w:r>
          </w:p>
        </w:tc>
        <w:tc>
          <w:tcPr>
            <w:tcW w:w="641" w:type="dxa"/>
            <w:vAlign w:val="center"/>
          </w:tcPr>
          <w:p w14:paraId="6E6DCA87" w14:textId="1821729E"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8.4</w:t>
            </w:r>
          </w:p>
        </w:tc>
        <w:tc>
          <w:tcPr>
            <w:tcW w:w="705" w:type="dxa"/>
            <w:vAlign w:val="center"/>
          </w:tcPr>
          <w:p w14:paraId="04FF89B1" w14:textId="5636D97C"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10.9</w:t>
            </w:r>
          </w:p>
        </w:tc>
        <w:tc>
          <w:tcPr>
            <w:tcW w:w="627" w:type="dxa"/>
            <w:vAlign w:val="center"/>
          </w:tcPr>
          <w:p w14:paraId="5A520D76" w14:textId="11424BD5"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13.0</w:t>
            </w:r>
          </w:p>
        </w:tc>
        <w:tc>
          <w:tcPr>
            <w:tcW w:w="692" w:type="dxa"/>
            <w:vAlign w:val="center"/>
          </w:tcPr>
          <w:p w14:paraId="18DB509F" w14:textId="3763DF6E"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17.0</w:t>
            </w:r>
          </w:p>
        </w:tc>
        <w:tc>
          <w:tcPr>
            <w:tcW w:w="567" w:type="dxa"/>
            <w:vAlign w:val="center"/>
          </w:tcPr>
          <w:p w14:paraId="30B094B1" w14:textId="0D7F4985"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27.2</w:t>
            </w:r>
          </w:p>
        </w:tc>
      </w:tr>
      <w:tr w:rsidR="00503B1C" w:rsidRPr="00E928AE" w14:paraId="051F2B25" w14:textId="77777777" w:rsidTr="003A174C">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FC7D1CD" w14:textId="17C6EF61" w:rsidR="00503B1C" w:rsidRPr="00E928AE" w:rsidRDefault="00503B1C" w:rsidP="00503B1C">
            <w:pPr>
              <w:spacing w:before="0" w:after="0"/>
              <w:rPr>
                <w:rFonts w:cs="Helvetica"/>
                <w:b w:val="0"/>
                <w:sz w:val="18"/>
                <w:szCs w:val="18"/>
              </w:rPr>
            </w:pPr>
            <w:r w:rsidRPr="00E928AE">
              <w:rPr>
                <w:rFonts w:cs="Helvetica"/>
                <w:b w:val="0"/>
                <w:sz w:val="18"/>
                <w:szCs w:val="18"/>
              </w:rPr>
              <w:t>Diesel LCV</w:t>
            </w:r>
          </w:p>
        </w:tc>
        <w:tc>
          <w:tcPr>
            <w:tcW w:w="835" w:type="dxa"/>
            <w:vAlign w:val="center"/>
          </w:tcPr>
          <w:p w14:paraId="2FC894F8" w14:textId="45DA13E9"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12.5833</w:t>
            </w:r>
          </w:p>
        </w:tc>
        <w:tc>
          <w:tcPr>
            <w:tcW w:w="758" w:type="dxa"/>
            <w:vAlign w:val="center"/>
          </w:tcPr>
          <w:p w14:paraId="3D07AC5C" w14:textId="5A3AA9E9"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2.9</w:t>
            </w:r>
          </w:p>
        </w:tc>
        <w:tc>
          <w:tcPr>
            <w:tcW w:w="680" w:type="dxa"/>
            <w:vAlign w:val="center"/>
          </w:tcPr>
          <w:p w14:paraId="6A6C1D16" w14:textId="17952870"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3.7</w:t>
            </w:r>
          </w:p>
        </w:tc>
        <w:tc>
          <w:tcPr>
            <w:tcW w:w="745" w:type="dxa"/>
            <w:vAlign w:val="center"/>
          </w:tcPr>
          <w:p w14:paraId="50A4C2C3" w14:textId="503D0D87"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4.9</w:t>
            </w:r>
          </w:p>
        </w:tc>
        <w:tc>
          <w:tcPr>
            <w:tcW w:w="667" w:type="dxa"/>
            <w:vAlign w:val="center"/>
          </w:tcPr>
          <w:p w14:paraId="5BD090A6" w14:textId="513CE0C3"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6.2</w:t>
            </w:r>
          </w:p>
        </w:tc>
        <w:tc>
          <w:tcPr>
            <w:tcW w:w="731" w:type="dxa"/>
            <w:vAlign w:val="center"/>
          </w:tcPr>
          <w:p w14:paraId="6B4A1A07" w14:textId="2787882F"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7.9</w:t>
            </w:r>
          </w:p>
        </w:tc>
        <w:tc>
          <w:tcPr>
            <w:tcW w:w="654" w:type="dxa"/>
            <w:vAlign w:val="center"/>
          </w:tcPr>
          <w:p w14:paraId="14D563B3" w14:textId="158049C5"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9.7</w:t>
            </w:r>
          </w:p>
        </w:tc>
        <w:tc>
          <w:tcPr>
            <w:tcW w:w="718" w:type="dxa"/>
            <w:vAlign w:val="center"/>
          </w:tcPr>
          <w:p w14:paraId="595E85E5" w14:textId="759AC41C"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12.1</w:t>
            </w:r>
          </w:p>
        </w:tc>
        <w:tc>
          <w:tcPr>
            <w:tcW w:w="641" w:type="dxa"/>
            <w:vAlign w:val="center"/>
          </w:tcPr>
          <w:p w14:paraId="1A43810E" w14:textId="4D625331"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16.4</w:t>
            </w:r>
          </w:p>
        </w:tc>
        <w:tc>
          <w:tcPr>
            <w:tcW w:w="705" w:type="dxa"/>
            <w:vAlign w:val="center"/>
          </w:tcPr>
          <w:p w14:paraId="2ABAA7EA" w14:textId="501E63BB"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21.1</w:t>
            </w:r>
          </w:p>
        </w:tc>
        <w:tc>
          <w:tcPr>
            <w:tcW w:w="627" w:type="dxa"/>
            <w:vAlign w:val="center"/>
          </w:tcPr>
          <w:p w14:paraId="55C88DD4" w14:textId="38E4CA1C"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26.2</w:t>
            </w:r>
          </w:p>
        </w:tc>
        <w:tc>
          <w:tcPr>
            <w:tcW w:w="692" w:type="dxa"/>
            <w:vAlign w:val="center"/>
          </w:tcPr>
          <w:p w14:paraId="09F5E558" w14:textId="3C2A7175"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29.9</w:t>
            </w:r>
          </w:p>
        </w:tc>
        <w:tc>
          <w:tcPr>
            <w:tcW w:w="567" w:type="dxa"/>
            <w:vAlign w:val="center"/>
          </w:tcPr>
          <w:p w14:paraId="396C26F4" w14:textId="434F74D0"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41.6</w:t>
            </w:r>
          </w:p>
        </w:tc>
      </w:tr>
      <w:tr w:rsidR="00503B1C" w:rsidRPr="00E928AE" w14:paraId="315FF023" w14:textId="77777777" w:rsidTr="003A174C">
        <w:trPr>
          <w:cantSplit/>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A9BB928" w14:textId="488C2975" w:rsidR="00503B1C" w:rsidRPr="00E928AE" w:rsidRDefault="00503B1C" w:rsidP="00503B1C">
            <w:pPr>
              <w:spacing w:before="0" w:after="0"/>
              <w:rPr>
                <w:rFonts w:cs="Helvetica"/>
                <w:b w:val="0"/>
                <w:sz w:val="18"/>
                <w:szCs w:val="18"/>
              </w:rPr>
            </w:pPr>
            <w:r w:rsidRPr="00E928AE">
              <w:rPr>
                <w:rFonts w:cs="Helvetica"/>
                <w:b w:val="0"/>
                <w:sz w:val="18"/>
                <w:szCs w:val="18"/>
              </w:rPr>
              <w:t>Petrol PHEV</w:t>
            </w:r>
          </w:p>
        </w:tc>
        <w:tc>
          <w:tcPr>
            <w:tcW w:w="835" w:type="dxa"/>
            <w:vAlign w:val="center"/>
          </w:tcPr>
          <w:p w14:paraId="331AF6D1" w14:textId="441F56EE"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4.2770</w:t>
            </w:r>
          </w:p>
        </w:tc>
        <w:tc>
          <w:tcPr>
            <w:tcW w:w="758" w:type="dxa"/>
            <w:vAlign w:val="center"/>
          </w:tcPr>
          <w:p w14:paraId="2C7B8E1D" w14:textId="0156B1BF"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0.4</w:t>
            </w:r>
          </w:p>
        </w:tc>
        <w:tc>
          <w:tcPr>
            <w:tcW w:w="680" w:type="dxa"/>
            <w:vAlign w:val="center"/>
          </w:tcPr>
          <w:p w14:paraId="1B07AE60" w14:textId="75ED9239"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0.9</w:t>
            </w:r>
          </w:p>
        </w:tc>
        <w:tc>
          <w:tcPr>
            <w:tcW w:w="745" w:type="dxa"/>
            <w:vAlign w:val="center"/>
          </w:tcPr>
          <w:p w14:paraId="10B9696D" w14:textId="360F8A7F"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1.5</w:t>
            </w:r>
          </w:p>
        </w:tc>
        <w:tc>
          <w:tcPr>
            <w:tcW w:w="667" w:type="dxa"/>
            <w:vAlign w:val="center"/>
          </w:tcPr>
          <w:p w14:paraId="340E3831" w14:textId="0D40FDD6"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2.0</w:t>
            </w:r>
          </w:p>
        </w:tc>
        <w:tc>
          <w:tcPr>
            <w:tcW w:w="731" w:type="dxa"/>
            <w:vAlign w:val="center"/>
          </w:tcPr>
          <w:p w14:paraId="208E6F1E" w14:textId="1156AA1A"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2.8</w:t>
            </w:r>
          </w:p>
        </w:tc>
        <w:tc>
          <w:tcPr>
            <w:tcW w:w="654" w:type="dxa"/>
            <w:vAlign w:val="center"/>
          </w:tcPr>
          <w:p w14:paraId="13499809" w14:textId="44C85321"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3.3</w:t>
            </w:r>
          </w:p>
        </w:tc>
        <w:tc>
          <w:tcPr>
            <w:tcW w:w="718" w:type="dxa"/>
            <w:vAlign w:val="center"/>
          </w:tcPr>
          <w:p w14:paraId="095A4559" w14:textId="5429EEDB"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4.0</w:t>
            </w:r>
          </w:p>
        </w:tc>
        <w:tc>
          <w:tcPr>
            <w:tcW w:w="641" w:type="dxa"/>
            <w:vAlign w:val="center"/>
          </w:tcPr>
          <w:p w14:paraId="67232406" w14:textId="67BD278A"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5.3</w:t>
            </w:r>
          </w:p>
        </w:tc>
        <w:tc>
          <w:tcPr>
            <w:tcW w:w="705" w:type="dxa"/>
            <w:vAlign w:val="center"/>
          </w:tcPr>
          <w:p w14:paraId="4A29D8F7" w14:textId="5EA2CD1F"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6.7</w:t>
            </w:r>
          </w:p>
        </w:tc>
        <w:tc>
          <w:tcPr>
            <w:tcW w:w="627" w:type="dxa"/>
            <w:vAlign w:val="center"/>
          </w:tcPr>
          <w:p w14:paraId="42754CF4" w14:textId="26A3FEFF"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9.7</w:t>
            </w:r>
          </w:p>
        </w:tc>
        <w:tc>
          <w:tcPr>
            <w:tcW w:w="692" w:type="dxa"/>
            <w:vAlign w:val="center"/>
          </w:tcPr>
          <w:p w14:paraId="29160296" w14:textId="7C7A4337"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11.9</w:t>
            </w:r>
          </w:p>
        </w:tc>
        <w:tc>
          <w:tcPr>
            <w:tcW w:w="567" w:type="dxa"/>
            <w:vAlign w:val="center"/>
          </w:tcPr>
          <w:p w14:paraId="4C6DF514" w14:textId="7971993A"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13.7</w:t>
            </w:r>
          </w:p>
        </w:tc>
      </w:tr>
      <w:tr w:rsidR="00503B1C" w:rsidRPr="00E928AE" w14:paraId="0DB17FF0" w14:textId="77777777" w:rsidTr="003A174C">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30F32E3" w14:textId="6D85C006" w:rsidR="00503B1C" w:rsidRPr="00E928AE" w:rsidRDefault="00503B1C" w:rsidP="00503B1C">
            <w:pPr>
              <w:spacing w:before="0" w:after="0"/>
              <w:rPr>
                <w:rFonts w:cs="Helvetica"/>
                <w:b w:val="0"/>
                <w:sz w:val="18"/>
                <w:szCs w:val="18"/>
              </w:rPr>
            </w:pPr>
            <w:r w:rsidRPr="00E928AE">
              <w:rPr>
                <w:rFonts w:cs="Helvetica"/>
                <w:b w:val="0"/>
                <w:sz w:val="18"/>
                <w:szCs w:val="18"/>
              </w:rPr>
              <w:t>Diesel PHEV</w:t>
            </w:r>
          </w:p>
        </w:tc>
        <w:tc>
          <w:tcPr>
            <w:tcW w:w="835" w:type="dxa"/>
            <w:vAlign w:val="center"/>
          </w:tcPr>
          <w:p w14:paraId="29201BF0" w14:textId="3F249BF8"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1.5554</w:t>
            </w:r>
          </w:p>
        </w:tc>
        <w:tc>
          <w:tcPr>
            <w:tcW w:w="758" w:type="dxa"/>
            <w:vAlign w:val="center"/>
          </w:tcPr>
          <w:p w14:paraId="4FDC8833" w14:textId="7A80413F"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0.3</w:t>
            </w:r>
          </w:p>
        </w:tc>
        <w:tc>
          <w:tcPr>
            <w:tcW w:w="680" w:type="dxa"/>
            <w:vAlign w:val="center"/>
          </w:tcPr>
          <w:p w14:paraId="5A61E757" w14:textId="25540B05"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0.4</w:t>
            </w:r>
          </w:p>
        </w:tc>
        <w:tc>
          <w:tcPr>
            <w:tcW w:w="745" w:type="dxa"/>
            <w:vAlign w:val="center"/>
          </w:tcPr>
          <w:p w14:paraId="78F4D423" w14:textId="24377F7B"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0.4</w:t>
            </w:r>
          </w:p>
        </w:tc>
        <w:tc>
          <w:tcPr>
            <w:tcW w:w="667" w:type="dxa"/>
            <w:vAlign w:val="center"/>
          </w:tcPr>
          <w:p w14:paraId="637B3341" w14:textId="00226229"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0.4</w:t>
            </w:r>
          </w:p>
        </w:tc>
        <w:tc>
          <w:tcPr>
            <w:tcW w:w="731" w:type="dxa"/>
            <w:vAlign w:val="center"/>
          </w:tcPr>
          <w:p w14:paraId="086A3E3A" w14:textId="421C7584"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0.6</w:t>
            </w:r>
          </w:p>
        </w:tc>
        <w:tc>
          <w:tcPr>
            <w:tcW w:w="654" w:type="dxa"/>
            <w:vAlign w:val="center"/>
          </w:tcPr>
          <w:p w14:paraId="6EE1E2FA" w14:textId="58D532C1"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0.9</w:t>
            </w:r>
          </w:p>
        </w:tc>
        <w:tc>
          <w:tcPr>
            <w:tcW w:w="718" w:type="dxa"/>
            <w:vAlign w:val="center"/>
          </w:tcPr>
          <w:p w14:paraId="6ACD7B97" w14:textId="0608EA43"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1.1</w:t>
            </w:r>
          </w:p>
        </w:tc>
        <w:tc>
          <w:tcPr>
            <w:tcW w:w="641" w:type="dxa"/>
            <w:vAlign w:val="center"/>
          </w:tcPr>
          <w:p w14:paraId="680B49E9" w14:textId="1F0FBF25"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1.4</w:t>
            </w:r>
          </w:p>
        </w:tc>
        <w:tc>
          <w:tcPr>
            <w:tcW w:w="705" w:type="dxa"/>
            <w:vAlign w:val="center"/>
          </w:tcPr>
          <w:p w14:paraId="141F6BCE" w14:textId="3A24A7C3"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1.7</w:t>
            </w:r>
          </w:p>
        </w:tc>
        <w:tc>
          <w:tcPr>
            <w:tcW w:w="627" w:type="dxa"/>
            <w:vAlign w:val="center"/>
          </w:tcPr>
          <w:p w14:paraId="1477707E" w14:textId="2B44BBF5"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1.9</w:t>
            </w:r>
          </w:p>
        </w:tc>
        <w:tc>
          <w:tcPr>
            <w:tcW w:w="692" w:type="dxa"/>
            <w:vAlign w:val="center"/>
          </w:tcPr>
          <w:p w14:paraId="45233D28" w14:textId="06EB70DC"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2.7</w:t>
            </w:r>
          </w:p>
        </w:tc>
        <w:tc>
          <w:tcPr>
            <w:tcW w:w="567" w:type="dxa"/>
            <w:vAlign w:val="center"/>
          </w:tcPr>
          <w:p w14:paraId="73EE07E3" w14:textId="11556D02"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11.4</w:t>
            </w:r>
          </w:p>
        </w:tc>
      </w:tr>
      <w:tr w:rsidR="00503B1C" w:rsidRPr="00E928AE" w14:paraId="2482EFA9" w14:textId="77777777" w:rsidTr="00BD2190">
        <w:trPr>
          <w:cantSplit/>
          <w:jc w:val="center"/>
        </w:trPr>
        <w:tc>
          <w:tcPr>
            <w:cnfStyle w:val="001000000000" w:firstRow="0" w:lastRow="0" w:firstColumn="1" w:lastColumn="0" w:oddVBand="0" w:evenVBand="0" w:oddHBand="0" w:evenHBand="0" w:firstRowFirstColumn="0" w:firstRowLastColumn="0" w:lastRowFirstColumn="0" w:lastRowLastColumn="0"/>
            <w:tcW w:w="11288" w:type="dxa"/>
            <w:gridSpan w:val="14"/>
            <w:vAlign w:val="center"/>
          </w:tcPr>
          <w:p w14:paraId="616CC308" w14:textId="7BE9702C" w:rsidR="00503B1C" w:rsidRPr="00E928AE" w:rsidRDefault="00503B1C" w:rsidP="00503B1C">
            <w:pPr>
              <w:spacing w:before="0" w:after="0"/>
              <w:rPr>
                <w:rFonts w:cs="Helvetica"/>
                <w:sz w:val="18"/>
                <w:szCs w:val="18"/>
              </w:rPr>
            </w:pPr>
            <w:r w:rsidRPr="00E928AE">
              <w:rPr>
                <w:rFonts w:cs="Helvetica"/>
                <w:sz w:val="18"/>
                <w:szCs w:val="18"/>
              </w:rPr>
              <w:t>U.S. 2-cycle to NEDC</w:t>
            </w:r>
          </w:p>
        </w:tc>
      </w:tr>
      <w:tr w:rsidR="00503B1C" w:rsidRPr="00E928AE" w14:paraId="03FE2E79" w14:textId="77777777" w:rsidTr="003A174C">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54207C5" w14:textId="4EA7B5F9" w:rsidR="00503B1C" w:rsidRPr="00E928AE" w:rsidRDefault="00503B1C" w:rsidP="00503B1C">
            <w:pPr>
              <w:spacing w:before="0" w:after="0"/>
              <w:rPr>
                <w:rFonts w:cs="Helvetica"/>
                <w:b w:val="0"/>
                <w:sz w:val="18"/>
                <w:szCs w:val="18"/>
              </w:rPr>
            </w:pPr>
            <w:r w:rsidRPr="00E928AE">
              <w:rPr>
                <w:rFonts w:cs="Helvetica"/>
                <w:b w:val="0"/>
                <w:sz w:val="18"/>
                <w:szCs w:val="18"/>
              </w:rPr>
              <w:t>Petrol PC and LCV</w:t>
            </w:r>
          </w:p>
        </w:tc>
        <w:tc>
          <w:tcPr>
            <w:tcW w:w="835" w:type="dxa"/>
            <w:vAlign w:val="center"/>
          </w:tcPr>
          <w:p w14:paraId="1130E251" w14:textId="12FCEA8D"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1.6204</w:t>
            </w:r>
          </w:p>
        </w:tc>
        <w:tc>
          <w:tcPr>
            <w:tcW w:w="758" w:type="dxa"/>
            <w:vAlign w:val="center"/>
          </w:tcPr>
          <w:p w14:paraId="1B66F76C" w14:textId="0BBED594"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0.2</w:t>
            </w:r>
          </w:p>
        </w:tc>
        <w:tc>
          <w:tcPr>
            <w:tcW w:w="680" w:type="dxa"/>
            <w:vAlign w:val="center"/>
          </w:tcPr>
          <w:p w14:paraId="582EB456" w14:textId="331444A4"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0.4</w:t>
            </w:r>
          </w:p>
        </w:tc>
        <w:tc>
          <w:tcPr>
            <w:tcW w:w="745" w:type="dxa"/>
            <w:vAlign w:val="center"/>
          </w:tcPr>
          <w:p w14:paraId="12C939BC" w14:textId="2B9A120F"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0.6</w:t>
            </w:r>
          </w:p>
        </w:tc>
        <w:tc>
          <w:tcPr>
            <w:tcW w:w="667" w:type="dxa"/>
            <w:vAlign w:val="center"/>
          </w:tcPr>
          <w:p w14:paraId="4CB8A9C1" w14:textId="50B3920E"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0.8</w:t>
            </w:r>
          </w:p>
        </w:tc>
        <w:tc>
          <w:tcPr>
            <w:tcW w:w="731" w:type="dxa"/>
            <w:vAlign w:val="center"/>
          </w:tcPr>
          <w:p w14:paraId="63551D63" w14:textId="13F6FD4D"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1.1</w:t>
            </w:r>
          </w:p>
        </w:tc>
        <w:tc>
          <w:tcPr>
            <w:tcW w:w="654" w:type="dxa"/>
            <w:vAlign w:val="center"/>
          </w:tcPr>
          <w:p w14:paraId="53555BB8" w14:textId="05604120"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1.4</w:t>
            </w:r>
          </w:p>
        </w:tc>
        <w:tc>
          <w:tcPr>
            <w:tcW w:w="718" w:type="dxa"/>
            <w:vAlign w:val="center"/>
          </w:tcPr>
          <w:p w14:paraId="0CAC8C3F" w14:textId="58AF2D68"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1.7</w:t>
            </w:r>
          </w:p>
        </w:tc>
        <w:tc>
          <w:tcPr>
            <w:tcW w:w="641" w:type="dxa"/>
            <w:vAlign w:val="center"/>
          </w:tcPr>
          <w:p w14:paraId="528CFDAA" w14:textId="536DE53E"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2.1</w:t>
            </w:r>
          </w:p>
        </w:tc>
        <w:tc>
          <w:tcPr>
            <w:tcW w:w="705" w:type="dxa"/>
            <w:vAlign w:val="center"/>
          </w:tcPr>
          <w:p w14:paraId="05EC461E" w14:textId="3A005C08"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2.7</w:t>
            </w:r>
          </w:p>
        </w:tc>
        <w:tc>
          <w:tcPr>
            <w:tcW w:w="627" w:type="dxa"/>
            <w:vAlign w:val="center"/>
          </w:tcPr>
          <w:p w14:paraId="544A9AD4" w14:textId="3AD776F3"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3.2</w:t>
            </w:r>
          </w:p>
        </w:tc>
        <w:tc>
          <w:tcPr>
            <w:tcW w:w="692" w:type="dxa"/>
            <w:vAlign w:val="center"/>
          </w:tcPr>
          <w:p w14:paraId="4D229E1E" w14:textId="76FB0C29"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4.0</w:t>
            </w:r>
          </w:p>
        </w:tc>
        <w:tc>
          <w:tcPr>
            <w:tcW w:w="567" w:type="dxa"/>
            <w:vAlign w:val="center"/>
          </w:tcPr>
          <w:p w14:paraId="4418BC57" w14:textId="180E7077"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4.7</w:t>
            </w:r>
          </w:p>
        </w:tc>
      </w:tr>
      <w:tr w:rsidR="00503B1C" w:rsidRPr="00E928AE" w14:paraId="161DD21D" w14:textId="77777777" w:rsidTr="003A174C">
        <w:trPr>
          <w:cantSplit/>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F8DF6B8" w14:textId="11124EF9" w:rsidR="00503B1C" w:rsidRPr="00E928AE" w:rsidRDefault="00503B1C" w:rsidP="00503B1C">
            <w:pPr>
              <w:spacing w:before="0" w:after="0"/>
              <w:rPr>
                <w:rFonts w:cs="Helvetica"/>
                <w:b w:val="0"/>
                <w:sz w:val="18"/>
                <w:szCs w:val="18"/>
              </w:rPr>
            </w:pPr>
            <w:r w:rsidRPr="00E928AE">
              <w:rPr>
                <w:rFonts w:cs="Helvetica"/>
                <w:b w:val="0"/>
                <w:sz w:val="18"/>
                <w:szCs w:val="18"/>
              </w:rPr>
              <w:t>Diesel PC</w:t>
            </w:r>
          </w:p>
        </w:tc>
        <w:tc>
          <w:tcPr>
            <w:tcW w:w="835" w:type="dxa"/>
            <w:vAlign w:val="center"/>
          </w:tcPr>
          <w:p w14:paraId="043EF984" w14:textId="066C4EEC"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0.8978</w:t>
            </w:r>
          </w:p>
        </w:tc>
        <w:tc>
          <w:tcPr>
            <w:tcW w:w="758" w:type="dxa"/>
            <w:vAlign w:val="center"/>
          </w:tcPr>
          <w:p w14:paraId="7EF6FC6A" w14:textId="041C6A83"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0.1</w:t>
            </w:r>
          </w:p>
        </w:tc>
        <w:tc>
          <w:tcPr>
            <w:tcW w:w="680" w:type="dxa"/>
            <w:vAlign w:val="center"/>
          </w:tcPr>
          <w:p w14:paraId="643E68F0" w14:textId="512ECE99"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0.2</w:t>
            </w:r>
          </w:p>
        </w:tc>
        <w:tc>
          <w:tcPr>
            <w:tcW w:w="745" w:type="dxa"/>
            <w:vAlign w:val="center"/>
          </w:tcPr>
          <w:p w14:paraId="494CB7E6" w14:textId="0BB8A777"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0.3</w:t>
            </w:r>
          </w:p>
        </w:tc>
        <w:tc>
          <w:tcPr>
            <w:tcW w:w="667" w:type="dxa"/>
            <w:vAlign w:val="center"/>
          </w:tcPr>
          <w:p w14:paraId="1F37BDEF" w14:textId="45FD3894"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0.4</w:t>
            </w:r>
          </w:p>
        </w:tc>
        <w:tc>
          <w:tcPr>
            <w:tcW w:w="731" w:type="dxa"/>
            <w:vAlign w:val="center"/>
          </w:tcPr>
          <w:p w14:paraId="387E4953" w14:textId="1E705006"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0.5</w:t>
            </w:r>
          </w:p>
        </w:tc>
        <w:tc>
          <w:tcPr>
            <w:tcW w:w="654" w:type="dxa"/>
            <w:vAlign w:val="center"/>
          </w:tcPr>
          <w:p w14:paraId="5FCFC446" w14:textId="55BAA9E1"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0.6</w:t>
            </w:r>
          </w:p>
        </w:tc>
        <w:tc>
          <w:tcPr>
            <w:tcW w:w="718" w:type="dxa"/>
            <w:vAlign w:val="center"/>
          </w:tcPr>
          <w:p w14:paraId="40A9AA70" w14:textId="75140350"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0.8</w:t>
            </w:r>
          </w:p>
        </w:tc>
        <w:tc>
          <w:tcPr>
            <w:tcW w:w="641" w:type="dxa"/>
            <w:vAlign w:val="center"/>
          </w:tcPr>
          <w:p w14:paraId="47FC71F0" w14:textId="1BD00774"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1.0</w:t>
            </w:r>
          </w:p>
        </w:tc>
        <w:tc>
          <w:tcPr>
            <w:tcW w:w="705" w:type="dxa"/>
            <w:vAlign w:val="center"/>
          </w:tcPr>
          <w:p w14:paraId="3AABE991" w14:textId="16BABC7E"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1.5</w:t>
            </w:r>
          </w:p>
        </w:tc>
        <w:tc>
          <w:tcPr>
            <w:tcW w:w="627" w:type="dxa"/>
            <w:vAlign w:val="center"/>
          </w:tcPr>
          <w:p w14:paraId="702C304C" w14:textId="14DDEEF7"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1.8</w:t>
            </w:r>
          </w:p>
        </w:tc>
        <w:tc>
          <w:tcPr>
            <w:tcW w:w="692" w:type="dxa"/>
            <w:vAlign w:val="center"/>
          </w:tcPr>
          <w:p w14:paraId="6A45BE88" w14:textId="21252E42"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2.3</w:t>
            </w:r>
          </w:p>
        </w:tc>
        <w:tc>
          <w:tcPr>
            <w:tcW w:w="567" w:type="dxa"/>
            <w:vAlign w:val="center"/>
          </w:tcPr>
          <w:p w14:paraId="10AB490B" w14:textId="2A6C5A1E" w:rsidR="00503B1C" w:rsidRPr="00E928AE" w:rsidRDefault="00503B1C" w:rsidP="00503B1C">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E928AE">
              <w:rPr>
                <w:rFonts w:cs="Helvetica"/>
                <w:sz w:val="18"/>
                <w:szCs w:val="18"/>
              </w:rPr>
              <w:t>2.5</w:t>
            </w:r>
          </w:p>
        </w:tc>
      </w:tr>
      <w:tr w:rsidR="00503B1C" w:rsidRPr="00E928AE" w14:paraId="71E72172" w14:textId="77777777" w:rsidTr="003A174C">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5345A2E" w14:textId="4AFB13BD" w:rsidR="00503B1C" w:rsidRPr="00E928AE" w:rsidRDefault="00503B1C" w:rsidP="00503B1C">
            <w:pPr>
              <w:spacing w:before="0" w:after="0"/>
              <w:rPr>
                <w:rFonts w:cs="Helvetica"/>
                <w:b w:val="0"/>
                <w:sz w:val="18"/>
                <w:szCs w:val="18"/>
              </w:rPr>
            </w:pPr>
            <w:r w:rsidRPr="00E928AE">
              <w:rPr>
                <w:rFonts w:cs="Helvetica"/>
                <w:b w:val="0"/>
                <w:sz w:val="18"/>
                <w:szCs w:val="18"/>
              </w:rPr>
              <w:lastRenderedPageBreak/>
              <w:t>Diesel LCV</w:t>
            </w:r>
          </w:p>
        </w:tc>
        <w:tc>
          <w:tcPr>
            <w:tcW w:w="835" w:type="dxa"/>
            <w:vAlign w:val="center"/>
          </w:tcPr>
          <w:p w14:paraId="047462B2" w14:textId="1D312748"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0.8609</w:t>
            </w:r>
          </w:p>
        </w:tc>
        <w:tc>
          <w:tcPr>
            <w:tcW w:w="758" w:type="dxa"/>
            <w:vAlign w:val="center"/>
          </w:tcPr>
          <w:p w14:paraId="7FFAF1D2" w14:textId="01BCC509"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0.1</w:t>
            </w:r>
          </w:p>
        </w:tc>
        <w:tc>
          <w:tcPr>
            <w:tcW w:w="680" w:type="dxa"/>
            <w:vAlign w:val="center"/>
          </w:tcPr>
          <w:p w14:paraId="591BF71B" w14:textId="41DF8F82"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0.3</w:t>
            </w:r>
          </w:p>
        </w:tc>
        <w:tc>
          <w:tcPr>
            <w:tcW w:w="745" w:type="dxa"/>
            <w:vAlign w:val="center"/>
          </w:tcPr>
          <w:p w14:paraId="20E39D5A" w14:textId="389152A2"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0.4</w:t>
            </w:r>
          </w:p>
        </w:tc>
        <w:tc>
          <w:tcPr>
            <w:tcW w:w="667" w:type="dxa"/>
            <w:vAlign w:val="center"/>
          </w:tcPr>
          <w:p w14:paraId="571857AA" w14:textId="3A1BEA9E"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0.6</w:t>
            </w:r>
          </w:p>
        </w:tc>
        <w:tc>
          <w:tcPr>
            <w:tcW w:w="731" w:type="dxa"/>
            <w:vAlign w:val="center"/>
          </w:tcPr>
          <w:p w14:paraId="5BE80A05" w14:textId="5C047A1A"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0.6</w:t>
            </w:r>
          </w:p>
        </w:tc>
        <w:tc>
          <w:tcPr>
            <w:tcW w:w="654" w:type="dxa"/>
            <w:vAlign w:val="center"/>
          </w:tcPr>
          <w:p w14:paraId="6FD545EB" w14:textId="32CD14F5"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0.8</w:t>
            </w:r>
          </w:p>
        </w:tc>
        <w:tc>
          <w:tcPr>
            <w:tcW w:w="718" w:type="dxa"/>
            <w:vAlign w:val="center"/>
          </w:tcPr>
          <w:p w14:paraId="63E83BFC" w14:textId="00A9C8DC"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0.9</w:t>
            </w:r>
          </w:p>
        </w:tc>
        <w:tc>
          <w:tcPr>
            <w:tcW w:w="641" w:type="dxa"/>
            <w:vAlign w:val="center"/>
          </w:tcPr>
          <w:p w14:paraId="5F5216E0" w14:textId="0C8B48D6"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1.0</w:t>
            </w:r>
          </w:p>
        </w:tc>
        <w:tc>
          <w:tcPr>
            <w:tcW w:w="705" w:type="dxa"/>
            <w:vAlign w:val="center"/>
          </w:tcPr>
          <w:p w14:paraId="6B447187" w14:textId="5675F3F6"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1.4</w:t>
            </w:r>
          </w:p>
        </w:tc>
        <w:tc>
          <w:tcPr>
            <w:tcW w:w="627" w:type="dxa"/>
            <w:vAlign w:val="center"/>
          </w:tcPr>
          <w:p w14:paraId="3BC4464C" w14:textId="061D0EE2"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1.6</w:t>
            </w:r>
          </w:p>
        </w:tc>
        <w:tc>
          <w:tcPr>
            <w:tcW w:w="692" w:type="dxa"/>
            <w:vAlign w:val="center"/>
          </w:tcPr>
          <w:p w14:paraId="73C9ADFE" w14:textId="23D09C1E"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1.7</w:t>
            </w:r>
          </w:p>
        </w:tc>
        <w:tc>
          <w:tcPr>
            <w:tcW w:w="567" w:type="dxa"/>
            <w:vAlign w:val="center"/>
          </w:tcPr>
          <w:p w14:paraId="1B24E80E" w14:textId="1501DE3A" w:rsidR="00503B1C" w:rsidRPr="00E928AE" w:rsidRDefault="00503B1C" w:rsidP="00503B1C">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E928AE">
              <w:rPr>
                <w:rFonts w:cs="Helvetica"/>
                <w:sz w:val="18"/>
                <w:szCs w:val="18"/>
              </w:rPr>
              <w:t>1.7</w:t>
            </w:r>
          </w:p>
        </w:tc>
      </w:tr>
    </w:tbl>
    <w:p w14:paraId="01EC857B" w14:textId="268E67CF" w:rsidR="00883662" w:rsidRPr="00455191" w:rsidRDefault="00661A39" w:rsidP="00B55BEC">
      <w:pPr>
        <w:pStyle w:val="Heading3"/>
      </w:pPr>
      <w:r w:rsidRPr="00455191">
        <w:t xml:space="preserve">5.2 </w:t>
      </w:r>
      <w:r w:rsidR="00883662" w:rsidRPr="00455191">
        <w:t>Verification exercise for top-selling brands</w:t>
      </w:r>
    </w:p>
    <w:p w14:paraId="36504A7D" w14:textId="2E618A69" w:rsidR="00236B3A" w:rsidRPr="00455191" w:rsidRDefault="00236B3A" w:rsidP="00F61408">
      <w:r w:rsidRPr="00455191">
        <w:t xml:space="preserve">To test the robustness of the conversion algorithms, we </w:t>
      </w:r>
      <w:r w:rsidR="00A54E9F" w:rsidRPr="00455191">
        <w:t xml:space="preserve">also </w:t>
      </w:r>
      <w:r w:rsidRPr="00455191">
        <w:t xml:space="preserve">performed a verification exercise for 4p-WLTP to NEDC conversions considering the top </w:t>
      </w:r>
      <w:r w:rsidR="003E4BF3">
        <w:t xml:space="preserve">selling </w:t>
      </w:r>
      <w:r w:rsidRPr="00455191">
        <w:t xml:space="preserve">11 </w:t>
      </w:r>
      <w:r w:rsidR="00FC64C5" w:rsidRPr="00455191">
        <w:t>ICE</w:t>
      </w:r>
      <w:r w:rsidR="00C5613F" w:rsidRPr="00455191">
        <w:t xml:space="preserve"> </w:t>
      </w:r>
      <w:r w:rsidR="0063071A">
        <w:t>vehicle</w:t>
      </w:r>
      <w:r w:rsidR="00C5613F" w:rsidRPr="00455191">
        <w:t xml:space="preserve"> </w:t>
      </w:r>
      <w:r w:rsidRPr="00455191">
        <w:t xml:space="preserve">brands </w:t>
      </w:r>
      <w:r w:rsidR="00A54E9F" w:rsidRPr="00455191">
        <w:t>in the Australian market (see</w:t>
      </w:r>
      <w:r w:rsidRPr="00455191">
        <w:t xml:space="preserve"> </w:t>
      </w:r>
      <w:r w:rsidR="00A54E9F" w:rsidRPr="00455191">
        <w:t>S</w:t>
      </w:r>
      <w:r w:rsidRPr="00455191">
        <w:t>ection 3</w:t>
      </w:r>
      <w:r w:rsidR="00E86E46" w:rsidRPr="00455191">
        <w:t>.3</w:t>
      </w:r>
      <w:r w:rsidR="00A54E9F" w:rsidRPr="00455191">
        <w:t>)</w:t>
      </w:r>
      <w:r w:rsidRPr="00455191">
        <w:t>.</w:t>
      </w:r>
      <w:r w:rsidR="00762D5E" w:rsidRPr="00455191">
        <w:rPr>
          <w:rStyle w:val="FootnoteReference"/>
        </w:rPr>
        <w:footnoteReference w:id="20"/>
      </w:r>
      <w:r w:rsidRPr="00455191">
        <w:t xml:space="preserve"> We identif</w:t>
      </w:r>
      <w:r w:rsidR="00A54E9F" w:rsidRPr="00455191">
        <w:t>ied</w:t>
      </w:r>
      <w:r w:rsidRPr="00455191">
        <w:t xml:space="preserve"> the</w:t>
      </w:r>
      <w:r w:rsidR="008522E8" w:rsidRPr="00455191">
        <w:t>se</w:t>
      </w:r>
      <w:r w:rsidRPr="00455191">
        <w:t xml:space="preserve"> brands in the EEA 2020 database and </w:t>
      </w:r>
      <w:r w:rsidR="00B77EBC" w:rsidRPr="00455191">
        <w:t xml:space="preserve">calculated </w:t>
      </w:r>
      <w:r w:rsidRPr="00455191">
        <w:t xml:space="preserve">the </w:t>
      </w:r>
      <w:r w:rsidR="00B77EBC" w:rsidRPr="00455191">
        <w:t>fleet</w:t>
      </w:r>
      <w:r w:rsidR="008522E8" w:rsidRPr="00455191">
        <w:t>-</w:t>
      </w:r>
      <w:r w:rsidR="00B77EBC" w:rsidRPr="00455191">
        <w:t>average</w:t>
      </w:r>
      <w:r w:rsidRPr="00455191">
        <w:t xml:space="preserve"> g</w:t>
      </w:r>
      <w:r w:rsidR="008522E8" w:rsidRPr="00455191">
        <w:t xml:space="preserve"> </w:t>
      </w:r>
      <w:r w:rsidRPr="00455191">
        <w:t>CO</w:t>
      </w:r>
      <w:r w:rsidRPr="00455191">
        <w:rPr>
          <w:vertAlign w:val="subscript"/>
        </w:rPr>
        <w:t>2</w:t>
      </w:r>
      <w:r w:rsidRPr="00455191">
        <w:t xml:space="preserve">/km emissions </w:t>
      </w:r>
      <w:r w:rsidR="008522E8" w:rsidRPr="00455191">
        <w:t xml:space="preserve">for each brand </w:t>
      </w:r>
      <w:r w:rsidRPr="00455191">
        <w:t xml:space="preserve">in </w:t>
      </w:r>
      <w:r w:rsidR="008676B4" w:rsidRPr="00455191">
        <w:t xml:space="preserve">both </w:t>
      </w:r>
      <w:r w:rsidR="008522E8" w:rsidRPr="00455191">
        <w:t xml:space="preserve">the </w:t>
      </w:r>
      <w:r w:rsidRPr="00455191">
        <w:t xml:space="preserve">NEDC </w:t>
      </w:r>
      <w:r w:rsidR="008676B4" w:rsidRPr="00455191">
        <w:t>and 4p-WLTP</w:t>
      </w:r>
      <w:r w:rsidRPr="00455191">
        <w:t xml:space="preserve">. </w:t>
      </w:r>
      <w:r w:rsidRPr="00455191">
        <w:fldChar w:fldCharType="begin" w:fldLock="1"/>
      </w:r>
      <w:r w:rsidRPr="00455191">
        <w:instrText xml:space="preserve"> REF _Ref192769971 \h </w:instrText>
      </w:r>
      <w:r w:rsidR="00455191">
        <w:instrText xml:space="preserve"> \* MERGEFORMAT </w:instrText>
      </w:r>
      <w:r w:rsidRPr="00455191">
        <w:fldChar w:fldCharType="separate"/>
      </w:r>
      <w:r w:rsidR="005867AA" w:rsidRPr="00455191">
        <w:t xml:space="preserve">Figure </w:t>
      </w:r>
      <w:r w:rsidR="005867AA" w:rsidRPr="00455191">
        <w:rPr>
          <w:noProof/>
        </w:rPr>
        <w:t>18</w:t>
      </w:r>
      <w:r w:rsidRPr="00455191">
        <w:fldChar w:fldCharType="end"/>
      </w:r>
      <w:r w:rsidRPr="00455191">
        <w:t xml:space="preserve"> shows the </w:t>
      </w:r>
      <w:r w:rsidR="005C62E8" w:rsidRPr="00455191">
        <w:t>fleet</w:t>
      </w:r>
      <w:r w:rsidR="008522E8" w:rsidRPr="00455191">
        <w:t>-</w:t>
      </w:r>
      <w:r w:rsidR="005C62E8" w:rsidRPr="00455191">
        <w:t xml:space="preserve">average </w:t>
      </w:r>
      <w:r w:rsidRPr="00455191">
        <w:t xml:space="preserve">NEDC </w:t>
      </w:r>
      <w:r w:rsidR="008522E8" w:rsidRPr="00455191">
        <w:t xml:space="preserve">and </w:t>
      </w:r>
      <w:r w:rsidRPr="00455191">
        <w:t xml:space="preserve">4p-WLTP emissions of the selected brands compared </w:t>
      </w:r>
      <w:r w:rsidR="008522E8" w:rsidRPr="00455191">
        <w:t xml:space="preserve">with </w:t>
      </w:r>
      <w:r w:rsidRPr="00455191">
        <w:t xml:space="preserve">the 4p-WLTP to NEDC regression lines we generated for each vehicle </w:t>
      </w:r>
      <w:r w:rsidR="00FE36E1" w:rsidRPr="00455191">
        <w:t>group</w:t>
      </w:r>
      <w:r w:rsidRPr="00455191">
        <w:t xml:space="preserve"> based on </w:t>
      </w:r>
      <w:r w:rsidR="003B6025" w:rsidRPr="00455191">
        <w:t xml:space="preserve">the </w:t>
      </w:r>
      <w:r w:rsidRPr="00455191">
        <w:t xml:space="preserve">observed </w:t>
      </w:r>
      <w:r w:rsidR="00E23FB1" w:rsidRPr="00455191">
        <w:t xml:space="preserve">WLTP </w:t>
      </w:r>
      <w:r w:rsidRPr="00455191">
        <w:t xml:space="preserve">values. </w:t>
      </w:r>
    </w:p>
    <w:p w14:paraId="414677EC" w14:textId="09F6E329" w:rsidR="00236B3A" w:rsidRPr="00455191" w:rsidRDefault="00236B3A" w:rsidP="00F61408">
      <w:r w:rsidRPr="00455191">
        <w:t xml:space="preserve">Average emissions for most brands, shown as data points in color, are close to </w:t>
      </w:r>
      <w:r w:rsidR="00E9196C" w:rsidRPr="00455191">
        <w:t>(if not exactly on)</w:t>
      </w:r>
      <w:r w:rsidRPr="00455191">
        <w:t xml:space="preserve"> the regression lines. </w:t>
      </w:r>
      <w:r w:rsidR="00D32543" w:rsidRPr="00455191">
        <w:t>This indicates</w:t>
      </w:r>
      <w:r w:rsidR="001F21BB" w:rsidRPr="00455191">
        <w:t xml:space="preserve"> that the </w:t>
      </w:r>
      <w:r w:rsidR="00A06FC4" w:rsidRPr="00455191">
        <w:t xml:space="preserve">errors from the </w:t>
      </w:r>
      <w:r w:rsidR="00512448" w:rsidRPr="00455191">
        <w:t xml:space="preserve">conversion </w:t>
      </w:r>
      <w:r w:rsidR="001F21BB" w:rsidRPr="00455191">
        <w:t xml:space="preserve">do not </w:t>
      </w:r>
      <w:r w:rsidR="00512448" w:rsidRPr="00455191">
        <w:t>bias against</w:t>
      </w:r>
      <w:r w:rsidR="001F21BB" w:rsidRPr="00455191">
        <w:t xml:space="preserve"> brands</w:t>
      </w:r>
      <w:r w:rsidR="00BA29D1" w:rsidRPr="00455191">
        <w:t xml:space="preserve"> </w:t>
      </w:r>
      <w:r w:rsidR="003240A0" w:rsidRPr="00455191">
        <w:t>and</w:t>
      </w:r>
      <w:r w:rsidRPr="00455191">
        <w:t xml:space="preserve"> that </w:t>
      </w:r>
      <w:r w:rsidR="009627DE" w:rsidRPr="00455191">
        <w:t>the</w:t>
      </w:r>
      <w:r w:rsidRPr="00455191">
        <w:t xml:space="preserve"> predictions are very close to </w:t>
      </w:r>
      <w:r w:rsidR="00077735" w:rsidRPr="00455191">
        <w:t xml:space="preserve">manufacturers’ </w:t>
      </w:r>
      <w:r w:rsidRPr="00455191">
        <w:t xml:space="preserve">actual </w:t>
      </w:r>
      <w:r w:rsidR="00EB1C35" w:rsidRPr="00455191">
        <w:t xml:space="preserve">average </w:t>
      </w:r>
      <w:r w:rsidRPr="00455191">
        <w:t>emission</w:t>
      </w:r>
      <w:r w:rsidR="009627DE" w:rsidRPr="00455191">
        <w:t>s</w:t>
      </w:r>
      <w:r w:rsidRPr="00455191">
        <w:t>.</w:t>
      </w:r>
    </w:p>
    <w:p w14:paraId="1C0A79C4" w14:textId="4D4B3070" w:rsidR="008161DB" w:rsidRPr="000E2ED1" w:rsidRDefault="008161DB" w:rsidP="003A174C">
      <w:pPr>
        <w:pStyle w:val="Tablecaption"/>
      </w:pPr>
      <w:bookmarkStart w:id="15" w:name="_Ref192769971"/>
      <w:bookmarkStart w:id="16" w:name="_Ref192769961"/>
      <w:r w:rsidRPr="000E2ED1">
        <w:t xml:space="preserve">Figure </w:t>
      </w:r>
      <w:r w:rsidR="005867AA" w:rsidRPr="000E2ED1">
        <w:fldChar w:fldCharType="begin"/>
      </w:r>
      <w:r w:rsidR="005867AA" w:rsidRPr="000E2ED1">
        <w:instrText xml:space="preserve"> SEQ Figure \* ARABIC </w:instrText>
      </w:r>
      <w:r w:rsidR="005867AA" w:rsidRPr="000E2ED1">
        <w:fldChar w:fldCharType="separate"/>
      </w:r>
      <w:r w:rsidR="00EB15AE">
        <w:rPr>
          <w:noProof/>
        </w:rPr>
        <w:t>18</w:t>
      </w:r>
      <w:r w:rsidR="005867AA" w:rsidRPr="000E2ED1">
        <w:fldChar w:fldCharType="end"/>
      </w:r>
      <w:bookmarkEnd w:id="15"/>
      <w:r w:rsidRPr="000E2ED1">
        <w:t xml:space="preserve"> </w:t>
      </w:r>
      <w:r w:rsidR="00F26548">
        <w:br/>
      </w:r>
      <w:r w:rsidRPr="000E2ED1">
        <w:t>Average WLTP and NEDC CO</w:t>
      </w:r>
      <w:r w:rsidRPr="000E2ED1">
        <w:rPr>
          <w:vertAlign w:val="subscript"/>
        </w:rPr>
        <w:t>2</w:t>
      </w:r>
      <w:r w:rsidRPr="000E2ED1">
        <w:t xml:space="preserve"> emissions for the 11 manufacturers </w:t>
      </w:r>
      <w:r w:rsidR="00F26548">
        <w:t>with</w:t>
      </w:r>
      <w:r w:rsidRPr="000E2ED1">
        <w:t xml:space="preserve"> the highest market share in Australia in 2024</w:t>
      </w:r>
      <w:bookmarkEnd w:id="16"/>
    </w:p>
    <w:p w14:paraId="20E171F2" w14:textId="35D3DE29" w:rsidR="00B46C52" w:rsidRPr="00455191" w:rsidRDefault="00B234F8" w:rsidP="00F61408">
      <w:r w:rsidRPr="00455191">
        <w:rPr>
          <w:noProof/>
        </w:rPr>
        <w:drawing>
          <wp:inline distT="0" distB="0" distL="0" distR="0" wp14:anchorId="1BFE9440" wp14:editId="21D2B15E">
            <wp:extent cx="5943600" cy="3578860"/>
            <wp:effectExtent l="0" t="0" r="0" b="0"/>
            <wp:docPr id="810824892" name="Picture 810824892" descr="Figure 18 - diagram analysis the correlation between NEDC and WLTP CO2 values for the 11 largest selling manufacturers. With the exception of petrol plug in hybrids, the average numbers for these manufacturers are close to the slope of the reg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24892" name="Picture 810824892" descr="Figure 18 - diagram analysis the correlation between NEDC and WLTP CO2 values for the 11 largest selling manufacturers. With the exception of petrol plug in hybrids, the average numbers for these manufacturers are close to the slope of the regression. "/>
                    <pic:cNvPicPr/>
                  </pic:nvPicPr>
                  <pic:blipFill>
                    <a:blip r:embed="rId29"/>
                    <a:stretch>
                      <a:fillRect/>
                    </a:stretch>
                  </pic:blipFill>
                  <pic:spPr>
                    <a:xfrm>
                      <a:off x="0" y="0"/>
                      <a:ext cx="5943600" cy="3578860"/>
                    </a:xfrm>
                    <a:prstGeom prst="rect">
                      <a:avLst/>
                    </a:prstGeom>
                  </pic:spPr>
                </pic:pic>
              </a:graphicData>
            </a:graphic>
          </wp:inline>
        </w:drawing>
      </w:r>
    </w:p>
    <w:p w14:paraId="7A74E1F9" w14:textId="04E58FBD" w:rsidR="00E5795F" w:rsidRPr="00455191" w:rsidRDefault="001F7E45" w:rsidP="00B55BEC">
      <w:pPr>
        <w:pStyle w:val="Heading2"/>
      </w:pPr>
      <w:r w:rsidRPr="00455191">
        <w:lastRenderedPageBreak/>
        <w:t xml:space="preserve">Additional </w:t>
      </w:r>
      <w:r w:rsidR="00BA2A7B" w:rsidRPr="00455191">
        <w:t>consideration</w:t>
      </w:r>
      <w:r w:rsidR="00A657CB" w:rsidRPr="00455191">
        <w:t>s</w:t>
      </w:r>
    </w:p>
    <w:p w14:paraId="22BF218E" w14:textId="027509B0" w:rsidR="007F36B8" w:rsidRPr="00455191" w:rsidRDefault="006F2B22" w:rsidP="00616BD3">
      <w:pPr>
        <w:keepLines/>
      </w:pPr>
      <w:r w:rsidRPr="00455191">
        <w:t>T</w:t>
      </w:r>
      <w:r w:rsidR="00FB3CE1" w:rsidRPr="00455191">
        <w:t xml:space="preserve">he </w:t>
      </w:r>
      <w:r w:rsidR="000553B3" w:rsidRPr="00455191">
        <w:t xml:space="preserve">power </w:t>
      </w:r>
      <w:r w:rsidR="00FB3CE1" w:rsidRPr="00455191">
        <w:t>required</w:t>
      </w:r>
      <w:r w:rsidR="002330EA" w:rsidRPr="00455191">
        <w:t xml:space="preserve"> </w:t>
      </w:r>
      <w:r w:rsidR="00FB3CE1" w:rsidRPr="00455191">
        <w:t xml:space="preserve">to </w:t>
      </w:r>
      <w:r w:rsidR="00F06351" w:rsidRPr="00455191">
        <w:t>run a</w:t>
      </w:r>
      <w:r w:rsidR="00FB3CE1" w:rsidRPr="00455191">
        <w:t xml:space="preserve"> driv</w:t>
      </w:r>
      <w:r w:rsidR="00F06351" w:rsidRPr="00455191">
        <w:t>e</w:t>
      </w:r>
      <w:r w:rsidR="00FB3CE1" w:rsidRPr="00455191">
        <w:t xml:space="preserve"> cycle </w:t>
      </w:r>
      <w:r w:rsidR="00CC2026" w:rsidRPr="00455191">
        <w:t xml:space="preserve">is </w:t>
      </w:r>
      <w:r w:rsidRPr="00455191">
        <w:t>affected not only by</w:t>
      </w:r>
      <w:r w:rsidR="00FB3CE1" w:rsidRPr="00455191">
        <w:t xml:space="preserve"> the </w:t>
      </w:r>
      <w:r w:rsidR="00AE5E87" w:rsidRPr="00455191">
        <w:t xml:space="preserve">test </w:t>
      </w:r>
      <w:r w:rsidR="008366FE" w:rsidRPr="00455191">
        <w:t>procedure</w:t>
      </w:r>
      <w:r w:rsidR="00FB3CE1" w:rsidRPr="00455191">
        <w:t xml:space="preserve"> itself but </w:t>
      </w:r>
      <w:r w:rsidR="00CC2026" w:rsidRPr="00455191">
        <w:t xml:space="preserve">also </w:t>
      </w:r>
      <w:r w:rsidRPr="00455191">
        <w:t xml:space="preserve">by </w:t>
      </w:r>
      <w:r w:rsidR="00FB3CE1" w:rsidRPr="00455191">
        <w:t>the design characteristics of the vehicle being tested.</w:t>
      </w:r>
      <w:r w:rsidR="0008524F" w:rsidRPr="00455191">
        <w:t xml:space="preserve"> </w:t>
      </w:r>
      <w:r w:rsidR="00FF6D4C" w:rsidRPr="00455191">
        <w:t>A</w:t>
      </w:r>
      <w:r w:rsidR="00A31AD1" w:rsidRPr="00455191">
        <w:t>dopting an</w:t>
      </w:r>
      <w:r w:rsidR="00531E61" w:rsidRPr="00455191">
        <w:t xml:space="preserve">y cycle conversion algorithm will </w:t>
      </w:r>
      <w:r w:rsidR="00FF6D4C" w:rsidRPr="00455191">
        <w:t xml:space="preserve">thus </w:t>
      </w:r>
      <w:r w:rsidR="00531E61" w:rsidRPr="00455191">
        <w:t>be necessarily imprecise</w:t>
      </w:r>
      <w:r w:rsidR="00A31AD1" w:rsidRPr="00455191">
        <w:t>.</w:t>
      </w:r>
      <w:r w:rsidR="00531E61" w:rsidRPr="00455191">
        <w:t xml:space="preserve"> </w:t>
      </w:r>
      <w:r w:rsidR="008348BE" w:rsidRPr="00455191">
        <w:t>The</w:t>
      </w:r>
      <w:r w:rsidR="004F63CE" w:rsidRPr="00455191" w:rsidDel="0095454D">
        <w:t xml:space="preserve"> </w:t>
      </w:r>
      <w:r w:rsidR="0095454D" w:rsidRPr="00455191">
        <w:t xml:space="preserve">conversions </w:t>
      </w:r>
      <w:r w:rsidR="004F63CE" w:rsidRPr="00455191">
        <w:t xml:space="preserve">developed in this analysis </w:t>
      </w:r>
      <w:r w:rsidR="005D4AF4" w:rsidRPr="00455191">
        <w:t>hold on average</w:t>
      </w:r>
      <w:r w:rsidR="00FF6D4C" w:rsidRPr="00455191">
        <w:t>,</w:t>
      </w:r>
      <w:r w:rsidR="005D4AF4" w:rsidRPr="00455191">
        <w:t xml:space="preserve"> but </w:t>
      </w:r>
      <w:r w:rsidR="00B34C08" w:rsidRPr="00455191">
        <w:t>the variability or error of these relations for any given vehicle can be significant.</w:t>
      </w:r>
      <w:r w:rsidR="00755B96" w:rsidRPr="00455191">
        <w:t xml:space="preserve"> </w:t>
      </w:r>
      <w:r w:rsidR="00651855" w:rsidRPr="00455191">
        <w:t xml:space="preserve">As alternative options to </w:t>
      </w:r>
      <w:r w:rsidR="00721BE6" w:rsidRPr="00455191">
        <w:t>using these conversion relations</w:t>
      </w:r>
      <w:r w:rsidR="00B67351" w:rsidRPr="00455191">
        <w:t xml:space="preserve">, </w:t>
      </w:r>
      <w:r w:rsidR="000574DC" w:rsidRPr="00455191">
        <w:t xml:space="preserve">importers </w:t>
      </w:r>
      <w:r w:rsidR="00671A27" w:rsidRPr="00455191">
        <w:t>will</w:t>
      </w:r>
      <w:r w:rsidR="00A145F2" w:rsidRPr="00455191">
        <w:t xml:space="preserve"> </w:t>
      </w:r>
      <w:r w:rsidR="00671A27" w:rsidRPr="00455191">
        <w:t xml:space="preserve">have the choice to </w:t>
      </w:r>
      <w:r w:rsidR="00A145F2" w:rsidRPr="00455191">
        <w:t xml:space="preserve">either </w:t>
      </w:r>
      <w:r w:rsidR="00A6344A" w:rsidRPr="00455191">
        <w:t xml:space="preserve">run </w:t>
      </w:r>
      <w:r w:rsidR="005A6D2F" w:rsidRPr="00455191">
        <w:t xml:space="preserve">the emission tests under </w:t>
      </w:r>
      <w:r w:rsidR="00651855" w:rsidRPr="00455191">
        <w:t>the NEDC at certified testing laboratories</w:t>
      </w:r>
      <w:r w:rsidR="00A145F2" w:rsidRPr="00455191">
        <w:t xml:space="preserve"> or use the CO2MPAS model to estimate the </w:t>
      </w:r>
      <w:r w:rsidR="000D6AED" w:rsidRPr="00455191">
        <w:t>emissions in NEDC</w:t>
      </w:r>
      <w:r w:rsidR="00D22CD1" w:rsidRPr="00455191">
        <w:t>.</w:t>
      </w:r>
      <w:r w:rsidR="00651855" w:rsidRPr="00455191">
        <w:t xml:space="preserve"> </w:t>
      </w:r>
    </w:p>
    <w:p w14:paraId="6B57E619" w14:textId="4D8E79F5" w:rsidR="00EC7581" w:rsidRPr="00455191" w:rsidRDefault="0095433C" w:rsidP="00F61408">
      <w:r w:rsidRPr="00455191">
        <w:t>W</w:t>
      </w:r>
      <w:r w:rsidR="003100B7" w:rsidRPr="00455191">
        <w:t xml:space="preserve">hile the NVES </w:t>
      </w:r>
      <w:r w:rsidR="00555C08" w:rsidRPr="00455191">
        <w:t>is intended to regulate</w:t>
      </w:r>
      <w:r w:rsidR="00AA6D75" w:rsidRPr="00455191">
        <w:t xml:space="preserve"> specified</w:t>
      </w:r>
      <w:r w:rsidR="00555C08" w:rsidRPr="00455191">
        <w:t xml:space="preserve"> </w:t>
      </w:r>
      <w:r w:rsidR="00AA6D75" w:rsidRPr="00455191">
        <w:t xml:space="preserve">vehicles </w:t>
      </w:r>
      <w:r w:rsidRPr="00455191">
        <w:t>with a gross vehicle weight of</w:t>
      </w:r>
      <w:r w:rsidR="003100B7" w:rsidRPr="00455191">
        <w:t xml:space="preserve"> up to </w:t>
      </w:r>
      <w:r w:rsidR="000F1DFD" w:rsidRPr="00455191">
        <w:t>4,500 kg</w:t>
      </w:r>
      <w:r w:rsidR="00363DB9" w:rsidRPr="00455191">
        <w:t>, t</w:t>
      </w:r>
      <w:r w:rsidR="0092715B" w:rsidRPr="00455191">
        <w:t xml:space="preserve">he databases used for this analysis only </w:t>
      </w:r>
      <w:r w:rsidR="00CB30DC" w:rsidRPr="00455191">
        <w:t xml:space="preserve">have data for </w:t>
      </w:r>
      <w:r w:rsidRPr="00455191">
        <w:t>PCs</w:t>
      </w:r>
      <w:r w:rsidR="0092715B" w:rsidRPr="00455191">
        <w:t xml:space="preserve"> and </w:t>
      </w:r>
      <w:r w:rsidRPr="00455191">
        <w:t>LCVs</w:t>
      </w:r>
      <w:r w:rsidR="0092715B" w:rsidRPr="00455191">
        <w:t xml:space="preserve"> with </w:t>
      </w:r>
      <w:r w:rsidRPr="00455191">
        <w:t>a</w:t>
      </w:r>
      <w:r w:rsidR="0092715B" w:rsidRPr="00455191">
        <w:t xml:space="preserve"> gross vehicle weight </w:t>
      </w:r>
      <w:r w:rsidRPr="00455191">
        <w:t xml:space="preserve">of </w:t>
      </w:r>
      <w:r w:rsidR="0092715B" w:rsidRPr="00455191">
        <w:t>up to 3,500 kg</w:t>
      </w:r>
      <w:r w:rsidR="001247F6" w:rsidRPr="00455191">
        <w:t>.</w:t>
      </w:r>
      <w:r w:rsidR="00C13156" w:rsidRPr="00455191">
        <w:t xml:space="preserve"> Given the </w:t>
      </w:r>
      <w:r w:rsidR="003D79AE" w:rsidRPr="00455191">
        <w:t xml:space="preserve">lack of </w:t>
      </w:r>
      <w:r w:rsidR="005707F2" w:rsidRPr="00455191">
        <w:t xml:space="preserve">relevant </w:t>
      </w:r>
      <w:r w:rsidR="00C3777C" w:rsidRPr="006176F7">
        <w:t>CO</w:t>
      </w:r>
      <w:r w:rsidR="00C3777C" w:rsidRPr="006176F7">
        <w:rPr>
          <w:vertAlign w:val="subscript"/>
        </w:rPr>
        <w:t>2</w:t>
      </w:r>
      <w:r w:rsidR="00C3777C" w:rsidRPr="006176F7">
        <w:t xml:space="preserve"> emissions</w:t>
      </w:r>
      <w:r w:rsidR="00C3777C">
        <w:t xml:space="preserve"> </w:t>
      </w:r>
      <w:r w:rsidR="003D79AE" w:rsidRPr="00455191">
        <w:t xml:space="preserve">data </w:t>
      </w:r>
      <w:r w:rsidR="005C4223" w:rsidRPr="006176F7">
        <w:t>available for</w:t>
      </w:r>
      <w:r w:rsidR="005C4223" w:rsidRPr="00455191">
        <w:t xml:space="preserve"> </w:t>
      </w:r>
      <w:r w:rsidR="003D79AE" w:rsidRPr="00455191">
        <w:t>vehicles between 3,500 kg</w:t>
      </w:r>
      <w:r w:rsidR="00895E78" w:rsidRPr="00455191">
        <w:t xml:space="preserve"> and 4,500 kg </w:t>
      </w:r>
      <w:r w:rsidR="004A36F2" w:rsidRPr="00455191">
        <w:t>to</w:t>
      </w:r>
      <w:r w:rsidR="008245E1" w:rsidRPr="00455191">
        <w:t xml:space="preserve"> develop or verify the conversion algorithms, </w:t>
      </w:r>
      <w:r w:rsidRPr="00455191">
        <w:t xml:space="preserve">Australian authorities </w:t>
      </w:r>
      <w:r w:rsidR="006801E4" w:rsidRPr="00455191">
        <w:t>could consider</w:t>
      </w:r>
      <w:r w:rsidR="007513AA" w:rsidRPr="00455191">
        <w:t xml:space="preserve"> </w:t>
      </w:r>
      <w:r w:rsidR="0025491C" w:rsidRPr="00455191">
        <w:t>us</w:t>
      </w:r>
      <w:r w:rsidR="006801E4" w:rsidRPr="00455191">
        <w:t>ing</w:t>
      </w:r>
      <w:r w:rsidR="0025491C" w:rsidRPr="00455191">
        <w:t xml:space="preserve"> the LCV conversion factors </w:t>
      </w:r>
      <w:r w:rsidR="00E77D40" w:rsidRPr="00455191">
        <w:t xml:space="preserve">to </w:t>
      </w:r>
      <w:r w:rsidR="001548BC" w:rsidRPr="00455191">
        <w:t>conver</w:t>
      </w:r>
      <w:r w:rsidR="00E77D40" w:rsidRPr="00455191">
        <w:t>t</w:t>
      </w:r>
      <w:r w:rsidR="001548BC" w:rsidRPr="00455191">
        <w:t xml:space="preserve"> </w:t>
      </w:r>
      <w:r w:rsidR="00E77D40" w:rsidRPr="00455191">
        <w:t xml:space="preserve">the </w:t>
      </w:r>
      <w:r w:rsidR="00E63FDA" w:rsidRPr="00455191">
        <w:t>CO</w:t>
      </w:r>
      <w:r w:rsidR="00E63FDA" w:rsidRPr="00455191">
        <w:rPr>
          <w:vertAlign w:val="subscript"/>
        </w:rPr>
        <w:t>2</w:t>
      </w:r>
      <w:r w:rsidR="00E63FDA" w:rsidRPr="00455191">
        <w:t xml:space="preserve"> values of</w:t>
      </w:r>
      <w:r w:rsidR="001548BC" w:rsidRPr="00455191">
        <w:t xml:space="preserve"> these vehicles</w:t>
      </w:r>
      <w:r w:rsidR="00A14092" w:rsidRPr="00455191">
        <w:t>,</w:t>
      </w:r>
      <w:r w:rsidR="001548BC" w:rsidRPr="00455191">
        <w:t xml:space="preserve"> </w:t>
      </w:r>
      <w:r w:rsidR="005C4223">
        <w:t>as well as</w:t>
      </w:r>
      <w:r w:rsidR="005B0AD0" w:rsidRPr="00455191">
        <w:t xml:space="preserve"> </w:t>
      </w:r>
      <w:r w:rsidR="001548BC" w:rsidRPr="00455191">
        <w:t>allow</w:t>
      </w:r>
      <w:r w:rsidR="00E63FDA" w:rsidRPr="00455191">
        <w:t>ing</w:t>
      </w:r>
      <w:r w:rsidR="001548BC" w:rsidRPr="00455191">
        <w:t xml:space="preserve"> </w:t>
      </w:r>
      <w:r w:rsidR="005C4223">
        <w:t xml:space="preserve">an alternative for the </w:t>
      </w:r>
      <w:r w:rsidR="001548BC" w:rsidRPr="00455191">
        <w:t xml:space="preserve">importers </w:t>
      </w:r>
      <w:r w:rsidR="00E77557" w:rsidRPr="00455191">
        <w:t xml:space="preserve">of these vehicles </w:t>
      </w:r>
      <w:r w:rsidR="001548BC" w:rsidRPr="00455191">
        <w:t>to</w:t>
      </w:r>
      <w:r w:rsidR="00C475F2" w:rsidRPr="00455191">
        <w:t xml:space="preserve"> </w:t>
      </w:r>
      <w:r w:rsidR="0072092E" w:rsidRPr="00455191">
        <w:t xml:space="preserve">conduct </w:t>
      </w:r>
      <w:r w:rsidR="00E77557" w:rsidRPr="00455191">
        <w:t xml:space="preserve">physical </w:t>
      </w:r>
      <w:r w:rsidR="0072092E" w:rsidRPr="00455191">
        <w:t>CO</w:t>
      </w:r>
      <w:r w:rsidR="0072092E" w:rsidRPr="00455191">
        <w:rPr>
          <w:vertAlign w:val="subscript"/>
        </w:rPr>
        <w:t>2</w:t>
      </w:r>
      <w:r w:rsidR="0072092E" w:rsidRPr="00455191">
        <w:t xml:space="preserve"> test</w:t>
      </w:r>
      <w:r w:rsidR="001F59BF" w:rsidRPr="00455191">
        <w:t>ing</w:t>
      </w:r>
      <w:r w:rsidR="0072092E" w:rsidRPr="00455191">
        <w:t xml:space="preserve"> under </w:t>
      </w:r>
      <w:r w:rsidR="008017E4" w:rsidRPr="00455191">
        <w:t xml:space="preserve">the </w:t>
      </w:r>
      <w:r w:rsidR="0072092E" w:rsidRPr="00455191">
        <w:t>NEDC</w:t>
      </w:r>
      <w:r w:rsidR="003342FE" w:rsidRPr="00455191">
        <w:t xml:space="preserve"> if preferred. </w:t>
      </w:r>
      <w:r w:rsidR="00CD45DA" w:rsidRPr="003D0380">
        <w:t>If i</w:t>
      </w:r>
      <w:r w:rsidR="00AC40EB" w:rsidRPr="003D0380">
        <w:t xml:space="preserve">mporters </w:t>
      </w:r>
      <w:r w:rsidR="00984297" w:rsidRPr="003D0380">
        <w:t>choose to conduct physical testing for this heavier LCV segment, they</w:t>
      </w:r>
      <w:r w:rsidR="00984297" w:rsidRPr="003D0380" w:rsidDel="00984297">
        <w:t xml:space="preserve"> </w:t>
      </w:r>
      <w:r w:rsidR="004940C8" w:rsidRPr="003D0380">
        <w:t>should report</w:t>
      </w:r>
      <w:r w:rsidR="00AC40EB" w:rsidRPr="00455191">
        <w:t xml:space="preserve"> the CO</w:t>
      </w:r>
      <w:r w:rsidR="00AC40EB" w:rsidRPr="00455191">
        <w:rPr>
          <w:vertAlign w:val="subscript"/>
        </w:rPr>
        <w:t>2</w:t>
      </w:r>
      <w:r w:rsidR="00AC40EB" w:rsidRPr="00455191">
        <w:t xml:space="preserve"> emission value</w:t>
      </w:r>
      <w:r w:rsidR="00F8537B" w:rsidRPr="00455191">
        <w:t>s</w:t>
      </w:r>
      <w:r w:rsidR="003342FE" w:rsidRPr="00455191">
        <w:t xml:space="preserve"> </w:t>
      </w:r>
      <w:r w:rsidR="002303CA" w:rsidRPr="00455191">
        <w:t xml:space="preserve">in both </w:t>
      </w:r>
      <w:r w:rsidR="008017E4" w:rsidRPr="00455191">
        <w:t xml:space="preserve">the </w:t>
      </w:r>
      <w:r w:rsidR="002303CA" w:rsidRPr="00455191">
        <w:t>original test cycle and NEDC</w:t>
      </w:r>
      <w:r w:rsidR="006A7E1F">
        <w:t xml:space="preserve">, and </w:t>
      </w:r>
      <w:r w:rsidR="00CD45DA">
        <w:t>a</w:t>
      </w:r>
      <w:r w:rsidR="001111D1" w:rsidRPr="00455191">
        <w:t>uthorities</w:t>
      </w:r>
      <w:r w:rsidR="003D245A" w:rsidRPr="00455191">
        <w:t xml:space="preserve"> could </w:t>
      </w:r>
      <w:r w:rsidR="001111D1" w:rsidRPr="00455191">
        <w:t xml:space="preserve">then </w:t>
      </w:r>
      <w:r w:rsidR="00317F83" w:rsidRPr="00455191">
        <w:t xml:space="preserve">consider </w:t>
      </w:r>
      <w:r w:rsidR="00A572AE" w:rsidRPr="00455191">
        <w:t xml:space="preserve">developing </w:t>
      </w:r>
      <w:r w:rsidR="00F36001" w:rsidRPr="002101D5">
        <w:t>a separate set of</w:t>
      </w:r>
      <w:r w:rsidR="00F36001" w:rsidRPr="002101D5" w:rsidDel="00F36001">
        <w:t xml:space="preserve"> </w:t>
      </w:r>
      <w:r w:rsidR="00A572AE" w:rsidRPr="002101D5">
        <w:t xml:space="preserve">conversion </w:t>
      </w:r>
      <w:r w:rsidR="005F752D" w:rsidRPr="002101D5">
        <w:t>factors</w:t>
      </w:r>
      <w:r w:rsidR="00A572AE" w:rsidRPr="002101D5">
        <w:t xml:space="preserve"> for </w:t>
      </w:r>
      <w:r w:rsidR="00F36001" w:rsidRPr="002101D5">
        <w:t xml:space="preserve">these </w:t>
      </w:r>
      <w:r w:rsidR="00A572AE" w:rsidRPr="002101D5">
        <w:t xml:space="preserve">LCVs </w:t>
      </w:r>
      <w:r w:rsidR="00337156" w:rsidRPr="002101D5">
        <w:t>as</w:t>
      </w:r>
      <w:r w:rsidR="00855ED7" w:rsidRPr="002101D5">
        <w:t xml:space="preserve"> </w:t>
      </w:r>
      <w:r w:rsidR="001232B4" w:rsidRPr="002101D5">
        <w:t xml:space="preserve">data </w:t>
      </w:r>
      <w:r w:rsidR="00402F30" w:rsidRPr="002101D5">
        <w:t>become available to justify</w:t>
      </w:r>
      <w:r w:rsidR="001232B4" w:rsidRPr="00455191">
        <w:t xml:space="preserve"> such adjustment</w:t>
      </w:r>
      <w:r w:rsidR="00EC7581" w:rsidRPr="00455191">
        <w:t>.</w:t>
      </w:r>
    </w:p>
    <w:p w14:paraId="2213BE54" w14:textId="29A8F719" w:rsidR="003601BD" w:rsidRPr="00455191" w:rsidRDefault="00B2273A" w:rsidP="00003F7B">
      <w:pPr>
        <w:keepLines/>
      </w:pPr>
      <w:r w:rsidRPr="00455191">
        <w:t>Lastly, g</w:t>
      </w:r>
      <w:r w:rsidR="00006DB1" w:rsidRPr="00455191">
        <w:t xml:space="preserve">iven that </w:t>
      </w:r>
      <w:r w:rsidR="006E1AD7" w:rsidRPr="00455191">
        <w:t>new</w:t>
      </w:r>
      <w:r w:rsidR="00810962" w:rsidRPr="00455191">
        <w:t xml:space="preserve"> models sold</w:t>
      </w:r>
      <w:r w:rsidR="00C669C9" w:rsidRPr="00455191">
        <w:t xml:space="preserve"> </w:t>
      </w:r>
      <w:r w:rsidR="00810962" w:rsidRPr="00455191">
        <w:t xml:space="preserve">in </w:t>
      </w:r>
      <w:r w:rsidR="00006DB1" w:rsidRPr="00455191">
        <w:t xml:space="preserve">Australia </w:t>
      </w:r>
      <w:r w:rsidR="00810962" w:rsidRPr="00455191">
        <w:t xml:space="preserve">will </w:t>
      </w:r>
      <w:r w:rsidR="0096568F" w:rsidRPr="00455191">
        <w:t xml:space="preserve">comply </w:t>
      </w:r>
      <w:r w:rsidR="00B70307">
        <w:t>w</w:t>
      </w:r>
      <w:r w:rsidR="00C4240F">
        <w:t>i</w:t>
      </w:r>
      <w:r w:rsidR="00B70307">
        <w:t>t</w:t>
      </w:r>
      <w:r w:rsidR="00C4240F">
        <w:t xml:space="preserve">h </w:t>
      </w:r>
      <w:r w:rsidR="0096568F" w:rsidRPr="00455191">
        <w:rPr>
          <w:rFonts w:eastAsia="FangSong"/>
        </w:rPr>
        <w:t>at least WLTP-based Euro 6d-equivalent pollutant emission standards</w:t>
      </w:r>
      <w:r w:rsidR="0096568F" w:rsidRPr="00455191">
        <w:t xml:space="preserve"> </w:t>
      </w:r>
      <w:r w:rsidR="00C2634C">
        <w:t>(or equivalent U</w:t>
      </w:r>
      <w:r w:rsidR="00783B8C">
        <w:t>.</w:t>
      </w:r>
      <w:r w:rsidR="00C2634C">
        <w:t>S</w:t>
      </w:r>
      <w:r w:rsidR="00783B8C">
        <w:t>.</w:t>
      </w:r>
      <w:r w:rsidR="00C2634C">
        <w:t xml:space="preserve"> standards) </w:t>
      </w:r>
      <w:r w:rsidR="00C4240F">
        <w:t xml:space="preserve">starting </w:t>
      </w:r>
      <w:r w:rsidR="00044180" w:rsidRPr="00455191">
        <w:t>from December 2025</w:t>
      </w:r>
      <w:r w:rsidR="00C4240F">
        <w:t>, with</w:t>
      </w:r>
      <w:r w:rsidR="00044180" w:rsidRPr="00455191">
        <w:t xml:space="preserve"> all models </w:t>
      </w:r>
      <w:r w:rsidR="00C4240F">
        <w:t xml:space="preserve">required to </w:t>
      </w:r>
      <w:r w:rsidR="00805A54" w:rsidRPr="00455191">
        <w:t xml:space="preserve">comply </w:t>
      </w:r>
      <w:r w:rsidR="00F81224" w:rsidRPr="00455191">
        <w:t>by July 2028</w:t>
      </w:r>
      <w:r w:rsidR="00805A54" w:rsidRPr="00455191">
        <w:t xml:space="preserve">, </w:t>
      </w:r>
      <w:r w:rsidR="008720A1">
        <w:t>an increasing number of</w:t>
      </w:r>
      <w:r w:rsidR="008720A1" w:rsidRPr="00455191">
        <w:t xml:space="preserve"> </w:t>
      </w:r>
      <w:r w:rsidR="00FD6224" w:rsidRPr="00455191">
        <w:t>vehicles entering the Australian market</w:t>
      </w:r>
      <w:r w:rsidR="0096568F" w:rsidRPr="00455191">
        <w:t xml:space="preserve"> </w:t>
      </w:r>
      <w:r w:rsidR="00810962" w:rsidRPr="00455191">
        <w:t xml:space="preserve">will be </w:t>
      </w:r>
      <w:r w:rsidR="00FD6224" w:rsidRPr="00455191">
        <w:t>tested</w:t>
      </w:r>
      <w:r w:rsidR="00810962" w:rsidRPr="00455191">
        <w:t xml:space="preserve"> under </w:t>
      </w:r>
      <w:r w:rsidR="0045242A" w:rsidRPr="00455191">
        <w:t>4p</w:t>
      </w:r>
      <w:r w:rsidR="00FD6224" w:rsidRPr="00455191">
        <w:t>-</w:t>
      </w:r>
      <w:r w:rsidR="00810962" w:rsidRPr="00455191">
        <w:t>WLTP</w:t>
      </w:r>
      <w:r w:rsidR="00DF751F" w:rsidRPr="00455191">
        <w:t>.</w:t>
      </w:r>
      <w:r w:rsidR="006676EB" w:rsidRPr="00455191">
        <w:t xml:space="preserve"> </w:t>
      </w:r>
      <w:r w:rsidR="00F0059C" w:rsidRPr="00455191">
        <w:t xml:space="preserve"> </w:t>
      </w:r>
      <w:r w:rsidR="00423E99" w:rsidRPr="00455191">
        <w:rPr>
          <w:rFonts w:eastAsia="FangSong"/>
        </w:rPr>
        <w:t xml:space="preserve">This </w:t>
      </w:r>
      <w:r w:rsidR="00CB5E75" w:rsidRPr="00455191">
        <w:rPr>
          <w:rFonts w:eastAsia="FangSong"/>
        </w:rPr>
        <w:t xml:space="preserve">would </w:t>
      </w:r>
      <w:r w:rsidR="00423E99" w:rsidRPr="00455191">
        <w:rPr>
          <w:rFonts w:eastAsia="FangSong"/>
        </w:rPr>
        <w:t xml:space="preserve">place </w:t>
      </w:r>
      <w:r w:rsidR="008720A1">
        <w:rPr>
          <w:rFonts w:eastAsia="FangSong"/>
        </w:rPr>
        <w:t>most</w:t>
      </w:r>
      <w:r w:rsidR="008720A1" w:rsidRPr="00455191">
        <w:rPr>
          <w:rFonts w:eastAsia="FangSong"/>
        </w:rPr>
        <w:t xml:space="preserve"> </w:t>
      </w:r>
      <w:r w:rsidR="00423E99" w:rsidRPr="00455191">
        <w:rPr>
          <w:rFonts w:eastAsia="FangSong"/>
        </w:rPr>
        <w:t xml:space="preserve">importers and models </w:t>
      </w:r>
      <w:r w:rsidR="00CB5E75" w:rsidRPr="00455191">
        <w:rPr>
          <w:rFonts w:eastAsia="FangSong"/>
        </w:rPr>
        <w:t xml:space="preserve">on </w:t>
      </w:r>
      <w:r w:rsidR="00423E99" w:rsidRPr="00455191">
        <w:rPr>
          <w:rFonts w:eastAsia="FangSong"/>
        </w:rPr>
        <w:t xml:space="preserve">a level field for compliance </w:t>
      </w:r>
      <w:r w:rsidR="004E73EC" w:rsidRPr="00455191">
        <w:rPr>
          <w:rFonts w:eastAsia="FangSong"/>
        </w:rPr>
        <w:t xml:space="preserve">with </w:t>
      </w:r>
      <w:r w:rsidR="00423E99" w:rsidRPr="00455191">
        <w:rPr>
          <w:rFonts w:eastAsia="FangSong"/>
        </w:rPr>
        <w:t xml:space="preserve">the standards </w:t>
      </w:r>
      <w:r w:rsidR="009B3988">
        <w:rPr>
          <w:rFonts w:eastAsia="FangSong"/>
        </w:rPr>
        <w:t xml:space="preserve">by 2028 </w:t>
      </w:r>
      <w:r w:rsidR="00423E99" w:rsidRPr="00455191">
        <w:rPr>
          <w:rFonts w:eastAsia="FangSong"/>
        </w:rPr>
        <w:t>and reduce inaccurac</w:t>
      </w:r>
      <w:r w:rsidR="004E73EC" w:rsidRPr="00455191">
        <w:rPr>
          <w:rFonts w:eastAsia="FangSong"/>
        </w:rPr>
        <w:t>ies</w:t>
      </w:r>
      <w:r w:rsidR="00423E99" w:rsidRPr="00455191">
        <w:rPr>
          <w:rFonts w:eastAsia="FangSong"/>
        </w:rPr>
        <w:t xml:space="preserve"> in converting the CO</w:t>
      </w:r>
      <w:r w:rsidR="00423E99" w:rsidRPr="00455191">
        <w:rPr>
          <w:rFonts w:eastAsia="FangSong"/>
          <w:vertAlign w:val="subscript"/>
        </w:rPr>
        <w:t>2</w:t>
      </w:r>
      <w:r w:rsidR="00423E99" w:rsidRPr="00455191">
        <w:rPr>
          <w:rFonts w:eastAsia="FangSong"/>
        </w:rPr>
        <w:t xml:space="preserve"> and fuel consumption values from different test cycles</w:t>
      </w:r>
      <w:r w:rsidR="00BE54A6" w:rsidRPr="00455191">
        <w:rPr>
          <w:rFonts w:eastAsia="FangSong"/>
        </w:rPr>
        <w:t>.</w:t>
      </w:r>
    </w:p>
    <w:p w14:paraId="10045241" w14:textId="0008D2BC" w:rsidR="003601BD" w:rsidRPr="00455191" w:rsidRDefault="006639D6" w:rsidP="00F61408">
      <w:r w:rsidRPr="00455191">
        <w:br w:type="page"/>
      </w:r>
    </w:p>
    <w:p w14:paraId="6D89232D" w14:textId="76E67F6C" w:rsidR="003601BD" w:rsidRPr="00455191" w:rsidRDefault="006639D6" w:rsidP="00616BD3">
      <w:pPr>
        <w:pStyle w:val="Heading2"/>
        <w:numPr>
          <w:ilvl w:val="0"/>
          <w:numId w:val="0"/>
        </w:numPr>
      </w:pPr>
      <w:r w:rsidRPr="00455191">
        <w:lastRenderedPageBreak/>
        <w:t>References</w:t>
      </w:r>
    </w:p>
    <w:p w14:paraId="5BAE5183" w14:textId="329F966D" w:rsidR="00E22CFD" w:rsidRDefault="00E22CFD" w:rsidP="00F61408">
      <w:pPr>
        <w:pStyle w:val="Bibliography"/>
        <w:rPr>
          <w:rFonts w:eastAsia="SimSun"/>
        </w:rPr>
      </w:pPr>
      <w:r w:rsidRPr="00455191">
        <w:rPr>
          <w:rFonts w:eastAsia="SimSun"/>
        </w:rPr>
        <w:t xml:space="preserve">Addendum 100: Regulation No. 101, Revision 3, Pub. L. No. E/ECE/TRANS/505/Rev.2/Add.100/Rev.3 (2013). </w:t>
      </w:r>
      <w:hyperlink r:id="rId30" w:history="1">
        <w:r w:rsidR="00003F7B" w:rsidRPr="006808DE">
          <w:rPr>
            <w:rStyle w:val="Hyperlink"/>
            <w:rFonts w:eastAsia="SimSun"/>
          </w:rPr>
          <w:t>https://www.unece.org/fileadmin/DAM/trans/main/wp29/wp29regs/2015/R101r3e.pdf</w:t>
        </w:r>
      </w:hyperlink>
    </w:p>
    <w:p w14:paraId="4979E3C8" w14:textId="32B50E8A" w:rsidR="00E22CFD" w:rsidRDefault="00E22CFD" w:rsidP="00F61408">
      <w:pPr>
        <w:pStyle w:val="Bibliography"/>
        <w:rPr>
          <w:rFonts w:eastAsia="SimSun"/>
        </w:rPr>
      </w:pPr>
      <w:r w:rsidRPr="00455191">
        <w:rPr>
          <w:rFonts w:eastAsia="SimSun"/>
        </w:rPr>
        <w:t xml:space="preserve">Addendum 153: UN Regulation No. 154 - 00 Series, Pub. L. No. E/ECE/TRANS/505/Rev.3/Add.153, ECE/TRANS/WP.29/2020/77+2020/92 00 series 589 (2021). </w:t>
      </w:r>
      <w:hyperlink r:id="rId31" w:history="1">
        <w:r w:rsidR="00003F7B" w:rsidRPr="006808DE">
          <w:rPr>
            <w:rStyle w:val="Hyperlink"/>
            <w:rFonts w:eastAsia="SimSun"/>
          </w:rPr>
          <w:t>https://unece.org/sites/default/files/2021-08/R154e.pdf</w:t>
        </w:r>
      </w:hyperlink>
    </w:p>
    <w:p w14:paraId="64245DA6" w14:textId="2F1DC578" w:rsidR="00E22CFD" w:rsidRDefault="00E22CFD" w:rsidP="00F61408">
      <w:pPr>
        <w:pStyle w:val="Bibliography"/>
        <w:rPr>
          <w:rFonts w:eastAsia="SimSun"/>
          <w:lang w:val="de-DE"/>
        </w:rPr>
      </w:pPr>
      <w:r w:rsidRPr="0078315D">
        <w:rPr>
          <w:rFonts w:eastAsia="SimSun"/>
          <w:lang w:val="de-DE"/>
        </w:rPr>
        <w:t xml:space="preserve">Allgemeiner Deutscher Automobil-Club. (2021, October). </w:t>
      </w:r>
      <w:r w:rsidRPr="0078315D">
        <w:rPr>
          <w:rFonts w:eastAsia="SimSun"/>
          <w:i/>
          <w:lang w:val="de-DE"/>
        </w:rPr>
        <w:t>ADAC Autokatalog</w:t>
      </w:r>
      <w:r w:rsidRPr="0078315D">
        <w:rPr>
          <w:rFonts w:eastAsia="SimSun"/>
          <w:lang w:val="de-DE"/>
        </w:rPr>
        <w:t xml:space="preserve">. </w:t>
      </w:r>
      <w:r w:rsidR="00003F7B">
        <w:fldChar w:fldCharType="begin"/>
      </w:r>
      <w:r w:rsidR="00003F7B">
        <w:instrText>HYPERLINK "https://www.adac.de/rund-ums-fahrzeug/autokatalog/"</w:instrText>
      </w:r>
      <w:r w:rsidR="00003F7B">
        <w:fldChar w:fldCharType="separate"/>
      </w:r>
      <w:r w:rsidR="00003F7B" w:rsidRPr="006808DE">
        <w:rPr>
          <w:rStyle w:val="Hyperlink"/>
          <w:rFonts w:eastAsia="SimSun"/>
          <w:lang w:val="de-DE"/>
        </w:rPr>
        <w:t>https://www.adac.de/rund-ums-fahrzeug/autokatalog/</w:t>
      </w:r>
      <w:r w:rsidR="00003F7B">
        <w:fldChar w:fldCharType="end"/>
      </w:r>
    </w:p>
    <w:p w14:paraId="62299C05" w14:textId="45E2197C" w:rsidR="00E22CFD" w:rsidRDefault="00E22CFD" w:rsidP="00F61408">
      <w:pPr>
        <w:pStyle w:val="Bibliography"/>
        <w:rPr>
          <w:rFonts w:eastAsia="SimSun"/>
        </w:rPr>
      </w:pPr>
      <w:r w:rsidRPr="00455191">
        <w:rPr>
          <w:rFonts w:eastAsia="SimSun"/>
        </w:rPr>
        <w:t xml:space="preserve">An, F., Gordon, D., He, H., </w:t>
      </w:r>
      <w:proofErr w:type="spellStart"/>
      <w:r w:rsidRPr="00455191">
        <w:rPr>
          <w:rFonts w:eastAsia="SimSun"/>
        </w:rPr>
        <w:t>Kodjak</w:t>
      </w:r>
      <w:proofErr w:type="spellEnd"/>
      <w:r w:rsidRPr="00455191">
        <w:rPr>
          <w:rFonts w:eastAsia="SimSun"/>
        </w:rPr>
        <w:t xml:space="preserve">, D., &amp; Rutherford, D. (2007). </w:t>
      </w:r>
      <w:r w:rsidRPr="00455191">
        <w:rPr>
          <w:rFonts w:eastAsia="SimSun"/>
          <w:i/>
          <w:iCs/>
        </w:rPr>
        <w:t>Passenger Vehicle Greenhouse Gas and Fuel Economy Standards</w:t>
      </w:r>
      <w:r w:rsidRPr="00455191">
        <w:rPr>
          <w:rFonts w:eastAsia="SimSun"/>
        </w:rPr>
        <w:t xml:space="preserve">. </w:t>
      </w:r>
      <w:r w:rsidR="005F667C">
        <w:rPr>
          <w:rFonts w:eastAsia="SimSun"/>
        </w:rPr>
        <w:t>International Council on Clean Transportation.</w:t>
      </w:r>
      <w:r w:rsidRPr="00455191">
        <w:rPr>
          <w:rFonts w:eastAsia="SimSun"/>
        </w:rPr>
        <w:t xml:space="preserve"> </w:t>
      </w:r>
      <w:hyperlink r:id="rId32" w:history="1">
        <w:r w:rsidR="00003F7B" w:rsidRPr="006808DE">
          <w:rPr>
            <w:rStyle w:val="Hyperlink"/>
            <w:rFonts w:eastAsia="SimSun"/>
          </w:rPr>
          <w:t>https://theicct.org/publication/passenger-vehicle-greenhouse-gas-and-fuel-economy-standards/</w:t>
        </w:r>
      </w:hyperlink>
    </w:p>
    <w:p w14:paraId="7153492D" w14:textId="4563593C" w:rsidR="00E22CFD" w:rsidRDefault="00E22CFD" w:rsidP="00F61408">
      <w:pPr>
        <w:pStyle w:val="Bibliography"/>
        <w:rPr>
          <w:rFonts w:eastAsia="SimSun"/>
        </w:rPr>
      </w:pPr>
      <w:r w:rsidRPr="00455191">
        <w:rPr>
          <w:rFonts w:eastAsia="SimSun"/>
        </w:rPr>
        <w:t xml:space="preserve">Australian Government. (n.d.-a). </w:t>
      </w:r>
      <w:r w:rsidRPr="00455191">
        <w:rPr>
          <w:rFonts w:eastAsia="SimSun"/>
          <w:i/>
          <w:iCs/>
        </w:rPr>
        <w:t>Green Vehicle Guide</w:t>
      </w:r>
      <w:r w:rsidRPr="00455191">
        <w:rPr>
          <w:rFonts w:eastAsia="SimSun"/>
        </w:rPr>
        <w:t xml:space="preserve">. Retrieved March 18, 2025, from </w:t>
      </w:r>
      <w:hyperlink r:id="rId33" w:history="1">
        <w:r w:rsidR="00003F7B" w:rsidRPr="006808DE">
          <w:rPr>
            <w:rStyle w:val="Hyperlink"/>
            <w:rFonts w:eastAsia="SimSun"/>
          </w:rPr>
          <w:t>https://www.greenvehicleguide.gov.au/</w:t>
        </w:r>
      </w:hyperlink>
    </w:p>
    <w:p w14:paraId="232B29A0" w14:textId="230FBABE" w:rsidR="00E22CFD" w:rsidRDefault="00E22CFD" w:rsidP="00F61408">
      <w:pPr>
        <w:pStyle w:val="Bibliography"/>
        <w:rPr>
          <w:rFonts w:eastAsia="SimSun"/>
        </w:rPr>
      </w:pPr>
      <w:r w:rsidRPr="00455191">
        <w:rPr>
          <w:rFonts w:eastAsia="SimSun"/>
        </w:rPr>
        <w:t xml:space="preserve">Australian Government. (n.d.-b). </w:t>
      </w:r>
      <w:r w:rsidRPr="00455191">
        <w:rPr>
          <w:rFonts w:eastAsia="SimSun"/>
          <w:i/>
          <w:iCs/>
        </w:rPr>
        <w:t>Vehicle Standard (Australian Design Rule – Definitions and Vehicle Categories) 2005</w:t>
      </w:r>
      <w:r w:rsidRPr="00455191">
        <w:rPr>
          <w:rFonts w:eastAsia="SimSun"/>
        </w:rPr>
        <w:t xml:space="preserve">. Retrieved March 18, 2025, from </w:t>
      </w:r>
      <w:hyperlink r:id="rId34" w:history="1">
        <w:r w:rsidR="00003F7B" w:rsidRPr="006808DE">
          <w:rPr>
            <w:rStyle w:val="Hyperlink"/>
            <w:rFonts w:eastAsia="SimSun"/>
          </w:rPr>
          <w:t>https://www.legislation.gov.au/F2005L03850/latest</w:t>
        </w:r>
      </w:hyperlink>
    </w:p>
    <w:p w14:paraId="49E8B6B7" w14:textId="00C6057C" w:rsidR="00E22CFD" w:rsidRDefault="00E22CFD" w:rsidP="00F61408">
      <w:pPr>
        <w:pStyle w:val="Bibliography"/>
        <w:rPr>
          <w:rFonts w:eastAsia="SimSun"/>
        </w:rPr>
      </w:pPr>
      <w:r w:rsidRPr="00455191">
        <w:rPr>
          <w:rFonts w:eastAsia="SimSun"/>
        </w:rPr>
        <w:t xml:space="preserve">Australian Government. (2021, November 30). </w:t>
      </w:r>
      <w:r w:rsidRPr="00455191">
        <w:rPr>
          <w:rFonts w:eastAsia="SimSun"/>
          <w:i/>
          <w:iCs/>
        </w:rPr>
        <w:t>Vehicle Standard (Australian Design Rule 79/04—Emission Control for Light Vehicles) 2011</w:t>
      </w:r>
      <w:r w:rsidRPr="00455191">
        <w:rPr>
          <w:rFonts w:eastAsia="SimSun"/>
        </w:rPr>
        <w:t xml:space="preserve">. </w:t>
      </w:r>
      <w:hyperlink r:id="rId35" w:history="1">
        <w:r w:rsidR="00003F7B" w:rsidRPr="006808DE">
          <w:rPr>
            <w:rStyle w:val="Hyperlink"/>
            <w:rFonts w:eastAsia="SimSun"/>
          </w:rPr>
          <w:t>https://www.legislation.gov.au/F2011L02016/latest</w:t>
        </w:r>
      </w:hyperlink>
    </w:p>
    <w:p w14:paraId="7FB67147" w14:textId="09DBC6C4" w:rsidR="00E22CFD" w:rsidRDefault="00E22CFD" w:rsidP="00F61408">
      <w:pPr>
        <w:pStyle w:val="Bibliography"/>
        <w:rPr>
          <w:rFonts w:eastAsia="SimSun"/>
        </w:rPr>
      </w:pPr>
      <w:r w:rsidRPr="00455191">
        <w:rPr>
          <w:rFonts w:eastAsia="SimSun"/>
        </w:rPr>
        <w:t xml:space="preserve">Australian Government. (2024a). </w:t>
      </w:r>
      <w:r w:rsidRPr="00455191">
        <w:rPr>
          <w:rFonts w:eastAsia="SimSun"/>
          <w:i/>
          <w:iCs/>
        </w:rPr>
        <w:t>New Vehicle Efficiency Standard Act 2024</w:t>
      </w:r>
      <w:r w:rsidRPr="00455191">
        <w:rPr>
          <w:rFonts w:eastAsia="SimSun"/>
        </w:rPr>
        <w:t xml:space="preserve">. </w:t>
      </w:r>
      <w:hyperlink r:id="rId36" w:history="1">
        <w:r w:rsidR="00003F7B" w:rsidRPr="006808DE">
          <w:rPr>
            <w:rStyle w:val="Hyperlink"/>
            <w:rFonts w:eastAsia="SimSun"/>
          </w:rPr>
          <w:t>https://www.legislation.gov.au/C2024A00034/latest</w:t>
        </w:r>
      </w:hyperlink>
    </w:p>
    <w:p w14:paraId="1524B917" w14:textId="2E74C9DE" w:rsidR="00E22CFD" w:rsidRDefault="00E22CFD" w:rsidP="00F61408">
      <w:pPr>
        <w:pStyle w:val="Bibliography"/>
        <w:rPr>
          <w:rFonts w:eastAsia="SimSun"/>
        </w:rPr>
      </w:pPr>
      <w:r w:rsidRPr="00455191">
        <w:rPr>
          <w:rFonts w:eastAsia="SimSun"/>
        </w:rPr>
        <w:t xml:space="preserve">Australian Government. (2024b). Vehicle Standard (Australian Design Rule 79/05 – Emission Control for Light Vehicles) 2024. </w:t>
      </w:r>
      <w:hyperlink r:id="rId37" w:history="1">
        <w:r w:rsidR="00003F7B" w:rsidRPr="006808DE">
          <w:rPr>
            <w:rStyle w:val="Hyperlink"/>
            <w:rFonts w:eastAsia="SimSun"/>
          </w:rPr>
          <w:t>https://www.legislation.gov.au/F2024L00443/asmade</w:t>
        </w:r>
      </w:hyperlink>
    </w:p>
    <w:p w14:paraId="3CDD6A6B" w14:textId="13115C51" w:rsidR="00E22CFD" w:rsidRDefault="00E22CFD" w:rsidP="00F61408">
      <w:pPr>
        <w:pStyle w:val="Bibliography"/>
        <w:rPr>
          <w:rFonts w:eastAsia="SimSun"/>
        </w:rPr>
      </w:pPr>
      <w:proofErr w:type="spellStart"/>
      <w:r w:rsidRPr="00455191">
        <w:rPr>
          <w:rFonts w:eastAsia="SimSun"/>
        </w:rPr>
        <w:t>CarExpert</w:t>
      </w:r>
      <w:proofErr w:type="spellEnd"/>
      <w:r w:rsidRPr="00455191">
        <w:rPr>
          <w:rFonts w:eastAsia="SimSun"/>
        </w:rPr>
        <w:t xml:space="preserve">. (2025, January 6). </w:t>
      </w:r>
      <w:r w:rsidRPr="00455191">
        <w:rPr>
          <w:rFonts w:eastAsia="SimSun"/>
          <w:i/>
          <w:iCs/>
        </w:rPr>
        <w:t>VFACTS 2024: New vehicle sales hit record high, but slump expected soon</w:t>
      </w:r>
      <w:r w:rsidRPr="00455191">
        <w:rPr>
          <w:rFonts w:eastAsia="SimSun"/>
        </w:rPr>
        <w:t xml:space="preserve">. </w:t>
      </w:r>
      <w:hyperlink r:id="rId38" w:history="1">
        <w:r w:rsidR="00003F7B" w:rsidRPr="006808DE">
          <w:rPr>
            <w:rStyle w:val="Hyperlink"/>
            <w:rFonts w:eastAsia="SimSun"/>
          </w:rPr>
          <w:t>https://www.carexpert.com.au/car-news/vfacts-2024-new-vehicle-sales-hit-record-high-but-slump-expected-soon</w:t>
        </w:r>
      </w:hyperlink>
    </w:p>
    <w:p w14:paraId="15485427" w14:textId="25637FF1" w:rsidR="00E22CFD" w:rsidRDefault="00E22CFD" w:rsidP="00003F7B">
      <w:pPr>
        <w:pStyle w:val="Bibliography"/>
        <w:keepLines/>
        <w:rPr>
          <w:rFonts w:eastAsia="SimSun"/>
        </w:rPr>
      </w:pPr>
      <w:r w:rsidRPr="00455191">
        <w:rPr>
          <w:rFonts w:eastAsia="SimSun"/>
        </w:rPr>
        <w:lastRenderedPageBreak/>
        <w:t xml:space="preserve">Commission Implementing Regulation (EU) 2017/1152 of 2 June 2017 Setting out a Methodology for Determining the Correlation Parameters Necessary for Reflecting the Change in the Regulatory Test Procedure </w:t>
      </w:r>
      <w:proofErr w:type="gramStart"/>
      <w:r w:rsidRPr="00455191">
        <w:rPr>
          <w:rFonts w:eastAsia="SimSun"/>
        </w:rPr>
        <w:t>with Regard to</w:t>
      </w:r>
      <w:proofErr w:type="gramEnd"/>
      <w:r w:rsidRPr="00455191">
        <w:rPr>
          <w:rFonts w:eastAsia="SimSun"/>
        </w:rPr>
        <w:t xml:space="preserve"> Light Commercial Vehicles and Amending Implementing Regulation (EU) No 293/2012 (Text with EEA Relevance), Pub. L. No. OJ L 175, 7.7.2017, p. 644 (2017). </w:t>
      </w:r>
      <w:hyperlink r:id="rId39" w:history="1">
        <w:r w:rsidR="00003F7B" w:rsidRPr="006808DE">
          <w:rPr>
            <w:rStyle w:val="Hyperlink"/>
            <w:rFonts w:eastAsia="SimSun"/>
          </w:rPr>
          <w:t>http://data.europa.eu/eli/reg_impl/2017/1152/oj</w:t>
        </w:r>
      </w:hyperlink>
    </w:p>
    <w:p w14:paraId="12D12860" w14:textId="5A0D9CB1" w:rsidR="00E22CFD" w:rsidRDefault="00E22CFD" w:rsidP="00F61408">
      <w:pPr>
        <w:pStyle w:val="Bibliography"/>
        <w:rPr>
          <w:rFonts w:eastAsia="SimSun"/>
        </w:rPr>
      </w:pPr>
      <w:r w:rsidRPr="00455191">
        <w:rPr>
          <w:rFonts w:eastAsia="SimSun"/>
        </w:rPr>
        <w:t xml:space="preserve">Commission Implementing Regulation (EU) 2017/1153 of 2 June 2017 Setting out a Methodology for Determining the Correlation Parameters Necessary for Reflecting the Change in the Regulatory Test Procedure and Amending Regulation (EU) No 1014/2010, Pub. L. No. OJ L 175, 02.06.2017, p.679, 29 (2017). </w:t>
      </w:r>
      <w:hyperlink r:id="rId40" w:history="1">
        <w:r w:rsidR="00003F7B" w:rsidRPr="006808DE">
          <w:rPr>
            <w:rStyle w:val="Hyperlink"/>
            <w:rFonts w:eastAsia="SimSun"/>
          </w:rPr>
          <w:t>http://data.europa.eu/eli/reg_impl/2017/1153/oj</w:t>
        </w:r>
      </w:hyperlink>
    </w:p>
    <w:p w14:paraId="7D0693EF" w14:textId="2F3EB878" w:rsidR="00E22CFD" w:rsidRDefault="00E22CFD" w:rsidP="00F61408">
      <w:pPr>
        <w:pStyle w:val="Bibliography"/>
        <w:rPr>
          <w:rFonts w:eastAsia="SimSun"/>
        </w:rPr>
      </w:pPr>
      <w:proofErr w:type="spellStart"/>
      <w:r w:rsidRPr="00455191">
        <w:rPr>
          <w:rFonts w:eastAsia="SimSun"/>
        </w:rPr>
        <w:t>DieselNet</w:t>
      </w:r>
      <w:proofErr w:type="spellEnd"/>
      <w:r w:rsidRPr="00455191">
        <w:rPr>
          <w:rFonts w:eastAsia="SimSun"/>
        </w:rPr>
        <w:t xml:space="preserve">. (n.d.). </w:t>
      </w:r>
      <w:r w:rsidRPr="00455191">
        <w:rPr>
          <w:rFonts w:eastAsia="SimSun"/>
          <w:i/>
          <w:iCs/>
        </w:rPr>
        <w:t>Emission Test Cycles: EPA Highway Fuel Economy Test Cycle</w:t>
      </w:r>
      <w:r w:rsidRPr="00455191">
        <w:rPr>
          <w:rFonts w:eastAsia="SimSun"/>
        </w:rPr>
        <w:t xml:space="preserve">. Emission Test Cycles. Retrieved March 18, 2025, from </w:t>
      </w:r>
      <w:hyperlink r:id="rId41" w:history="1">
        <w:r w:rsidR="00003F7B" w:rsidRPr="006808DE">
          <w:rPr>
            <w:rStyle w:val="Hyperlink"/>
            <w:rFonts w:eastAsia="SimSun"/>
          </w:rPr>
          <w:t>https://dieselnet.com/standards/cycles/hwfet.php</w:t>
        </w:r>
      </w:hyperlink>
    </w:p>
    <w:p w14:paraId="00662659" w14:textId="56724258" w:rsidR="00E22CFD" w:rsidRDefault="00E22CFD" w:rsidP="00F61408">
      <w:pPr>
        <w:pStyle w:val="Bibliography"/>
        <w:rPr>
          <w:rFonts w:eastAsia="SimSun"/>
        </w:rPr>
      </w:pPr>
      <w:r w:rsidRPr="00455191">
        <w:rPr>
          <w:rFonts w:eastAsia="SimSun"/>
        </w:rPr>
        <w:t xml:space="preserve">Dornoff, J. (2022). </w:t>
      </w:r>
      <w:r w:rsidRPr="000E2ED1">
        <w:rPr>
          <w:rFonts w:eastAsia="SimSun"/>
          <w:i/>
        </w:rPr>
        <w:t>Euro 6e: Changes to the European Union light-duty vehicle type-approval procedure</w:t>
      </w:r>
      <w:r w:rsidRPr="00455191">
        <w:rPr>
          <w:rFonts w:eastAsia="SimSun"/>
        </w:rPr>
        <w:t xml:space="preserve">. </w:t>
      </w:r>
      <w:r w:rsidRPr="000E2ED1">
        <w:rPr>
          <w:rFonts w:eastAsia="SimSun"/>
        </w:rPr>
        <w:t>The International Council on Clean Transportation</w:t>
      </w:r>
      <w:r w:rsidRPr="00455191">
        <w:rPr>
          <w:rFonts w:eastAsia="SimSun"/>
        </w:rPr>
        <w:t xml:space="preserve">. </w:t>
      </w:r>
      <w:hyperlink r:id="rId42" w:history="1">
        <w:r w:rsidR="00003F7B" w:rsidRPr="006808DE">
          <w:rPr>
            <w:rStyle w:val="Hyperlink"/>
            <w:rFonts w:eastAsia="SimSun"/>
          </w:rPr>
          <w:t>https://theicct.org/publication/euro6e-type-approval-dec22/</w:t>
        </w:r>
      </w:hyperlink>
    </w:p>
    <w:p w14:paraId="69D9D4CF" w14:textId="784073EE" w:rsidR="00E22CFD" w:rsidRDefault="00E22CFD" w:rsidP="00F61408">
      <w:pPr>
        <w:pStyle w:val="Bibliography"/>
        <w:rPr>
          <w:rFonts w:eastAsia="SimSun"/>
        </w:rPr>
      </w:pPr>
      <w:r w:rsidRPr="00455191">
        <w:rPr>
          <w:rFonts w:eastAsia="SimSun"/>
        </w:rPr>
        <w:t xml:space="preserve">European Commission. (n.d.). </w:t>
      </w:r>
      <w:r w:rsidRPr="00455191">
        <w:rPr>
          <w:rFonts w:eastAsia="SimSun"/>
          <w:i/>
          <w:iCs/>
        </w:rPr>
        <w:t>Real-world CO2 emissions from new cars and vans</w:t>
      </w:r>
      <w:r w:rsidRPr="00455191">
        <w:rPr>
          <w:rFonts w:eastAsia="SimSun"/>
        </w:rPr>
        <w:t xml:space="preserve">. Climate and Energy in the EU. Retrieved March 18, 2025, from </w:t>
      </w:r>
      <w:hyperlink r:id="rId43" w:history="1">
        <w:r w:rsidR="00003F7B" w:rsidRPr="006808DE">
          <w:rPr>
            <w:rStyle w:val="Hyperlink"/>
            <w:rFonts w:eastAsia="SimSun"/>
          </w:rPr>
          <w:t>https://climate-energy.eea.europa.eu/topics/transport/real-world-emissions/data</w:t>
        </w:r>
      </w:hyperlink>
    </w:p>
    <w:p w14:paraId="64C5F70B" w14:textId="28A7575E" w:rsidR="00E22CFD" w:rsidRDefault="00E22CFD" w:rsidP="00F61408">
      <w:pPr>
        <w:pStyle w:val="Bibliography"/>
        <w:rPr>
          <w:rFonts w:eastAsia="SimSun"/>
        </w:rPr>
      </w:pPr>
      <w:r w:rsidRPr="00455191">
        <w:rPr>
          <w:rFonts w:eastAsia="SimSun"/>
        </w:rPr>
        <w:t xml:space="preserve">European Commission. (2020, December). </w:t>
      </w:r>
      <w:r w:rsidRPr="00455191">
        <w:rPr>
          <w:rFonts w:eastAsia="SimSun"/>
          <w:i/>
          <w:iCs/>
        </w:rPr>
        <w:t>Guidelines on the monitoring and reporting of CO2 emissions from light-duty vehicles—Version 12</w:t>
      </w:r>
      <w:r w:rsidRPr="00455191">
        <w:rPr>
          <w:rFonts w:eastAsia="SimSun"/>
        </w:rPr>
        <w:t xml:space="preserve">. </w:t>
      </w:r>
      <w:hyperlink r:id="rId44" w:history="1">
        <w:r w:rsidR="00003F7B" w:rsidRPr="006808DE">
          <w:rPr>
            <w:rStyle w:val="Hyperlink"/>
            <w:rFonts w:eastAsia="SimSun"/>
          </w:rPr>
          <w:t>https://circabc.europa.eu/ui/group/4cf23472-88e0-4a52-9dfb-544e8c4c7631/library/d344a40e-6776-4051-ba12-0ce2f07cbc7c/details</w:t>
        </w:r>
      </w:hyperlink>
    </w:p>
    <w:p w14:paraId="19A3542A" w14:textId="52B2F743" w:rsidR="00E22CFD" w:rsidRDefault="00E22CFD" w:rsidP="00F61408">
      <w:pPr>
        <w:pStyle w:val="Bibliography"/>
        <w:rPr>
          <w:rFonts w:eastAsia="SimSun"/>
        </w:rPr>
      </w:pPr>
      <w:r w:rsidRPr="00455191">
        <w:rPr>
          <w:rFonts w:eastAsia="SimSun"/>
        </w:rPr>
        <w:t xml:space="preserve">European Commission. (2023a). </w:t>
      </w:r>
      <w:r w:rsidRPr="00455191">
        <w:rPr>
          <w:rFonts w:eastAsia="SimSun"/>
          <w:i/>
          <w:iCs/>
        </w:rPr>
        <w:t>2025 and 2030 CO2 emission targets for light duty vehicles.</w:t>
      </w:r>
      <w:r w:rsidRPr="00455191">
        <w:rPr>
          <w:rFonts w:eastAsia="SimSun"/>
        </w:rPr>
        <w:t xml:space="preserve"> Publications Office. </w:t>
      </w:r>
      <w:hyperlink r:id="rId45" w:history="1">
        <w:r w:rsidR="00003F7B" w:rsidRPr="006808DE">
          <w:rPr>
            <w:rStyle w:val="Hyperlink"/>
            <w:rFonts w:eastAsia="SimSun"/>
          </w:rPr>
          <w:t>https://data.europa.eu/doi/10.2760/901734</w:t>
        </w:r>
      </w:hyperlink>
    </w:p>
    <w:p w14:paraId="29E089B4" w14:textId="66C9FC8C" w:rsidR="00E22CFD" w:rsidRDefault="00E22CFD" w:rsidP="00F61408">
      <w:pPr>
        <w:pStyle w:val="Bibliography"/>
        <w:rPr>
          <w:rFonts w:eastAsia="SimSun"/>
        </w:rPr>
      </w:pPr>
      <w:r w:rsidRPr="00455191">
        <w:rPr>
          <w:rFonts w:eastAsia="SimSun"/>
        </w:rPr>
        <w:t xml:space="preserve">European Commission. (2023b, November). </w:t>
      </w:r>
      <w:r w:rsidRPr="00455191">
        <w:rPr>
          <w:rFonts w:eastAsia="SimSun"/>
          <w:i/>
          <w:iCs/>
        </w:rPr>
        <w:t>CO2MPAS: Vehicle simulator predicting NEDC CO2 emissions from WLTP</w:t>
      </w:r>
      <w:r w:rsidRPr="00455191">
        <w:rPr>
          <w:rFonts w:eastAsia="SimSun"/>
        </w:rPr>
        <w:t xml:space="preserve">. </w:t>
      </w:r>
      <w:hyperlink r:id="rId46" w:history="1">
        <w:r w:rsidR="00003F7B" w:rsidRPr="006808DE">
          <w:rPr>
            <w:rStyle w:val="Hyperlink"/>
            <w:rFonts w:eastAsia="SimSun"/>
          </w:rPr>
          <w:t>https://co2mpas.readthedocs.io/en/stable/</w:t>
        </w:r>
      </w:hyperlink>
    </w:p>
    <w:p w14:paraId="260F8BF1" w14:textId="0B3251BD" w:rsidR="00E22CFD" w:rsidRDefault="00E22CFD" w:rsidP="00F61408">
      <w:pPr>
        <w:pStyle w:val="Bibliography"/>
        <w:rPr>
          <w:rFonts w:eastAsia="SimSun"/>
        </w:rPr>
      </w:pPr>
      <w:r w:rsidRPr="00455191">
        <w:rPr>
          <w:rFonts w:eastAsia="SimSun"/>
        </w:rPr>
        <w:t xml:space="preserve">European Commission. (2024). Commission Staff Working document—Accompanying the document: Report from the Commission—Commission report under Article 12(3) of Regulation (EU) 2019/631 on the evolution of the real-world CO2 emissions gap for passenger cars and light commercial vehicles and containing the </w:t>
      </w:r>
      <w:proofErr w:type="spellStart"/>
      <w:r w:rsidRPr="00455191">
        <w:rPr>
          <w:rFonts w:eastAsia="SimSun"/>
        </w:rPr>
        <w:t>anonymised</w:t>
      </w:r>
      <w:proofErr w:type="spellEnd"/>
      <w:r w:rsidRPr="00455191">
        <w:rPr>
          <w:rFonts w:eastAsia="SimSun"/>
        </w:rPr>
        <w:t xml:space="preserve"> and aggregated real-world datasets referred to in Article 12 of Commission Implementing </w:t>
      </w:r>
      <w:r w:rsidRPr="00455191">
        <w:rPr>
          <w:rFonts w:eastAsia="SimSun"/>
        </w:rPr>
        <w:lastRenderedPageBreak/>
        <w:t xml:space="preserve">Regulation (EU) 2021/392 (Staff Working Document No. SWD(2024) 59 final). European </w:t>
      </w:r>
      <w:proofErr w:type="spellStart"/>
      <w:r w:rsidRPr="00455191">
        <w:rPr>
          <w:rFonts w:eastAsia="SimSun"/>
        </w:rPr>
        <w:t>Comission</w:t>
      </w:r>
      <w:proofErr w:type="spellEnd"/>
      <w:r w:rsidRPr="00455191">
        <w:rPr>
          <w:rFonts w:eastAsia="SimSun"/>
        </w:rPr>
        <w:t xml:space="preserve">. </w:t>
      </w:r>
      <w:hyperlink r:id="rId47" w:history="1">
        <w:r w:rsidR="00003F7B" w:rsidRPr="006808DE">
          <w:rPr>
            <w:rStyle w:val="Hyperlink"/>
            <w:rFonts w:eastAsia="SimSun"/>
          </w:rPr>
          <w:t>https://eur-lex.europa.eu/legal-content/EN/TXT/?uri=CELEX:52024SC0059</w:t>
        </w:r>
      </w:hyperlink>
    </w:p>
    <w:p w14:paraId="1A3EBE34" w14:textId="12B5C7F4" w:rsidR="00DB7617" w:rsidRDefault="00DB7617" w:rsidP="00F61408">
      <w:r w:rsidRPr="00455191">
        <w:t>European Environment Agency. (n.d.</w:t>
      </w:r>
      <w:r w:rsidR="0087679D" w:rsidRPr="00455191">
        <w:t>-a</w:t>
      </w:r>
      <w:r w:rsidRPr="00455191">
        <w:t xml:space="preserve">). </w:t>
      </w:r>
      <w:r w:rsidRPr="00455191">
        <w:rPr>
          <w:i/>
          <w:iCs/>
        </w:rPr>
        <w:t>Climate and energy in the EU - Real world emissions</w:t>
      </w:r>
      <w:r w:rsidRPr="00455191">
        <w:t xml:space="preserve">. Retrieved February 26, 2025, from </w:t>
      </w:r>
      <w:hyperlink r:id="rId48" w:history="1">
        <w:r w:rsidR="00003F7B" w:rsidRPr="006808DE">
          <w:rPr>
            <w:rStyle w:val="Hyperlink"/>
          </w:rPr>
          <w:t>https://climate-energy.eea.europa.eu/topics/transport/real-world-emissions/data</w:t>
        </w:r>
      </w:hyperlink>
    </w:p>
    <w:p w14:paraId="3D787651" w14:textId="35177D76" w:rsidR="00E22CFD" w:rsidRDefault="00E22CFD" w:rsidP="00F61408">
      <w:pPr>
        <w:pStyle w:val="Bibliography"/>
        <w:rPr>
          <w:rFonts w:eastAsia="SimSun"/>
        </w:rPr>
      </w:pPr>
      <w:r w:rsidRPr="00455191">
        <w:rPr>
          <w:rFonts w:eastAsia="SimSun"/>
        </w:rPr>
        <w:t>European Environment Agency. (n.d.-</w:t>
      </w:r>
      <w:r w:rsidR="0087679D" w:rsidRPr="00455191">
        <w:rPr>
          <w:rFonts w:eastAsia="SimSun"/>
        </w:rPr>
        <w:t>b</w:t>
      </w:r>
      <w:r w:rsidRPr="00455191">
        <w:rPr>
          <w:rFonts w:eastAsia="SimSun"/>
        </w:rPr>
        <w:t xml:space="preserve">). </w:t>
      </w:r>
      <w:r w:rsidRPr="00455191">
        <w:rPr>
          <w:rFonts w:eastAsia="SimSun"/>
          <w:i/>
          <w:iCs/>
        </w:rPr>
        <w:t>Monitoring of CO2 emissions from new passenger cars</w:t>
      </w:r>
      <w:r w:rsidRPr="00455191">
        <w:rPr>
          <w:rFonts w:eastAsia="SimSun"/>
        </w:rPr>
        <w:t xml:space="preserve">. CO2 Emissions from New Passenger Cars Registered in EU27, Iceland (from 2018) and Norway (from 2019) – Regulation (EU) 2019/631. Retrieved June 24, 2024, from </w:t>
      </w:r>
      <w:hyperlink r:id="rId49" w:history="1">
        <w:r w:rsidR="00003F7B" w:rsidRPr="006808DE">
          <w:rPr>
            <w:rStyle w:val="Hyperlink"/>
            <w:rFonts w:eastAsia="SimSun"/>
          </w:rPr>
          <w:t>https://co2cars.apps.eea.europa.eu/</w:t>
        </w:r>
      </w:hyperlink>
    </w:p>
    <w:p w14:paraId="515FCC21" w14:textId="726F2336" w:rsidR="00E22CFD" w:rsidRDefault="00E22CFD" w:rsidP="00F61408">
      <w:pPr>
        <w:pStyle w:val="Bibliography"/>
        <w:rPr>
          <w:rFonts w:eastAsia="SimSun"/>
        </w:rPr>
      </w:pPr>
      <w:r w:rsidRPr="00455191">
        <w:rPr>
          <w:rFonts w:eastAsia="SimSun"/>
        </w:rPr>
        <w:t>European Environment Agency. (n.d.-</w:t>
      </w:r>
      <w:r w:rsidR="0087679D" w:rsidRPr="00455191">
        <w:rPr>
          <w:rFonts w:eastAsia="SimSun"/>
        </w:rPr>
        <w:t>c</w:t>
      </w:r>
      <w:r w:rsidRPr="00455191">
        <w:rPr>
          <w:rFonts w:eastAsia="SimSun"/>
        </w:rPr>
        <w:t xml:space="preserve">). </w:t>
      </w:r>
      <w:r w:rsidRPr="00455191">
        <w:rPr>
          <w:rFonts w:eastAsia="SimSun"/>
          <w:i/>
          <w:iCs/>
        </w:rPr>
        <w:t>Monitoring of CO2 emissions from vans</w:t>
      </w:r>
      <w:r w:rsidRPr="00455191">
        <w:rPr>
          <w:rFonts w:eastAsia="SimSun"/>
        </w:rPr>
        <w:t xml:space="preserve">. CO2 Emissions from New Vans Registered in EU27, Iceland (from 2018) and Norway (from 2019) – Regulation (EU) 2019/631. Retrieved March 18, 2025, from </w:t>
      </w:r>
      <w:hyperlink r:id="rId50" w:history="1">
        <w:r w:rsidR="00003F7B" w:rsidRPr="006808DE">
          <w:rPr>
            <w:rStyle w:val="Hyperlink"/>
            <w:rFonts w:eastAsia="SimSun"/>
          </w:rPr>
          <w:t>https://co2vans.apps.eea.europa.eu/</w:t>
        </w:r>
      </w:hyperlink>
    </w:p>
    <w:p w14:paraId="17D79F23" w14:textId="09C4B7C5" w:rsidR="00ED5F37" w:rsidRDefault="00ED5F37" w:rsidP="00F61408">
      <w:pPr>
        <w:pStyle w:val="Bibliography"/>
        <w:rPr>
          <w:rFonts w:eastAsia="SimSun"/>
        </w:rPr>
      </w:pPr>
      <w:r w:rsidRPr="00756194">
        <w:rPr>
          <w:rFonts w:eastAsia="SimSun"/>
        </w:rPr>
        <w:t>Exhaust emission test procedures for FTP testing</w:t>
      </w:r>
      <w:r>
        <w:rPr>
          <w:rFonts w:eastAsia="SimSun"/>
        </w:rPr>
        <w:t xml:space="preserve">, </w:t>
      </w:r>
      <w:r w:rsidRPr="008A482C">
        <w:rPr>
          <w:rFonts w:eastAsia="SimSun"/>
        </w:rPr>
        <w:t xml:space="preserve">40 CFR </w:t>
      </w:r>
      <w:r>
        <w:t>§</w:t>
      </w:r>
      <w:r w:rsidRPr="008A482C">
        <w:rPr>
          <w:rFonts w:eastAsia="SimSun"/>
        </w:rPr>
        <w:t>1066.815</w:t>
      </w:r>
      <w:r>
        <w:rPr>
          <w:rFonts w:eastAsia="SimSun"/>
        </w:rPr>
        <w:t xml:space="preserve"> (2023)</w:t>
      </w:r>
      <w:r w:rsidRPr="00455191">
        <w:rPr>
          <w:rFonts w:eastAsia="SimSun"/>
          <w:i/>
          <w:iCs/>
        </w:rPr>
        <w:t>.</w:t>
      </w:r>
      <w:r w:rsidRPr="00455191">
        <w:rPr>
          <w:rFonts w:eastAsia="SimSun"/>
        </w:rPr>
        <w:t xml:space="preserve"> </w:t>
      </w:r>
      <w:hyperlink r:id="rId51" w:history="1">
        <w:r w:rsidR="00003F7B" w:rsidRPr="006808DE">
          <w:rPr>
            <w:rStyle w:val="Hyperlink"/>
            <w:rFonts w:eastAsia="SimSun"/>
          </w:rPr>
          <w:t>https://www.ecfr.gov/current/title-40/part-1066/section-1066.815</w:t>
        </w:r>
      </w:hyperlink>
    </w:p>
    <w:p w14:paraId="6326EB7F" w14:textId="3C77ADE2" w:rsidR="00E22CFD" w:rsidRDefault="00E22CFD" w:rsidP="00F61408">
      <w:pPr>
        <w:pStyle w:val="Bibliography"/>
        <w:rPr>
          <w:rFonts w:eastAsia="SimSun"/>
        </w:rPr>
      </w:pPr>
      <w:proofErr w:type="spellStart"/>
      <w:r w:rsidRPr="00455191">
        <w:rPr>
          <w:rFonts w:eastAsia="SimSun"/>
        </w:rPr>
        <w:t>Fontaras</w:t>
      </w:r>
      <w:proofErr w:type="spellEnd"/>
      <w:r w:rsidRPr="00455191">
        <w:rPr>
          <w:rFonts w:eastAsia="SimSun"/>
        </w:rPr>
        <w:t xml:space="preserve">, G., Valverde, V., Arcidiacono, V., Tsiakmakis, S., Anagnostopoulos, K., </w:t>
      </w:r>
      <w:proofErr w:type="spellStart"/>
      <w:r w:rsidRPr="00455191">
        <w:rPr>
          <w:rFonts w:eastAsia="SimSun"/>
        </w:rPr>
        <w:t>Komnos</w:t>
      </w:r>
      <w:proofErr w:type="spellEnd"/>
      <w:r w:rsidRPr="00455191">
        <w:rPr>
          <w:rFonts w:eastAsia="SimSun"/>
        </w:rPr>
        <w:t xml:space="preserve">, D., Pavlovic, J., &amp; Ciuffo, B. (2018). The development and validation of a vehicle simulator for the introduction of Worldwide Harmonized test protocol in the European light duty vehicle CO2 certification process. </w:t>
      </w:r>
      <w:r w:rsidRPr="00455191">
        <w:rPr>
          <w:rFonts w:eastAsia="SimSun"/>
          <w:i/>
          <w:iCs/>
        </w:rPr>
        <w:t>Applied Energy</w:t>
      </w:r>
      <w:r w:rsidRPr="00455191">
        <w:rPr>
          <w:rFonts w:eastAsia="SimSun"/>
        </w:rPr>
        <w:t xml:space="preserve">, </w:t>
      </w:r>
      <w:r w:rsidRPr="00455191">
        <w:rPr>
          <w:rFonts w:eastAsia="SimSun"/>
          <w:i/>
          <w:iCs/>
        </w:rPr>
        <w:t>226</w:t>
      </w:r>
      <w:r w:rsidRPr="00455191">
        <w:rPr>
          <w:rFonts w:eastAsia="SimSun"/>
        </w:rPr>
        <w:t xml:space="preserve">, 784–796. </w:t>
      </w:r>
      <w:hyperlink r:id="rId52" w:history="1">
        <w:r w:rsidR="00003F7B" w:rsidRPr="006808DE">
          <w:rPr>
            <w:rStyle w:val="Hyperlink"/>
            <w:rFonts w:eastAsia="SimSun"/>
          </w:rPr>
          <w:t>https://doi.org/10.1016/j.apenergy.2018.06.009</w:t>
        </w:r>
      </w:hyperlink>
    </w:p>
    <w:p w14:paraId="67255B59" w14:textId="48F5A279" w:rsidR="00E22CFD" w:rsidRDefault="00E22CFD" w:rsidP="00F61408">
      <w:pPr>
        <w:pStyle w:val="Bibliography"/>
        <w:rPr>
          <w:rFonts w:eastAsia="SimSun"/>
        </w:rPr>
      </w:pPr>
      <w:r w:rsidRPr="00455191">
        <w:rPr>
          <w:rFonts w:eastAsia="SimSun"/>
        </w:rPr>
        <w:t xml:space="preserve">ICCT. (n.d.). </w:t>
      </w:r>
      <w:r w:rsidRPr="00455191">
        <w:rPr>
          <w:rFonts w:eastAsia="SimSun"/>
          <w:i/>
          <w:iCs/>
        </w:rPr>
        <w:t>Passenger vehicle greenhouse gas emissions and fuel consumption</w:t>
      </w:r>
      <w:r w:rsidRPr="00455191">
        <w:rPr>
          <w:rFonts w:eastAsia="SimSun"/>
        </w:rPr>
        <w:t xml:space="preserve">. Retrieved March 18, 2025, from </w:t>
      </w:r>
      <w:hyperlink r:id="rId53" w:history="1">
        <w:r w:rsidR="00003F7B" w:rsidRPr="006808DE">
          <w:rPr>
            <w:rStyle w:val="Hyperlink"/>
            <w:rFonts w:eastAsia="SimSun"/>
          </w:rPr>
          <w:t>https://theicct.org/pv-fuel-economy/</w:t>
        </w:r>
      </w:hyperlink>
    </w:p>
    <w:p w14:paraId="1F2E5AF9" w14:textId="4DA075E5" w:rsidR="00E22CFD" w:rsidRDefault="00E22CFD" w:rsidP="00F61408">
      <w:pPr>
        <w:pStyle w:val="Bibliography"/>
        <w:rPr>
          <w:rFonts w:eastAsia="SimSun"/>
        </w:rPr>
      </w:pPr>
      <w:proofErr w:type="spellStart"/>
      <w:r w:rsidRPr="00455191">
        <w:rPr>
          <w:rFonts w:eastAsia="SimSun"/>
        </w:rPr>
        <w:t>Kühlwein</w:t>
      </w:r>
      <w:proofErr w:type="spellEnd"/>
      <w:r w:rsidRPr="00455191">
        <w:rPr>
          <w:rFonts w:eastAsia="SimSun"/>
        </w:rPr>
        <w:t xml:space="preserve">, J., German, J., &amp; </w:t>
      </w:r>
      <w:proofErr w:type="spellStart"/>
      <w:r w:rsidRPr="00455191">
        <w:rPr>
          <w:rFonts w:eastAsia="SimSun"/>
        </w:rPr>
        <w:t>Bandivadekar</w:t>
      </w:r>
      <w:proofErr w:type="spellEnd"/>
      <w:r w:rsidRPr="00455191">
        <w:rPr>
          <w:rFonts w:eastAsia="SimSun"/>
        </w:rPr>
        <w:t xml:space="preserve">, A. (2014). </w:t>
      </w:r>
      <w:r w:rsidRPr="00455191">
        <w:rPr>
          <w:rFonts w:eastAsia="SimSun"/>
          <w:i/>
          <w:iCs/>
        </w:rPr>
        <w:t>Development of test cycle conversion factors among worldwide light-duty vehicle CO2 emission standards</w:t>
      </w:r>
      <w:r w:rsidRPr="00455191">
        <w:rPr>
          <w:rFonts w:eastAsia="SimSun"/>
        </w:rPr>
        <w:t xml:space="preserve">. </w:t>
      </w:r>
      <w:r w:rsidR="004E7D42">
        <w:rPr>
          <w:rFonts w:eastAsia="SimSun"/>
        </w:rPr>
        <w:t xml:space="preserve">International Council on Clean Transportation. </w:t>
      </w:r>
      <w:hyperlink r:id="rId54" w:history="1">
        <w:r w:rsidR="00003F7B" w:rsidRPr="006808DE">
          <w:rPr>
            <w:rStyle w:val="Hyperlink"/>
            <w:rFonts w:eastAsia="SimSun"/>
          </w:rPr>
          <w:t>https://theicct.org/publication/development-of-test-cycle-conversion-factors-among-worldwide-light-duty-vehicle-co2-emission-standards/</w:t>
        </w:r>
      </w:hyperlink>
    </w:p>
    <w:p w14:paraId="5064BCAD" w14:textId="25511EA4" w:rsidR="00E22CFD" w:rsidRDefault="00E22CFD" w:rsidP="00F61408">
      <w:pPr>
        <w:pStyle w:val="Bibliography"/>
        <w:rPr>
          <w:rFonts w:eastAsia="SimSun"/>
        </w:rPr>
      </w:pPr>
      <w:r w:rsidRPr="00455191">
        <w:rPr>
          <w:rFonts w:eastAsia="SimSun"/>
        </w:rPr>
        <w:t xml:space="preserve">National Transport Commission. (2024). </w:t>
      </w:r>
      <w:r w:rsidRPr="00455191">
        <w:rPr>
          <w:rFonts w:eastAsia="SimSun"/>
          <w:i/>
          <w:iCs/>
        </w:rPr>
        <w:t>Light vehicle emissions intensity in Australia</w:t>
      </w:r>
      <w:r w:rsidRPr="00455191">
        <w:rPr>
          <w:rFonts w:eastAsia="SimSun"/>
        </w:rPr>
        <w:t xml:space="preserve"> </w:t>
      </w:r>
      <w:hyperlink r:id="rId55" w:history="1">
        <w:r w:rsidR="00003F7B" w:rsidRPr="006808DE">
          <w:rPr>
            <w:rStyle w:val="Hyperlink"/>
            <w:rFonts w:eastAsia="SimSun"/>
          </w:rPr>
          <w:t>https://www.ntc.gov.au/sites/default/files/assets/files/Light%20vehicle%20emissions%20intensity%20in%20Australia%20-%20trends%20over%20time.pdf</w:t>
        </w:r>
      </w:hyperlink>
    </w:p>
    <w:p w14:paraId="43A717DB" w14:textId="110C932C" w:rsidR="00E22CFD" w:rsidRDefault="00E22CFD" w:rsidP="00F61408">
      <w:pPr>
        <w:pStyle w:val="Bibliography"/>
        <w:rPr>
          <w:rFonts w:eastAsia="SimSun"/>
        </w:rPr>
      </w:pPr>
      <w:r w:rsidRPr="00455191">
        <w:rPr>
          <w:rFonts w:eastAsia="SimSun"/>
        </w:rPr>
        <w:t xml:space="preserve">Observatory of Economic Complexity. (2025). </w:t>
      </w:r>
      <w:r w:rsidRPr="00455191">
        <w:rPr>
          <w:rFonts w:eastAsia="SimSun"/>
          <w:i/>
          <w:iCs/>
        </w:rPr>
        <w:t>Cars in Australia</w:t>
      </w:r>
      <w:r w:rsidRPr="00455191">
        <w:rPr>
          <w:rFonts w:eastAsia="SimSun"/>
        </w:rPr>
        <w:t xml:space="preserve">. </w:t>
      </w:r>
      <w:hyperlink r:id="rId56" w:history="1">
        <w:r w:rsidR="00003F7B" w:rsidRPr="006808DE">
          <w:rPr>
            <w:rStyle w:val="Hyperlink"/>
            <w:rFonts w:eastAsia="SimSun"/>
          </w:rPr>
          <w:t>https://oec.world/en/profile/bilateral-product/cars/reporter/aus</w:t>
        </w:r>
      </w:hyperlink>
    </w:p>
    <w:p w14:paraId="7C4B12AF" w14:textId="3D3F1080" w:rsidR="00E22CFD" w:rsidRDefault="00E22CFD" w:rsidP="00F61408">
      <w:pPr>
        <w:pStyle w:val="Bibliography"/>
        <w:rPr>
          <w:rFonts w:eastAsia="SimSun"/>
        </w:rPr>
      </w:pPr>
      <w:r w:rsidRPr="0078315D">
        <w:rPr>
          <w:rFonts w:eastAsia="SimSun"/>
          <w:lang w:val="de-DE"/>
        </w:rPr>
        <w:lastRenderedPageBreak/>
        <w:t xml:space="preserve">Plötz, P., Link, S., Ringelschwendner, H., Keller, M., Moll, C., Bieker, G., Dornoff, J., &amp; Mock, P. (2022). </w:t>
      </w:r>
      <w:r w:rsidRPr="00F05F93">
        <w:rPr>
          <w:rFonts w:eastAsia="SimSun"/>
          <w:i/>
          <w:iCs/>
        </w:rPr>
        <w:t>Real-world usage of plug-in hybrid vehicles in Europe: A 2022 update on fuel consumption, electric driving, and CO2 emissions</w:t>
      </w:r>
      <w:r w:rsidRPr="00455191">
        <w:rPr>
          <w:rFonts w:eastAsia="SimSun"/>
        </w:rPr>
        <w:t xml:space="preserve">. </w:t>
      </w:r>
      <w:r w:rsidRPr="00F05F93">
        <w:rPr>
          <w:rFonts w:eastAsia="SimSun"/>
        </w:rPr>
        <w:t>International Council on Clean Transportation</w:t>
      </w:r>
      <w:r w:rsidRPr="00455191">
        <w:rPr>
          <w:rFonts w:eastAsia="SimSun"/>
        </w:rPr>
        <w:t xml:space="preserve">. </w:t>
      </w:r>
      <w:hyperlink r:id="rId57" w:history="1">
        <w:r w:rsidR="00003F7B" w:rsidRPr="006808DE">
          <w:rPr>
            <w:rStyle w:val="Hyperlink"/>
            <w:rFonts w:eastAsia="SimSun"/>
          </w:rPr>
          <w:t>https://theicct.org/publication/real-world-phev-use-jun22/</w:t>
        </w:r>
      </w:hyperlink>
    </w:p>
    <w:p w14:paraId="6718B384" w14:textId="792A2633" w:rsidR="00E22CFD" w:rsidRDefault="00E22CFD" w:rsidP="00F61408">
      <w:pPr>
        <w:pStyle w:val="Bibliography"/>
        <w:rPr>
          <w:rFonts w:eastAsia="SimSun"/>
        </w:rPr>
      </w:pPr>
      <w:r w:rsidRPr="00455191">
        <w:rPr>
          <w:rFonts w:eastAsia="SimSun"/>
        </w:rPr>
        <w:t xml:space="preserve">Regulation (EU) 2019/631 of the European Parliament and of the Council of 17 April 2019 Setting CO2 Emission Performance Standards for New Passenger Cars and for New Light Commercial Vehicles, and Repealing Regulations (EC) No 443/2009 and (EU) No 510/2011 (Text with EEA Relevance.), Pub. L. No. 32019R0631, 111 OJ L 13 (2019). </w:t>
      </w:r>
      <w:hyperlink r:id="rId58" w:history="1">
        <w:r w:rsidR="00003F7B" w:rsidRPr="006808DE">
          <w:rPr>
            <w:rStyle w:val="Hyperlink"/>
            <w:rFonts w:eastAsia="SimSun"/>
          </w:rPr>
          <w:t>http://data.europa.eu/eli/reg/2019/631/oj/eng</w:t>
        </w:r>
      </w:hyperlink>
    </w:p>
    <w:p w14:paraId="39ABB707" w14:textId="2983A4F0" w:rsidR="00E22CFD" w:rsidRDefault="00E22CFD" w:rsidP="00F61408">
      <w:pPr>
        <w:pStyle w:val="Bibliography"/>
        <w:rPr>
          <w:rFonts w:eastAsia="SimSun"/>
        </w:rPr>
      </w:pPr>
      <w:proofErr w:type="spellStart"/>
      <w:r w:rsidRPr="00455191">
        <w:rPr>
          <w:rFonts w:eastAsia="SimSun"/>
        </w:rPr>
        <w:t>Tsiakmakis</w:t>
      </w:r>
      <w:proofErr w:type="spellEnd"/>
      <w:r w:rsidRPr="00455191">
        <w:rPr>
          <w:rFonts w:eastAsia="SimSun"/>
        </w:rPr>
        <w:t xml:space="preserve">, S., </w:t>
      </w:r>
      <w:proofErr w:type="spellStart"/>
      <w:r w:rsidRPr="00455191">
        <w:rPr>
          <w:rFonts w:eastAsia="SimSun"/>
        </w:rPr>
        <w:t>Fontaras</w:t>
      </w:r>
      <w:proofErr w:type="spellEnd"/>
      <w:r w:rsidRPr="00455191">
        <w:rPr>
          <w:rFonts w:eastAsia="SimSun"/>
        </w:rPr>
        <w:t xml:space="preserve">, G., Ciuffo, B., &amp; Samaras, Z. (2017). A simulation-based methodology for quantifying European passenger car fleet CO2 emissions. </w:t>
      </w:r>
      <w:r w:rsidRPr="00455191">
        <w:rPr>
          <w:rFonts w:eastAsia="SimSun"/>
          <w:i/>
          <w:iCs/>
        </w:rPr>
        <w:t>Applied Energy</w:t>
      </w:r>
      <w:r w:rsidRPr="00455191">
        <w:rPr>
          <w:rFonts w:eastAsia="SimSun"/>
        </w:rPr>
        <w:t xml:space="preserve">, </w:t>
      </w:r>
      <w:r w:rsidRPr="00455191">
        <w:rPr>
          <w:rFonts w:eastAsia="SimSun"/>
          <w:i/>
          <w:iCs/>
        </w:rPr>
        <w:t>199</w:t>
      </w:r>
      <w:r w:rsidRPr="00455191">
        <w:rPr>
          <w:rFonts w:eastAsia="SimSun"/>
        </w:rPr>
        <w:t xml:space="preserve">, 447–465. </w:t>
      </w:r>
      <w:hyperlink r:id="rId59" w:history="1">
        <w:r w:rsidR="00003F7B" w:rsidRPr="006808DE">
          <w:rPr>
            <w:rStyle w:val="Hyperlink"/>
            <w:rFonts w:eastAsia="SimSun"/>
          </w:rPr>
          <w:t>https://doi.org/10.1016/j.apenergy.2017.04.045</w:t>
        </w:r>
      </w:hyperlink>
    </w:p>
    <w:p w14:paraId="0B996CD9" w14:textId="6E28D5A8" w:rsidR="00E22CFD" w:rsidRDefault="00E22CFD" w:rsidP="00F61408">
      <w:pPr>
        <w:pStyle w:val="Bibliography"/>
        <w:rPr>
          <w:rFonts w:eastAsia="SimSun"/>
        </w:rPr>
      </w:pPr>
      <w:r w:rsidRPr="00455191">
        <w:rPr>
          <w:rFonts w:eastAsia="SimSun"/>
        </w:rPr>
        <w:t xml:space="preserve">United Kingdom Department for Transport, Vehicle Certification Agency. (2019, December). </w:t>
      </w:r>
      <w:r w:rsidRPr="00455191">
        <w:rPr>
          <w:rFonts w:eastAsia="SimSun"/>
          <w:i/>
          <w:iCs/>
        </w:rPr>
        <w:t>New Car Fuel Consumption &amp; Emission Figures</w:t>
      </w:r>
      <w:r w:rsidRPr="00455191">
        <w:rPr>
          <w:rFonts w:eastAsia="SimSun"/>
        </w:rPr>
        <w:t xml:space="preserve">. </w:t>
      </w:r>
      <w:hyperlink r:id="rId60" w:history="1">
        <w:r w:rsidR="00003F7B" w:rsidRPr="006808DE">
          <w:rPr>
            <w:rStyle w:val="Hyperlink"/>
            <w:rFonts w:eastAsia="SimSun"/>
          </w:rPr>
          <w:t>https://carfueldata.vehicle-certification-agency.gov.uk/</w:t>
        </w:r>
      </w:hyperlink>
    </w:p>
    <w:p w14:paraId="285AA618" w14:textId="7C64A0D9" w:rsidR="00E22CFD" w:rsidRDefault="00E22CFD" w:rsidP="00F61408">
      <w:pPr>
        <w:pStyle w:val="Bibliography"/>
        <w:rPr>
          <w:rFonts w:eastAsia="SimSun"/>
        </w:rPr>
      </w:pPr>
      <w:r w:rsidRPr="00455191">
        <w:rPr>
          <w:rFonts w:eastAsia="SimSun"/>
        </w:rPr>
        <w:t xml:space="preserve">U.S. Environmental Protection Agency. (2015, September 16). </w:t>
      </w:r>
      <w:r w:rsidRPr="00455191">
        <w:rPr>
          <w:rFonts w:eastAsia="SimSun"/>
          <w:i/>
          <w:iCs/>
        </w:rPr>
        <w:t>Dynamometer Drive Schedules</w:t>
      </w:r>
      <w:r w:rsidRPr="00455191">
        <w:rPr>
          <w:rFonts w:eastAsia="SimSun"/>
        </w:rPr>
        <w:t xml:space="preserve"> [Data and Tools]. </w:t>
      </w:r>
      <w:hyperlink r:id="rId61" w:history="1">
        <w:r w:rsidR="00003F7B" w:rsidRPr="006808DE">
          <w:rPr>
            <w:rStyle w:val="Hyperlink"/>
            <w:rFonts w:eastAsia="SimSun"/>
          </w:rPr>
          <w:t>https://www.epa.gov/vehicle-and-fuel-emissions-testing/dynamometer-drive-schedules</w:t>
        </w:r>
      </w:hyperlink>
    </w:p>
    <w:p w14:paraId="38A2A18A" w14:textId="2FEEB147" w:rsidR="00E22CFD" w:rsidRDefault="00E22CFD" w:rsidP="00F61408">
      <w:pPr>
        <w:pStyle w:val="Bibliography"/>
        <w:rPr>
          <w:rFonts w:eastAsia="SimSun"/>
        </w:rPr>
      </w:pPr>
      <w:r w:rsidRPr="00455191">
        <w:rPr>
          <w:rFonts w:eastAsia="SimSun"/>
        </w:rPr>
        <w:t xml:space="preserve">U.S. Environmental Protection Agency. (2024). The 2024 EPA Automotive Trends Report: Greenhouse Gas Emissions, Fuel Economy, and Technology since 1975. EPA-420-R-24-022. </w:t>
      </w:r>
      <w:hyperlink r:id="rId62" w:history="1">
        <w:r w:rsidR="00003F7B" w:rsidRPr="006808DE">
          <w:rPr>
            <w:rStyle w:val="Hyperlink"/>
            <w:rFonts w:eastAsia="SimSun"/>
          </w:rPr>
          <w:t>https://nepis.epa.gov/Exe/ZyPDF.cgi?Dockey=P101CUU6.pdf</w:t>
        </w:r>
      </w:hyperlink>
    </w:p>
    <w:p w14:paraId="521BF529" w14:textId="5A57D114" w:rsidR="00E22CFD" w:rsidRDefault="00E22CFD" w:rsidP="00F61408">
      <w:pPr>
        <w:pStyle w:val="Bibliography"/>
        <w:rPr>
          <w:rFonts w:eastAsia="SimSun"/>
        </w:rPr>
      </w:pPr>
      <w:r w:rsidRPr="00455191">
        <w:rPr>
          <w:rFonts w:eastAsia="SimSun"/>
        </w:rPr>
        <w:t xml:space="preserve">Yang, Z. (2014). </w:t>
      </w:r>
      <w:r w:rsidRPr="00455191">
        <w:rPr>
          <w:rFonts w:eastAsia="SimSun"/>
          <w:i/>
          <w:iCs/>
        </w:rPr>
        <w:t>Improving the conversions between the various passenger vehicle fuel economy/CO2 emission standards around the world</w:t>
      </w:r>
      <w:r w:rsidRPr="00455191">
        <w:rPr>
          <w:rFonts w:eastAsia="SimSun"/>
        </w:rPr>
        <w:t xml:space="preserve">. </w:t>
      </w:r>
      <w:r w:rsidR="00A65B61">
        <w:rPr>
          <w:rFonts w:eastAsia="SimSun"/>
        </w:rPr>
        <w:t>International Council on Clean Transportation.</w:t>
      </w:r>
      <w:r w:rsidRPr="00455191">
        <w:rPr>
          <w:rFonts w:eastAsia="SimSun"/>
        </w:rPr>
        <w:t xml:space="preserve"> </w:t>
      </w:r>
      <w:hyperlink r:id="rId63" w:history="1">
        <w:r w:rsidR="00003F7B" w:rsidRPr="006808DE">
          <w:rPr>
            <w:rStyle w:val="Hyperlink"/>
            <w:rFonts w:eastAsia="SimSun"/>
          </w:rPr>
          <w:t>https://theicct.org/improving-the-conversions-between-the-various-passenger-vehicle-fuel-economy-co2-emission-standards-around-the-world/</w:t>
        </w:r>
      </w:hyperlink>
    </w:p>
    <w:p w14:paraId="3A8100CB" w14:textId="4F3AB6BA" w:rsidR="003601BD" w:rsidRDefault="00E22CFD" w:rsidP="00F61408">
      <w:pPr>
        <w:pStyle w:val="Bibliography"/>
        <w:rPr>
          <w:rFonts w:eastAsia="SimSun"/>
        </w:rPr>
      </w:pPr>
      <w:r w:rsidRPr="00455191">
        <w:rPr>
          <w:rFonts w:eastAsia="SimSun"/>
        </w:rPr>
        <w:t xml:space="preserve">Yang, Z., &amp; </w:t>
      </w:r>
      <w:proofErr w:type="spellStart"/>
      <w:r w:rsidRPr="00455191">
        <w:rPr>
          <w:rFonts w:eastAsia="SimSun"/>
        </w:rPr>
        <w:t>Bandivadekar</w:t>
      </w:r>
      <w:proofErr w:type="spellEnd"/>
      <w:r w:rsidRPr="00455191">
        <w:rPr>
          <w:rFonts w:eastAsia="SimSun"/>
        </w:rPr>
        <w:t xml:space="preserve">, A. (2021). </w:t>
      </w:r>
      <w:r w:rsidRPr="00455191">
        <w:rPr>
          <w:rFonts w:eastAsia="SimSun"/>
          <w:i/>
          <w:iCs/>
        </w:rPr>
        <w:t>Methods of converting the type-approval fuel economy and CO2 emission values of light vehicles: An analysis for New Zealand</w:t>
      </w:r>
      <w:r w:rsidRPr="00455191">
        <w:rPr>
          <w:rFonts w:eastAsia="SimSun"/>
        </w:rPr>
        <w:t xml:space="preserve">. </w:t>
      </w:r>
      <w:r w:rsidR="00A65B61">
        <w:rPr>
          <w:rFonts w:eastAsia="SimSun"/>
        </w:rPr>
        <w:t>International Council on Clean Transportation.</w:t>
      </w:r>
      <w:r w:rsidR="00F05F93">
        <w:rPr>
          <w:rFonts w:eastAsia="SimSun"/>
        </w:rPr>
        <w:t xml:space="preserve"> </w:t>
      </w:r>
      <w:hyperlink r:id="rId64" w:history="1">
        <w:r w:rsidR="00003F7B" w:rsidRPr="006808DE">
          <w:rPr>
            <w:rStyle w:val="Hyperlink"/>
            <w:rFonts w:eastAsia="SimSun"/>
          </w:rPr>
          <w:t>https://theicct.org/publication/methods-of-converting-the-type-approval-fuel-economy-and-co2-emission-values-of-light-vehicles-an-analysis-for-new-zealand/</w:t>
        </w:r>
      </w:hyperlink>
    </w:p>
    <w:p w14:paraId="00089329" w14:textId="77777777" w:rsidR="008D4667" w:rsidRPr="00003F7B" w:rsidRDefault="008D4667" w:rsidP="00003F7B">
      <w:r w:rsidRPr="00003F7B">
        <w:br w:type="page"/>
      </w:r>
    </w:p>
    <w:p w14:paraId="2E187AAE" w14:textId="0990758A" w:rsidR="00523CB3" w:rsidRPr="00455191" w:rsidRDefault="00714D09" w:rsidP="00FE4102">
      <w:pPr>
        <w:pStyle w:val="Heading2"/>
        <w:numPr>
          <w:ilvl w:val="0"/>
          <w:numId w:val="0"/>
        </w:numPr>
      </w:pPr>
      <w:r w:rsidRPr="00455191">
        <w:lastRenderedPageBreak/>
        <w:t>A</w:t>
      </w:r>
      <w:r>
        <w:t>ppendix</w:t>
      </w:r>
      <w:r w:rsidRPr="00455191">
        <w:t xml:space="preserve"> </w:t>
      </w:r>
      <w:r w:rsidR="00461BAC">
        <w:t>A</w:t>
      </w:r>
      <w:r>
        <w:t>.</w:t>
      </w:r>
      <w:r w:rsidR="00D63CF8" w:rsidRPr="00455191">
        <w:t xml:space="preserve"> </w:t>
      </w:r>
      <w:r w:rsidR="00D10BE9" w:rsidRPr="00455191">
        <w:t>Examp</w:t>
      </w:r>
      <w:r w:rsidR="00B86040" w:rsidRPr="00455191">
        <w:t>le of exponential</w:t>
      </w:r>
      <w:r w:rsidR="00D10BE9" w:rsidRPr="00455191">
        <w:t xml:space="preserve"> </w:t>
      </w:r>
      <w:r w:rsidR="00523CB3" w:rsidRPr="00455191">
        <w:t>regression</w:t>
      </w:r>
    </w:p>
    <w:p w14:paraId="6B0EC6E3" w14:textId="2E21CBEC" w:rsidR="009901CE" w:rsidRPr="000E2ED1" w:rsidRDefault="0061561F" w:rsidP="003A174C">
      <w:pPr>
        <w:pStyle w:val="Tablecaption"/>
      </w:pPr>
      <w:r w:rsidRPr="000E2ED1">
        <w:t xml:space="preserve">Figure </w:t>
      </w:r>
      <w:r w:rsidR="00461BAC">
        <w:t>A</w:t>
      </w:r>
      <w:r w:rsidR="00461BAC" w:rsidRPr="000E2ED1">
        <w:t>1</w:t>
      </w:r>
      <w:r w:rsidRPr="000E2ED1">
        <w:t xml:space="preserve"> </w:t>
      </w:r>
      <w:r w:rsidR="006106F9">
        <w:br/>
      </w:r>
      <w:r w:rsidRPr="000E2ED1">
        <w:t>Regression between NEDC and 4p-WLTP CO</w:t>
      </w:r>
      <w:r w:rsidRPr="000E2ED1">
        <w:rPr>
          <w:vertAlign w:val="subscript"/>
        </w:rPr>
        <w:t>2</w:t>
      </w:r>
      <w:r w:rsidRPr="000E2ED1">
        <w:t xml:space="preserve"> emissions for petrol internal combustion engine passenger cars and light commercial vehicles, including hybrid vehicles, in the EEA 2020 database</w:t>
      </w:r>
    </w:p>
    <w:p w14:paraId="4D1FF9CC" w14:textId="062B7068" w:rsidR="00B86040" w:rsidRPr="00455191" w:rsidRDefault="0032498C" w:rsidP="00F61408">
      <w:r w:rsidRPr="00455191">
        <w:rPr>
          <w:noProof/>
        </w:rPr>
        <w:drawing>
          <wp:inline distT="0" distB="0" distL="0" distR="0" wp14:anchorId="2D207604" wp14:editId="4DC05169">
            <wp:extent cx="4985468" cy="2924701"/>
            <wp:effectExtent l="0" t="0" r="0" b="0"/>
            <wp:docPr id="1557997331" name="Picture 1" descr="Figure A1 - diagram illustrating an exponential regression analysis of the European data analysed by the ICCT. This data found the correlation between NEDC and WLTP CO2 values was more linear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97331" name="Picture 1" descr="Figure A1 - diagram illustrating an exponential regression analysis of the European data analysed by the ICCT. This data found the correlation between NEDC and WLTP CO2 values was more linear in nature."/>
                    <pic:cNvPicPr/>
                  </pic:nvPicPr>
                  <pic:blipFill>
                    <a:blip r:embed="rId65"/>
                    <a:stretch>
                      <a:fillRect/>
                    </a:stretch>
                  </pic:blipFill>
                  <pic:spPr>
                    <a:xfrm>
                      <a:off x="0" y="0"/>
                      <a:ext cx="4987437" cy="2925856"/>
                    </a:xfrm>
                    <a:prstGeom prst="rect">
                      <a:avLst/>
                    </a:prstGeom>
                  </pic:spPr>
                </pic:pic>
              </a:graphicData>
            </a:graphic>
          </wp:inline>
        </w:drawing>
      </w:r>
    </w:p>
    <w:p w14:paraId="4F1611B5" w14:textId="77777777" w:rsidR="000722AD" w:rsidRPr="00AA1360" w:rsidRDefault="000722AD" w:rsidP="00AA1360">
      <w:r w:rsidRPr="00AA1360">
        <w:br w:type="page"/>
      </w:r>
    </w:p>
    <w:p w14:paraId="05157FD6" w14:textId="530D227E" w:rsidR="00B86040" w:rsidRPr="00455191" w:rsidRDefault="00714D09" w:rsidP="00FE4102">
      <w:pPr>
        <w:pStyle w:val="Heading2"/>
        <w:numPr>
          <w:ilvl w:val="0"/>
          <w:numId w:val="0"/>
        </w:numPr>
      </w:pPr>
      <w:r w:rsidRPr="00455191">
        <w:lastRenderedPageBreak/>
        <w:t>A</w:t>
      </w:r>
      <w:r>
        <w:t>ppendix</w:t>
      </w:r>
      <w:r w:rsidRPr="00455191">
        <w:t xml:space="preserve"> </w:t>
      </w:r>
      <w:r w:rsidR="000E2053">
        <w:t>B</w:t>
      </w:r>
      <w:r>
        <w:t>.</w:t>
      </w:r>
      <w:r w:rsidR="00B86040" w:rsidRPr="00455191">
        <w:t xml:space="preserve"> Example of multivariate regression</w:t>
      </w:r>
    </w:p>
    <w:p w14:paraId="1DD4EBD0" w14:textId="72AB779A" w:rsidR="005A7E02" w:rsidRPr="00455191" w:rsidRDefault="00587BDA" w:rsidP="00F61408">
      <w:r w:rsidRPr="00455191">
        <w:t>T</w:t>
      </w:r>
      <w:r w:rsidR="008B61B0" w:rsidRPr="00455191">
        <w:t xml:space="preserve">his </w:t>
      </w:r>
      <w:r w:rsidR="00715434" w:rsidRPr="00455191">
        <w:t xml:space="preserve">comparison </w:t>
      </w:r>
      <w:r w:rsidR="000040FC" w:rsidRPr="00455191">
        <w:t xml:space="preserve">is </w:t>
      </w:r>
      <w:r w:rsidR="007B636E" w:rsidRPr="00455191">
        <w:t>based on</w:t>
      </w:r>
      <w:r w:rsidR="000040FC" w:rsidRPr="00455191">
        <w:t xml:space="preserve"> </w:t>
      </w:r>
      <w:r w:rsidR="00715434" w:rsidRPr="00455191">
        <w:t>the set of record</w:t>
      </w:r>
      <w:r w:rsidRPr="00455191">
        <w:t>s</w:t>
      </w:r>
      <w:r w:rsidR="00715434" w:rsidRPr="00455191">
        <w:t xml:space="preserve"> that include</w:t>
      </w:r>
      <w:r w:rsidRPr="00455191">
        <w:t>s</w:t>
      </w:r>
      <w:r w:rsidR="00715434" w:rsidRPr="00455191">
        <w:t xml:space="preserve"> all information </w:t>
      </w:r>
      <w:r w:rsidR="005D6991" w:rsidRPr="00455191">
        <w:t xml:space="preserve">needed </w:t>
      </w:r>
      <w:r w:rsidR="00715434" w:rsidRPr="00455191">
        <w:t>for the multivariate regression</w:t>
      </w:r>
      <w:r w:rsidR="00A621FE" w:rsidRPr="00455191">
        <w:t>.</w:t>
      </w:r>
      <w:r w:rsidR="00B012EF" w:rsidRPr="00455191">
        <w:t xml:space="preserve"> Therefore, the sample size</w:t>
      </w:r>
      <w:r w:rsidR="003526F1" w:rsidRPr="00455191">
        <w:t>s</w:t>
      </w:r>
      <w:r w:rsidR="00B012EF" w:rsidRPr="00455191">
        <w:t xml:space="preserve"> </w:t>
      </w:r>
      <w:r w:rsidR="005D6991" w:rsidRPr="00455191">
        <w:t xml:space="preserve">and the </w:t>
      </w:r>
      <w:r w:rsidR="00FD5CB3" w:rsidRPr="00455191">
        <w:t xml:space="preserve">resulting </w:t>
      </w:r>
      <w:r w:rsidR="005D6991" w:rsidRPr="00455191">
        <w:t>regression parameters</w:t>
      </w:r>
      <w:r w:rsidR="00B012EF" w:rsidRPr="00455191">
        <w:t xml:space="preserve"> of univariate </w:t>
      </w:r>
      <w:r w:rsidR="00FD5CB3" w:rsidRPr="00455191">
        <w:t xml:space="preserve">approach </w:t>
      </w:r>
      <w:r w:rsidR="006C70AE" w:rsidRPr="00455191">
        <w:t xml:space="preserve">are </w:t>
      </w:r>
      <w:r w:rsidR="00B012EF" w:rsidRPr="00455191">
        <w:t xml:space="preserve">different from </w:t>
      </w:r>
      <w:r w:rsidR="00100A2E" w:rsidRPr="00455191">
        <w:t>th</w:t>
      </w:r>
      <w:r w:rsidR="00FD5CB3" w:rsidRPr="00455191">
        <w:t>ose</w:t>
      </w:r>
      <w:r w:rsidR="00B012EF" w:rsidRPr="00455191">
        <w:t xml:space="preserve"> </w:t>
      </w:r>
      <w:r w:rsidR="001F294E" w:rsidRPr="00455191">
        <w:t xml:space="preserve">listed </w:t>
      </w:r>
      <w:r w:rsidR="00B012EF" w:rsidRPr="00455191">
        <w:t xml:space="preserve">in Table </w:t>
      </w:r>
      <w:r w:rsidR="005964B3" w:rsidRPr="00455191">
        <w:t>3</w:t>
      </w:r>
      <w:r w:rsidR="006C70AE" w:rsidRPr="00455191">
        <w:t>, for each vehicle type</w:t>
      </w:r>
      <w:r w:rsidR="00866392" w:rsidRPr="00455191">
        <w:t>.</w:t>
      </w:r>
    </w:p>
    <w:p w14:paraId="3ED908D7" w14:textId="77777777" w:rsidR="008F4307" w:rsidRPr="000E2ED1" w:rsidRDefault="00866392" w:rsidP="003A174C">
      <w:pPr>
        <w:pStyle w:val="Tablecaption"/>
      </w:pPr>
      <w:r w:rsidRPr="000E2ED1">
        <w:t xml:space="preserve">Table </w:t>
      </w:r>
      <w:r w:rsidR="000E2053">
        <w:t>B</w:t>
      </w:r>
      <w:r w:rsidR="000E2053" w:rsidRPr="000E2ED1">
        <w:t>1</w:t>
      </w:r>
      <w:r w:rsidRPr="000E2ED1">
        <w:t xml:space="preserve"> </w:t>
      </w:r>
      <w:r w:rsidR="00D41E24">
        <w:br/>
      </w:r>
      <w:r w:rsidRPr="000E2ED1">
        <w:t xml:space="preserve">4 phase-WLTP to NEDC regression parameters and statistics, univariate </w:t>
      </w:r>
      <w:r w:rsidR="00D30E4E">
        <w:t>versus</w:t>
      </w:r>
      <w:r w:rsidRPr="000E2ED1">
        <w:t xml:space="preserve"> multivariate regression</w:t>
      </w:r>
    </w:p>
    <w:tbl>
      <w:tblPr>
        <w:tblStyle w:val="DefaultTable11"/>
        <w:tblW w:w="5183" w:type="pct"/>
        <w:tblInd w:w="-284" w:type="dxa"/>
        <w:tblCellMar>
          <w:top w:w="28" w:type="dxa"/>
          <w:bottom w:w="28" w:type="dxa"/>
        </w:tblCellMar>
        <w:tblLook w:val="04A0" w:firstRow="1" w:lastRow="0" w:firstColumn="1" w:lastColumn="0" w:noHBand="0" w:noVBand="1"/>
        <w:tblDescription w:val="Table B1 &#10;4 phase-WLTP to NEDC regression parameters and statistics, univariate versus multivariate regression&#10;"/>
      </w:tblPr>
      <w:tblGrid>
        <w:gridCol w:w="847"/>
        <w:gridCol w:w="1197"/>
        <w:gridCol w:w="857"/>
        <w:gridCol w:w="927"/>
        <w:gridCol w:w="987"/>
        <w:gridCol w:w="947"/>
        <w:gridCol w:w="1567"/>
        <w:gridCol w:w="1093"/>
        <w:gridCol w:w="567"/>
        <w:gridCol w:w="1093"/>
      </w:tblGrid>
      <w:tr w:rsidR="005E4972" w:rsidRPr="00654F9E" w14:paraId="5A40C63F" w14:textId="77777777" w:rsidTr="005E497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4" w:type="pct"/>
            <w:vAlign w:val="center"/>
          </w:tcPr>
          <w:p w14:paraId="2734E2CB" w14:textId="728C5F77" w:rsidR="005E4972" w:rsidRPr="00813729" w:rsidRDefault="005E4972" w:rsidP="005E4972">
            <w:pPr>
              <w:pStyle w:val="Tablerowcolumnheading"/>
              <w:keepNext/>
              <w:spacing w:before="0" w:after="0"/>
              <w:rPr>
                <w:rFonts w:cs="Helvetica"/>
                <w:b/>
                <w:sz w:val="18"/>
                <w:szCs w:val="18"/>
              </w:rPr>
            </w:pPr>
            <w:r w:rsidRPr="00813729">
              <w:rPr>
                <w:rFonts w:cs="Helvetica"/>
                <w:b/>
                <w:sz w:val="18"/>
                <w:szCs w:val="18"/>
              </w:rPr>
              <w:t>Vehicle group</w:t>
            </w:r>
          </w:p>
        </w:tc>
        <w:tc>
          <w:tcPr>
            <w:tcW w:w="609" w:type="pct"/>
            <w:vAlign w:val="center"/>
          </w:tcPr>
          <w:p w14:paraId="424F84E3" w14:textId="0E375BCF" w:rsidR="005E4972" w:rsidRPr="00813729" w:rsidRDefault="005E4972" w:rsidP="005E4972">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8"/>
                <w:szCs w:val="18"/>
              </w:rPr>
            </w:pPr>
            <w:r w:rsidRPr="00813729">
              <w:rPr>
                <w:rFonts w:cs="Helvetica"/>
                <w:b/>
                <w:sz w:val="18"/>
                <w:szCs w:val="18"/>
              </w:rPr>
              <w:t>Regression type</w:t>
            </w:r>
          </w:p>
        </w:tc>
        <w:tc>
          <w:tcPr>
            <w:tcW w:w="416" w:type="pct"/>
            <w:vAlign w:val="center"/>
          </w:tcPr>
          <w:p w14:paraId="5CBF1C25" w14:textId="7CC9C62C" w:rsidR="005E4972" w:rsidRPr="00813729" w:rsidRDefault="005E4972" w:rsidP="005E4972">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8"/>
                <w:szCs w:val="18"/>
              </w:rPr>
            </w:pPr>
            <w:r w:rsidRPr="00813729">
              <w:rPr>
                <w:rFonts w:cs="Helvetica"/>
                <w:b/>
                <w:sz w:val="18"/>
                <w:szCs w:val="18"/>
              </w:rPr>
              <w:t>Sample size</w:t>
            </w:r>
          </w:p>
        </w:tc>
        <w:tc>
          <w:tcPr>
            <w:tcW w:w="444" w:type="pct"/>
            <w:vAlign w:val="center"/>
          </w:tcPr>
          <w:p w14:paraId="18A87FFB" w14:textId="63C48C1B" w:rsidR="005E4972" w:rsidRPr="00813729" w:rsidRDefault="005E4972" w:rsidP="005E4972">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8"/>
                <w:szCs w:val="18"/>
              </w:rPr>
            </w:pPr>
            <w:proofErr w:type="spellStart"/>
            <w:r w:rsidRPr="00813729">
              <w:rPr>
                <w:rFonts w:cs="Helvetica"/>
                <w:b/>
                <w:sz w:val="18"/>
                <w:szCs w:val="18"/>
              </w:rPr>
              <w:t>a_WLTP</w:t>
            </w:r>
            <w:proofErr w:type="spellEnd"/>
          </w:p>
        </w:tc>
        <w:tc>
          <w:tcPr>
            <w:tcW w:w="494" w:type="pct"/>
            <w:vAlign w:val="center"/>
          </w:tcPr>
          <w:p w14:paraId="67806CBB" w14:textId="063FC70C" w:rsidR="005E4972" w:rsidRPr="00813729" w:rsidRDefault="005E4972" w:rsidP="005E4972">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8"/>
                <w:szCs w:val="18"/>
              </w:rPr>
            </w:pPr>
            <w:proofErr w:type="spellStart"/>
            <w:r w:rsidRPr="00813729">
              <w:rPr>
                <w:rFonts w:cs="Helvetica"/>
                <w:b/>
                <w:sz w:val="18"/>
                <w:szCs w:val="18"/>
              </w:rPr>
              <w:t>a_weight</w:t>
            </w:r>
            <w:proofErr w:type="spellEnd"/>
          </w:p>
        </w:tc>
        <w:tc>
          <w:tcPr>
            <w:tcW w:w="476" w:type="pct"/>
            <w:vAlign w:val="center"/>
          </w:tcPr>
          <w:p w14:paraId="737652C7" w14:textId="57C3C5AA" w:rsidR="005E4972" w:rsidRPr="00813729" w:rsidRDefault="005E4972" w:rsidP="005E4972">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8"/>
                <w:szCs w:val="18"/>
              </w:rPr>
            </w:pPr>
            <w:proofErr w:type="spellStart"/>
            <w:r w:rsidRPr="00813729">
              <w:rPr>
                <w:rFonts w:cs="Helvetica"/>
                <w:b/>
                <w:sz w:val="18"/>
                <w:szCs w:val="18"/>
              </w:rPr>
              <w:t>a_power</w:t>
            </w:r>
            <w:proofErr w:type="spellEnd"/>
          </w:p>
        </w:tc>
        <w:tc>
          <w:tcPr>
            <w:tcW w:w="768" w:type="pct"/>
            <w:vAlign w:val="center"/>
          </w:tcPr>
          <w:p w14:paraId="69618ECB" w14:textId="0C82EE57" w:rsidR="005E4972" w:rsidRPr="00813729" w:rsidRDefault="005E4972" w:rsidP="005E4972">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8"/>
                <w:szCs w:val="18"/>
              </w:rPr>
            </w:pPr>
            <w:proofErr w:type="spellStart"/>
            <w:r w:rsidRPr="00813729">
              <w:rPr>
                <w:rFonts w:cs="Helvetica"/>
                <w:b/>
                <w:sz w:val="18"/>
                <w:szCs w:val="18"/>
              </w:rPr>
              <w:t>a_displacement</w:t>
            </w:r>
            <w:proofErr w:type="spellEnd"/>
          </w:p>
        </w:tc>
        <w:tc>
          <w:tcPr>
            <w:tcW w:w="546" w:type="pct"/>
            <w:vAlign w:val="center"/>
          </w:tcPr>
          <w:p w14:paraId="32ED528C" w14:textId="5647C3CA" w:rsidR="005E4972" w:rsidRPr="00813729" w:rsidRDefault="005E4972" w:rsidP="005E4972">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8"/>
                <w:szCs w:val="18"/>
              </w:rPr>
            </w:pPr>
            <w:r w:rsidRPr="00813729">
              <w:rPr>
                <w:rFonts w:cs="Helvetica"/>
                <w:b/>
                <w:sz w:val="18"/>
                <w:szCs w:val="18"/>
              </w:rPr>
              <w:t>b (gCO</w:t>
            </w:r>
            <w:r w:rsidRPr="00813729">
              <w:rPr>
                <w:rFonts w:cs="Helvetica"/>
                <w:b/>
                <w:sz w:val="18"/>
                <w:szCs w:val="18"/>
                <w:vertAlign w:val="subscript"/>
              </w:rPr>
              <w:t>2</w:t>
            </w:r>
            <w:r w:rsidRPr="00813729">
              <w:rPr>
                <w:rFonts w:cs="Helvetica"/>
                <w:b/>
                <w:sz w:val="18"/>
                <w:szCs w:val="18"/>
              </w:rPr>
              <w:t>/km)</w:t>
            </w:r>
          </w:p>
        </w:tc>
        <w:tc>
          <w:tcPr>
            <w:tcW w:w="286" w:type="pct"/>
            <w:vAlign w:val="center"/>
          </w:tcPr>
          <w:p w14:paraId="5584A5AA" w14:textId="1677DC95" w:rsidR="005E4972" w:rsidRPr="00813729" w:rsidRDefault="005E4972" w:rsidP="005E4972">
            <w:pPr>
              <w:pStyle w:val="Tablerowcolumnheading"/>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8"/>
                <w:szCs w:val="18"/>
              </w:rPr>
            </w:pPr>
            <w:r w:rsidRPr="00813729">
              <w:rPr>
                <w:rFonts w:cs="Helvetica"/>
                <w:b/>
                <w:sz w:val="18"/>
                <w:szCs w:val="18"/>
              </w:rPr>
              <w:t>R</w:t>
            </w:r>
            <w:r w:rsidRPr="00813729">
              <w:rPr>
                <w:rFonts w:cs="Helvetica"/>
                <w:b/>
                <w:sz w:val="18"/>
                <w:szCs w:val="18"/>
                <w:vertAlign w:val="superscript"/>
              </w:rPr>
              <w:t>2</w:t>
            </w:r>
          </w:p>
        </w:tc>
        <w:tc>
          <w:tcPr>
            <w:tcW w:w="546" w:type="pct"/>
            <w:vAlign w:val="center"/>
          </w:tcPr>
          <w:p w14:paraId="5CD45EAC" w14:textId="6E5E3F44" w:rsidR="005E4972" w:rsidRPr="00813729" w:rsidRDefault="005E4972" w:rsidP="005E4972">
            <w:pPr>
              <w:pStyle w:val="Tablerowcolumnheadingcentred"/>
              <w:keepNext/>
              <w:spacing w:before="0" w:after="0"/>
              <w:cnfStyle w:val="100000000000" w:firstRow="1" w:lastRow="0" w:firstColumn="0" w:lastColumn="0" w:oddVBand="0" w:evenVBand="0" w:oddHBand="0" w:evenHBand="0" w:firstRowFirstColumn="0" w:firstRowLastColumn="0" w:lastRowFirstColumn="0" w:lastRowLastColumn="0"/>
              <w:rPr>
                <w:rFonts w:cs="Helvetica"/>
                <w:b/>
                <w:sz w:val="18"/>
                <w:szCs w:val="18"/>
              </w:rPr>
            </w:pPr>
            <w:r w:rsidRPr="00813729">
              <w:rPr>
                <w:rFonts w:cs="Helvetica"/>
                <w:b/>
                <w:sz w:val="18"/>
                <w:szCs w:val="18"/>
              </w:rPr>
              <w:t>Standard error (gCO</w:t>
            </w:r>
            <w:r w:rsidRPr="00813729">
              <w:rPr>
                <w:rFonts w:cs="Helvetica"/>
                <w:b/>
                <w:sz w:val="18"/>
                <w:szCs w:val="18"/>
                <w:vertAlign w:val="subscript"/>
              </w:rPr>
              <w:t>2</w:t>
            </w:r>
            <w:r w:rsidRPr="00813729">
              <w:rPr>
                <w:rFonts w:cs="Helvetica"/>
                <w:b/>
                <w:sz w:val="18"/>
                <w:szCs w:val="18"/>
              </w:rPr>
              <w:t>/km)</w:t>
            </w:r>
          </w:p>
        </w:tc>
      </w:tr>
      <w:tr w:rsidR="005E4972" w:rsidRPr="00654F9E" w14:paraId="176EB93D" w14:textId="77777777" w:rsidTr="005E4972">
        <w:trPr>
          <w:cantSplit/>
        </w:trPr>
        <w:tc>
          <w:tcPr>
            <w:cnfStyle w:val="001000000000" w:firstRow="0" w:lastRow="0" w:firstColumn="1" w:lastColumn="0" w:oddVBand="0" w:evenVBand="0" w:oddHBand="0" w:evenHBand="0" w:firstRowFirstColumn="0" w:firstRowLastColumn="0" w:lastRowFirstColumn="0" w:lastRowLastColumn="0"/>
            <w:tcW w:w="414" w:type="pct"/>
          </w:tcPr>
          <w:p w14:paraId="02024FF5" w14:textId="13E8C95A" w:rsidR="005E4972" w:rsidRPr="00813729" w:rsidRDefault="005E4972" w:rsidP="005E4972">
            <w:pPr>
              <w:spacing w:before="0" w:after="0"/>
              <w:rPr>
                <w:rFonts w:cs="Helvetica"/>
                <w:sz w:val="18"/>
                <w:szCs w:val="18"/>
              </w:rPr>
            </w:pPr>
            <w:r w:rsidRPr="00813729">
              <w:rPr>
                <w:rFonts w:cs="Helvetica"/>
                <w:sz w:val="18"/>
                <w:szCs w:val="18"/>
              </w:rPr>
              <w:t>Petrol PC and LCV</w:t>
            </w:r>
          </w:p>
        </w:tc>
        <w:tc>
          <w:tcPr>
            <w:tcW w:w="609" w:type="pct"/>
            <w:vAlign w:val="center"/>
          </w:tcPr>
          <w:p w14:paraId="310CCAF9" w14:textId="1DF80EB1" w:rsidR="005E4972" w:rsidRPr="00813729" w:rsidRDefault="005E4972" w:rsidP="005E4972">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Univariate</w:t>
            </w:r>
          </w:p>
        </w:tc>
        <w:tc>
          <w:tcPr>
            <w:tcW w:w="416" w:type="pct"/>
            <w:vAlign w:val="center"/>
          </w:tcPr>
          <w:p w14:paraId="7BC1EEB3" w14:textId="4E0AB5F8"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21,010</w:t>
            </w:r>
          </w:p>
        </w:tc>
        <w:tc>
          <w:tcPr>
            <w:tcW w:w="444" w:type="pct"/>
            <w:vAlign w:val="center"/>
          </w:tcPr>
          <w:p w14:paraId="7BA5FAA9" w14:textId="0AAD59B7"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0.9274</w:t>
            </w:r>
          </w:p>
        </w:tc>
        <w:tc>
          <w:tcPr>
            <w:tcW w:w="494" w:type="pct"/>
            <w:vAlign w:val="center"/>
          </w:tcPr>
          <w:p w14:paraId="355D222F" w14:textId="375766CC"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w:t>
            </w:r>
          </w:p>
        </w:tc>
        <w:tc>
          <w:tcPr>
            <w:tcW w:w="476" w:type="pct"/>
            <w:vAlign w:val="center"/>
          </w:tcPr>
          <w:p w14:paraId="04A3CD63" w14:textId="2F0F651F"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w:t>
            </w:r>
          </w:p>
        </w:tc>
        <w:tc>
          <w:tcPr>
            <w:tcW w:w="768" w:type="pct"/>
            <w:vAlign w:val="center"/>
          </w:tcPr>
          <w:p w14:paraId="21A0B4F1" w14:textId="7CA714E6"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w:t>
            </w:r>
          </w:p>
        </w:tc>
        <w:tc>
          <w:tcPr>
            <w:tcW w:w="546" w:type="pct"/>
            <w:vAlign w:val="center"/>
          </w:tcPr>
          <w:p w14:paraId="2DC22127" w14:textId="30D9B610"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-12.8377</w:t>
            </w:r>
          </w:p>
        </w:tc>
        <w:tc>
          <w:tcPr>
            <w:tcW w:w="286" w:type="pct"/>
            <w:vAlign w:val="center"/>
          </w:tcPr>
          <w:p w14:paraId="0B7EA306" w14:textId="2B2A5D0E"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0.95</w:t>
            </w:r>
          </w:p>
        </w:tc>
        <w:tc>
          <w:tcPr>
            <w:tcW w:w="546" w:type="pct"/>
            <w:vAlign w:val="center"/>
          </w:tcPr>
          <w:p w14:paraId="1440DD19" w14:textId="1340A261"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8.1508</w:t>
            </w:r>
          </w:p>
        </w:tc>
      </w:tr>
      <w:tr w:rsidR="005E4972" w:rsidRPr="00654F9E" w14:paraId="666C824A" w14:textId="77777777" w:rsidTr="005E49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4" w:type="pct"/>
          </w:tcPr>
          <w:p w14:paraId="0DC512A2" w14:textId="0CB954A7" w:rsidR="005E4972" w:rsidRPr="00813729" w:rsidRDefault="005E4972" w:rsidP="005E4972">
            <w:pPr>
              <w:spacing w:before="0" w:after="0"/>
              <w:rPr>
                <w:rFonts w:cs="Helvetica"/>
                <w:sz w:val="18"/>
                <w:szCs w:val="18"/>
              </w:rPr>
            </w:pPr>
            <w:r w:rsidRPr="00813729">
              <w:rPr>
                <w:rFonts w:cs="Helvetica"/>
                <w:sz w:val="18"/>
                <w:szCs w:val="18"/>
              </w:rPr>
              <w:t>Petrol PC and LCV</w:t>
            </w:r>
          </w:p>
        </w:tc>
        <w:tc>
          <w:tcPr>
            <w:tcW w:w="609" w:type="pct"/>
            <w:vAlign w:val="center"/>
          </w:tcPr>
          <w:p w14:paraId="197D887D" w14:textId="50585313" w:rsidR="005E4972" w:rsidRPr="00813729" w:rsidRDefault="005E4972" w:rsidP="005E4972">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eastAsiaTheme="minorEastAsia" w:cs="Helvetica"/>
                <w:sz w:val="18"/>
                <w:szCs w:val="18"/>
              </w:rPr>
              <w:t>Multivariate</w:t>
            </w:r>
          </w:p>
        </w:tc>
        <w:tc>
          <w:tcPr>
            <w:tcW w:w="416" w:type="pct"/>
            <w:vAlign w:val="center"/>
          </w:tcPr>
          <w:p w14:paraId="4D829B0A" w14:textId="4E526C1A"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eastAsiaTheme="minorEastAsia" w:cs="Helvetica"/>
                <w:sz w:val="18"/>
                <w:szCs w:val="18"/>
              </w:rPr>
              <w:t>21,010</w:t>
            </w:r>
          </w:p>
        </w:tc>
        <w:tc>
          <w:tcPr>
            <w:tcW w:w="444" w:type="pct"/>
            <w:vAlign w:val="center"/>
          </w:tcPr>
          <w:p w14:paraId="4D00336F" w14:textId="31A210DF"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eastAsiaTheme="minorEastAsia" w:cs="Helvetica"/>
                <w:sz w:val="18"/>
                <w:szCs w:val="18"/>
              </w:rPr>
              <w:t>0.8755</w:t>
            </w:r>
          </w:p>
        </w:tc>
        <w:tc>
          <w:tcPr>
            <w:tcW w:w="494" w:type="pct"/>
            <w:vAlign w:val="center"/>
          </w:tcPr>
          <w:p w14:paraId="6A1138F9" w14:textId="316E063E"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eastAsiaTheme="minorEastAsia" w:cs="Helvetica"/>
                <w:sz w:val="18"/>
                <w:szCs w:val="18"/>
              </w:rPr>
              <w:t>-0.0152</w:t>
            </w:r>
          </w:p>
        </w:tc>
        <w:tc>
          <w:tcPr>
            <w:tcW w:w="476" w:type="pct"/>
            <w:vAlign w:val="center"/>
          </w:tcPr>
          <w:p w14:paraId="12B6C037" w14:textId="64F23A15"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eastAsiaTheme="minorEastAsia" w:cs="Helvetica"/>
                <w:sz w:val="18"/>
                <w:szCs w:val="18"/>
              </w:rPr>
              <w:t>0.0746</w:t>
            </w:r>
          </w:p>
        </w:tc>
        <w:tc>
          <w:tcPr>
            <w:tcW w:w="768" w:type="pct"/>
            <w:vAlign w:val="center"/>
          </w:tcPr>
          <w:p w14:paraId="16A9D3A3" w14:textId="3BAB355C"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eastAsiaTheme="minorEastAsia" w:cs="Helvetica"/>
                <w:sz w:val="18"/>
                <w:szCs w:val="18"/>
              </w:rPr>
              <w:t>0.0018</w:t>
            </w:r>
          </w:p>
        </w:tc>
        <w:tc>
          <w:tcPr>
            <w:tcW w:w="546" w:type="pct"/>
            <w:vAlign w:val="center"/>
          </w:tcPr>
          <w:p w14:paraId="5C68908A" w14:textId="322ADC52"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eastAsiaTheme="minorEastAsia" w:cs="Helvetica"/>
                <w:sz w:val="18"/>
                <w:szCs w:val="18"/>
              </w:rPr>
              <w:t>5.6700</w:t>
            </w:r>
          </w:p>
        </w:tc>
        <w:tc>
          <w:tcPr>
            <w:tcW w:w="286" w:type="pct"/>
            <w:vAlign w:val="center"/>
          </w:tcPr>
          <w:p w14:paraId="327DE71C" w14:textId="3152FDB9"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eastAsiaTheme="minorEastAsia" w:cs="Helvetica"/>
                <w:sz w:val="18"/>
                <w:szCs w:val="18"/>
              </w:rPr>
              <w:t>0.96</w:t>
            </w:r>
          </w:p>
        </w:tc>
        <w:tc>
          <w:tcPr>
            <w:tcW w:w="546" w:type="pct"/>
            <w:vAlign w:val="center"/>
          </w:tcPr>
          <w:p w14:paraId="2317E302" w14:textId="57DC6411"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eastAsiaTheme="minorEastAsia" w:cs="Helvetica"/>
                <w:sz w:val="18"/>
                <w:szCs w:val="18"/>
              </w:rPr>
              <w:t>7.4323</w:t>
            </w:r>
          </w:p>
        </w:tc>
      </w:tr>
      <w:tr w:rsidR="005E4972" w:rsidRPr="00654F9E" w14:paraId="5A0D9830" w14:textId="77777777" w:rsidTr="005E4972">
        <w:trPr>
          <w:cantSplit/>
        </w:trPr>
        <w:tc>
          <w:tcPr>
            <w:cnfStyle w:val="001000000000" w:firstRow="0" w:lastRow="0" w:firstColumn="1" w:lastColumn="0" w:oddVBand="0" w:evenVBand="0" w:oddHBand="0" w:evenHBand="0" w:firstRowFirstColumn="0" w:firstRowLastColumn="0" w:lastRowFirstColumn="0" w:lastRowLastColumn="0"/>
            <w:tcW w:w="414" w:type="pct"/>
          </w:tcPr>
          <w:p w14:paraId="6BCF446B" w14:textId="6F168B9D" w:rsidR="005E4972" w:rsidRPr="00813729" w:rsidRDefault="005E4972" w:rsidP="005E4972">
            <w:pPr>
              <w:spacing w:before="0" w:after="0"/>
              <w:rPr>
                <w:rFonts w:cs="Helvetica"/>
                <w:sz w:val="18"/>
                <w:szCs w:val="18"/>
              </w:rPr>
            </w:pPr>
            <w:r w:rsidRPr="00813729">
              <w:rPr>
                <w:rFonts w:cs="Helvetica"/>
                <w:sz w:val="18"/>
                <w:szCs w:val="18"/>
              </w:rPr>
              <w:t>Diesel PC</w:t>
            </w:r>
          </w:p>
        </w:tc>
        <w:tc>
          <w:tcPr>
            <w:tcW w:w="609" w:type="pct"/>
            <w:vAlign w:val="center"/>
          </w:tcPr>
          <w:p w14:paraId="4CD3A6DF" w14:textId="0D4B4383" w:rsidR="005E4972" w:rsidRPr="00813729" w:rsidRDefault="005E4972" w:rsidP="005E4972">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Univariate</w:t>
            </w:r>
          </w:p>
        </w:tc>
        <w:tc>
          <w:tcPr>
            <w:tcW w:w="416" w:type="pct"/>
            <w:vAlign w:val="center"/>
          </w:tcPr>
          <w:p w14:paraId="7F1589A6" w14:textId="5D14D01B"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cs="Helvetica"/>
                <w:sz w:val="18"/>
                <w:szCs w:val="18"/>
              </w:rPr>
              <w:t>19,512</w:t>
            </w:r>
          </w:p>
        </w:tc>
        <w:tc>
          <w:tcPr>
            <w:tcW w:w="444" w:type="pct"/>
            <w:vAlign w:val="center"/>
          </w:tcPr>
          <w:p w14:paraId="7B8D649C" w14:textId="19506463"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0.</w:t>
            </w:r>
            <w:r w:rsidRPr="00813729" w:rsidDel="00435CA1">
              <w:rPr>
                <w:rFonts w:eastAsiaTheme="minorEastAsia" w:cs="Helvetica"/>
                <w:sz w:val="18"/>
                <w:szCs w:val="18"/>
              </w:rPr>
              <w:t>7992</w:t>
            </w:r>
          </w:p>
        </w:tc>
        <w:tc>
          <w:tcPr>
            <w:tcW w:w="494" w:type="pct"/>
            <w:vAlign w:val="center"/>
          </w:tcPr>
          <w:p w14:paraId="376CCC9F" w14:textId="3C27DE0A"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w:t>
            </w:r>
          </w:p>
        </w:tc>
        <w:tc>
          <w:tcPr>
            <w:tcW w:w="476" w:type="pct"/>
            <w:vAlign w:val="center"/>
          </w:tcPr>
          <w:p w14:paraId="6A8BC95F" w14:textId="607E08B0"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w:t>
            </w:r>
          </w:p>
        </w:tc>
        <w:tc>
          <w:tcPr>
            <w:tcW w:w="768" w:type="pct"/>
            <w:vAlign w:val="center"/>
          </w:tcPr>
          <w:p w14:paraId="12485112" w14:textId="5E2026B8"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w:t>
            </w:r>
          </w:p>
        </w:tc>
        <w:tc>
          <w:tcPr>
            <w:tcW w:w="546" w:type="pct"/>
            <w:vAlign w:val="center"/>
          </w:tcPr>
          <w:p w14:paraId="0980C086" w14:textId="127A586F"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sidDel="00435CA1">
              <w:rPr>
                <w:rFonts w:eastAsiaTheme="minorEastAsia" w:cs="Helvetica"/>
                <w:sz w:val="18"/>
                <w:szCs w:val="18"/>
              </w:rPr>
              <w:t>3.2817</w:t>
            </w:r>
          </w:p>
        </w:tc>
        <w:tc>
          <w:tcPr>
            <w:tcW w:w="286" w:type="pct"/>
            <w:vAlign w:val="center"/>
          </w:tcPr>
          <w:p w14:paraId="2B668DB4" w14:textId="7A9F49E7"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0.94</w:t>
            </w:r>
          </w:p>
        </w:tc>
        <w:tc>
          <w:tcPr>
            <w:tcW w:w="546" w:type="pct"/>
            <w:vAlign w:val="center"/>
          </w:tcPr>
          <w:p w14:paraId="1856EEA3" w14:textId="4BE309DE"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6.5013</w:t>
            </w:r>
          </w:p>
        </w:tc>
      </w:tr>
      <w:tr w:rsidR="005E4972" w:rsidRPr="00654F9E" w14:paraId="3BE5AD12" w14:textId="77777777" w:rsidTr="005E49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4" w:type="pct"/>
          </w:tcPr>
          <w:p w14:paraId="56945363" w14:textId="7FA34905" w:rsidR="005E4972" w:rsidRPr="00813729" w:rsidRDefault="005E4972" w:rsidP="005E4972">
            <w:pPr>
              <w:spacing w:before="0" w:after="0"/>
              <w:rPr>
                <w:rFonts w:cs="Helvetica"/>
                <w:sz w:val="18"/>
                <w:szCs w:val="18"/>
              </w:rPr>
            </w:pPr>
            <w:r w:rsidRPr="00813729">
              <w:rPr>
                <w:rFonts w:cs="Helvetica"/>
                <w:sz w:val="18"/>
                <w:szCs w:val="18"/>
              </w:rPr>
              <w:t>Diesel PC</w:t>
            </w:r>
          </w:p>
        </w:tc>
        <w:tc>
          <w:tcPr>
            <w:tcW w:w="609" w:type="pct"/>
            <w:vAlign w:val="center"/>
          </w:tcPr>
          <w:p w14:paraId="490E6D00" w14:textId="1B69ACE5" w:rsidR="005E4972" w:rsidRPr="00813729" w:rsidRDefault="005E4972" w:rsidP="005E4972">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eastAsiaTheme="minorEastAsia" w:cs="Helvetica"/>
                <w:sz w:val="18"/>
                <w:szCs w:val="18"/>
              </w:rPr>
              <w:t>Multivariate</w:t>
            </w:r>
          </w:p>
        </w:tc>
        <w:tc>
          <w:tcPr>
            <w:tcW w:w="416" w:type="pct"/>
            <w:vAlign w:val="center"/>
          </w:tcPr>
          <w:p w14:paraId="7C839A25" w14:textId="31F3EB5B"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cs="Helvetica"/>
                <w:sz w:val="18"/>
                <w:szCs w:val="18"/>
              </w:rPr>
              <w:t>19,512</w:t>
            </w:r>
          </w:p>
        </w:tc>
        <w:tc>
          <w:tcPr>
            <w:tcW w:w="444" w:type="pct"/>
            <w:vAlign w:val="center"/>
          </w:tcPr>
          <w:p w14:paraId="5D99B143" w14:textId="5FFE79AA"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cs="Helvetica"/>
                <w:sz w:val="18"/>
                <w:szCs w:val="18"/>
              </w:rPr>
              <w:t>0.6879</w:t>
            </w:r>
          </w:p>
        </w:tc>
        <w:tc>
          <w:tcPr>
            <w:tcW w:w="494" w:type="pct"/>
            <w:vAlign w:val="center"/>
          </w:tcPr>
          <w:p w14:paraId="75521D6C" w14:textId="408E5DCD"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cs="Helvetica"/>
                <w:sz w:val="18"/>
                <w:szCs w:val="18"/>
              </w:rPr>
              <w:t>0.0071</w:t>
            </w:r>
          </w:p>
        </w:tc>
        <w:tc>
          <w:tcPr>
            <w:tcW w:w="476" w:type="pct"/>
            <w:vAlign w:val="center"/>
          </w:tcPr>
          <w:p w14:paraId="5009C770" w14:textId="30B162A8"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cs="Helvetica"/>
                <w:sz w:val="18"/>
                <w:szCs w:val="18"/>
              </w:rPr>
              <w:t>0.0237</w:t>
            </w:r>
          </w:p>
        </w:tc>
        <w:tc>
          <w:tcPr>
            <w:tcW w:w="768" w:type="pct"/>
            <w:vAlign w:val="center"/>
          </w:tcPr>
          <w:p w14:paraId="6A6043F4" w14:textId="20229110"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cs="Helvetica"/>
                <w:sz w:val="18"/>
                <w:szCs w:val="18"/>
              </w:rPr>
              <w:t>0.0032</w:t>
            </w:r>
          </w:p>
        </w:tc>
        <w:tc>
          <w:tcPr>
            <w:tcW w:w="546" w:type="pct"/>
            <w:vAlign w:val="center"/>
          </w:tcPr>
          <w:p w14:paraId="134FD0AA" w14:textId="6923D7F8"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cs="Helvetica"/>
                <w:sz w:val="18"/>
                <w:szCs w:val="18"/>
              </w:rPr>
              <w:t>-0.8097</w:t>
            </w:r>
          </w:p>
        </w:tc>
        <w:tc>
          <w:tcPr>
            <w:tcW w:w="286" w:type="pct"/>
            <w:vAlign w:val="center"/>
          </w:tcPr>
          <w:p w14:paraId="7804B91C" w14:textId="1F213809"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cs="Helvetica"/>
                <w:sz w:val="18"/>
                <w:szCs w:val="18"/>
              </w:rPr>
              <w:t>0.95</w:t>
            </w:r>
          </w:p>
        </w:tc>
        <w:tc>
          <w:tcPr>
            <w:tcW w:w="546" w:type="pct"/>
            <w:vAlign w:val="center"/>
          </w:tcPr>
          <w:p w14:paraId="683E5F94" w14:textId="586F7D2C"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cs="Helvetica"/>
                <w:sz w:val="18"/>
                <w:szCs w:val="18"/>
              </w:rPr>
              <w:t>6.0611</w:t>
            </w:r>
          </w:p>
        </w:tc>
      </w:tr>
      <w:tr w:rsidR="005E4972" w:rsidRPr="00654F9E" w14:paraId="790A9D39" w14:textId="77777777" w:rsidTr="005E4972">
        <w:trPr>
          <w:cantSplit/>
        </w:trPr>
        <w:tc>
          <w:tcPr>
            <w:cnfStyle w:val="001000000000" w:firstRow="0" w:lastRow="0" w:firstColumn="1" w:lastColumn="0" w:oddVBand="0" w:evenVBand="0" w:oddHBand="0" w:evenHBand="0" w:firstRowFirstColumn="0" w:firstRowLastColumn="0" w:lastRowFirstColumn="0" w:lastRowLastColumn="0"/>
            <w:tcW w:w="414" w:type="pct"/>
          </w:tcPr>
          <w:p w14:paraId="752D727D" w14:textId="6EF71AE3" w:rsidR="005E4972" w:rsidRPr="00813729" w:rsidRDefault="005E4972" w:rsidP="005E4972">
            <w:pPr>
              <w:spacing w:before="0" w:after="0"/>
              <w:rPr>
                <w:rFonts w:cs="Helvetica"/>
                <w:sz w:val="18"/>
                <w:szCs w:val="18"/>
              </w:rPr>
            </w:pPr>
            <w:r w:rsidRPr="00813729">
              <w:rPr>
                <w:rFonts w:cs="Helvetica"/>
                <w:sz w:val="18"/>
                <w:szCs w:val="18"/>
              </w:rPr>
              <w:t>Diesel LCV</w:t>
            </w:r>
          </w:p>
        </w:tc>
        <w:tc>
          <w:tcPr>
            <w:tcW w:w="609" w:type="pct"/>
            <w:vAlign w:val="center"/>
          </w:tcPr>
          <w:p w14:paraId="2FC5D227" w14:textId="4EC8398C" w:rsidR="005E4972" w:rsidRPr="00813729" w:rsidRDefault="005E4972" w:rsidP="005E4972">
            <w:pPr>
              <w:spacing w:before="0" w:after="0"/>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Univariate</w:t>
            </w:r>
          </w:p>
        </w:tc>
        <w:tc>
          <w:tcPr>
            <w:tcW w:w="416" w:type="pct"/>
            <w:vAlign w:val="center"/>
          </w:tcPr>
          <w:p w14:paraId="02D1FCF8" w14:textId="7619E37A"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430</w:t>
            </w:r>
          </w:p>
        </w:tc>
        <w:tc>
          <w:tcPr>
            <w:tcW w:w="444" w:type="pct"/>
            <w:vAlign w:val="center"/>
          </w:tcPr>
          <w:p w14:paraId="5F52E3D3" w14:textId="420319DB"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0.5069</w:t>
            </w:r>
          </w:p>
        </w:tc>
        <w:tc>
          <w:tcPr>
            <w:tcW w:w="494" w:type="pct"/>
            <w:vAlign w:val="center"/>
          </w:tcPr>
          <w:p w14:paraId="29C1705E" w14:textId="0C03C951"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w:t>
            </w:r>
          </w:p>
        </w:tc>
        <w:tc>
          <w:tcPr>
            <w:tcW w:w="476" w:type="pct"/>
            <w:vAlign w:val="center"/>
          </w:tcPr>
          <w:p w14:paraId="64A5B8E9" w14:textId="084EEB57"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w:t>
            </w:r>
          </w:p>
        </w:tc>
        <w:tc>
          <w:tcPr>
            <w:tcW w:w="768" w:type="pct"/>
            <w:vAlign w:val="center"/>
          </w:tcPr>
          <w:p w14:paraId="698932EF" w14:textId="56A723F3"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w:t>
            </w:r>
          </w:p>
        </w:tc>
        <w:tc>
          <w:tcPr>
            <w:tcW w:w="546" w:type="pct"/>
            <w:vAlign w:val="center"/>
          </w:tcPr>
          <w:p w14:paraId="6B8E1547" w14:textId="651AF5B8"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40.6006</w:t>
            </w:r>
          </w:p>
        </w:tc>
        <w:tc>
          <w:tcPr>
            <w:tcW w:w="286" w:type="pct"/>
            <w:vAlign w:val="center"/>
          </w:tcPr>
          <w:p w14:paraId="44D325FA" w14:textId="565188E1"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0.94</w:t>
            </w:r>
          </w:p>
        </w:tc>
        <w:tc>
          <w:tcPr>
            <w:tcW w:w="546" w:type="pct"/>
            <w:vAlign w:val="center"/>
          </w:tcPr>
          <w:p w14:paraId="7364B1EC" w14:textId="10FD154E" w:rsidR="005E4972" w:rsidRPr="00813729" w:rsidRDefault="005E4972" w:rsidP="005E4972">
            <w:pPr>
              <w:spacing w:before="0" w:after="0"/>
              <w:jc w:val="center"/>
              <w:cnfStyle w:val="000000000000" w:firstRow="0" w:lastRow="0" w:firstColumn="0" w:lastColumn="0" w:oddVBand="0" w:evenVBand="0" w:oddHBand="0" w:evenHBand="0" w:firstRowFirstColumn="0" w:firstRowLastColumn="0" w:lastRowFirstColumn="0" w:lastRowLastColumn="0"/>
              <w:rPr>
                <w:rFonts w:cs="Helvetica"/>
                <w:sz w:val="18"/>
                <w:szCs w:val="18"/>
              </w:rPr>
            </w:pPr>
            <w:r w:rsidRPr="00813729">
              <w:rPr>
                <w:rFonts w:eastAsiaTheme="minorEastAsia" w:cs="Helvetica"/>
                <w:sz w:val="18"/>
                <w:szCs w:val="18"/>
              </w:rPr>
              <w:t>6.5005</w:t>
            </w:r>
          </w:p>
        </w:tc>
      </w:tr>
      <w:tr w:rsidR="00813729" w:rsidRPr="00654F9E" w14:paraId="76026EF1" w14:textId="77777777" w:rsidTr="005E49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4" w:type="pct"/>
          </w:tcPr>
          <w:p w14:paraId="52E7E201" w14:textId="7326E519" w:rsidR="005E4972" w:rsidRPr="00813729" w:rsidRDefault="005E4972" w:rsidP="005E4972">
            <w:pPr>
              <w:spacing w:before="0" w:after="0"/>
              <w:rPr>
                <w:rFonts w:cs="Helvetica"/>
                <w:sz w:val="18"/>
                <w:szCs w:val="18"/>
              </w:rPr>
            </w:pPr>
            <w:r w:rsidRPr="00813729">
              <w:rPr>
                <w:rFonts w:cs="Helvetica"/>
                <w:sz w:val="18"/>
                <w:szCs w:val="18"/>
              </w:rPr>
              <w:t>Diesel LCV</w:t>
            </w:r>
          </w:p>
        </w:tc>
        <w:tc>
          <w:tcPr>
            <w:tcW w:w="609" w:type="pct"/>
            <w:vAlign w:val="center"/>
          </w:tcPr>
          <w:p w14:paraId="24D61B68" w14:textId="72548ECA" w:rsidR="005E4972" w:rsidRPr="00813729" w:rsidRDefault="005E4972" w:rsidP="005E4972">
            <w:pPr>
              <w:spacing w:before="0" w:after="0"/>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eastAsiaTheme="minorEastAsia" w:cs="Helvetica"/>
                <w:sz w:val="18"/>
                <w:szCs w:val="18"/>
              </w:rPr>
              <w:t>Multivariate</w:t>
            </w:r>
          </w:p>
        </w:tc>
        <w:tc>
          <w:tcPr>
            <w:tcW w:w="416" w:type="pct"/>
            <w:vAlign w:val="center"/>
          </w:tcPr>
          <w:p w14:paraId="44E617F5" w14:textId="36AAD82D"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eastAsiaTheme="minorEastAsia" w:cs="Helvetica"/>
                <w:sz w:val="18"/>
                <w:szCs w:val="18"/>
              </w:rPr>
              <w:t>430</w:t>
            </w:r>
          </w:p>
        </w:tc>
        <w:tc>
          <w:tcPr>
            <w:tcW w:w="444" w:type="pct"/>
            <w:vAlign w:val="center"/>
          </w:tcPr>
          <w:p w14:paraId="4A31EE2A" w14:textId="58270496"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cs="Helvetica"/>
                <w:sz w:val="18"/>
                <w:szCs w:val="18"/>
              </w:rPr>
              <w:t>0.2952</w:t>
            </w:r>
          </w:p>
        </w:tc>
        <w:tc>
          <w:tcPr>
            <w:tcW w:w="494" w:type="pct"/>
            <w:vAlign w:val="center"/>
          </w:tcPr>
          <w:p w14:paraId="788AAB21" w14:textId="6BE7D19F"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cs="Helvetica"/>
                <w:sz w:val="18"/>
                <w:szCs w:val="18"/>
              </w:rPr>
              <w:t>0.0273</w:t>
            </w:r>
          </w:p>
        </w:tc>
        <w:tc>
          <w:tcPr>
            <w:tcW w:w="476" w:type="pct"/>
            <w:vAlign w:val="center"/>
          </w:tcPr>
          <w:p w14:paraId="7AD40413" w14:textId="3761A684"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cs="Helvetica"/>
                <w:sz w:val="18"/>
                <w:szCs w:val="18"/>
              </w:rPr>
              <w:t>-0.0188</w:t>
            </w:r>
          </w:p>
        </w:tc>
        <w:tc>
          <w:tcPr>
            <w:tcW w:w="768" w:type="pct"/>
            <w:vAlign w:val="center"/>
          </w:tcPr>
          <w:p w14:paraId="32AD4D1B" w14:textId="383DE334"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cs="Helvetica"/>
                <w:sz w:val="18"/>
                <w:szCs w:val="18"/>
              </w:rPr>
              <w:t>0.0140</w:t>
            </w:r>
          </w:p>
        </w:tc>
        <w:tc>
          <w:tcPr>
            <w:tcW w:w="546" w:type="pct"/>
            <w:vAlign w:val="center"/>
          </w:tcPr>
          <w:p w14:paraId="3D73D68E" w14:textId="39422625"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cs="Helvetica"/>
                <w:sz w:val="18"/>
                <w:szCs w:val="18"/>
              </w:rPr>
              <w:t>9.9573</w:t>
            </w:r>
          </w:p>
        </w:tc>
        <w:tc>
          <w:tcPr>
            <w:tcW w:w="286" w:type="pct"/>
            <w:vAlign w:val="center"/>
          </w:tcPr>
          <w:p w14:paraId="1FFAE5F2" w14:textId="39BE34A1"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eastAsiaTheme="minorEastAsia" w:cs="Helvetica"/>
                <w:sz w:val="18"/>
                <w:szCs w:val="18"/>
              </w:rPr>
              <w:t>0.97</w:t>
            </w:r>
          </w:p>
        </w:tc>
        <w:tc>
          <w:tcPr>
            <w:tcW w:w="546" w:type="pct"/>
            <w:vAlign w:val="center"/>
          </w:tcPr>
          <w:p w14:paraId="77543F04" w14:textId="50F5E080" w:rsidR="005E4972" w:rsidRPr="00813729" w:rsidRDefault="005E4972" w:rsidP="005E4972">
            <w:pPr>
              <w:spacing w:before="0" w:after="0"/>
              <w:jc w:val="center"/>
              <w:cnfStyle w:val="000000010000" w:firstRow="0" w:lastRow="0" w:firstColumn="0" w:lastColumn="0" w:oddVBand="0" w:evenVBand="0" w:oddHBand="0" w:evenHBand="1" w:firstRowFirstColumn="0" w:firstRowLastColumn="0" w:lastRowFirstColumn="0" w:lastRowLastColumn="0"/>
              <w:rPr>
                <w:rFonts w:cs="Helvetica"/>
                <w:sz w:val="18"/>
                <w:szCs w:val="18"/>
              </w:rPr>
            </w:pPr>
            <w:r w:rsidRPr="00813729">
              <w:rPr>
                <w:rFonts w:eastAsiaTheme="minorEastAsia" w:cs="Helvetica"/>
                <w:sz w:val="18"/>
                <w:szCs w:val="18"/>
              </w:rPr>
              <w:t>5.0466</w:t>
            </w:r>
          </w:p>
        </w:tc>
      </w:tr>
    </w:tbl>
    <w:p w14:paraId="02ACAB32" w14:textId="649D1959" w:rsidR="00A0765F" w:rsidRPr="0078315D" w:rsidRDefault="00A0765F" w:rsidP="005E4972">
      <w:pPr>
        <w:spacing w:before="100" w:beforeAutospacing="1"/>
        <w:rPr>
          <w:vertAlign w:val="superscript"/>
        </w:rPr>
      </w:pPr>
      <w:r w:rsidRPr="00455191">
        <w:t>Note that although the multivariate regression of diesel LCVs shows a</w:t>
      </w:r>
      <w:r w:rsidR="004E35E9" w:rsidRPr="00455191">
        <w:t xml:space="preserve"> much </w:t>
      </w:r>
      <w:r w:rsidR="00A5126C" w:rsidRPr="00455191">
        <w:t xml:space="preserve">lower standard error and much </w:t>
      </w:r>
      <w:r w:rsidR="004E35E9" w:rsidRPr="00455191">
        <w:t>higher</w:t>
      </w:r>
      <w:r w:rsidR="00A5126C" w:rsidRPr="00455191">
        <w:t xml:space="preserve"> </w:t>
      </w:r>
      <w:r w:rsidR="009A5F31" w:rsidRPr="00455191">
        <w:t>R</w:t>
      </w:r>
      <w:r w:rsidR="00C93604" w:rsidRPr="0078315D">
        <w:rPr>
          <w:vertAlign w:val="superscript"/>
        </w:rPr>
        <w:t>2</w:t>
      </w:r>
      <w:r w:rsidR="00C93604" w:rsidRPr="00455191">
        <w:t xml:space="preserve"> compared to the findings in the report, the univariate regression with the same dataset also show</w:t>
      </w:r>
      <w:r w:rsidR="00BE6C03" w:rsidRPr="00455191">
        <w:t>s</w:t>
      </w:r>
      <w:r w:rsidR="00C93604" w:rsidRPr="00455191">
        <w:t xml:space="preserve"> similar </w:t>
      </w:r>
      <w:r w:rsidR="00077B9F" w:rsidRPr="00455191">
        <w:t xml:space="preserve">statistics. </w:t>
      </w:r>
      <w:r w:rsidR="001432E3" w:rsidRPr="00455191">
        <w:t>T</w:t>
      </w:r>
      <w:r w:rsidR="00CA793E" w:rsidRPr="00455191">
        <w:t xml:space="preserve">hose changes </w:t>
      </w:r>
      <w:r w:rsidR="00C03B3F" w:rsidRPr="00455191">
        <w:t xml:space="preserve">come from the </w:t>
      </w:r>
      <w:r w:rsidR="004000FE" w:rsidRPr="00455191">
        <w:t>remov</w:t>
      </w:r>
      <w:r w:rsidR="00D47FB0" w:rsidRPr="00455191">
        <w:t>al</w:t>
      </w:r>
      <w:r w:rsidR="004000FE" w:rsidRPr="00455191">
        <w:t xml:space="preserve"> of sample data </w:t>
      </w:r>
      <w:r w:rsidR="00BB7BDF" w:rsidRPr="00455191">
        <w:t xml:space="preserve">without vehicle weight, power, or displacement </w:t>
      </w:r>
      <w:r w:rsidR="005E2F72" w:rsidRPr="00455191">
        <w:t>data</w:t>
      </w:r>
      <w:r w:rsidR="00805F83" w:rsidRPr="00455191">
        <w:t xml:space="preserve"> </w:t>
      </w:r>
      <w:r w:rsidR="005E2F72" w:rsidRPr="00455191">
        <w:t>in</w:t>
      </w:r>
      <w:r w:rsidR="00805F83" w:rsidRPr="00455191">
        <w:t xml:space="preserve"> the </w:t>
      </w:r>
      <w:r w:rsidR="004000FE" w:rsidRPr="00455191">
        <w:t xml:space="preserve">database rather than the </w:t>
      </w:r>
      <w:r w:rsidR="002D5DDD" w:rsidRPr="00455191">
        <w:t>change in regression method</w:t>
      </w:r>
      <w:r w:rsidR="00311CF3" w:rsidRPr="00455191">
        <w:t>s</w:t>
      </w:r>
      <w:r w:rsidR="002D5DDD" w:rsidRPr="00455191">
        <w:t>.</w:t>
      </w:r>
    </w:p>
    <w:p w14:paraId="7E9DC4AC" w14:textId="66B5892D" w:rsidR="003726D7" w:rsidRPr="00F34956" w:rsidRDefault="000722AD" w:rsidP="00F61408">
      <w:pPr>
        <w:rPr>
          <w:lang w:val="sv-SE"/>
        </w:rPr>
      </w:pPr>
      <w:r w:rsidRPr="00455191">
        <w:t>With the multivariate approach,</w:t>
      </w:r>
      <w:r w:rsidR="003D2FD5" w:rsidRPr="00455191">
        <w:t xml:space="preserve"> it is </w:t>
      </w:r>
      <w:r w:rsidR="00BB34D0" w:rsidRPr="00455191">
        <w:t>necessary to consider</w:t>
      </w:r>
      <w:r w:rsidR="00634456" w:rsidRPr="00455191">
        <w:t xml:space="preserve"> collinearity </w:t>
      </w:r>
      <w:r w:rsidR="00F42711" w:rsidRPr="00455191">
        <w:t xml:space="preserve">between </w:t>
      </w:r>
      <w:r w:rsidR="002A42D7" w:rsidRPr="00455191">
        <w:t>the</w:t>
      </w:r>
      <w:r w:rsidR="00F42711" w:rsidRPr="00455191">
        <w:t xml:space="preserve"> independent variables </w:t>
      </w:r>
      <w:r w:rsidR="007C636D" w:rsidRPr="00455191">
        <w:t xml:space="preserve">to </w:t>
      </w:r>
      <w:r w:rsidR="005E1697" w:rsidRPr="00455191">
        <w:t>better reflect</w:t>
      </w:r>
      <w:r w:rsidR="007C636D" w:rsidRPr="00455191">
        <w:t xml:space="preserve"> the potential importance of each</w:t>
      </w:r>
      <w:r w:rsidR="00BD4FE7" w:rsidRPr="00455191">
        <w:t xml:space="preserve"> independent variable</w:t>
      </w:r>
      <w:r w:rsidR="00994B38" w:rsidRPr="00455191">
        <w:t>.</w:t>
      </w:r>
      <w:r w:rsidR="000F1658" w:rsidRPr="00455191">
        <w:t xml:space="preserve"> </w:t>
      </w:r>
      <w:r w:rsidR="00197D48" w:rsidRPr="00455191">
        <w:t xml:space="preserve">However, our primary exercise was to assess </w:t>
      </w:r>
      <w:r w:rsidR="003475DF" w:rsidRPr="00455191">
        <w:t xml:space="preserve">the potential predictability of the </w:t>
      </w:r>
      <w:r w:rsidR="005971BF" w:rsidRPr="00455191">
        <w:t>multivariate approac</w:t>
      </w:r>
      <w:r w:rsidR="00360B7D" w:rsidRPr="00455191">
        <w:t xml:space="preserve">h </w:t>
      </w:r>
      <w:r w:rsidR="00DD094F" w:rsidRPr="00455191">
        <w:t xml:space="preserve">compared to the univariate </w:t>
      </w:r>
      <w:r w:rsidR="00536782" w:rsidRPr="00455191">
        <w:t>approach</w:t>
      </w:r>
      <w:r w:rsidR="00492122" w:rsidRPr="00455191">
        <w:t xml:space="preserve">. Since the </w:t>
      </w:r>
      <w:r w:rsidR="00EB13BD" w:rsidRPr="00455191">
        <w:t xml:space="preserve">multivariate approach </w:t>
      </w:r>
      <w:r w:rsidR="00EC56C7" w:rsidRPr="00455191">
        <w:t xml:space="preserve">generally </w:t>
      </w:r>
      <w:r w:rsidR="00EB13BD" w:rsidRPr="00455191">
        <w:t>does not</w:t>
      </w:r>
      <w:r w:rsidR="00EC56C7" w:rsidRPr="00455191">
        <w:t xml:space="preserve"> </w:t>
      </w:r>
      <w:r w:rsidR="004770A5" w:rsidRPr="00455191">
        <w:t xml:space="preserve">much </w:t>
      </w:r>
      <w:r w:rsidR="00EC56C7" w:rsidRPr="00455191">
        <w:t xml:space="preserve">improve the </w:t>
      </w:r>
      <w:r w:rsidR="00DA1DA7" w:rsidRPr="00455191">
        <w:t xml:space="preserve">predictive power </w:t>
      </w:r>
      <w:r w:rsidR="004662FB" w:rsidRPr="00455191">
        <w:t>compared to the univariate model</w:t>
      </w:r>
      <w:r w:rsidR="00DB7E25" w:rsidRPr="00455191">
        <w:t xml:space="preserve">, we did not further </w:t>
      </w:r>
      <w:r w:rsidR="00A65A05" w:rsidRPr="00455191">
        <w:t>closely examine the collinearity issue</w:t>
      </w:r>
      <w:r w:rsidR="008E4C65" w:rsidRPr="00455191">
        <w:t xml:space="preserve">, as this does not affect our decision to </w:t>
      </w:r>
      <w:r w:rsidR="006A5D72" w:rsidRPr="00455191">
        <w:t>use</w:t>
      </w:r>
      <w:r w:rsidR="00FB475E" w:rsidRPr="00455191">
        <w:t xml:space="preserve"> </w:t>
      </w:r>
      <w:r w:rsidR="00573AFC" w:rsidRPr="00455191">
        <w:t>the</w:t>
      </w:r>
      <w:r w:rsidR="006A5D72" w:rsidRPr="00455191">
        <w:t xml:space="preserve"> univariate </w:t>
      </w:r>
      <w:r w:rsidR="00764A7A" w:rsidRPr="00455191">
        <w:t>model approach.</w:t>
      </w:r>
    </w:p>
    <w:p w14:paraId="0E7E8F38" w14:textId="0EECB9CC" w:rsidR="00AC17E1" w:rsidRPr="00736F4B" w:rsidRDefault="00AC17E1" w:rsidP="00736F4B">
      <w:r w:rsidRPr="00736F4B">
        <w:br w:type="page"/>
      </w:r>
    </w:p>
    <w:p w14:paraId="0B7F839A" w14:textId="396E2596" w:rsidR="00D63CF8" w:rsidRPr="00455191" w:rsidRDefault="00714D09" w:rsidP="00B55BEC">
      <w:pPr>
        <w:pStyle w:val="Heading2"/>
        <w:numPr>
          <w:ilvl w:val="0"/>
          <w:numId w:val="0"/>
        </w:numPr>
        <w:rPr>
          <w:lang w:val="sv-SE"/>
        </w:rPr>
      </w:pPr>
      <w:r w:rsidRPr="00455191">
        <w:rPr>
          <w:lang w:val="sv-SE"/>
        </w:rPr>
        <w:lastRenderedPageBreak/>
        <w:t>A</w:t>
      </w:r>
      <w:r>
        <w:rPr>
          <w:lang w:val="sv-SE"/>
        </w:rPr>
        <w:t>ppendix</w:t>
      </w:r>
      <w:r w:rsidRPr="00455191">
        <w:rPr>
          <w:lang w:val="sv-SE"/>
        </w:rPr>
        <w:t xml:space="preserve"> </w:t>
      </w:r>
      <w:r w:rsidR="000E2053">
        <w:rPr>
          <w:lang w:val="sv-SE"/>
        </w:rPr>
        <w:t>C</w:t>
      </w:r>
      <w:r>
        <w:rPr>
          <w:lang w:val="sv-SE"/>
        </w:rPr>
        <w:t>.</w:t>
      </w:r>
      <w:r w:rsidR="00AC17E1" w:rsidRPr="00455191">
        <w:rPr>
          <w:lang w:val="sv-SE"/>
        </w:rPr>
        <w:t xml:space="preserve"> </w:t>
      </w:r>
      <w:r w:rsidR="00D63CF8" w:rsidRPr="00455191">
        <w:rPr>
          <w:lang w:val="sv-SE"/>
        </w:rPr>
        <w:t xml:space="preserve">Regression comparisons of non-hybrid </w:t>
      </w:r>
      <w:r w:rsidR="00B9203B" w:rsidRPr="00455191">
        <w:rPr>
          <w:lang w:val="sv-SE"/>
        </w:rPr>
        <w:t>and</w:t>
      </w:r>
      <w:r w:rsidR="00D63CF8" w:rsidRPr="00455191">
        <w:rPr>
          <w:lang w:val="sv-SE"/>
        </w:rPr>
        <w:t xml:space="preserve"> hybrid</w:t>
      </w:r>
      <w:r w:rsidR="00B9203B" w:rsidRPr="00455191">
        <w:rPr>
          <w:lang w:val="sv-SE"/>
        </w:rPr>
        <w:t xml:space="preserve"> vehicles</w:t>
      </w:r>
    </w:p>
    <w:p w14:paraId="35E86AB6" w14:textId="69DCBD55" w:rsidR="00D63CF8" w:rsidRPr="000E2ED1" w:rsidRDefault="00866392" w:rsidP="003A174C">
      <w:pPr>
        <w:pStyle w:val="Tablecaption"/>
        <w:rPr>
          <w:lang w:val="sv-SE"/>
        </w:rPr>
      </w:pPr>
      <w:r w:rsidRPr="000E2ED1">
        <w:rPr>
          <w:lang w:val="sv-SE"/>
        </w:rPr>
        <w:t xml:space="preserve">Figure </w:t>
      </w:r>
      <w:r w:rsidR="000E2053">
        <w:rPr>
          <w:lang w:val="sv-SE"/>
        </w:rPr>
        <w:t>C</w:t>
      </w:r>
      <w:r w:rsidR="000E2053" w:rsidRPr="000E2ED1">
        <w:rPr>
          <w:lang w:val="sv-SE"/>
        </w:rPr>
        <w:t>1</w:t>
      </w:r>
      <w:r w:rsidRPr="000E2ED1">
        <w:rPr>
          <w:lang w:val="sv-SE"/>
        </w:rPr>
        <w:t xml:space="preserve"> </w:t>
      </w:r>
      <w:r w:rsidR="00417652">
        <w:rPr>
          <w:lang w:val="sv-SE"/>
        </w:rPr>
        <w:br/>
      </w:r>
      <w:r w:rsidR="00D63CF8" w:rsidRPr="000E2ED1">
        <w:rPr>
          <w:lang w:val="sv-SE"/>
        </w:rPr>
        <w:t>Linear regressions of petrol non-hybrid and hybrid passenger cars and light commercial vehicles</w:t>
      </w:r>
    </w:p>
    <w:p w14:paraId="305291B3" w14:textId="77777777" w:rsidR="00D63CF8" w:rsidRPr="003F45BD" w:rsidRDefault="00D63CF8" w:rsidP="00F61408">
      <w:pPr>
        <w:rPr>
          <w:lang w:val="sv-SE"/>
        </w:rPr>
      </w:pPr>
      <w:r w:rsidRPr="00455191">
        <w:rPr>
          <w:noProof/>
        </w:rPr>
        <w:drawing>
          <wp:inline distT="0" distB="0" distL="0" distR="0" wp14:anchorId="6D62D4F6" wp14:editId="207218D6">
            <wp:extent cx="5589767" cy="3400442"/>
            <wp:effectExtent l="0" t="0" r="0" b="3175"/>
            <wp:docPr id="1848429185" name="Picture 1" descr="Figure C1 - line chart comparing showing the correlation between NEDC and WLTP CO2 values for petrol hybrid and non-hybrid vehicles. This analysis found the correlation was almost identical for both powertrai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29185" name="Picture 1" descr="Figure C1 - line chart comparing showing the correlation between NEDC and WLTP CO2 values for petrol hybrid and non-hybrid vehicles. This analysis found the correlation was almost identical for both powertrain types."/>
                    <pic:cNvPicPr/>
                  </pic:nvPicPr>
                  <pic:blipFill>
                    <a:blip r:embed="rId66"/>
                    <a:stretch>
                      <a:fillRect/>
                    </a:stretch>
                  </pic:blipFill>
                  <pic:spPr>
                    <a:xfrm>
                      <a:off x="0" y="0"/>
                      <a:ext cx="5595314" cy="3403817"/>
                    </a:xfrm>
                    <a:prstGeom prst="rect">
                      <a:avLst/>
                    </a:prstGeom>
                  </pic:spPr>
                </pic:pic>
              </a:graphicData>
            </a:graphic>
          </wp:inline>
        </w:drawing>
      </w:r>
    </w:p>
    <w:p w14:paraId="6AAC41BD" w14:textId="77777777" w:rsidR="00D63CF8" w:rsidRPr="003F45BD" w:rsidRDefault="00D63CF8" w:rsidP="00F61408">
      <w:pPr>
        <w:rPr>
          <w:lang w:val="sv-SE"/>
        </w:rPr>
      </w:pPr>
    </w:p>
    <w:sectPr w:rsidR="00D63CF8" w:rsidRPr="003F45BD" w:rsidSect="00F77F00">
      <w:footerReference w:type="default" r:id="rId67"/>
      <w:pgSz w:w="12240" w:h="15840"/>
      <w:pgMar w:top="1440" w:right="1183" w:bottom="1440" w:left="1440" w:header="720" w:footer="3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76820" w14:textId="77777777" w:rsidR="00735BF8" w:rsidRDefault="00735BF8" w:rsidP="00F61408">
      <w:r>
        <w:separator/>
      </w:r>
    </w:p>
  </w:endnote>
  <w:endnote w:type="continuationSeparator" w:id="0">
    <w:p w14:paraId="0C0E18CC" w14:textId="77777777" w:rsidR="00735BF8" w:rsidRDefault="00735BF8" w:rsidP="00F61408">
      <w:r>
        <w:continuationSeparator/>
      </w:r>
    </w:p>
  </w:endnote>
  <w:endnote w:type="continuationNotice" w:id="1">
    <w:p w14:paraId="2DD0CA6E" w14:textId="77777777" w:rsidR="00735BF8" w:rsidRDefault="00735BF8" w:rsidP="00F61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auto"/>
    <w:pitch w:val="variable"/>
    <w:sig w:usb0="E00002FF" w:usb1="5000205A" w:usb2="00000000" w:usb3="00000000" w:csb0="0000019F" w:csb1="00000000"/>
  </w:font>
  <w:font w:name="Gotham Bold">
    <w:panose1 w:val="00000000000000000000"/>
    <w:charset w:val="00"/>
    <w:family w:val="auto"/>
    <w:notTrueType/>
    <w:pitch w:val="variable"/>
    <w:sig w:usb0="A100007F" w:usb1="4000005B"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Arial (Body 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96CFD" w14:textId="5C6E81E2" w:rsidR="00E12D88" w:rsidRPr="00547317" w:rsidRDefault="00E12D88" w:rsidP="00F77F00">
    <w:pPr>
      <w:pStyle w:val="Footer"/>
      <w:tabs>
        <w:tab w:val="clear" w:pos="9360"/>
        <w:tab w:val="right" w:pos="9617"/>
      </w:tabs>
      <w:rPr>
        <w:rFonts w:asciiTheme="minorHAnsi" w:hAnsiTheme="minorHAnsi" w:cstheme="minorHAnsi"/>
        <w:noProof/>
        <w:sz w:val="18"/>
        <w:szCs w:val="18"/>
      </w:rPr>
    </w:pPr>
    <w:r w:rsidRPr="00547317">
      <w:rPr>
        <w:rFonts w:asciiTheme="minorHAnsi" w:hAnsiTheme="minorHAnsi" w:cstheme="minorHAnsi"/>
        <w:noProof/>
        <w:sz w:val="18"/>
        <w:szCs w:val="18"/>
      </w:rPr>
      <w:fldChar w:fldCharType="begin"/>
    </w:r>
    <w:r w:rsidRPr="00547317">
      <w:rPr>
        <w:rFonts w:asciiTheme="minorHAnsi" w:hAnsiTheme="minorHAnsi" w:cstheme="minorHAnsi"/>
        <w:noProof/>
        <w:sz w:val="18"/>
        <w:szCs w:val="18"/>
      </w:rPr>
      <w:instrText xml:space="preserve"> STYLEREF  "Heading 1"  \* MERGEFORMAT </w:instrText>
    </w:r>
    <w:r w:rsidRPr="00547317">
      <w:rPr>
        <w:rFonts w:asciiTheme="minorHAnsi" w:hAnsiTheme="minorHAnsi" w:cstheme="minorHAnsi"/>
        <w:noProof/>
        <w:sz w:val="18"/>
        <w:szCs w:val="18"/>
      </w:rPr>
      <w:fldChar w:fldCharType="separate"/>
    </w:r>
    <w:r w:rsidR="00EB15AE">
      <w:rPr>
        <w:rFonts w:asciiTheme="minorHAnsi" w:hAnsiTheme="minorHAnsi" w:cstheme="minorHAnsi"/>
        <w:noProof/>
        <w:sz w:val="18"/>
        <w:szCs w:val="18"/>
      </w:rPr>
      <w:t>Methods of converting the type-approval CO2 emission values of light vehicles for Australia’s New Vehicle Efficiency Standard</w:t>
    </w:r>
    <w:r w:rsidRPr="00547317">
      <w:rPr>
        <w:rFonts w:asciiTheme="minorHAnsi" w:hAnsiTheme="minorHAnsi" w:cstheme="minorHAnsi"/>
        <w:noProof/>
        <w:sz w:val="18"/>
        <w:szCs w:val="18"/>
      </w:rPr>
      <w:fldChar w:fldCharType="end"/>
    </w:r>
    <w:r w:rsidRPr="00547317">
      <w:rPr>
        <w:rFonts w:asciiTheme="minorHAnsi" w:hAnsiTheme="minorHAnsi" w:cstheme="minorHAnsi"/>
        <w:sz w:val="18"/>
        <w:szCs w:val="18"/>
      </w:rPr>
      <w:tab/>
    </w:r>
    <w:r w:rsidRPr="00547317">
      <w:rPr>
        <w:rFonts w:asciiTheme="minorHAnsi" w:hAnsiTheme="minorHAnsi" w:cstheme="minorHAnsi"/>
        <w:sz w:val="18"/>
        <w:szCs w:val="18"/>
      </w:rPr>
      <w:fldChar w:fldCharType="begin"/>
    </w:r>
    <w:r w:rsidRPr="00547317">
      <w:rPr>
        <w:rFonts w:asciiTheme="minorHAnsi" w:hAnsiTheme="minorHAnsi" w:cstheme="minorHAnsi"/>
        <w:sz w:val="18"/>
        <w:szCs w:val="18"/>
      </w:rPr>
      <w:instrText xml:space="preserve"> PAGE  \* Arabic  \* MERGEFORMAT </w:instrText>
    </w:r>
    <w:r w:rsidRPr="00547317">
      <w:rPr>
        <w:rFonts w:asciiTheme="minorHAnsi" w:hAnsiTheme="minorHAnsi" w:cstheme="minorHAnsi"/>
        <w:sz w:val="18"/>
        <w:szCs w:val="18"/>
      </w:rPr>
      <w:fldChar w:fldCharType="separate"/>
    </w:r>
    <w:r w:rsidRPr="00547317">
      <w:rPr>
        <w:rFonts w:asciiTheme="minorHAnsi" w:hAnsiTheme="minorHAnsi" w:cstheme="minorHAnsi"/>
        <w:sz w:val="18"/>
        <w:szCs w:val="18"/>
      </w:rPr>
      <w:t>2</w:t>
    </w:r>
    <w:r w:rsidRPr="00547317">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5AB70" w14:textId="77777777" w:rsidR="00735BF8" w:rsidRDefault="00735BF8" w:rsidP="00F61408">
      <w:r>
        <w:separator/>
      </w:r>
    </w:p>
  </w:footnote>
  <w:footnote w:type="continuationSeparator" w:id="0">
    <w:p w14:paraId="3A4F1F93" w14:textId="77777777" w:rsidR="00735BF8" w:rsidRDefault="00735BF8" w:rsidP="00F61408">
      <w:r>
        <w:continuationSeparator/>
      </w:r>
    </w:p>
  </w:footnote>
  <w:footnote w:type="continuationNotice" w:id="1">
    <w:p w14:paraId="7874C152" w14:textId="77777777" w:rsidR="00735BF8" w:rsidRDefault="00735BF8" w:rsidP="00F61408"/>
  </w:footnote>
  <w:footnote w:id="2">
    <w:p w14:paraId="7FE96280" w14:textId="4F0794A8" w:rsidR="00E12D88" w:rsidRDefault="00E12D88" w:rsidP="00F61408">
      <w:pPr>
        <w:pStyle w:val="FootnoteText"/>
      </w:pPr>
      <w:r>
        <w:rPr>
          <w:rStyle w:val="FootnoteReference"/>
        </w:rPr>
        <w:footnoteRef/>
      </w:r>
      <w:r>
        <w:t xml:space="preserve"> Light vehicles covered under ADR 79/05 are defined as </w:t>
      </w:r>
      <w:r w:rsidRPr="00AD0098">
        <w:t>passenger vehicles and light commercial vehicles up to 3,500 kg of gross weight</w:t>
      </w:r>
      <w:r>
        <w:t>.</w:t>
      </w:r>
    </w:p>
  </w:footnote>
  <w:footnote w:id="3">
    <w:p w14:paraId="1BB6D535" w14:textId="127D2130" w:rsidR="00E12D88" w:rsidRPr="006138BB" w:rsidRDefault="00E12D88" w:rsidP="00F61408">
      <w:pPr>
        <w:pStyle w:val="FootnoteText"/>
      </w:pPr>
      <w:r w:rsidRPr="006138BB">
        <w:rPr>
          <w:rStyle w:val="FootnoteReference"/>
          <w:sz w:val="18"/>
        </w:rPr>
        <w:footnoteRef/>
      </w:r>
      <w:r w:rsidRPr="006138BB">
        <w:t xml:space="preserve"> Chile </w:t>
      </w:r>
      <w:r>
        <w:t xml:space="preserve">and India </w:t>
      </w:r>
      <w:r w:rsidRPr="006138BB">
        <w:t>us</w:t>
      </w:r>
      <w:r>
        <w:t>e</w:t>
      </w:r>
      <w:r w:rsidRPr="006138BB">
        <w:t xml:space="preserve"> the NEDC cycle for CO</w:t>
      </w:r>
      <w:r w:rsidRPr="00542FA5">
        <w:rPr>
          <w:vertAlign w:val="subscript"/>
        </w:rPr>
        <w:t>2</w:t>
      </w:r>
      <w:r w:rsidRPr="006138BB">
        <w:t xml:space="preserve"> emission standards.</w:t>
      </w:r>
    </w:p>
  </w:footnote>
  <w:footnote w:id="4">
    <w:p w14:paraId="501E0D12" w14:textId="689EFE4C" w:rsidR="00E12D88" w:rsidRPr="006138BB" w:rsidRDefault="00E12D88" w:rsidP="00F61408">
      <w:pPr>
        <w:pStyle w:val="FootnoteText"/>
      </w:pPr>
      <w:r w:rsidRPr="006138BB">
        <w:rPr>
          <w:rStyle w:val="FootnoteReference"/>
          <w:sz w:val="18"/>
        </w:rPr>
        <w:footnoteRef/>
      </w:r>
      <w:r w:rsidRPr="006138BB">
        <w:t xml:space="preserve"> </w:t>
      </w:r>
      <w:r>
        <w:t>Top importing countries are discussed in section 3 (see Figure 9)</w:t>
      </w:r>
      <w:r w:rsidR="003A174C">
        <w:t>.</w:t>
      </w:r>
    </w:p>
  </w:footnote>
  <w:footnote w:id="5">
    <w:p w14:paraId="7EB531E7" w14:textId="77777777" w:rsidR="00E12D88" w:rsidRDefault="00E12D88" w:rsidP="00F61408">
      <w:pPr>
        <w:pStyle w:val="FootnoteText"/>
      </w:pPr>
      <w:r>
        <w:rPr>
          <w:rStyle w:val="FootnoteReference"/>
        </w:rPr>
        <w:footnoteRef/>
      </w:r>
      <w:r>
        <w:t xml:space="preserve"> Vehicles of the same type for the purpose of emission classification under NEDC must be in the same equivalent inertia class and have the same engine and vehicle characteristics, as defined in Regulation (EC) No 692/2008. </w:t>
      </w:r>
    </w:p>
  </w:footnote>
  <w:footnote w:id="6">
    <w:p w14:paraId="5C2B9DA9" w14:textId="4A285674" w:rsidR="00E12D88" w:rsidRPr="00325387" w:rsidRDefault="00E12D88" w:rsidP="00F61408">
      <w:pPr>
        <w:pStyle w:val="FootnoteText"/>
      </w:pPr>
      <w:r w:rsidRPr="00325387">
        <w:rPr>
          <w:rStyle w:val="FootnoteReference"/>
          <w:sz w:val="18"/>
        </w:rPr>
        <w:footnoteRef/>
      </w:r>
      <w:r w:rsidRPr="00325387">
        <w:t xml:space="preserve"> The factors considered for determining test groups include combustion cycle, engine type, engine displacement, number of cylinders and cylinder arrangement, fuel type, fuel metering system, catalyst construction</w:t>
      </w:r>
      <w:r>
        <w:t>,</w:t>
      </w:r>
      <w:r w:rsidRPr="00325387">
        <w:t xml:space="preserve"> and precious metal composition.</w:t>
      </w:r>
    </w:p>
  </w:footnote>
  <w:footnote w:id="7">
    <w:p w14:paraId="6FCBEA6D" w14:textId="5DA34026" w:rsidR="00E12D88" w:rsidRDefault="00E12D88" w:rsidP="00F61408">
      <w:pPr>
        <w:pStyle w:val="FootnoteText"/>
      </w:pPr>
      <w:r w:rsidRPr="00325387">
        <w:rPr>
          <w:rStyle w:val="FootnoteReference"/>
          <w:sz w:val="18"/>
        </w:rPr>
        <w:footnoteRef/>
      </w:r>
      <w:r w:rsidRPr="00325387">
        <w:t xml:space="preserve"> CAFE testing requires manufacturers to submit </w:t>
      </w:r>
      <w:r>
        <w:t xml:space="preserve">laboratory </w:t>
      </w:r>
      <w:r w:rsidRPr="00325387">
        <w:t>test data representing at least 90% of the manufacturer’s model year production, by configuration</w:t>
      </w:r>
      <w:r>
        <w:t>.</w:t>
      </w:r>
    </w:p>
  </w:footnote>
  <w:footnote w:id="8">
    <w:p w14:paraId="0F96F7CF" w14:textId="2E0FF816" w:rsidR="00E12D88" w:rsidRDefault="00E12D88" w:rsidP="00F61408">
      <w:pPr>
        <w:pStyle w:val="FootnoteText"/>
      </w:pPr>
      <w:r>
        <w:rPr>
          <w:rStyle w:val="FootnoteReference"/>
        </w:rPr>
        <w:footnoteRef/>
      </w:r>
      <w:r>
        <w:t xml:space="preserve"> We further added up the 2024 sales numbers reported by the EV Council of Australia for Tesla and Polestar that were missing from the FCAI’s reported volume in the GVG database. These additional BEV sales volumes–</w:t>
      </w:r>
      <w:proofErr w:type="spellStart"/>
      <w:r>
        <w:t>omprising</w:t>
      </w:r>
      <w:proofErr w:type="spellEnd"/>
      <w:r>
        <w:t xml:space="preserve"> 15,231 sales for Tesla and 1,449 for Polestar–slightly increased the total estimated 2024 sales, which subsequently accounted for 81% of the actual national 2024 sales volume reported in the VFACTS database.</w:t>
      </w:r>
    </w:p>
  </w:footnote>
  <w:footnote w:id="9">
    <w:p w14:paraId="01A9C56A" w14:textId="7A0A271D" w:rsidR="00E12D88" w:rsidRDefault="00E12D88" w:rsidP="00F61408">
      <w:pPr>
        <w:pStyle w:val="FootnoteText"/>
      </w:pPr>
      <w:r>
        <w:rPr>
          <w:rStyle w:val="FootnoteReference"/>
        </w:rPr>
        <w:footnoteRef/>
      </w:r>
      <w:r>
        <w:t xml:space="preserve"> The GVG database does not provide information on NB1 (medium goods) vehicles, which are classified as Type 2.</w:t>
      </w:r>
    </w:p>
  </w:footnote>
  <w:footnote w:id="10">
    <w:p w14:paraId="1A5D1552" w14:textId="6F4C086E" w:rsidR="00E12D88" w:rsidRDefault="00E12D88" w:rsidP="00F77F00">
      <w:pPr>
        <w:pStyle w:val="FootnoteText"/>
        <w:tabs>
          <w:tab w:val="right" w:pos="9617"/>
        </w:tabs>
      </w:pPr>
      <w:r>
        <w:rPr>
          <w:rStyle w:val="FootnoteReference"/>
        </w:rPr>
        <w:footnoteRef/>
      </w:r>
      <w:r>
        <w:t xml:space="preserve"> Inclusive of the various technology credits adopted in the FCAI voluntary standard in 2020. </w:t>
      </w:r>
    </w:p>
  </w:footnote>
  <w:footnote w:id="11">
    <w:p w14:paraId="48CB5299" w14:textId="15CA5D03" w:rsidR="00E12D88" w:rsidRDefault="00E12D88" w:rsidP="00F61408">
      <w:pPr>
        <w:pStyle w:val="FootnoteText"/>
      </w:pPr>
      <w:r>
        <w:rPr>
          <w:rStyle w:val="FootnoteReference"/>
        </w:rPr>
        <w:footnoteRef/>
      </w:r>
      <w:r>
        <w:t xml:space="preserve"> We define a record as a row in the original database with a unique combination of </w:t>
      </w:r>
      <w:r w:rsidRPr="00E470A0">
        <w:t>make, model, segment type, variant, version, fuel type, powertrain type, vehicle power, engine displacement</w:t>
      </w:r>
      <w:r>
        <w:t>,</w:t>
      </w:r>
      <w:r w:rsidRPr="00E470A0">
        <w:t xml:space="preserve"> </w:t>
      </w:r>
      <w:r>
        <w:t>and CO</w:t>
      </w:r>
      <w:r w:rsidRPr="00542FA5">
        <w:rPr>
          <w:vertAlign w:val="subscript"/>
        </w:rPr>
        <w:t>2</w:t>
      </w:r>
      <w:r>
        <w:t xml:space="preserve"> values in the </w:t>
      </w:r>
      <w:r w:rsidRPr="00E470A0">
        <w:t>W</w:t>
      </w:r>
      <w:r>
        <w:t>LTP</w:t>
      </w:r>
      <w:r w:rsidRPr="00E470A0">
        <w:t xml:space="preserve"> and N</w:t>
      </w:r>
      <w:r>
        <w:t>EDC.</w:t>
      </w:r>
    </w:p>
  </w:footnote>
  <w:footnote w:id="12">
    <w:p w14:paraId="13DAE08B" w14:textId="6540460E" w:rsidR="00E12D88" w:rsidRDefault="00E12D88" w:rsidP="00F61408">
      <w:pPr>
        <w:pStyle w:val="FootnoteText"/>
      </w:pPr>
      <w:r>
        <w:rPr>
          <w:rStyle w:val="FootnoteReference"/>
        </w:rPr>
        <w:footnoteRef/>
      </w:r>
      <w:r>
        <w:t xml:space="preserve"> </w:t>
      </w:r>
      <w:r w:rsidRPr="00996714">
        <w:t xml:space="preserve">The </w:t>
      </w:r>
      <w:r>
        <w:rPr>
          <w:noProof/>
        </w:rPr>
        <w:t>Allgemeiner Deutscher Automobil-Club</w:t>
      </w:r>
      <w:r w:rsidRPr="00996714" w:rsidDel="002955AC">
        <w:t xml:space="preserve"> </w:t>
      </w:r>
      <w:r w:rsidRPr="00996714">
        <w:t xml:space="preserve">database contains records </w:t>
      </w:r>
      <w:r>
        <w:t>of</w:t>
      </w:r>
      <w:r w:rsidRPr="00996714">
        <w:t xml:space="preserve"> all vehicle models offered in the German market. Germany is considered a fair representation of the EU market </w:t>
      </w:r>
      <w:r>
        <w:t>as it</w:t>
      </w:r>
      <w:r w:rsidRPr="00996714">
        <w:t xml:space="preserve"> is the biggest vehicle market in the EU. </w:t>
      </w:r>
      <w:r>
        <w:t>According to</w:t>
      </w:r>
      <w:r w:rsidRPr="00996714">
        <w:t xml:space="preserve"> th</w:t>
      </w:r>
      <w:r>
        <w:t>is</w:t>
      </w:r>
      <w:r w:rsidRPr="00996714">
        <w:t xml:space="preserve"> database, 99.5% of PHEV models available in Germany </w:t>
      </w:r>
      <w:r>
        <w:t xml:space="preserve">in both 2019 and 2020 </w:t>
      </w:r>
      <w:r w:rsidRPr="00996714">
        <w:t>had WLTP g</w:t>
      </w:r>
      <w:r>
        <w:t xml:space="preserve"> </w:t>
      </w:r>
      <w:r w:rsidRPr="00996714">
        <w:t>CO2/km values of 110 g/km or less. The maximum reported value was 111 g/km in 2019 and 169 g/km in 2020.</w:t>
      </w:r>
    </w:p>
  </w:footnote>
  <w:footnote w:id="13">
    <w:p w14:paraId="356E8CDE" w14:textId="19839ABF" w:rsidR="003A174C" w:rsidRDefault="00E12D88" w:rsidP="00F61408">
      <w:pPr>
        <w:pStyle w:val="FootnoteText"/>
      </w:pPr>
      <w:r>
        <w:rPr>
          <w:rStyle w:val="FootnoteReference"/>
        </w:rPr>
        <w:footnoteRef/>
      </w:r>
      <w:r>
        <w:t xml:space="preserve"> For this analysis, the definition of PC and LCV follows the EU vehicle categorization, where PCs are M1 vehicles and LCVs are N1 vehicles</w:t>
      </w:r>
      <w:r w:rsidR="003A174C">
        <w:t>.</w:t>
      </w:r>
    </w:p>
  </w:footnote>
  <w:footnote w:id="14">
    <w:p w14:paraId="1D43D2B7" w14:textId="16B3E912" w:rsidR="00E12D88" w:rsidRDefault="00E12D88" w:rsidP="00F61408">
      <w:pPr>
        <w:pStyle w:val="FootnoteText"/>
      </w:pPr>
      <w:r>
        <w:rPr>
          <w:rStyle w:val="FootnoteReference"/>
        </w:rPr>
        <w:footnoteRef/>
      </w:r>
      <w:r>
        <w:t xml:space="preserve"> Please note that this adjustment was done to </w:t>
      </w:r>
      <w:r w:rsidRPr="00745C6A">
        <w:t xml:space="preserve">address the over-declaration issue, however, this </w:t>
      </w:r>
      <w:r>
        <w:t>adjustment</w:t>
      </w:r>
      <w:r w:rsidRPr="00745C6A">
        <w:t xml:space="preserve"> </w:t>
      </w:r>
      <w:r>
        <w:t xml:space="preserve">does </w:t>
      </w:r>
      <w:r w:rsidRPr="00745C6A">
        <w:t xml:space="preserve">not </w:t>
      </w:r>
      <w:r>
        <w:t xml:space="preserve">reflect </w:t>
      </w:r>
      <w:r w:rsidRPr="00745C6A">
        <w:t>the actual measured value</w:t>
      </w:r>
      <w:r>
        <w:t>s</w:t>
      </w:r>
      <w:r w:rsidRPr="00745C6A">
        <w:t>.</w:t>
      </w:r>
    </w:p>
  </w:footnote>
  <w:footnote w:id="15">
    <w:p w14:paraId="1C8011FF" w14:textId="053C4C67" w:rsidR="00E12D88" w:rsidRDefault="00E12D88" w:rsidP="00F61408">
      <w:pPr>
        <w:pStyle w:val="FootnoteText"/>
      </w:pPr>
      <w:r>
        <w:rPr>
          <w:rStyle w:val="FootnoteReference"/>
        </w:rPr>
        <w:footnoteRef/>
      </w:r>
      <w:r>
        <w:t xml:space="preserve"> </w:t>
      </w:r>
      <w:r w:rsidRPr="00F95C7F">
        <w:t>The initial regression analysis based on the entire diesel LCV sample from EEA dataset yielded a higher standard error of 17.4 g/km, which led to a test of developing conversion factors based on the sub-segments of diesel LCVs and a comparison of popular models sold in each segment between the two markets. The EEA database allows us to segment the diesel LCVs into pickup, car-derived vans, and non-car-derived vans. The reasons listed in the text led to the decision of using the regressions generated with pickup data.</w:t>
      </w:r>
    </w:p>
  </w:footnote>
  <w:footnote w:id="16">
    <w:p w14:paraId="0B2A82D1" w14:textId="78E61A00" w:rsidR="00E12D88" w:rsidRDefault="00E12D88" w:rsidP="00F61408">
      <w:pPr>
        <w:pStyle w:val="FootnoteText"/>
      </w:pPr>
      <w:r>
        <w:rPr>
          <w:rStyle w:val="FootnoteReference"/>
        </w:rPr>
        <w:footnoteRef/>
      </w:r>
      <w:r>
        <w:t xml:space="preserve"> Using the diesel LCV regression relation given in Table 3, that we derived based on the diesel pickups, we converted the WLTP g CO2/km values reported in the EEA 2020 dataset to NEDC values for each van model. On average, the predicted NEDC value of 185.8 g CO</w:t>
      </w:r>
      <w:r w:rsidRPr="000E2ED1">
        <w:rPr>
          <w:vertAlign w:val="subscript"/>
        </w:rPr>
        <w:t>2</w:t>
      </w:r>
      <w:r>
        <w:t>/</w:t>
      </w:r>
      <w:proofErr w:type="gramStart"/>
      <w:r>
        <w:t>km)for</w:t>
      </w:r>
      <w:proofErr w:type="gramEnd"/>
      <w:r>
        <w:t xml:space="preserve"> the vans is within 0.3% of the declared NEDC value of 185.2 g CO</w:t>
      </w:r>
      <w:r w:rsidRPr="000E2ED1">
        <w:rPr>
          <w:vertAlign w:val="subscript"/>
        </w:rPr>
        <w:t>2</w:t>
      </w:r>
      <w:r>
        <w:t>/km.</w:t>
      </w:r>
    </w:p>
  </w:footnote>
  <w:footnote w:id="17">
    <w:p w14:paraId="18BF33D6" w14:textId="13865AD4" w:rsidR="00E12D88" w:rsidRDefault="00E12D88" w:rsidP="00F61408">
      <w:pPr>
        <w:pStyle w:val="FootnoteText"/>
      </w:pPr>
      <w:r>
        <w:rPr>
          <w:rStyle w:val="FootnoteReference"/>
        </w:rPr>
        <w:footnoteRef/>
      </w:r>
      <w:r>
        <w:t>The coefficient of determination, or R</w:t>
      </w:r>
      <w:r w:rsidRPr="00BE168B">
        <w:rPr>
          <w:vertAlign w:val="superscript"/>
        </w:rPr>
        <w:t>2</w:t>
      </w:r>
      <w:r>
        <w:t>, is defined as the proportion of variability in the dependent variable that can be explained from the independent variable. R</w:t>
      </w:r>
      <w:r w:rsidRPr="00BE168B">
        <w:rPr>
          <w:vertAlign w:val="superscript"/>
        </w:rPr>
        <w:t>2</w:t>
      </w:r>
      <w:r>
        <w:t xml:space="preserve"> is the square of the Pearson’s correlation coefficient, r, and is considered a measure of correlation. The standard error of prediction is calculated as the square root of the sum of squared residuals divided by (sample size – 2) and is also referred to as the root mean squared error.</w:t>
      </w:r>
    </w:p>
  </w:footnote>
  <w:footnote w:id="18">
    <w:p w14:paraId="0CE3C901" w14:textId="52B3CD27" w:rsidR="00E12D88" w:rsidRDefault="00E12D88" w:rsidP="00F61408">
      <w:pPr>
        <w:pStyle w:val="FootnoteText"/>
      </w:pPr>
      <w:r>
        <w:rPr>
          <w:rStyle w:val="FootnoteReference"/>
        </w:rPr>
        <w:footnoteRef/>
      </w:r>
      <w:r>
        <w:t xml:space="preserve"> Fuel consumption refers to l/100 km while fuel economy refers to miles per gallon values. This step was performed to screen for any data entry error. </w:t>
      </w:r>
    </w:p>
  </w:footnote>
  <w:footnote w:id="19">
    <w:p w14:paraId="3D1107B3" w14:textId="234DE18A" w:rsidR="00E12D88" w:rsidRDefault="00E12D88" w:rsidP="00F61408">
      <w:pPr>
        <w:pStyle w:val="FootnoteText"/>
      </w:pPr>
      <w:r>
        <w:rPr>
          <w:rStyle w:val="FootnoteReference"/>
        </w:rPr>
        <w:footnoteRef/>
      </w:r>
      <w:r>
        <w:t xml:space="preserve"> For diesel vehicles not certified to the real-driving emissions standards, a Vehicle Excise Duty supplement was applied in the UK.</w:t>
      </w:r>
    </w:p>
  </w:footnote>
  <w:footnote w:id="20">
    <w:p w14:paraId="3CB9C5BE" w14:textId="46E2F1F9" w:rsidR="00E12D88" w:rsidRDefault="00E12D88" w:rsidP="00F61408">
      <w:pPr>
        <w:pStyle w:val="FootnoteText"/>
      </w:pPr>
      <w:r>
        <w:rPr>
          <w:rStyle w:val="FootnoteReference"/>
        </w:rPr>
        <w:footnoteRef/>
      </w:r>
      <w:r>
        <w:t xml:space="preserve"> For this verification analysis, we selected 11 of the top 12 selling brands in Australia shown in Section 3.3. We excluded Tesla, which sells all electric vehicles.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2925658"/>
    <w:lvl w:ilvl="0">
      <w:start w:val="1"/>
      <w:numFmt w:val="decimal"/>
      <w:pStyle w:val="ListNumber"/>
      <w:lvlText w:val="%1."/>
      <w:lvlJc w:val="left"/>
      <w:pPr>
        <w:tabs>
          <w:tab w:val="num" w:pos="360"/>
        </w:tabs>
        <w:ind w:left="360" w:hanging="360"/>
      </w:pPr>
    </w:lvl>
  </w:abstractNum>
  <w:abstractNum w:abstractNumId="1" w15:restartNumberingAfterBreak="0">
    <w:nsid w:val="03DD6929"/>
    <w:multiLevelType w:val="hybridMultilevel"/>
    <w:tmpl w:val="E9948BAA"/>
    <w:lvl w:ilvl="0" w:tplc="E99A5ECA">
      <w:start w:val="1"/>
      <w:numFmt w:val="lowerLetter"/>
      <w:lvlText w:val="(%1)"/>
      <w:lvlJc w:val="left"/>
      <w:pPr>
        <w:ind w:left="720" w:hanging="360"/>
      </w:pPr>
      <w:rPr>
        <w:rFonts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555B4"/>
    <w:multiLevelType w:val="hybridMultilevel"/>
    <w:tmpl w:val="E004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91E49"/>
    <w:multiLevelType w:val="multilevel"/>
    <w:tmpl w:val="0F74510C"/>
    <w:lvl w:ilvl="0">
      <w:start w:val="1"/>
      <w:numFmt w:val="decimal"/>
      <w:lvlText w:val="%1."/>
      <w:lvlJc w:val="left"/>
      <w:pPr>
        <w:ind w:left="360" w:hanging="360"/>
      </w:pPr>
      <w:rPr>
        <w:rFonts w:hint="default"/>
        <w:b w:val="0"/>
      </w:rPr>
    </w:lvl>
    <w:lvl w:ilvl="1">
      <w:start w:val="2"/>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AC72B3C"/>
    <w:multiLevelType w:val="hybridMultilevel"/>
    <w:tmpl w:val="D128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97EDC"/>
    <w:multiLevelType w:val="hybridMultilevel"/>
    <w:tmpl w:val="5798FED6"/>
    <w:lvl w:ilvl="0" w:tplc="04090001">
      <w:start w:val="1"/>
      <w:numFmt w:val="bullet"/>
      <w:lvlText w:val=""/>
      <w:lvlJc w:val="left"/>
      <w:pPr>
        <w:ind w:left="720" w:hanging="360"/>
      </w:pPr>
      <w:rPr>
        <w:rFonts w:ascii="Symbol" w:hAnsi="Symbo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4224B"/>
    <w:multiLevelType w:val="hybridMultilevel"/>
    <w:tmpl w:val="A4FA9BF8"/>
    <w:lvl w:ilvl="0" w:tplc="C1D452F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921CFB"/>
    <w:multiLevelType w:val="hybridMultilevel"/>
    <w:tmpl w:val="E174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53899"/>
    <w:multiLevelType w:val="multilevel"/>
    <w:tmpl w:val="0F4C420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3E4CB9"/>
    <w:multiLevelType w:val="hybridMultilevel"/>
    <w:tmpl w:val="E6981090"/>
    <w:lvl w:ilvl="0" w:tplc="2522FFF4">
      <w:start w:val="1"/>
      <w:numFmt w:val="decimal"/>
      <w:lvlText w:val="%1."/>
      <w:lvlJc w:val="left"/>
      <w:pPr>
        <w:ind w:left="360" w:hanging="360"/>
      </w:pPr>
      <w:rPr>
        <w:rFonts w:hint="default"/>
        <w:color w:val="0000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46437E2"/>
    <w:multiLevelType w:val="hybridMultilevel"/>
    <w:tmpl w:val="2B1C29B8"/>
    <w:lvl w:ilvl="0" w:tplc="E5B61C12">
      <w:start w:val="1"/>
      <w:numFmt w:val="bullet"/>
      <w:lvlText w:val="§"/>
      <w:lvlJc w:val="left"/>
      <w:pPr>
        <w:tabs>
          <w:tab w:val="num" w:pos="720"/>
        </w:tabs>
        <w:ind w:left="720" w:hanging="360"/>
      </w:pPr>
      <w:rPr>
        <w:rFonts w:ascii="Wingdings" w:hAnsi="Wingdings" w:hint="default"/>
      </w:rPr>
    </w:lvl>
    <w:lvl w:ilvl="1" w:tplc="41DE73AA">
      <w:start w:val="1"/>
      <w:numFmt w:val="bullet"/>
      <w:lvlText w:val="§"/>
      <w:lvlJc w:val="left"/>
      <w:pPr>
        <w:tabs>
          <w:tab w:val="num" w:pos="1440"/>
        </w:tabs>
        <w:ind w:left="1440" w:hanging="360"/>
      </w:pPr>
      <w:rPr>
        <w:rFonts w:ascii="Wingdings" w:hAnsi="Wingdings" w:hint="default"/>
      </w:rPr>
    </w:lvl>
    <w:lvl w:ilvl="2" w:tplc="C434A164">
      <w:numFmt w:val="bullet"/>
      <w:lvlText w:val="§"/>
      <w:lvlJc w:val="left"/>
      <w:pPr>
        <w:tabs>
          <w:tab w:val="num" w:pos="2160"/>
        </w:tabs>
        <w:ind w:left="2160" w:hanging="360"/>
      </w:pPr>
      <w:rPr>
        <w:rFonts w:ascii="Wingdings" w:hAnsi="Wingdings" w:hint="default"/>
      </w:rPr>
    </w:lvl>
    <w:lvl w:ilvl="3" w:tplc="EE62D940" w:tentative="1">
      <w:start w:val="1"/>
      <w:numFmt w:val="bullet"/>
      <w:lvlText w:val="§"/>
      <w:lvlJc w:val="left"/>
      <w:pPr>
        <w:tabs>
          <w:tab w:val="num" w:pos="2880"/>
        </w:tabs>
        <w:ind w:left="2880" w:hanging="360"/>
      </w:pPr>
      <w:rPr>
        <w:rFonts w:ascii="Wingdings" w:hAnsi="Wingdings" w:hint="default"/>
      </w:rPr>
    </w:lvl>
    <w:lvl w:ilvl="4" w:tplc="12FE06C8" w:tentative="1">
      <w:start w:val="1"/>
      <w:numFmt w:val="bullet"/>
      <w:lvlText w:val="§"/>
      <w:lvlJc w:val="left"/>
      <w:pPr>
        <w:tabs>
          <w:tab w:val="num" w:pos="3600"/>
        </w:tabs>
        <w:ind w:left="3600" w:hanging="360"/>
      </w:pPr>
      <w:rPr>
        <w:rFonts w:ascii="Wingdings" w:hAnsi="Wingdings" w:hint="default"/>
      </w:rPr>
    </w:lvl>
    <w:lvl w:ilvl="5" w:tplc="82404F50" w:tentative="1">
      <w:start w:val="1"/>
      <w:numFmt w:val="bullet"/>
      <w:lvlText w:val="§"/>
      <w:lvlJc w:val="left"/>
      <w:pPr>
        <w:tabs>
          <w:tab w:val="num" w:pos="4320"/>
        </w:tabs>
        <w:ind w:left="4320" w:hanging="360"/>
      </w:pPr>
      <w:rPr>
        <w:rFonts w:ascii="Wingdings" w:hAnsi="Wingdings" w:hint="default"/>
      </w:rPr>
    </w:lvl>
    <w:lvl w:ilvl="6" w:tplc="11B46EF2" w:tentative="1">
      <w:start w:val="1"/>
      <w:numFmt w:val="bullet"/>
      <w:lvlText w:val="§"/>
      <w:lvlJc w:val="left"/>
      <w:pPr>
        <w:tabs>
          <w:tab w:val="num" w:pos="5040"/>
        </w:tabs>
        <w:ind w:left="5040" w:hanging="360"/>
      </w:pPr>
      <w:rPr>
        <w:rFonts w:ascii="Wingdings" w:hAnsi="Wingdings" w:hint="default"/>
      </w:rPr>
    </w:lvl>
    <w:lvl w:ilvl="7" w:tplc="9E1AE35E" w:tentative="1">
      <w:start w:val="1"/>
      <w:numFmt w:val="bullet"/>
      <w:lvlText w:val="§"/>
      <w:lvlJc w:val="left"/>
      <w:pPr>
        <w:tabs>
          <w:tab w:val="num" w:pos="5760"/>
        </w:tabs>
        <w:ind w:left="5760" w:hanging="360"/>
      </w:pPr>
      <w:rPr>
        <w:rFonts w:ascii="Wingdings" w:hAnsi="Wingdings" w:hint="default"/>
      </w:rPr>
    </w:lvl>
    <w:lvl w:ilvl="8" w:tplc="079ADF9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3528C9"/>
    <w:multiLevelType w:val="hybridMultilevel"/>
    <w:tmpl w:val="40EE350E"/>
    <w:lvl w:ilvl="0" w:tplc="E850ED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1B762C"/>
    <w:multiLevelType w:val="hybridMultilevel"/>
    <w:tmpl w:val="B2225EA8"/>
    <w:lvl w:ilvl="0" w:tplc="B6043140">
      <w:start w:val="1"/>
      <w:numFmt w:val="bullet"/>
      <w:lvlText w:val="•"/>
      <w:lvlJc w:val="left"/>
      <w:pPr>
        <w:tabs>
          <w:tab w:val="num" w:pos="720"/>
        </w:tabs>
        <w:ind w:left="720" w:hanging="360"/>
      </w:pPr>
      <w:rPr>
        <w:rFonts w:ascii="Arial" w:hAnsi="Arial" w:hint="default"/>
      </w:rPr>
    </w:lvl>
    <w:lvl w:ilvl="1" w:tplc="CA0E142C" w:tentative="1">
      <w:start w:val="1"/>
      <w:numFmt w:val="bullet"/>
      <w:lvlText w:val="•"/>
      <w:lvlJc w:val="left"/>
      <w:pPr>
        <w:tabs>
          <w:tab w:val="num" w:pos="1440"/>
        </w:tabs>
        <w:ind w:left="1440" w:hanging="360"/>
      </w:pPr>
      <w:rPr>
        <w:rFonts w:ascii="Arial" w:hAnsi="Arial" w:hint="default"/>
      </w:rPr>
    </w:lvl>
    <w:lvl w:ilvl="2" w:tplc="3EDE26B6" w:tentative="1">
      <w:start w:val="1"/>
      <w:numFmt w:val="bullet"/>
      <w:lvlText w:val="•"/>
      <w:lvlJc w:val="left"/>
      <w:pPr>
        <w:tabs>
          <w:tab w:val="num" w:pos="2160"/>
        </w:tabs>
        <w:ind w:left="2160" w:hanging="360"/>
      </w:pPr>
      <w:rPr>
        <w:rFonts w:ascii="Arial" w:hAnsi="Arial" w:hint="default"/>
      </w:rPr>
    </w:lvl>
    <w:lvl w:ilvl="3" w:tplc="5BC4D2DA" w:tentative="1">
      <w:start w:val="1"/>
      <w:numFmt w:val="bullet"/>
      <w:lvlText w:val="•"/>
      <w:lvlJc w:val="left"/>
      <w:pPr>
        <w:tabs>
          <w:tab w:val="num" w:pos="2880"/>
        </w:tabs>
        <w:ind w:left="2880" w:hanging="360"/>
      </w:pPr>
      <w:rPr>
        <w:rFonts w:ascii="Arial" w:hAnsi="Arial" w:hint="default"/>
      </w:rPr>
    </w:lvl>
    <w:lvl w:ilvl="4" w:tplc="A670A224" w:tentative="1">
      <w:start w:val="1"/>
      <w:numFmt w:val="bullet"/>
      <w:lvlText w:val="•"/>
      <w:lvlJc w:val="left"/>
      <w:pPr>
        <w:tabs>
          <w:tab w:val="num" w:pos="3600"/>
        </w:tabs>
        <w:ind w:left="3600" w:hanging="360"/>
      </w:pPr>
      <w:rPr>
        <w:rFonts w:ascii="Arial" w:hAnsi="Arial" w:hint="default"/>
      </w:rPr>
    </w:lvl>
    <w:lvl w:ilvl="5" w:tplc="BC7EB156" w:tentative="1">
      <w:start w:val="1"/>
      <w:numFmt w:val="bullet"/>
      <w:lvlText w:val="•"/>
      <w:lvlJc w:val="left"/>
      <w:pPr>
        <w:tabs>
          <w:tab w:val="num" w:pos="4320"/>
        </w:tabs>
        <w:ind w:left="4320" w:hanging="360"/>
      </w:pPr>
      <w:rPr>
        <w:rFonts w:ascii="Arial" w:hAnsi="Arial" w:hint="default"/>
      </w:rPr>
    </w:lvl>
    <w:lvl w:ilvl="6" w:tplc="BB7E8994" w:tentative="1">
      <w:start w:val="1"/>
      <w:numFmt w:val="bullet"/>
      <w:lvlText w:val="•"/>
      <w:lvlJc w:val="left"/>
      <w:pPr>
        <w:tabs>
          <w:tab w:val="num" w:pos="5040"/>
        </w:tabs>
        <w:ind w:left="5040" w:hanging="360"/>
      </w:pPr>
      <w:rPr>
        <w:rFonts w:ascii="Arial" w:hAnsi="Arial" w:hint="default"/>
      </w:rPr>
    </w:lvl>
    <w:lvl w:ilvl="7" w:tplc="6FCC70CA" w:tentative="1">
      <w:start w:val="1"/>
      <w:numFmt w:val="bullet"/>
      <w:lvlText w:val="•"/>
      <w:lvlJc w:val="left"/>
      <w:pPr>
        <w:tabs>
          <w:tab w:val="num" w:pos="5760"/>
        </w:tabs>
        <w:ind w:left="5760" w:hanging="360"/>
      </w:pPr>
      <w:rPr>
        <w:rFonts w:ascii="Arial" w:hAnsi="Arial" w:hint="default"/>
      </w:rPr>
    </w:lvl>
    <w:lvl w:ilvl="8" w:tplc="784A380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E8717C"/>
    <w:multiLevelType w:val="multilevel"/>
    <w:tmpl w:val="727EAA46"/>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D3F0E82"/>
    <w:multiLevelType w:val="hybridMultilevel"/>
    <w:tmpl w:val="A838F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455111"/>
    <w:multiLevelType w:val="multilevel"/>
    <w:tmpl w:val="7B0E3B46"/>
    <w:lvl w:ilvl="0">
      <w:start w:val="1"/>
      <w:numFmt w:val="decimal"/>
      <w:pStyle w:val="Heading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30235EC2"/>
    <w:multiLevelType w:val="hybridMultilevel"/>
    <w:tmpl w:val="CA70B40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05C78F7"/>
    <w:multiLevelType w:val="hybridMultilevel"/>
    <w:tmpl w:val="C9D810B8"/>
    <w:lvl w:ilvl="0" w:tplc="D77403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8F4062"/>
    <w:multiLevelType w:val="hybridMultilevel"/>
    <w:tmpl w:val="3CE21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D2C6C"/>
    <w:multiLevelType w:val="hybridMultilevel"/>
    <w:tmpl w:val="FE4EA5A2"/>
    <w:lvl w:ilvl="0" w:tplc="A13C05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1F4F7E"/>
    <w:multiLevelType w:val="hybridMultilevel"/>
    <w:tmpl w:val="DE1200E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4943102"/>
    <w:multiLevelType w:val="hybridMultilevel"/>
    <w:tmpl w:val="5964AEF8"/>
    <w:lvl w:ilvl="0" w:tplc="D12AB0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D118C2"/>
    <w:multiLevelType w:val="multilevel"/>
    <w:tmpl w:val="EA1862D4"/>
    <w:lvl w:ilvl="0">
      <w:start w:val="5"/>
      <w:numFmt w:val="decimal"/>
      <w:lvlText w:val="%1."/>
      <w:lvlJc w:val="left"/>
      <w:pPr>
        <w:ind w:left="360" w:hanging="360"/>
      </w:pPr>
      <w:rPr>
        <w:rFonts w:hint="default"/>
        <w:b w:val="0"/>
        <w:sz w:val="24"/>
      </w:rPr>
    </w:lvl>
    <w:lvl w:ilvl="1">
      <w:start w:val="1"/>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3"/>
      <w:numFmt w:val="decimal"/>
      <w:isLgl/>
      <w:lvlText w:val="%1.%2.%3.%4"/>
      <w:lvlJc w:val="left"/>
      <w:pPr>
        <w:ind w:left="720" w:hanging="720"/>
      </w:pPr>
      <w:rPr>
        <w:rFonts w:hint="default"/>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C7B3DE5"/>
    <w:multiLevelType w:val="hybridMultilevel"/>
    <w:tmpl w:val="FFB2E57C"/>
    <w:lvl w:ilvl="0" w:tplc="888CE0A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521651"/>
    <w:multiLevelType w:val="hybridMultilevel"/>
    <w:tmpl w:val="4BFC64F2"/>
    <w:lvl w:ilvl="0" w:tplc="C9C059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8655259"/>
    <w:multiLevelType w:val="hybridMultilevel"/>
    <w:tmpl w:val="C16490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9F7348F"/>
    <w:multiLevelType w:val="hybridMultilevel"/>
    <w:tmpl w:val="2654D180"/>
    <w:lvl w:ilvl="0" w:tplc="A088284A">
      <w:start w:val="1"/>
      <w:numFmt w:val="bullet"/>
      <w:lvlText w:val="§"/>
      <w:lvlJc w:val="left"/>
      <w:pPr>
        <w:tabs>
          <w:tab w:val="num" w:pos="720"/>
        </w:tabs>
        <w:ind w:left="720" w:hanging="360"/>
      </w:pPr>
      <w:rPr>
        <w:rFonts w:ascii="Wingdings" w:hAnsi="Wingdings" w:hint="default"/>
      </w:rPr>
    </w:lvl>
    <w:lvl w:ilvl="1" w:tplc="0C3A61FE">
      <w:start w:val="1"/>
      <w:numFmt w:val="bullet"/>
      <w:lvlText w:val="§"/>
      <w:lvlJc w:val="left"/>
      <w:pPr>
        <w:tabs>
          <w:tab w:val="num" w:pos="1440"/>
        </w:tabs>
        <w:ind w:left="1440" w:hanging="360"/>
      </w:pPr>
      <w:rPr>
        <w:rFonts w:ascii="Wingdings" w:hAnsi="Wingdings" w:hint="default"/>
      </w:rPr>
    </w:lvl>
    <w:lvl w:ilvl="2" w:tplc="AC28F534" w:tentative="1">
      <w:start w:val="1"/>
      <w:numFmt w:val="bullet"/>
      <w:lvlText w:val="§"/>
      <w:lvlJc w:val="left"/>
      <w:pPr>
        <w:tabs>
          <w:tab w:val="num" w:pos="2160"/>
        </w:tabs>
        <w:ind w:left="2160" w:hanging="360"/>
      </w:pPr>
      <w:rPr>
        <w:rFonts w:ascii="Wingdings" w:hAnsi="Wingdings" w:hint="default"/>
      </w:rPr>
    </w:lvl>
    <w:lvl w:ilvl="3" w:tplc="61DED610" w:tentative="1">
      <w:start w:val="1"/>
      <w:numFmt w:val="bullet"/>
      <w:lvlText w:val="§"/>
      <w:lvlJc w:val="left"/>
      <w:pPr>
        <w:tabs>
          <w:tab w:val="num" w:pos="2880"/>
        </w:tabs>
        <w:ind w:left="2880" w:hanging="360"/>
      </w:pPr>
      <w:rPr>
        <w:rFonts w:ascii="Wingdings" w:hAnsi="Wingdings" w:hint="default"/>
      </w:rPr>
    </w:lvl>
    <w:lvl w:ilvl="4" w:tplc="B178F42C" w:tentative="1">
      <w:start w:val="1"/>
      <w:numFmt w:val="bullet"/>
      <w:lvlText w:val="§"/>
      <w:lvlJc w:val="left"/>
      <w:pPr>
        <w:tabs>
          <w:tab w:val="num" w:pos="3600"/>
        </w:tabs>
        <w:ind w:left="3600" w:hanging="360"/>
      </w:pPr>
      <w:rPr>
        <w:rFonts w:ascii="Wingdings" w:hAnsi="Wingdings" w:hint="default"/>
      </w:rPr>
    </w:lvl>
    <w:lvl w:ilvl="5" w:tplc="C7AA65F6" w:tentative="1">
      <w:start w:val="1"/>
      <w:numFmt w:val="bullet"/>
      <w:lvlText w:val="§"/>
      <w:lvlJc w:val="left"/>
      <w:pPr>
        <w:tabs>
          <w:tab w:val="num" w:pos="4320"/>
        </w:tabs>
        <w:ind w:left="4320" w:hanging="360"/>
      </w:pPr>
      <w:rPr>
        <w:rFonts w:ascii="Wingdings" w:hAnsi="Wingdings" w:hint="default"/>
      </w:rPr>
    </w:lvl>
    <w:lvl w:ilvl="6" w:tplc="FFFADE2C" w:tentative="1">
      <w:start w:val="1"/>
      <w:numFmt w:val="bullet"/>
      <w:lvlText w:val="§"/>
      <w:lvlJc w:val="left"/>
      <w:pPr>
        <w:tabs>
          <w:tab w:val="num" w:pos="5040"/>
        </w:tabs>
        <w:ind w:left="5040" w:hanging="360"/>
      </w:pPr>
      <w:rPr>
        <w:rFonts w:ascii="Wingdings" w:hAnsi="Wingdings" w:hint="default"/>
      </w:rPr>
    </w:lvl>
    <w:lvl w:ilvl="7" w:tplc="DE10A622" w:tentative="1">
      <w:start w:val="1"/>
      <w:numFmt w:val="bullet"/>
      <w:lvlText w:val="§"/>
      <w:lvlJc w:val="left"/>
      <w:pPr>
        <w:tabs>
          <w:tab w:val="num" w:pos="5760"/>
        </w:tabs>
        <w:ind w:left="5760" w:hanging="360"/>
      </w:pPr>
      <w:rPr>
        <w:rFonts w:ascii="Wingdings" w:hAnsi="Wingdings" w:hint="default"/>
      </w:rPr>
    </w:lvl>
    <w:lvl w:ilvl="8" w:tplc="D49E49D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B400C8"/>
    <w:multiLevelType w:val="hybridMultilevel"/>
    <w:tmpl w:val="4F5AA23C"/>
    <w:lvl w:ilvl="0" w:tplc="52CCDFEE">
      <w:start w:val="1"/>
      <w:numFmt w:val="lowerLetter"/>
      <w:lvlText w:val="(%1)"/>
      <w:lvlJc w:val="left"/>
      <w:pPr>
        <w:ind w:left="720" w:hanging="360"/>
      </w:pPr>
      <w:rPr>
        <w:rFonts w:hint="default"/>
        <w:b w:val="0"/>
        <w:bCs/>
        <w:color w:val="4E3227"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E26B1C"/>
    <w:multiLevelType w:val="hybridMultilevel"/>
    <w:tmpl w:val="04742A6E"/>
    <w:lvl w:ilvl="0" w:tplc="83443E4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284DD3"/>
    <w:multiLevelType w:val="hybridMultilevel"/>
    <w:tmpl w:val="A06CCB9C"/>
    <w:lvl w:ilvl="0" w:tplc="0C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AD36200"/>
    <w:multiLevelType w:val="hybridMultilevel"/>
    <w:tmpl w:val="C99A8CEE"/>
    <w:lvl w:ilvl="0" w:tplc="15187A5C">
      <w:start w:val="1"/>
      <w:numFmt w:val="bullet"/>
      <w:lvlText w:val="•"/>
      <w:lvlJc w:val="left"/>
      <w:pPr>
        <w:tabs>
          <w:tab w:val="num" w:pos="720"/>
        </w:tabs>
        <w:ind w:left="720" w:hanging="360"/>
      </w:pPr>
      <w:rPr>
        <w:rFonts w:ascii="Arial" w:hAnsi="Arial" w:hint="default"/>
      </w:rPr>
    </w:lvl>
    <w:lvl w:ilvl="1" w:tplc="83247F32" w:tentative="1">
      <w:start w:val="1"/>
      <w:numFmt w:val="bullet"/>
      <w:lvlText w:val="•"/>
      <w:lvlJc w:val="left"/>
      <w:pPr>
        <w:tabs>
          <w:tab w:val="num" w:pos="1440"/>
        </w:tabs>
        <w:ind w:left="1440" w:hanging="360"/>
      </w:pPr>
      <w:rPr>
        <w:rFonts w:ascii="Arial" w:hAnsi="Arial" w:hint="default"/>
      </w:rPr>
    </w:lvl>
    <w:lvl w:ilvl="2" w:tplc="2A6E1AD2" w:tentative="1">
      <w:start w:val="1"/>
      <w:numFmt w:val="bullet"/>
      <w:lvlText w:val="•"/>
      <w:lvlJc w:val="left"/>
      <w:pPr>
        <w:tabs>
          <w:tab w:val="num" w:pos="2160"/>
        </w:tabs>
        <w:ind w:left="2160" w:hanging="360"/>
      </w:pPr>
      <w:rPr>
        <w:rFonts w:ascii="Arial" w:hAnsi="Arial" w:hint="default"/>
      </w:rPr>
    </w:lvl>
    <w:lvl w:ilvl="3" w:tplc="352A042A" w:tentative="1">
      <w:start w:val="1"/>
      <w:numFmt w:val="bullet"/>
      <w:lvlText w:val="•"/>
      <w:lvlJc w:val="left"/>
      <w:pPr>
        <w:tabs>
          <w:tab w:val="num" w:pos="2880"/>
        </w:tabs>
        <w:ind w:left="2880" w:hanging="360"/>
      </w:pPr>
      <w:rPr>
        <w:rFonts w:ascii="Arial" w:hAnsi="Arial" w:hint="default"/>
      </w:rPr>
    </w:lvl>
    <w:lvl w:ilvl="4" w:tplc="058C1A22" w:tentative="1">
      <w:start w:val="1"/>
      <w:numFmt w:val="bullet"/>
      <w:lvlText w:val="•"/>
      <w:lvlJc w:val="left"/>
      <w:pPr>
        <w:tabs>
          <w:tab w:val="num" w:pos="3600"/>
        </w:tabs>
        <w:ind w:left="3600" w:hanging="360"/>
      </w:pPr>
      <w:rPr>
        <w:rFonts w:ascii="Arial" w:hAnsi="Arial" w:hint="default"/>
      </w:rPr>
    </w:lvl>
    <w:lvl w:ilvl="5" w:tplc="1186A002" w:tentative="1">
      <w:start w:val="1"/>
      <w:numFmt w:val="bullet"/>
      <w:lvlText w:val="•"/>
      <w:lvlJc w:val="left"/>
      <w:pPr>
        <w:tabs>
          <w:tab w:val="num" w:pos="4320"/>
        </w:tabs>
        <w:ind w:left="4320" w:hanging="360"/>
      </w:pPr>
      <w:rPr>
        <w:rFonts w:ascii="Arial" w:hAnsi="Arial" w:hint="default"/>
      </w:rPr>
    </w:lvl>
    <w:lvl w:ilvl="6" w:tplc="15E40916" w:tentative="1">
      <w:start w:val="1"/>
      <w:numFmt w:val="bullet"/>
      <w:lvlText w:val="•"/>
      <w:lvlJc w:val="left"/>
      <w:pPr>
        <w:tabs>
          <w:tab w:val="num" w:pos="5040"/>
        </w:tabs>
        <w:ind w:left="5040" w:hanging="360"/>
      </w:pPr>
      <w:rPr>
        <w:rFonts w:ascii="Arial" w:hAnsi="Arial" w:hint="default"/>
      </w:rPr>
    </w:lvl>
    <w:lvl w:ilvl="7" w:tplc="10DAF98C" w:tentative="1">
      <w:start w:val="1"/>
      <w:numFmt w:val="bullet"/>
      <w:lvlText w:val="•"/>
      <w:lvlJc w:val="left"/>
      <w:pPr>
        <w:tabs>
          <w:tab w:val="num" w:pos="5760"/>
        </w:tabs>
        <w:ind w:left="5760" w:hanging="360"/>
      </w:pPr>
      <w:rPr>
        <w:rFonts w:ascii="Arial" w:hAnsi="Arial" w:hint="default"/>
      </w:rPr>
    </w:lvl>
    <w:lvl w:ilvl="8" w:tplc="1852742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1C90D32"/>
    <w:multiLevelType w:val="multilevel"/>
    <w:tmpl w:val="97260CE0"/>
    <w:styleLink w:val="CurrentList1"/>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none"/>
      <w:lvlText w:val=""/>
      <w:lvlJc w:val="left"/>
      <w:pPr>
        <w:ind w:left="1224" w:hanging="504"/>
      </w:pPr>
      <w:rPr>
        <w:rFonts w:hint="default"/>
      </w:rPr>
    </w:lvl>
    <w:lvl w:ilvl="3">
      <w:start w:val="1"/>
      <w:numFmt w:val="none"/>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2A200DC"/>
    <w:multiLevelType w:val="hybridMultilevel"/>
    <w:tmpl w:val="CA70B406"/>
    <w:lvl w:ilvl="0" w:tplc="46E2C8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5F63B4"/>
    <w:multiLevelType w:val="hybridMultilevel"/>
    <w:tmpl w:val="7BF260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EF7A0D"/>
    <w:multiLevelType w:val="hybridMultilevel"/>
    <w:tmpl w:val="F68A9E4C"/>
    <w:lvl w:ilvl="0" w:tplc="04090001">
      <w:start w:val="14"/>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C736CD"/>
    <w:multiLevelType w:val="hybridMultilevel"/>
    <w:tmpl w:val="25A0D4BE"/>
    <w:lvl w:ilvl="0" w:tplc="7F6CCC08">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574BA3"/>
    <w:multiLevelType w:val="multilevel"/>
    <w:tmpl w:val="DD0EDDD0"/>
    <w:lvl w:ilvl="0">
      <w:start w:val="6"/>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2"/>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5A643A9"/>
    <w:multiLevelType w:val="hybridMultilevel"/>
    <w:tmpl w:val="1A686A8A"/>
    <w:lvl w:ilvl="0" w:tplc="D17AF470">
      <w:start w:val="1"/>
      <w:numFmt w:val="lowerLetter"/>
      <w:lvlText w:val="(%1)"/>
      <w:lvlJc w:val="left"/>
      <w:pPr>
        <w:ind w:left="720" w:hanging="360"/>
      </w:pPr>
      <w:rPr>
        <w:rFonts w:ascii="Helvetica" w:eastAsia="SimSun" w:hAnsi="Helvetica" w:cs="Helvetica Neue"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9A2D0E"/>
    <w:multiLevelType w:val="hybridMultilevel"/>
    <w:tmpl w:val="622A5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E554E84"/>
    <w:multiLevelType w:val="multilevel"/>
    <w:tmpl w:val="A5F2DDB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218735226">
    <w:abstractNumId w:val="0"/>
  </w:num>
  <w:num w:numId="2" w16cid:durableId="1109740706">
    <w:abstractNumId w:val="36"/>
  </w:num>
  <w:num w:numId="3" w16cid:durableId="1324623189">
    <w:abstractNumId w:val="32"/>
  </w:num>
  <w:num w:numId="4" w16cid:durableId="1571503949">
    <w:abstractNumId w:val="16"/>
  </w:num>
  <w:num w:numId="5" w16cid:durableId="2023631562">
    <w:abstractNumId w:val="14"/>
  </w:num>
  <w:num w:numId="6" w16cid:durableId="519247952">
    <w:abstractNumId w:val="4"/>
  </w:num>
  <w:num w:numId="7" w16cid:durableId="31737865">
    <w:abstractNumId w:val="2"/>
  </w:num>
  <w:num w:numId="8" w16cid:durableId="1764183790">
    <w:abstractNumId w:val="7"/>
  </w:num>
  <w:num w:numId="9" w16cid:durableId="893614811">
    <w:abstractNumId w:val="13"/>
  </w:num>
  <w:num w:numId="10" w16cid:durableId="398138803">
    <w:abstractNumId w:val="31"/>
  </w:num>
  <w:num w:numId="11" w16cid:durableId="2014993029">
    <w:abstractNumId w:val="10"/>
  </w:num>
  <w:num w:numId="12" w16cid:durableId="1584336644">
    <w:abstractNumId w:val="27"/>
  </w:num>
  <w:num w:numId="13" w16cid:durableId="1058747891">
    <w:abstractNumId w:val="20"/>
  </w:num>
  <w:num w:numId="14" w16cid:durableId="154490707">
    <w:abstractNumId w:val="18"/>
  </w:num>
  <w:num w:numId="15" w16cid:durableId="1678919060">
    <w:abstractNumId w:val="1"/>
  </w:num>
  <w:num w:numId="16" w16cid:durableId="419445906">
    <w:abstractNumId w:val="28"/>
  </w:num>
  <w:num w:numId="17" w16cid:durableId="699626178">
    <w:abstractNumId w:val="34"/>
  </w:num>
  <w:num w:numId="18" w16cid:durableId="252712823">
    <w:abstractNumId w:val="29"/>
  </w:num>
  <w:num w:numId="19" w16cid:durableId="1988321216">
    <w:abstractNumId w:val="6"/>
  </w:num>
  <w:num w:numId="20" w16cid:durableId="374240079">
    <w:abstractNumId w:val="38"/>
  </w:num>
  <w:num w:numId="21" w16cid:durableId="2100562003">
    <w:abstractNumId w:val="22"/>
  </w:num>
  <w:num w:numId="22" w16cid:durableId="762184440">
    <w:abstractNumId w:val="25"/>
  </w:num>
  <w:num w:numId="23" w16cid:durableId="1343358445">
    <w:abstractNumId w:val="26"/>
  </w:num>
  <w:num w:numId="24" w16cid:durableId="1337613243">
    <w:abstractNumId w:val="9"/>
  </w:num>
  <w:num w:numId="25" w16cid:durableId="1100680222">
    <w:abstractNumId w:val="12"/>
  </w:num>
  <w:num w:numId="26" w16cid:durableId="1109399085">
    <w:abstractNumId w:val="19"/>
  </w:num>
  <w:num w:numId="27" w16cid:durableId="1712609881">
    <w:abstractNumId w:val="35"/>
  </w:num>
  <w:num w:numId="28" w16cid:durableId="1543637799">
    <w:abstractNumId w:val="39"/>
  </w:num>
  <w:num w:numId="29" w16cid:durableId="830028499">
    <w:abstractNumId w:val="3"/>
  </w:num>
  <w:num w:numId="30" w16cid:durableId="751321139">
    <w:abstractNumId w:val="37"/>
  </w:num>
  <w:num w:numId="31" w16cid:durableId="1153719946">
    <w:abstractNumId w:val="23"/>
  </w:num>
  <w:num w:numId="32" w16cid:durableId="167989107">
    <w:abstractNumId w:val="8"/>
  </w:num>
  <w:num w:numId="33" w16cid:durableId="830828777">
    <w:abstractNumId w:val="33"/>
  </w:num>
  <w:num w:numId="34" w16cid:durableId="553464063">
    <w:abstractNumId w:val="17"/>
  </w:num>
  <w:num w:numId="35" w16cid:durableId="871191958">
    <w:abstractNumId w:val="15"/>
  </w:num>
  <w:num w:numId="36" w16cid:durableId="928121690">
    <w:abstractNumId w:val="21"/>
  </w:num>
  <w:num w:numId="37" w16cid:durableId="402223198">
    <w:abstractNumId w:val="5"/>
  </w:num>
  <w:num w:numId="38" w16cid:durableId="1846675460">
    <w:abstractNumId w:val="11"/>
  </w:num>
  <w:num w:numId="39" w16cid:durableId="1719474332">
    <w:abstractNumId w:val="40"/>
  </w:num>
  <w:num w:numId="40" w16cid:durableId="985620412">
    <w:abstractNumId w:val="24"/>
  </w:num>
  <w:num w:numId="41" w16cid:durableId="1945382652">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368"/>
    <w:rsid w:val="0000026D"/>
    <w:rsid w:val="00000461"/>
    <w:rsid w:val="000009CB"/>
    <w:rsid w:val="00000AA9"/>
    <w:rsid w:val="00000ABB"/>
    <w:rsid w:val="00000BE9"/>
    <w:rsid w:val="00000CF8"/>
    <w:rsid w:val="00000CF9"/>
    <w:rsid w:val="000012B1"/>
    <w:rsid w:val="00001357"/>
    <w:rsid w:val="00001366"/>
    <w:rsid w:val="000016E4"/>
    <w:rsid w:val="0000170A"/>
    <w:rsid w:val="000017E5"/>
    <w:rsid w:val="000018C7"/>
    <w:rsid w:val="000018CC"/>
    <w:rsid w:val="000019D4"/>
    <w:rsid w:val="00001A08"/>
    <w:rsid w:val="00001C49"/>
    <w:rsid w:val="00001EEC"/>
    <w:rsid w:val="00001F5B"/>
    <w:rsid w:val="00002084"/>
    <w:rsid w:val="00002137"/>
    <w:rsid w:val="00002461"/>
    <w:rsid w:val="0000263D"/>
    <w:rsid w:val="000029FC"/>
    <w:rsid w:val="00002EAD"/>
    <w:rsid w:val="000034C2"/>
    <w:rsid w:val="00003601"/>
    <w:rsid w:val="00003804"/>
    <w:rsid w:val="000039A4"/>
    <w:rsid w:val="000039AE"/>
    <w:rsid w:val="00003AEA"/>
    <w:rsid w:val="00003E5E"/>
    <w:rsid w:val="00003F7B"/>
    <w:rsid w:val="00003FEC"/>
    <w:rsid w:val="00004044"/>
    <w:rsid w:val="000040FC"/>
    <w:rsid w:val="000043EA"/>
    <w:rsid w:val="0000452C"/>
    <w:rsid w:val="00004549"/>
    <w:rsid w:val="00004668"/>
    <w:rsid w:val="0000487A"/>
    <w:rsid w:val="000048D8"/>
    <w:rsid w:val="000048E7"/>
    <w:rsid w:val="00004BAE"/>
    <w:rsid w:val="000056A0"/>
    <w:rsid w:val="00005A51"/>
    <w:rsid w:val="00005CD5"/>
    <w:rsid w:val="00005FD5"/>
    <w:rsid w:val="00005FE5"/>
    <w:rsid w:val="000067D8"/>
    <w:rsid w:val="00006985"/>
    <w:rsid w:val="00006B79"/>
    <w:rsid w:val="00006D8C"/>
    <w:rsid w:val="00006DB1"/>
    <w:rsid w:val="00006EB1"/>
    <w:rsid w:val="00007335"/>
    <w:rsid w:val="00007404"/>
    <w:rsid w:val="000078D0"/>
    <w:rsid w:val="00007B7B"/>
    <w:rsid w:val="00007CEF"/>
    <w:rsid w:val="0001054D"/>
    <w:rsid w:val="00010563"/>
    <w:rsid w:val="00010621"/>
    <w:rsid w:val="000108A3"/>
    <w:rsid w:val="00010933"/>
    <w:rsid w:val="00010965"/>
    <w:rsid w:val="0001098F"/>
    <w:rsid w:val="00010E5F"/>
    <w:rsid w:val="00010F8C"/>
    <w:rsid w:val="000113D1"/>
    <w:rsid w:val="00011C63"/>
    <w:rsid w:val="00011CD0"/>
    <w:rsid w:val="00012244"/>
    <w:rsid w:val="000122A5"/>
    <w:rsid w:val="00012956"/>
    <w:rsid w:val="000129B0"/>
    <w:rsid w:val="00012B5E"/>
    <w:rsid w:val="00012C7C"/>
    <w:rsid w:val="00012D51"/>
    <w:rsid w:val="00012E95"/>
    <w:rsid w:val="00012F53"/>
    <w:rsid w:val="00012F7E"/>
    <w:rsid w:val="00013094"/>
    <w:rsid w:val="000131C1"/>
    <w:rsid w:val="00013640"/>
    <w:rsid w:val="0001373C"/>
    <w:rsid w:val="00013848"/>
    <w:rsid w:val="00013A9D"/>
    <w:rsid w:val="00013B4A"/>
    <w:rsid w:val="00013B4D"/>
    <w:rsid w:val="00013EB2"/>
    <w:rsid w:val="000145B8"/>
    <w:rsid w:val="00014964"/>
    <w:rsid w:val="00014E3C"/>
    <w:rsid w:val="000151F3"/>
    <w:rsid w:val="00015237"/>
    <w:rsid w:val="0001539B"/>
    <w:rsid w:val="00015447"/>
    <w:rsid w:val="00015609"/>
    <w:rsid w:val="0001565B"/>
    <w:rsid w:val="000156BE"/>
    <w:rsid w:val="00015728"/>
    <w:rsid w:val="00015748"/>
    <w:rsid w:val="0001584B"/>
    <w:rsid w:val="00015AB1"/>
    <w:rsid w:val="00015B27"/>
    <w:rsid w:val="00015B40"/>
    <w:rsid w:val="00015D49"/>
    <w:rsid w:val="00015DA3"/>
    <w:rsid w:val="00015F5F"/>
    <w:rsid w:val="00016133"/>
    <w:rsid w:val="000161D2"/>
    <w:rsid w:val="000162D8"/>
    <w:rsid w:val="000163BF"/>
    <w:rsid w:val="0001643B"/>
    <w:rsid w:val="00016486"/>
    <w:rsid w:val="00016916"/>
    <w:rsid w:val="00016CFC"/>
    <w:rsid w:val="00016DDC"/>
    <w:rsid w:val="00016E93"/>
    <w:rsid w:val="00016FBD"/>
    <w:rsid w:val="00017305"/>
    <w:rsid w:val="0001796D"/>
    <w:rsid w:val="00017A22"/>
    <w:rsid w:val="00017B04"/>
    <w:rsid w:val="00017CB7"/>
    <w:rsid w:val="00017F27"/>
    <w:rsid w:val="000200D6"/>
    <w:rsid w:val="000200E7"/>
    <w:rsid w:val="000203AF"/>
    <w:rsid w:val="00020A15"/>
    <w:rsid w:val="0002102D"/>
    <w:rsid w:val="00021470"/>
    <w:rsid w:val="000217E5"/>
    <w:rsid w:val="000219EF"/>
    <w:rsid w:val="000219F7"/>
    <w:rsid w:val="00021A29"/>
    <w:rsid w:val="00021C2A"/>
    <w:rsid w:val="00021D15"/>
    <w:rsid w:val="000220AD"/>
    <w:rsid w:val="000221DC"/>
    <w:rsid w:val="00022668"/>
    <w:rsid w:val="00022935"/>
    <w:rsid w:val="00022B47"/>
    <w:rsid w:val="00022BE7"/>
    <w:rsid w:val="00023470"/>
    <w:rsid w:val="00023523"/>
    <w:rsid w:val="000237F8"/>
    <w:rsid w:val="00023911"/>
    <w:rsid w:val="00023AFD"/>
    <w:rsid w:val="00023B9C"/>
    <w:rsid w:val="00023D90"/>
    <w:rsid w:val="00023FDD"/>
    <w:rsid w:val="000240D4"/>
    <w:rsid w:val="00024159"/>
    <w:rsid w:val="00024479"/>
    <w:rsid w:val="000246AF"/>
    <w:rsid w:val="00024B3D"/>
    <w:rsid w:val="00024FD1"/>
    <w:rsid w:val="0002501E"/>
    <w:rsid w:val="00025180"/>
    <w:rsid w:val="0002521D"/>
    <w:rsid w:val="000252AB"/>
    <w:rsid w:val="00025330"/>
    <w:rsid w:val="0002546D"/>
    <w:rsid w:val="000256CA"/>
    <w:rsid w:val="00025BBC"/>
    <w:rsid w:val="00025D96"/>
    <w:rsid w:val="00025E34"/>
    <w:rsid w:val="00025E53"/>
    <w:rsid w:val="00025E6A"/>
    <w:rsid w:val="00025F5A"/>
    <w:rsid w:val="00026066"/>
    <w:rsid w:val="0002610D"/>
    <w:rsid w:val="00026389"/>
    <w:rsid w:val="00026737"/>
    <w:rsid w:val="00026818"/>
    <w:rsid w:val="000269B6"/>
    <w:rsid w:val="00026A50"/>
    <w:rsid w:val="00026AE9"/>
    <w:rsid w:val="00026D0B"/>
    <w:rsid w:val="00026EE4"/>
    <w:rsid w:val="0002718B"/>
    <w:rsid w:val="000271F8"/>
    <w:rsid w:val="00027664"/>
    <w:rsid w:val="00027735"/>
    <w:rsid w:val="00027915"/>
    <w:rsid w:val="00027B4B"/>
    <w:rsid w:val="00027E0E"/>
    <w:rsid w:val="00030582"/>
    <w:rsid w:val="00030A75"/>
    <w:rsid w:val="00030B42"/>
    <w:rsid w:val="00030BC9"/>
    <w:rsid w:val="00030C1A"/>
    <w:rsid w:val="00030CE8"/>
    <w:rsid w:val="00030D7B"/>
    <w:rsid w:val="00031166"/>
    <w:rsid w:val="000312B0"/>
    <w:rsid w:val="0003139F"/>
    <w:rsid w:val="000314FC"/>
    <w:rsid w:val="00031844"/>
    <w:rsid w:val="00031A13"/>
    <w:rsid w:val="00031B5A"/>
    <w:rsid w:val="000320CB"/>
    <w:rsid w:val="00032419"/>
    <w:rsid w:val="00032603"/>
    <w:rsid w:val="00032721"/>
    <w:rsid w:val="000327DD"/>
    <w:rsid w:val="00032947"/>
    <w:rsid w:val="00032C2A"/>
    <w:rsid w:val="00032C69"/>
    <w:rsid w:val="00032D5F"/>
    <w:rsid w:val="00032E9E"/>
    <w:rsid w:val="00033116"/>
    <w:rsid w:val="00033332"/>
    <w:rsid w:val="000333BC"/>
    <w:rsid w:val="00033765"/>
    <w:rsid w:val="00033906"/>
    <w:rsid w:val="00033928"/>
    <w:rsid w:val="000339CE"/>
    <w:rsid w:val="00033AC1"/>
    <w:rsid w:val="00033AF9"/>
    <w:rsid w:val="00033B79"/>
    <w:rsid w:val="00033E9F"/>
    <w:rsid w:val="00033EA0"/>
    <w:rsid w:val="00034036"/>
    <w:rsid w:val="000341A9"/>
    <w:rsid w:val="00034456"/>
    <w:rsid w:val="000346EB"/>
    <w:rsid w:val="000347D6"/>
    <w:rsid w:val="000347F4"/>
    <w:rsid w:val="000349AC"/>
    <w:rsid w:val="000349BB"/>
    <w:rsid w:val="00034A88"/>
    <w:rsid w:val="00034BAC"/>
    <w:rsid w:val="00035116"/>
    <w:rsid w:val="000356DA"/>
    <w:rsid w:val="0003571E"/>
    <w:rsid w:val="000359F6"/>
    <w:rsid w:val="00035AC1"/>
    <w:rsid w:val="00035B0B"/>
    <w:rsid w:val="000360EE"/>
    <w:rsid w:val="000363C5"/>
    <w:rsid w:val="00036641"/>
    <w:rsid w:val="0003688C"/>
    <w:rsid w:val="00036A31"/>
    <w:rsid w:val="00036B1D"/>
    <w:rsid w:val="00036C17"/>
    <w:rsid w:val="00036EF4"/>
    <w:rsid w:val="00036FA5"/>
    <w:rsid w:val="00037045"/>
    <w:rsid w:val="0003705A"/>
    <w:rsid w:val="00037061"/>
    <w:rsid w:val="00037093"/>
    <w:rsid w:val="000370F6"/>
    <w:rsid w:val="00037394"/>
    <w:rsid w:val="00037461"/>
    <w:rsid w:val="0003774B"/>
    <w:rsid w:val="000378F5"/>
    <w:rsid w:val="00037A85"/>
    <w:rsid w:val="00037DA0"/>
    <w:rsid w:val="00037DDB"/>
    <w:rsid w:val="00040453"/>
    <w:rsid w:val="0004058E"/>
    <w:rsid w:val="000405F0"/>
    <w:rsid w:val="000407F2"/>
    <w:rsid w:val="0004088B"/>
    <w:rsid w:val="00040C0B"/>
    <w:rsid w:val="00040C66"/>
    <w:rsid w:val="00040CC3"/>
    <w:rsid w:val="000411A5"/>
    <w:rsid w:val="0004128F"/>
    <w:rsid w:val="00041436"/>
    <w:rsid w:val="00041A04"/>
    <w:rsid w:val="00041E3A"/>
    <w:rsid w:val="0004216E"/>
    <w:rsid w:val="00042218"/>
    <w:rsid w:val="000423BC"/>
    <w:rsid w:val="000424AC"/>
    <w:rsid w:val="000427ED"/>
    <w:rsid w:val="000428EB"/>
    <w:rsid w:val="00042B91"/>
    <w:rsid w:val="00042C67"/>
    <w:rsid w:val="00042C89"/>
    <w:rsid w:val="00042FB3"/>
    <w:rsid w:val="00043075"/>
    <w:rsid w:val="0004313A"/>
    <w:rsid w:val="00043152"/>
    <w:rsid w:val="0004339E"/>
    <w:rsid w:val="0004342A"/>
    <w:rsid w:val="00043534"/>
    <w:rsid w:val="00043724"/>
    <w:rsid w:val="000437B0"/>
    <w:rsid w:val="00043CDC"/>
    <w:rsid w:val="00043D47"/>
    <w:rsid w:val="00043E53"/>
    <w:rsid w:val="00043EBA"/>
    <w:rsid w:val="00043EBE"/>
    <w:rsid w:val="00044037"/>
    <w:rsid w:val="00044180"/>
    <w:rsid w:val="00044438"/>
    <w:rsid w:val="00044558"/>
    <w:rsid w:val="000445A8"/>
    <w:rsid w:val="0004474B"/>
    <w:rsid w:val="00044A7E"/>
    <w:rsid w:val="00044A8A"/>
    <w:rsid w:val="00044AA6"/>
    <w:rsid w:val="00044ACF"/>
    <w:rsid w:val="00044E2F"/>
    <w:rsid w:val="00044FAE"/>
    <w:rsid w:val="000450B4"/>
    <w:rsid w:val="000450EB"/>
    <w:rsid w:val="000450F1"/>
    <w:rsid w:val="00045222"/>
    <w:rsid w:val="00045281"/>
    <w:rsid w:val="00045287"/>
    <w:rsid w:val="00045424"/>
    <w:rsid w:val="0004575C"/>
    <w:rsid w:val="0004579B"/>
    <w:rsid w:val="00045C27"/>
    <w:rsid w:val="00045FB5"/>
    <w:rsid w:val="000460C3"/>
    <w:rsid w:val="0004627C"/>
    <w:rsid w:val="000465C9"/>
    <w:rsid w:val="000467E5"/>
    <w:rsid w:val="000469CF"/>
    <w:rsid w:val="00046BEE"/>
    <w:rsid w:val="00046D84"/>
    <w:rsid w:val="00046DB3"/>
    <w:rsid w:val="00046EA4"/>
    <w:rsid w:val="00046ED2"/>
    <w:rsid w:val="0004710C"/>
    <w:rsid w:val="0004724B"/>
    <w:rsid w:val="00047293"/>
    <w:rsid w:val="0004736E"/>
    <w:rsid w:val="000474D4"/>
    <w:rsid w:val="000475F7"/>
    <w:rsid w:val="0004776A"/>
    <w:rsid w:val="000477B4"/>
    <w:rsid w:val="000478FD"/>
    <w:rsid w:val="0004791E"/>
    <w:rsid w:val="00047A14"/>
    <w:rsid w:val="00047AC0"/>
    <w:rsid w:val="00050281"/>
    <w:rsid w:val="00050317"/>
    <w:rsid w:val="00050453"/>
    <w:rsid w:val="0005049C"/>
    <w:rsid w:val="00050556"/>
    <w:rsid w:val="00050702"/>
    <w:rsid w:val="00050A2F"/>
    <w:rsid w:val="00050CDE"/>
    <w:rsid w:val="00050EA4"/>
    <w:rsid w:val="00051296"/>
    <w:rsid w:val="0005138B"/>
    <w:rsid w:val="000513E9"/>
    <w:rsid w:val="0005142F"/>
    <w:rsid w:val="00051756"/>
    <w:rsid w:val="00051979"/>
    <w:rsid w:val="00051BCD"/>
    <w:rsid w:val="00051CA8"/>
    <w:rsid w:val="00051CF5"/>
    <w:rsid w:val="00051FF9"/>
    <w:rsid w:val="000521EB"/>
    <w:rsid w:val="000522DB"/>
    <w:rsid w:val="000523FB"/>
    <w:rsid w:val="00052477"/>
    <w:rsid w:val="00052732"/>
    <w:rsid w:val="00052B6A"/>
    <w:rsid w:val="00053252"/>
    <w:rsid w:val="000533CE"/>
    <w:rsid w:val="000534F4"/>
    <w:rsid w:val="00053539"/>
    <w:rsid w:val="0005355A"/>
    <w:rsid w:val="00053662"/>
    <w:rsid w:val="00053A75"/>
    <w:rsid w:val="00053BEB"/>
    <w:rsid w:val="00053D18"/>
    <w:rsid w:val="00053E2A"/>
    <w:rsid w:val="00054441"/>
    <w:rsid w:val="000544D3"/>
    <w:rsid w:val="00054994"/>
    <w:rsid w:val="00054D30"/>
    <w:rsid w:val="00055216"/>
    <w:rsid w:val="00055370"/>
    <w:rsid w:val="000553B3"/>
    <w:rsid w:val="000554B0"/>
    <w:rsid w:val="00055963"/>
    <w:rsid w:val="00055ADC"/>
    <w:rsid w:val="00055B12"/>
    <w:rsid w:val="00055E7A"/>
    <w:rsid w:val="00055EA8"/>
    <w:rsid w:val="00055EC7"/>
    <w:rsid w:val="00055F3E"/>
    <w:rsid w:val="00056096"/>
    <w:rsid w:val="000566B3"/>
    <w:rsid w:val="0005672F"/>
    <w:rsid w:val="000567D1"/>
    <w:rsid w:val="00056855"/>
    <w:rsid w:val="00056AD9"/>
    <w:rsid w:val="00056B23"/>
    <w:rsid w:val="00056B77"/>
    <w:rsid w:val="00056EFC"/>
    <w:rsid w:val="00056F3B"/>
    <w:rsid w:val="00056F6A"/>
    <w:rsid w:val="00056FE4"/>
    <w:rsid w:val="000570DE"/>
    <w:rsid w:val="0005713D"/>
    <w:rsid w:val="00057457"/>
    <w:rsid w:val="000574DC"/>
    <w:rsid w:val="00057637"/>
    <w:rsid w:val="00057656"/>
    <w:rsid w:val="00057ACE"/>
    <w:rsid w:val="00060014"/>
    <w:rsid w:val="000602EE"/>
    <w:rsid w:val="000604AA"/>
    <w:rsid w:val="00060563"/>
    <w:rsid w:val="0006068B"/>
    <w:rsid w:val="000608E1"/>
    <w:rsid w:val="00060926"/>
    <w:rsid w:val="00060A6F"/>
    <w:rsid w:val="00060AB1"/>
    <w:rsid w:val="00060DCD"/>
    <w:rsid w:val="00060FC1"/>
    <w:rsid w:val="00061060"/>
    <w:rsid w:val="00061182"/>
    <w:rsid w:val="0006135A"/>
    <w:rsid w:val="000613B2"/>
    <w:rsid w:val="00061535"/>
    <w:rsid w:val="00061958"/>
    <w:rsid w:val="00061ABE"/>
    <w:rsid w:val="00061F5D"/>
    <w:rsid w:val="00062166"/>
    <w:rsid w:val="00062440"/>
    <w:rsid w:val="00062470"/>
    <w:rsid w:val="00062622"/>
    <w:rsid w:val="00062AA5"/>
    <w:rsid w:val="00062D84"/>
    <w:rsid w:val="00062DF9"/>
    <w:rsid w:val="00062E71"/>
    <w:rsid w:val="00062EA6"/>
    <w:rsid w:val="00062FDE"/>
    <w:rsid w:val="0006319B"/>
    <w:rsid w:val="000632FA"/>
    <w:rsid w:val="00063382"/>
    <w:rsid w:val="000636AD"/>
    <w:rsid w:val="00063784"/>
    <w:rsid w:val="00063811"/>
    <w:rsid w:val="0006387C"/>
    <w:rsid w:val="000638DC"/>
    <w:rsid w:val="0006393D"/>
    <w:rsid w:val="00063A34"/>
    <w:rsid w:val="00063C65"/>
    <w:rsid w:val="00063D6B"/>
    <w:rsid w:val="00063D90"/>
    <w:rsid w:val="00064094"/>
    <w:rsid w:val="00064147"/>
    <w:rsid w:val="00064224"/>
    <w:rsid w:val="000643A3"/>
    <w:rsid w:val="00064543"/>
    <w:rsid w:val="000647B0"/>
    <w:rsid w:val="00064810"/>
    <w:rsid w:val="00064D9B"/>
    <w:rsid w:val="00064ED4"/>
    <w:rsid w:val="0006522A"/>
    <w:rsid w:val="0006544D"/>
    <w:rsid w:val="0006548B"/>
    <w:rsid w:val="00065866"/>
    <w:rsid w:val="00065919"/>
    <w:rsid w:val="0006593A"/>
    <w:rsid w:val="00065C21"/>
    <w:rsid w:val="00065C90"/>
    <w:rsid w:val="000664F7"/>
    <w:rsid w:val="000665C3"/>
    <w:rsid w:val="0006695E"/>
    <w:rsid w:val="00066F27"/>
    <w:rsid w:val="00067060"/>
    <w:rsid w:val="000671D2"/>
    <w:rsid w:val="000671ED"/>
    <w:rsid w:val="0006736E"/>
    <w:rsid w:val="000673BA"/>
    <w:rsid w:val="00067421"/>
    <w:rsid w:val="000676C0"/>
    <w:rsid w:val="000677D4"/>
    <w:rsid w:val="00067A3E"/>
    <w:rsid w:val="00067A9D"/>
    <w:rsid w:val="00067D53"/>
    <w:rsid w:val="00067FF3"/>
    <w:rsid w:val="0007008B"/>
    <w:rsid w:val="00070222"/>
    <w:rsid w:val="000704DD"/>
    <w:rsid w:val="0007093B"/>
    <w:rsid w:val="00070CA8"/>
    <w:rsid w:val="00070CB8"/>
    <w:rsid w:val="000712F9"/>
    <w:rsid w:val="0007146E"/>
    <w:rsid w:val="000714E2"/>
    <w:rsid w:val="00071621"/>
    <w:rsid w:val="00071D7C"/>
    <w:rsid w:val="00071DBA"/>
    <w:rsid w:val="00071DC2"/>
    <w:rsid w:val="0007221D"/>
    <w:rsid w:val="000722AD"/>
    <w:rsid w:val="000725E4"/>
    <w:rsid w:val="000725EC"/>
    <w:rsid w:val="000725F1"/>
    <w:rsid w:val="00072608"/>
    <w:rsid w:val="000727BD"/>
    <w:rsid w:val="00072A2F"/>
    <w:rsid w:val="00072E5A"/>
    <w:rsid w:val="00072E85"/>
    <w:rsid w:val="00073131"/>
    <w:rsid w:val="00073255"/>
    <w:rsid w:val="000732BB"/>
    <w:rsid w:val="00073418"/>
    <w:rsid w:val="00073A9E"/>
    <w:rsid w:val="00073DBB"/>
    <w:rsid w:val="00073E5D"/>
    <w:rsid w:val="00073EA2"/>
    <w:rsid w:val="00073F20"/>
    <w:rsid w:val="00074177"/>
    <w:rsid w:val="00074220"/>
    <w:rsid w:val="00074320"/>
    <w:rsid w:val="000744DA"/>
    <w:rsid w:val="00074885"/>
    <w:rsid w:val="00074995"/>
    <w:rsid w:val="00074AE2"/>
    <w:rsid w:val="00074B1D"/>
    <w:rsid w:val="00074C85"/>
    <w:rsid w:val="000755B1"/>
    <w:rsid w:val="00075A90"/>
    <w:rsid w:val="00075AE0"/>
    <w:rsid w:val="00075AE4"/>
    <w:rsid w:val="000763D6"/>
    <w:rsid w:val="00076416"/>
    <w:rsid w:val="00076427"/>
    <w:rsid w:val="00076682"/>
    <w:rsid w:val="000766C0"/>
    <w:rsid w:val="00076849"/>
    <w:rsid w:val="00076ABD"/>
    <w:rsid w:val="00076CA1"/>
    <w:rsid w:val="00076CC5"/>
    <w:rsid w:val="00076D00"/>
    <w:rsid w:val="00076F68"/>
    <w:rsid w:val="00076FA5"/>
    <w:rsid w:val="0007708E"/>
    <w:rsid w:val="00077243"/>
    <w:rsid w:val="0007724B"/>
    <w:rsid w:val="000773B3"/>
    <w:rsid w:val="000773F0"/>
    <w:rsid w:val="000774BD"/>
    <w:rsid w:val="00077517"/>
    <w:rsid w:val="00077735"/>
    <w:rsid w:val="000779A0"/>
    <w:rsid w:val="00077AD0"/>
    <w:rsid w:val="00077B75"/>
    <w:rsid w:val="00077B9F"/>
    <w:rsid w:val="00077CAF"/>
    <w:rsid w:val="00080015"/>
    <w:rsid w:val="00080062"/>
    <w:rsid w:val="00080365"/>
    <w:rsid w:val="00080642"/>
    <w:rsid w:val="00080884"/>
    <w:rsid w:val="000808F1"/>
    <w:rsid w:val="000809CC"/>
    <w:rsid w:val="000809EC"/>
    <w:rsid w:val="00080B72"/>
    <w:rsid w:val="00080BB4"/>
    <w:rsid w:val="00080C22"/>
    <w:rsid w:val="00081574"/>
    <w:rsid w:val="00081675"/>
    <w:rsid w:val="00081A0C"/>
    <w:rsid w:val="00081BD0"/>
    <w:rsid w:val="00081C8E"/>
    <w:rsid w:val="00081CAC"/>
    <w:rsid w:val="00081F98"/>
    <w:rsid w:val="00082510"/>
    <w:rsid w:val="00082C91"/>
    <w:rsid w:val="00082F93"/>
    <w:rsid w:val="00083673"/>
    <w:rsid w:val="00083946"/>
    <w:rsid w:val="00083C47"/>
    <w:rsid w:val="00083DD2"/>
    <w:rsid w:val="00083E1A"/>
    <w:rsid w:val="00083E8B"/>
    <w:rsid w:val="00083F15"/>
    <w:rsid w:val="000843A4"/>
    <w:rsid w:val="000843FB"/>
    <w:rsid w:val="00084598"/>
    <w:rsid w:val="000846CC"/>
    <w:rsid w:val="000847DC"/>
    <w:rsid w:val="00084C8F"/>
    <w:rsid w:val="00084D24"/>
    <w:rsid w:val="00084DAC"/>
    <w:rsid w:val="00085053"/>
    <w:rsid w:val="0008524F"/>
    <w:rsid w:val="000852B5"/>
    <w:rsid w:val="000852F7"/>
    <w:rsid w:val="00085597"/>
    <w:rsid w:val="00085719"/>
    <w:rsid w:val="00085B30"/>
    <w:rsid w:val="00085D91"/>
    <w:rsid w:val="00085E35"/>
    <w:rsid w:val="000865F0"/>
    <w:rsid w:val="00086711"/>
    <w:rsid w:val="00086844"/>
    <w:rsid w:val="00086A0B"/>
    <w:rsid w:val="00086A71"/>
    <w:rsid w:val="00086AE9"/>
    <w:rsid w:val="00086BB3"/>
    <w:rsid w:val="00086DD7"/>
    <w:rsid w:val="00087207"/>
    <w:rsid w:val="000876B2"/>
    <w:rsid w:val="00087795"/>
    <w:rsid w:val="000878DC"/>
    <w:rsid w:val="00087AC8"/>
    <w:rsid w:val="00087BEB"/>
    <w:rsid w:val="00087C2D"/>
    <w:rsid w:val="00087C43"/>
    <w:rsid w:val="00087F9A"/>
    <w:rsid w:val="00087FD3"/>
    <w:rsid w:val="00090038"/>
    <w:rsid w:val="00090187"/>
    <w:rsid w:val="000901A2"/>
    <w:rsid w:val="0009051D"/>
    <w:rsid w:val="000906EF"/>
    <w:rsid w:val="00090E05"/>
    <w:rsid w:val="00090E26"/>
    <w:rsid w:val="00090F36"/>
    <w:rsid w:val="0009135C"/>
    <w:rsid w:val="00091453"/>
    <w:rsid w:val="0009147D"/>
    <w:rsid w:val="00091699"/>
    <w:rsid w:val="00091865"/>
    <w:rsid w:val="00091B12"/>
    <w:rsid w:val="00091E23"/>
    <w:rsid w:val="00091EB0"/>
    <w:rsid w:val="0009211A"/>
    <w:rsid w:val="000923C3"/>
    <w:rsid w:val="000924F4"/>
    <w:rsid w:val="00092570"/>
    <w:rsid w:val="000926A5"/>
    <w:rsid w:val="0009292E"/>
    <w:rsid w:val="0009298D"/>
    <w:rsid w:val="00092BF5"/>
    <w:rsid w:val="00092D45"/>
    <w:rsid w:val="00093023"/>
    <w:rsid w:val="000931B5"/>
    <w:rsid w:val="00093348"/>
    <w:rsid w:val="00093425"/>
    <w:rsid w:val="0009343E"/>
    <w:rsid w:val="0009347E"/>
    <w:rsid w:val="0009355E"/>
    <w:rsid w:val="0009367D"/>
    <w:rsid w:val="000936C3"/>
    <w:rsid w:val="00093934"/>
    <w:rsid w:val="000939A9"/>
    <w:rsid w:val="00093DEE"/>
    <w:rsid w:val="00093EBE"/>
    <w:rsid w:val="00093F4B"/>
    <w:rsid w:val="00093F62"/>
    <w:rsid w:val="00093F96"/>
    <w:rsid w:val="000940BD"/>
    <w:rsid w:val="000941E7"/>
    <w:rsid w:val="00094359"/>
    <w:rsid w:val="000944BE"/>
    <w:rsid w:val="000945C2"/>
    <w:rsid w:val="000945CC"/>
    <w:rsid w:val="000946D2"/>
    <w:rsid w:val="00094770"/>
    <w:rsid w:val="00094796"/>
    <w:rsid w:val="000947FD"/>
    <w:rsid w:val="00094A48"/>
    <w:rsid w:val="00094AF0"/>
    <w:rsid w:val="00094B62"/>
    <w:rsid w:val="00094DF3"/>
    <w:rsid w:val="000950C2"/>
    <w:rsid w:val="00095261"/>
    <w:rsid w:val="000952CF"/>
    <w:rsid w:val="0009536D"/>
    <w:rsid w:val="00095476"/>
    <w:rsid w:val="000954B7"/>
    <w:rsid w:val="00095791"/>
    <w:rsid w:val="00095825"/>
    <w:rsid w:val="00095C81"/>
    <w:rsid w:val="00095CF8"/>
    <w:rsid w:val="00095DEA"/>
    <w:rsid w:val="00095E54"/>
    <w:rsid w:val="00095EB6"/>
    <w:rsid w:val="000960B2"/>
    <w:rsid w:val="00096140"/>
    <w:rsid w:val="0009671C"/>
    <w:rsid w:val="00096CC0"/>
    <w:rsid w:val="00096CD4"/>
    <w:rsid w:val="00096E3A"/>
    <w:rsid w:val="00096F1C"/>
    <w:rsid w:val="00096FA2"/>
    <w:rsid w:val="00097057"/>
    <w:rsid w:val="000970CE"/>
    <w:rsid w:val="00097382"/>
    <w:rsid w:val="000973A7"/>
    <w:rsid w:val="00097539"/>
    <w:rsid w:val="0009770D"/>
    <w:rsid w:val="000977A0"/>
    <w:rsid w:val="00097C5B"/>
    <w:rsid w:val="00097CAE"/>
    <w:rsid w:val="00097E2F"/>
    <w:rsid w:val="00097E42"/>
    <w:rsid w:val="000A0034"/>
    <w:rsid w:val="000A00EE"/>
    <w:rsid w:val="000A024C"/>
    <w:rsid w:val="000A03DF"/>
    <w:rsid w:val="000A05E2"/>
    <w:rsid w:val="000A0B57"/>
    <w:rsid w:val="000A0BCA"/>
    <w:rsid w:val="000A1685"/>
    <w:rsid w:val="000A1A65"/>
    <w:rsid w:val="000A1BD9"/>
    <w:rsid w:val="000A2146"/>
    <w:rsid w:val="000A2181"/>
    <w:rsid w:val="000A21C1"/>
    <w:rsid w:val="000A21D6"/>
    <w:rsid w:val="000A2202"/>
    <w:rsid w:val="000A24B5"/>
    <w:rsid w:val="000A26DB"/>
    <w:rsid w:val="000A2931"/>
    <w:rsid w:val="000A326B"/>
    <w:rsid w:val="000A342C"/>
    <w:rsid w:val="000A3811"/>
    <w:rsid w:val="000A39E5"/>
    <w:rsid w:val="000A3B70"/>
    <w:rsid w:val="000A3C07"/>
    <w:rsid w:val="000A3E84"/>
    <w:rsid w:val="000A3FA4"/>
    <w:rsid w:val="000A4285"/>
    <w:rsid w:val="000A4367"/>
    <w:rsid w:val="000A4468"/>
    <w:rsid w:val="000A457A"/>
    <w:rsid w:val="000A470D"/>
    <w:rsid w:val="000A49D3"/>
    <w:rsid w:val="000A57BB"/>
    <w:rsid w:val="000A5B48"/>
    <w:rsid w:val="000A5B9E"/>
    <w:rsid w:val="000A67FE"/>
    <w:rsid w:val="000A6B7B"/>
    <w:rsid w:val="000A6DA5"/>
    <w:rsid w:val="000A70C4"/>
    <w:rsid w:val="000A723D"/>
    <w:rsid w:val="000A72D1"/>
    <w:rsid w:val="000A736E"/>
    <w:rsid w:val="000A7487"/>
    <w:rsid w:val="000A7549"/>
    <w:rsid w:val="000A7578"/>
    <w:rsid w:val="000A7774"/>
    <w:rsid w:val="000A7B90"/>
    <w:rsid w:val="000A7BB6"/>
    <w:rsid w:val="000B01A3"/>
    <w:rsid w:val="000B01AD"/>
    <w:rsid w:val="000B0470"/>
    <w:rsid w:val="000B0970"/>
    <w:rsid w:val="000B0B24"/>
    <w:rsid w:val="000B0D2C"/>
    <w:rsid w:val="000B0D9E"/>
    <w:rsid w:val="000B0E52"/>
    <w:rsid w:val="000B12ED"/>
    <w:rsid w:val="000B13EA"/>
    <w:rsid w:val="000B1476"/>
    <w:rsid w:val="000B14C7"/>
    <w:rsid w:val="000B15CC"/>
    <w:rsid w:val="000B166C"/>
    <w:rsid w:val="000B1ABB"/>
    <w:rsid w:val="000B1C9D"/>
    <w:rsid w:val="000B1E4B"/>
    <w:rsid w:val="000B1EF9"/>
    <w:rsid w:val="000B1FBD"/>
    <w:rsid w:val="000B215F"/>
    <w:rsid w:val="000B2229"/>
    <w:rsid w:val="000B2402"/>
    <w:rsid w:val="000B249E"/>
    <w:rsid w:val="000B252A"/>
    <w:rsid w:val="000B259D"/>
    <w:rsid w:val="000B2630"/>
    <w:rsid w:val="000B26C4"/>
    <w:rsid w:val="000B2892"/>
    <w:rsid w:val="000B2C44"/>
    <w:rsid w:val="000B2D3D"/>
    <w:rsid w:val="000B3012"/>
    <w:rsid w:val="000B3205"/>
    <w:rsid w:val="000B32B8"/>
    <w:rsid w:val="000B33EB"/>
    <w:rsid w:val="000B35DE"/>
    <w:rsid w:val="000B3631"/>
    <w:rsid w:val="000B3BCA"/>
    <w:rsid w:val="000B40D3"/>
    <w:rsid w:val="000B41D7"/>
    <w:rsid w:val="000B42D5"/>
    <w:rsid w:val="000B48E0"/>
    <w:rsid w:val="000B499E"/>
    <w:rsid w:val="000B4B87"/>
    <w:rsid w:val="000B4D5B"/>
    <w:rsid w:val="000B515C"/>
    <w:rsid w:val="000B5261"/>
    <w:rsid w:val="000B53C7"/>
    <w:rsid w:val="000B53DE"/>
    <w:rsid w:val="000B56E6"/>
    <w:rsid w:val="000B575F"/>
    <w:rsid w:val="000B577C"/>
    <w:rsid w:val="000B57E9"/>
    <w:rsid w:val="000B5AE8"/>
    <w:rsid w:val="000B5BF6"/>
    <w:rsid w:val="000B5C0E"/>
    <w:rsid w:val="000B5C50"/>
    <w:rsid w:val="000B5CF6"/>
    <w:rsid w:val="000B5D92"/>
    <w:rsid w:val="000B5DDF"/>
    <w:rsid w:val="000B5E1E"/>
    <w:rsid w:val="000B5F19"/>
    <w:rsid w:val="000B5F98"/>
    <w:rsid w:val="000B604B"/>
    <w:rsid w:val="000B613E"/>
    <w:rsid w:val="000B62AD"/>
    <w:rsid w:val="000B68EA"/>
    <w:rsid w:val="000B6982"/>
    <w:rsid w:val="000B6A1D"/>
    <w:rsid w:val="000B6C62"/>
    <w:rsid w:val="000B6C68"/>
    <w:rsid w:val="000B717E"/>
    <w:rsid w:val="000B7180"/>
    <w:rsid w:val="000B71E6"/>
    <w:rsid w:val="000B73A3"/>
    <w:rsid w:val="000B742A"/>
    <w:rsid w:val="000B7510"/>
    <w:rsid w:val="000B757B"/>
    <w:rsid w:val="000B762C"/>
    <w:rsid w:val="000B79F1"/>
    <w:rsid w:val="000B7BE2"/>
    <w:rsid w:val="000B7F11"/>
    <w:rsid w:val="000B7FDE"/>
    <w:rsid w:val="000C014D"/>
    <w:rsid w:val="000C0321"/>
    <w:rsid w:val="000C0B0C"/>
    <w:rsid w:val="000C0B1A"/>
    <w:rsid w:val="000C0C8B"/>
    <w:rsid w:val="000C1215"/>
    <w:rsid w:val="000C1616"/>
    <w:rsid w:val="000C17AA"/>
    <w:rsid w:val="000C17E7"/>
    <w:rsid w:val="000C1A3C"/>
    <w:rsid w:val="000C1D3A"/>
    <w:rsid w:val="000C218C"/>
    <w:rsid w:val="000C2A9A"/>
    <w:rsid w:val="000C2B65"/>
    <w:rsid w:val="000C3073"/>
    <w:rsid w:val="000C331D"/>
    <w:rsid w:val="000C3471"/>
    <w:rsid w:val="000C3756"/>
    <w:rsid w:val="000C3761"/>
    <w:rsid w:val="000C3781"/>
    <w:rsid w:val="000C3CCE"/>
    <w:rsid w:val="000C3FFF"/>
    <w:rsid w:val="000C405F"/>
    <w:rsid w:val="000C4217"/>
    <w:rsid w:val="000C42CB"/>
    <w:rsid w:val="000C4388"/>
    <w:rsid w:val="000C470F"/>
    <w:rsid w:val="000C4B2C"/>
    <w:rsid w:val="000C5036"/>
    <w:rsid w:val="000C5087"/>
    <w:rsid w:val="000C52B3"/>
    <w:rsid w:val="000C52DB"/>
    <w:rsid w:val="000C53A6"/>
    <w:rsid w:val="000C557F"/>
    <w:rsid w:val="000C5671"/>
    <w:rsid w:val="000C56B1"/>
    <w:rsid w:val="000C5A08"/>
    <w:rsid w:val="000C5B47"/>
    <w:rsid w:val="000C5BD7"/>
    <w:rsid w:val="000C5BFA"/>
    <w:rsid w:val="000C5CB1"/>
    <w:rsid w:val="000C5EF7"/>
    <w:rsid w:val="000C5F0B"/>
    <w:rsid w:val="000C658E"/>
    <w:rsid w:val="000C65C5"/>
    <w:rsid w:val="000C68A8"/>
    <w:rsid w:val="000C7058"/>
    <w:rsid w:val="000C706C"/>
    <w:rsid w:val="000C7112"/>
    <w:rsid w:val="000C7372"/>
    <w:rsid w:val="000C757D"/>
    <w:rsid w:val="000C75A3"/>
    <w:rsid w:val="000C779A"/>
    <w:rsid w:val="000C79D0"/>
    <w:rsid w:val="000C7C2E"/>
    <w:rsid w:val="000C7CC7"/>
    <w:rsid w:val="000C7CCE"/>
    <w:rsid w:val="000C7FC6"/>
    <w:rsid w:val="000D0131"/>
    <w:rsid w:val="000D0137"/>
    <w:rsid w:val="000D01A5"/>
    <w:rsid w:val="000D03BA"/>
    <w:rsid w:val="000D0624"/>
    <w:rsid w:val="000D075E"/>
    <w:rsid w:val="000D091D"/>
    <w:rsid w:val="000D0BBF"/>
    <w:rsid w:val="000D0D2E"/>
    <w:rsid w:val="000D0F10"/>
    <w:rsid w:val="000D1011"/>
    <w:rsid w:val="000D1173"/>
    <w:rsid w:val="000D1318"/>
    <w:rsid w:val="000D135F"/>
    <w:rsid w:val="000D138D"/>
    <w:rsid w:val="000D1BC0"/>
    <w:rsid w:val="000D1C5D"/>
    <w:rsid w:val="000D1EA1"/>
    <w:rsid w:val="000D1ED7"/>
    <w:rsid w:val="000D1F0A"/>
    <w:rsid w:val="000D2104"/>
    <w:rsid w:val="000D2105"/>
    <w:rsid w:val="000D21FD"/>
    <w:rsid w:val="000D24F1"/>
    <w:rsid w:val="000D2780"/>
    <w:rsid w:val="000D2994"/>
    <w:rsid w:val="000D2A39"/>
    <w:rsid w:val="000D2B23"/>
    <w:rsid w:val="000D2E46"/>
    <w:rsid w:val="000D3082"/>
    <w:rsid w:val="000D31CC"/>
    <w:rsid w:val="000D320E"/>
    <w:rsid w:val="000D34C2"/>
    <w:rsid w:val="000D34F8"/>
    <w:rsid w:val="000D3639"/>
    <w:rsid w:val="000D36A8"/>
    <w:rsid w:val="000D3725"/>
    <w:rsid w:val="000D3886"/>
    <w:rsid w:val="000D3984"/>
    <w:rsid w:val="000D3D26"/>
    <w:rsid w:val="000D4476"/>
    <w:rsid w:val="000D48CD"/>
    <w:rsid w:val="000D49AC"/>
    <w:rsid w:val="000D4B4B"/>
    <w:rsid w:val="000D4DD4"/>
    <w:rsid w:val="000D4E0F"/>
    <w:rsid w:val="000D50E2"/>
    <w:rsid w:val="000D52F0"/>
    <w:rsid w:val="000D57FF"/>
    <w:rsid w:val="000D58CA"/>
    <w:rsid w:val="000D5CDD"/>
    <w:rsid w:val="000D5ED2"/>
    <w:rsid w:val="000D5ED6"/>
    <w:rsid w:val="000D60B7"/>
    <w:rsid w:val="000D6128"/>
    <w:rsid w:val="000D6290"/>
    <w:rsid w:val="000D6737"/>
    <w:rsid w:val="000D686F"/>
    <w:rsid w:val="000D6988"/>
    <w:rsid w:val="000D6A76"/>
    <w:rsid w:val="000D6AED"/>
    <w:rsid w:val="000D74A1"/>
    <w:rsid w:val="000D7823"/>
    <w:rsid w:val="000D79CA"/>
    <w:rsid w:val="000D7FED"/>
    <w:rsid w:val="000E0263"/>
    <w:rsid w:val="000E02A9"/>
    <w:rsid w:val="000E031E"/>
    <w:rsid w:val="000E047D"/>
    <w:rsid w:val="000E091B"/>
    <w:rsid w:val="000E0BD2"/>
    <w:rsid w:val="000E10B3"/>
    <w:rsid w:val="000E117B"/>
    <w:rsid w:val="000E11AB"/>
    <w:rsid w:val="000E122A"/>
    <w:rsid w:val="000E1813"/>
    <w:rsid w:val="000E1B17"/>
    <w:rsid w:val="000E1BB9"/>
    <w:rsid w:val="000E1E7D"/>
    <w:rsid w:val="000E2053"/>
    <w:rsid w:val="000E2092"/>
    <w:rsid w:val="000E20F4"/>
    <w:rsid w:val="000E25A1"/>
    <w:rsid w:val="000E25AB"/>
    <w:rsid w:val="000E27C5"/>
    <w:rsid w:val="000E2C6F"/>
    <w:rsid w:val="000E2E1B"/>
    <w:rsid w:val="000E2E88"/>
    <w:rsid w:val="000E2ED1"/>
    <w:rsid w:val="000E2FB3"/>
    <w:rsid w:val="000E2FC5"/>
    <w:rsid w:val="000E30AC"/>
    <w:rsid w:val="000E30F2"/>
    <w:rsid w:val="000E31B2"/>
    <w:rsid w:val="000E31C5"/>
    <w:rsid w:val="000E3473"/>
    <w:rsid w:val="000E3732"/>
    <w:rsid w:val="000E39F3"/>
    <w:rsid w:val="000E3A31"/>
    <w:rsid w:val="000E3C2F"/>
    <w:rsid w:val="000E3DDE"/>
    <w:rsid w:val="000E3DE5"/>
    <w:rsid w:val="000E4024"/>
    <w:rsid w:val="000E403E"/>
    <w:rsid w:val="000E438D"/>
    <w:rsid w:val="000E45A5"/>
    <w:rsid w:val="000E45E3"/>
    <w:rsid w:val="000E486A"/>
    <w:rsid w:val="000E496D"/>
    <w:rsid w:val="000E49DF"/>
    <w:rsid w:val="000E4B89"/>
    <w:rsid w:val="000E4E71"/>
    <w:rsid w:val="000E4FD3"/>
    <w:rsid w:val="000E54C7"/>
    <w:rsid w:val="000E550B"/>
    <w:rsid w:val="000E5E2C"/>
    <w:rsid w:val="000E607B"/>
    <w:rsid w:val="000E626C"/>
    <w:rsid w:val="000E6327"/>
    <w:rsid w:val="000E65D2"/>
    <w:rsid w:val="000E660B"/>
    <w:rsid w:val="000E674C"/>
    <w:rsid w:val="000E6836"/>
    <w:rsid w:val="000E68FA"/>
    <w:rsid w:val="000E6B7A"/>
    <w:rsid w:val="000E6CE1"/>
    <w:rsid w:val="000E6EB9"/>
    <w:rsid w:val="000E6FA6"/>
    <w:rsid w:val="000E73EA"/>
    <w:rsid w:val="000E74B9"/>
    <w:rsid w:val="000E7627"/>
    <w:rsid w:val="000E7AB1"/>
    <w:rsid w:val="000E7E56"/>
    <w:rsid w:val="000E7F2D"/>
    <w:rsid w:val="000E7FFE"/>
    <w:rsid w:val="000F03BD"/>
    <w:rsid w:val="000F03DC"/>
    <w:rsid w:val="000F04A7"/>
    <w:rsid w:val="000F04D7"/>
    <w:rsid w:val="000F0B2F"/>
    <w:rsid w:val="000F0EF4"/>
    <w:rsid w:val="000F0FE9"/>
    <w:rsid w:val="000F1460"/>
    <w:rsid w:val="000F1474"/>
    <w:rsid w:val="000F158E"/>
    <w:rsid w:val="000F1658"/>
    <w:rsid w:val="000F187E"/>
    <w:rsid w:val="000F198C"/>
    <w:rsid w:val="000F1ACA"/>
    <w:rsid w:val="000F1D6E"/>
    <w:rsid w:val="000F1DC0"/>
    <w:rsid w:val="000F1DFD"/>
    <w:rsid w:val="000F1E45"/>
    <w:rsid w:val="000F221C"/>
    <w:rsid w:val="000F2238"/>
    <w:rsid w:val="000F2292"/>
    <w:rsid w:val="000F2391"/>
    <w:rsid w:val="000F2867"/>
    <w:rsid w:val="000F2ABC"/>
    <w:rsid w:val="000F2C29"/>
    <w:rsid w:val="000F2D55"/>
    <w:rsid w:val="000F2FD8"/>
    <w:rsid w:val="000F36AD"/>
    <w:rsid w:val="000F3EFA"/>
    <w:rsid w:val="000F3F69"/>
    <w:rsid w:val="000F3F75"/>
    <w:rsid w:val="000F4064"/>
    <w:rsid w:val="000F4327"/>
    <w:rsid w:val="000F485F"/>
    <w:rsid w:val="000F4A3E"/>
    <w:rsid w:val="000F4A47"/>
    <w:rsid w:val="000F4E26"/>
    <w:rsid w:val="000F4E9E"/>
    <w:rsid w:val="000F506E"/>
    <w:rsid w:val="000F5142"/>
    <w:rsid w:val="000F5548"/>
    <w:rsid w:val="000F574D"/>
    <w:rsid w:val="000F5770"/>
    <w:rsid w:val="000F58D1"/>
    <w:rsid w:val="000F5985"/>
    <w:rsid w:val="000F5A37"/>
    <w:rsid w:val="000F5A91"/>
    <w:rsid w:val="000F5CF4"/>
    <w:rsid w:val="000F5D8D"/>
    <w:rsid w:val="000F5D9C"/>
    <w:rsid w:val="000F5E36"/>
    <w:rsid w:val="000F6001"/>
    <w:rsid w:val="000F6057"/>
    <w:rsid w:val="000F6097"/>
    <w:rsid w:val="000F6245"/>
    <w:rsid w:val="000F634D"/>
    <w:rsid w:val="000F63E6"/>
    <w:rsid w:val="000F6507"/>
    <w:rsid w:val="000F6842"/>
    <w:rsid w:val="000F6922"/>
    <w:rsid w:val="000F69F5"/>
    <w:rsid w:val="000F6B6E"/>
    <w:rsid w:val="000F6F7F"/>
    <w:rsid w:val="000F70EC"/>
    <w:rsid w:val="000F7112"/>
    <w:rsid w:val="000F736C"/>
    <w:rsid w:val="000F768F"/>
    <w:rsid w:val="000F76D7"/>
    <w:rsid w:val="000F7894"/>
    <w:rsid w:val="000F7D79"/>
    <w:rsid w:val="0010024B"/>
    <w:rsid w:val="0010025B"/>
    <w:rsid w:val="001002AF"/>
    <w:rsid w:val="0010032B"/>
    <w:rsid w:val="00100505"/>
    <w:rsid w:val="001005AD"/>
    <w:rsid w:val="0010071A"/>
    <w:rsid w:val="001008CA"/>
    <w:rsid w:val="0010093D"/>
    <w:rsid w:val="00100983"/>
    <w:rsid w:val="001009E5"/>
    <w:rsid w:val="00100A2E"/>
    <w:rsid w:val="00100B35"/>
    <w:rsid w:val="00100BA2"/>
    <w:rsid w:val="00100D1C"/>
    <w:rsid w:val="00100D55"/>
    <w:rsid w:val="00100D80"/>
    <w:rsid w:val="00100E44"/>
    <w:rsid w:val="00100ECC"/>
    <w:rsid w:val="00100F87"/>
    <w:rsid w:val="00101136"/>
    <w:rsid w:val="001017F8"/>
    <w:rsid w:val="00101B79"/>
    <w:rsid w:val="00101DB6"/>
    <w:rsid w:val="00101EF4"/>
    <w:rsid w:val="00101F5C"/>
    <w:rsid w:val="0010215A"/>
    <w:rsid w:val="00102780"/>
    <w:rsid w:val="00102D3D"/>
    <w:rsid w:val="00102DA2"/>
    <w:rsid w:val="00103306"/>
    <w:rsid w:val="00103694"/>
    <w:rsid w:val="0010384A"/>
    <w:rsid w:val="001038E8"/>
    <w:rsid w:val="0010391F"/>
    <w:rsid w:val="00103C7A"/>
    <w:rsid w:val="00103D80"/>
    <w:rsid w:val="00103DD9"/>
    <w:rsid w:val="0010423C"/>
    <w:rsid w:val="001042DB"/>
    <w:rsid w:val="00104A92"/>
    <w:rsid w:val="00104B6F"/>
    <w:rsid w:val="00104CB8"/>
    <w:rsid w:val="00104DFE"/>
    <w:rsid w:val="00105073"/>
    <w:rsid w:val="001052C0"/>
    <w:rsid w:val="001052C2"/>
    <w:rsid w:val="001053B3"/>
    <w:rsid w:val="0010557A"/>
    <w:rsid w:val="00105C62"/>
    <w:rsid w:val="00106352"/>
    <w:rsid w:val="00106493"/>
    <w:rsid w:val="00106738"/>
    <w:rsid w:val="001067A6"/>
    <w:rsid w:val="0010681F"/>
    <w:rsid w:val="0010684D"/>
    <w:rsid w:val="001069DD"/>
    <w:rsid w:val="00106A7C"/>
    <w:rsid w:val="00106ADF"/>
    <w:rsid w:val="00106E5C"/>
    <w:rsid w:val="00106F60"/>
    <w:rsid w:val="001070D2"/>
    <w:rsid w:val="0010715B"/>
    <w:rsid w:val="00107340"/>
    <w:rsid w:val="00107B92"/>
    <w:rsid w:val="00107C65"/>
    <w:rsid w:val="00107CB2"/>
    <w:rsid w:val="00107F46"/>
    <w:rsid w:val="00110127"/>
    <w:rsid w:val="00110220"/>
    <w:rsid w:val="00110488"/>
    <w:rsid w:val="00110607"/>
    <w:rsid w:val="00110CEF"/>
    <w:rsid w:val="001111AD"/>
    <w:rsid w:val="001111D1"/>
    <w:rsid w:val="00111264"/>
    <w:rsid w:val="0011154A"/>
    <w:rsid w:val="001115A2"/>
    <w:rsid w:val="00111751"/>
    <w:rsid w:val="00111C5D"/>
    <w:rsid w:val="00111CE6"/>
    <w:rsid w:val="00111EE4"/>
    <w:rsid w:val="00111EEA"/>
    <w:rsid w:val="00111FD5"/>
    <w:rsid w:val="00112209"/>
    <w:rsid w:val="001122C9"/>
    <w:rsid w:val="0011243A"/>
    <w:rsid w:val="00112561"/>
    <w:rsid w:val="00112567"/>
    <w:rsid w:val="0011264B"/>
    <w:rsid w:val="0011268E"/>
    <w:rsid w:val="00112896"/>
    <w:rsid w:val="00112946"/>
    <w:rsid w:val="00112C12"/>
    <w:rsid w:val="00112CD3"/>
    <w:rsid w:val="00112E97"/>
    <w:rsid w:val="00113131"/>
    <w:rsid w:val="00113201"/>
    <w:rsid w:val="00113302"/>
    <w:rsid w:val="001135BF"/>
    <w:rsid w:val="001135E7"/>
    <w:rsid w:val="00113677"/>
    <w:rsid w:val="001136D8"/>
    <w:rsid w:val="001136E0"/>
    <w:rsid w:val="00113715"/>
    <w:rsid w:val="001137A0"/>
    <w:rsid w:val="001138D8"/>
    <w:rsid w:val="001139BE"/>
    <w:rsid w:val="001139BF"/>
    <w:rsid w:val="00113A54"/>
    <w:rsid w:val="00113ACF"/>
    <w:rsid w:val="00113C51"/>
    <w:rsid w:val="00113DCB"/>
    <w:rsid w:val="00113F7D"/>
    <w:rsid w:val="001140E9"/>
    <w:rsid w:val="00114132"/>
    <w:rsid w:val="00114568"/>
    <w:rsid w:val="001145E1"/>
    <w:rsid w:val="001146AE"/>
    <w:rsid w:val="00114889"/>
    <w:rsid w:val="00114946"/>
    <w:rsid w:val="00114BE9"/>
    <w:rsid w:val="001150F6"/>
    <w:rsid w:val="001151F6"/>
    <w:rsid w:val="001152B7"/>
    <w:rsid w:val="0011564B"/>
    <w:rsid w:val="001156CB"/>
    <w:rsid w:val="001156E7"/>
    <w:rsid w:val="001156EC"/>
    <w:rsid w:val="0011587B"/>
    <w:rsid w:val="0011591B"/>
    <w:rsid w:val="001159DF"/>
    <w:rsid w:val="00115C45"/>
    <w:rsid w:val="00115CCB"/>
    <w:rsid w:val="00115DBE"/>
    <w:rsid w:val="00115DDA"/>
    <w:rsid w:val="0011604E"/>
    <w:rsid w:val="0011677B"/>
    <w:rsid w:val="00116794"/>
    <w:rsid w:val="00116C9F"/>
    <w:rsid w:val="00116E26"/>
    <w:rsid w:val="00116EE3"/>
    <w:rsid w:val="00116FA8"/>
    <w:rsid w:val="001173AB"/>
    <w:rsid w:val="0011775C"/>
    <w:rsid w:val="001179D5"/>
    <w:rsid w:val="00120008"/>
    <w:rsid w:val="00120377"/>
    <w:rsid w:val="0012055B"/>
    <w:rsid w:val="00120575"/>
    <w:rsid w:val="00120600"/>
    <w:rsid w:val="00120717"/>
    <w:rsid w:val="00120879"/>
    <w:rsid w:val="00120897"/>
    <w:rsid w:val="00120A76"/>
    <w:rsid w:val="00120B33"/>
    <w:rsid w:val="00120B75"/>
    <w:rsid w:val="00120BAB"/>
    <w:rsid w:val="00120D96"/>
    <w:rsid w:val="00120F7E"/>
    <w:rsid w:val="001210FB"/>
    <w:rsid w:val="00121189"/>
    <w:rsid w:val="001212D2"/>
    <w:rsid w:val="0012137D"/>
    <w:rsid w:val="00121563"/>
    <w:rsid w:val="00121587"/>
    <w:rsid w:val="00121639"/>
    <w:rsid w:val="001216A0"/>
    <w:rsid w:val="00121742"/>
    <w:rsid w:val="0012188A"/>
    <w:rsid w:val="001219F1"/>
    <w:rsid w:val="00121EDC"/>
    <w:rsid w:val="001221B7"/>
    <w:rsid w:val="00122286"/>
    <w:rsid w:val="00122551"/>
    <w:rsid w:val="0012268F"/>
    <w:rsid w:val="00122783"/>
    <w:rsid w:val="001229B4"/>
    <w:rsid w:val="001229CB"/>
    <w:rsid w:val="00122B44"/>
    <w:rsid w:val="00122D50"/>
    <w:rsid w:val="00122F17"/>
    <w:rsid w:val="0012302E"/>
    <w:rsid w:val="001232B4"/>
    <w:rsid w:val="00123360"/>
    <w:rsid w:val="00123C9B"/>
    <w:rsid w:val="001240D0"/>
    <w:rsid w:val="00124658"/>
    <w:rsid w:val="001246B2"/>
    <w:rsid w:val="001246D4"/>
    <w:rsid w:val="001247BA"/>
    <w:rsid w:val="001247F6"/>
    <w:rsid w:val="00124D35"/>
    <w:rsid w:val="00124E76"/>
    <w:rsid w:val="00124EB9"/>
    <w:rsid w:val="001251AB"/>
    <w:rsid w:val="00125618"/>
    <w:rsid w:val="00125699"/>
    <w:rsid w:val="00125748"/>
    <w:rsid w:val="0012577D"/>
    <w:rsid w:val="00125A4F"/>
    <w:rsid w:val="00125FA1"/>
    <w:rsid w:val="0012622E"/>
    <w:rsid w:val="001262A8"/>
    <w:rsid w:val="0012647A"/>
    <w:rsid w:val="0012648F"/>
    <w:rsid w:val="00126547"/>
    <w:rsid w:val="00126632"/>
    <w:rsid w:val="001268C5"/>
    <w:rsid w:val="00126BB7"/>
    <w:rsid w:val="00126D9F"/>
    <w:rsid w:val="00126E9C"/>
    <w:rsid w:val="0012704C"/>
    <w:rsid w:val="001271A8"/>
    <w:rsid w:val="00127233"/>
    <w:rsid w:val="00127297"/>
    <w:rsid w:val="001274E3"/>
    <w:rsid w:val="00127590"/>
    <w:rsid w:val="00127620"/>
    <w:rsid w:val="0012786A"/>
    <w:rsid w:val="001278B4"/>
    <w:rsid w:val="00127BB3"/>
    <w:rsid w:val="00127BBA"/>
    <w:rsid w:val="00127CA1"/>
    <w:rsid w:val="00127D93"/>
    <w:rsid w:val="0013008F"/>
    <w:rsid w:val="001306DF"/>
    <w:rsid w:val="001307BC"/>
    <w:rsid w:val="00130A25"/>
    <w:rsid w:val="00130C4F"/>
    <w:rsid w:val="00130F8F"/>
    <w:rsid w:val="001311E3"/>
    <w:rsid w:val="0013123F"/>
    <w:rsid w:val="00131763"/>
    <w:rsid w:val="00131C4B"/>
    <w:rsid w:val="0013226A"/>
    <w:rsid w:val="001324BA"/>
    <w:rsid w:val="001324E4"/>
    <w:rsid w:val="00132651"/>
    <w:rsid w:val="00132B85"/>
    <w:rsid w:val="00132D0C"/>
    <w:rsid w:val="00132DC3"/>
    <w:rsid w:val="00132EC7"/>
    <w:rsid w:val="00133373"/>
    <w:rsid w:val="001333F0"/>
    <w:rsid w:val="001335A7"/>
    <w:rsid w:val="00133948"/>
    <w:rsid w:val="00133C99"/>
    <w:rsid w:val="00133D66"/>
    <w:rsid w:val="00133F27"/>
    <w:rsid w:val="00134102"/>
    <w:rsid w:val="0013419B"/>
    <w:rsid w:val="00134285"/>
    <w:rsid w:val="0013441A"/>
    <w:rsid w:val="00134604"/>
    <w:rsid w:val="00134F0B"/>
    <w:rsid w:val="00134F1C"/>
    <w:rsid w:val="001354C1"/>
    <w:rsid w:val="001356D0"/>
    <w:rsid w:val="00135788"/>
    <w:rsid w:val="001362DD"/>
    <w:rsid w:val="00136814"/>
    <w:rsid w:val="00136E6F"/>
    <w:rsid w:val="00137067"/>
    <w:rsid w:val="001371D5"/>
    <w:rsid w:val="00137411"/>
    <w:rsid w:val="0013752B"/>
    <w:rsid w:val="001376B6"/>
    <w:rsid w:val="001378B8"/>
    <w:rsid w:val="00137A39"/>
    <w:rsid w:val="00137AD0"/>
    <w:rsid w:val="00137BB5"/>
    <w:rsid w:val="00137C5E"/>
    <w:rsid w:val="00137EF3"/>
    <w:rsid w:val="00140074"/>
    <w:rsid w:val="001400A3"/>
    <w:rsid w:val="001402E5"/>
    <w:rsid w:val="00140399"/>
    <w:rsid w:val="00140531"/>
    <w:rsid w:val="001407CE"/>
    <w:rsid w:val="00140BA2"/>
    <w:rsid w:val="00140BA8"/>
    <w:rsid w:val="00140CC7"/>
    <w:rsid w:val="00140F29"/>
    <w:rsid w:val="0014107C"/>
    <w:rsid w:val="001412A0"/>
    <w:rsid w:val="001416C7"/>
    <w:rsid w:val="0014170D"/>
    <w:rsid w:val="00141A4A"/>
    <w:rsid w:val="00141BA2"/>
    <w:rsid w:val="00141C15"/>
    <w:rsid w:val="00141E45"/>
    <w:rsid w:val="00141EAB"/>
    <w:rsid w:val="00142083"/>
    <w:rsid w:val="001420A5"/>
    <w:rsid w:val="001420D5"/>
    <w:rsid w:val="00142243"/>
    <w:rsid w:val="00142298"/>
    <w:rsid w:val="0014263C"/>
    <w:rsid w:val="00142720"/>
    <w:rsid w:val="001427B4"/>
    <w:rsid w:val="0014285D"/>
    <w:rsid w:val="00142996"/>
    <w:rsid w:val="001429C2"/>
    <w:rsid w:val="001429E9"/>
    <w:rsid w:val="00142C71"/>
    <w:rsid w:val="00142D06"/>
    <w:rsid w:val="00142ED4"/>
    <w:rsid w:val="00142FAF"/>
    <w:rsid w:val="00143139"/>
    <w:rsid w:val="00143184"/>
    <w:rsid w:val="001431D2"/>
    <w:rsid w:val="0014323B"/>
    <w:rsid w:val="001432E3"/>
    <w:rsid w:val="001432F5"/>
    <w:rsid w:val="001435B2"/>
    <w:rsid w:val="001435DC"/>
    <w:rsid w:val="00143945"/>
    <w:rsid w:val="00143A14"/>
    <w:rsid w:val="00144163"/>
    <w:rsid w:val="0014437C"/>
    <w:rsid w:val="0014480D"/>
    <w:rsid w:val="001449AB"/>
    <w:rsid w:val="00144B45"/>
    <w:rsid w:val="00144BAF"/>
    <w:rsid w:val="00144E00"/>
    <w:rsid w:val="00145274"/>
    <w:rsid w:val="001452EF"/>
    <w:rsid w:val="001453F5"/>
    <w:rsid w:val="00145606"/>
    <w:rsid w:val="001456E8"/>
    <w:rsid w:val="0014572B"/>
    <w:rsid w:val="0014578B"/>
    <w:rsid w:val="00145884"/>
    <w:rsid w:val="001459FA"/>
    <w:rsid w:val="00145B33"/>
    <w:rsid w:val="00145C7F"/>
    <w:rsid w:val="00145E28"/>
    <w:rsid w:val="0014603B"/>
    <w:rsid w:val="0014621B"/>
    <w:rsid w:val="00146373"/>
    <w:rsid w:val="0014657E"/>
    <w:rsid w:val="00146633"/>
    <w:rsid w:val="0014676A"/>
    <w:rsid w:val="001469B9"/>
    <w:rsid w:val="00146A2D"/>
    <w:rsid w:val="00146A7F"/>
    <w:rsid w:val="00146AEB"/>
    <w:rsid w:val="00146D40"/>
    <w:rsid w:val="00146FDB"/>
    <w:rsid w:val="0014719E"/>
    <w:rsid w:val="0014763B"/>
    <w:rsid w:val="00147A28"/>
    <w:rsid w:val="00147C42"/>
    <w:rsid w:val="00147C4C"/>
    <w:rsid w:val="00147E11"/>
    <w:rsid w:val="00147E5A"/>
    <w:rsid w:val="00147F22"/>
    <w:rsid w:val="00150229"/>
    <w:rsid w:val="00150379"/>
    <w:rsid w:val="00150389"/>
    <w:rsid w:val="00150632"/>
    <w:rsid w:val="00150932"/>
    <w:rsid w:val="00150B76"/>
    <w:rsid w:val="00150CA9"/>
    <w:rsid w:val="00150D0E"/>
    <w:rsid w:val="00150D43"/>
    <w:rsid w:val="00150E55"/>
    <w:rsid w:val="00151083"/>
    <w:rsid w:val="001512AC"/>
    <w:rsid w:val="00151393"/>
    <w:rsid w:val="001513A9"/>
    <w:rsid w:val="00151659"/>
    <w:rsid w:val="0015185A"/>
    <w:rsid w:val="00151CA1"/>
    <w:rsid w:val="00151CF4"/>
    <w:rsid w:val="00151CFC"/>
    <w:rsid w:val="00151DC1"/>
    <w:rsid w:val="00151FCB"/>
    <w:rsid w:val="001521C2"/>
    <w:rsid w:val="0015220B"/>
    <w:rsid w:val="001522A3"/>
    <w:rsid w:val="00152414"/>
    <w:rsid w:val="001525A7"/>
    <w:rsid w:val="00152B03"/>
    <w:rsid w:val="00152BB5"/>
    <w:rsid w:val="00152BE5"/>
    <w:rsid w:val="00152D6D"/>
    <w:rsid w:val="00152ECC"/>
    <w:rsid w:val="00152F31"/>
    <w:rsid w:val="00153126"/>
    <w:rsid w:val="001532E3"/>
    <w:rsid w:val="0015337B"/>
    <w:rsid w:val="0015340C"/>
    <w:rsid w:val="00153657"/>
    <w:rsid w:val="00153706"/>
    <w:rsid w:val="001537E3"/>
    <w:rsid w:val="001539CC"/>
    <w:rsid w:val="00153A2C"/>
    <w:rsid w:val="00153B47"/>
    <w:rsid w:val="00153C6B"/>
    <w:rsid w:val="00153D0F"/>
    <w:rsid w:val="00153D21"/>
    <w:rsid w:val="00153DEC"/>
    <w:rsid w:val="0015401B"/>
    <w:rsid w:val="0015402E"/>
    <w:rsid w:val="00154047"/>
    <w:rsid w:val="00154063"/>
    <w:rsid w:val="001540E9"/>
    <w:rsid w:val="00154367"/>
    <w:rsid w:val="00154647"/>
    <w:rsid w:val="00154710"/>
    <w:rsid w:val="001548BC"/>
    <w:rsid w:val="00154980"/>
    <w:rsid w:val="001549C2"/>
    <w:rsid w:val="00154B6E"/>
    <w:rsid w:val="00154D5D"/>
    <w:rsid w:val="00154D7B"/>
    <w:rsid w:val="00154FAB"/>
    <w:rsid w:val="00154FF1"/>
    <w:rsid w:val="00155039"/>
    <w:rsid w:val="001551E6"/>
    <w:rsid w:val="0015545F"/>
    <w:rsid w:val="00155466"/>
    <w:rsid w:val="00155A6D"/>
    <w:rsid w:val="00155ED2"/>
    <w:rsid w:val="00155ED5"/>
    <w:rsid w:val="00155F77"/>
    <w:rsid w:val="001560DE"/>
    <w:rsid w:val="001562DD"/>
    <w:rsid w:val="00156358"/>
    <w:rsid w:val="00156435"/>
    <w:rsid w:val="001564C6"/>
    <w:rsid w:val="001565A5"/>
    <w:rsid w:val="001568BE"/>
    <w:rsid w:val="00156A10"/>
    <w:rsid w:val="00156A2C"/>
    <w:rsid w:val="00156C28"/>
    <w:rsid w:val="00156D96"/>
    <w:rsid w:val="00156F93"/>
    <w:rsid w:val="001572D6"/>
    <w:rsid w:val="0015758D"/>
    <w:rsid w:val="00157712"/>
    <w:rsid w:val="001578F9"/>
    <w:rsid w:val="00160309"/>
    <w:rsid w:val="0016040F"/>
    <w:rsid w:val="0016042B"/>
    <w:rsid w:val="00160628"/>
    <w:rsid w:val="00160711"/>
    <w:rsid w:val="00160B40"/>
    <w:rsid w:val="00160C86"/>
    <w:rsid w:val="0016105F"/>
    <w:rsid w:val="001610E5"/>
    <w:rsid w:val="00161258"/>
    <w:rsid w:val="001612E5"/>
    <w:rsid w:val="001613D8"/>
    <w:rsid w:val="001615DD"/>
    <w:rsid w:val="00161668"/>
    <w:rsid w:val="00161A5F"/>
    <w:rsid w:val="00161BA2"/>
    <w:rsid w:val="001629CB"/>
    <w:rsid w:val="00162A9D"/>
    <w:rsid w:val="00162AF1"/>
    <w:rsid w:val="00162BF9"/>
    <w:rsid w:val="00162D38"/>
    <w:rsid w:val="00162D6F"/>
    <w:rsid w:val="00162F65"/>
    <w:rsid w:val="001630A0"/>
    <w:rsid w:val="001633FF"/>
    <w:rsid w:val="001634C6"/>
    <w:rsid w:val="0016373A"/>
    <w:rsid w:val="001637AF"/>
    <w:rsid w:val="001637CC"/>
    <w:rsid w:val="001637F4"/>
    <w:rsid w:val="00163A2C"/>
    <w:rsid w:val="00163C0B"/>
    <w:rsid w:val="00164275"/>
    <w:rsid w:val="0016473E"/>
    <w:rsid w:val="001649C2"/>
    <w:rsid w:val="00164CA2"/>
    <w:rsid w:val="00164CB4"/>
    <w:rsid w:val="00164D77"/>
    <w:rsid w:val="00164DF3"/>
    <w:rsid w:val="00165048"/>
    <w:rsid w:val="00165153"/>
    <w:rsid w:val="001652B9"/>
    <w:rsid w:val="0016531C"/>
    <w:rsid w:val="00165462"/>
    <w:rsid w:val="001654BB"/>
    <w:rsid w:val="001654BC"/>
    <w:rsid w:val="00165555"/>
    <w:rsid w:val="001655FF"/>
    <w:rsid w:val="00165646"/>
    <w:rsid w:val="00165846"/>
    <w:rsid w:val="00165BB5"/>
    <w:rsid w:val="00165F8A"/>
    <w:rsid w:val="00166761"/>
    <w:rsid w:val="00166890"/>
    <w:rsid w:val="00166A78"/>
    <w:rsid w:val="00166B1E"/>
    <w:rsid w:val="00166C9D"/>
    <w:rsid w:val="00166F62"/>
    <w:rsid w:val="00167089"/>
    <w:rsid w:val="00167293"/>
    <w:rsid w:val="001672EF"/>
    <w:rsid w:val="001673CB"/>
    <w:rsid w:val="0016753E"/>
    <w:rsid w:val="00167627"/>
    <w:rsid w:val="0016798D"/>
    <w:rsid w:val="00167AA3"/>
    <w:rsid w:val="00167AF3"/>
    <w:rsid w:val="00167B70"/>
    <w:rsid w:val="00167C57"/>
    <w:rsid w:val="00170212"/>
    <w:rsid w:val="001703D9"/>
    <w:rsid w:val="001705EA"/>
    <w:rsid w:val="00170722"/>
    <w:rsid w:val="00170815"/>
    <w:rsid w:val="001708CF"/>
    <w:rsid w:val="00170A54"/>
    <w:rsid w:val="00170CE8"/>
    <w:rsid w:val="00170E4A"/>
    <w:rsid w:val="00170E64"/>
    <w:rsid w:val="00170F80"/>
    <w:rsid w:val="00170FEA"/>
    <w:rsid w:val="0017147C"/>
    <w:rsid w:val="00171497"/>
    <w:rsid w:val="001715CF"/>
    <w:rsid w:val="00171698"/>
    <w:rsid w:val="00171811"/>
    <w:rsid w:val="0017186C"/>
    <w:rsid w:val="001718B0"/>
    <w:rsid w:val="00171BC1"/>
    <w:rsid w:val="00171C0A"/>
    <w:rsid w:val="00171DE4"/>
    <w:rsid w:val="0017206B"/>
    <w:rsid w:val="001723B4"/>
    <w:rsid w:val="001723D8"/>
    <w:rsid w:val="001724F6"/>
    <w:rsid w:val="001725BD"/>
    <w:rsid w:val="001727A8"/>
    <w:rsid w:val="00172B22"/>
    <w:rsid w:val="00172D02"/>
    <w:rsid w:val="00172E6E"/>
    <w:rsid w:val="00172F8F"/>
    <w:rsid w:val="00173010"/>
    <w:rsid w:val="00173043"/>
    <w:rsid w:val="001730F3"/>
    <w:rsid w:val="001733CE"/>
    <w:rsid w:val="00173536"/>
    <w:rsid w:val="0017368D"/>
    <w:rsid w:val="00173858"/>
    <w:rsid w:val="00173979"/>
    <w:rsid w:val="00173A4A"/>
    <w:rsid w:val="00173A6F"/>
    <w:rsid w:val="00173B52"/>
    <w:rsid w:val="00173E59"/>
    <w:rsid w:val="00173FFE"/>
    <w:rsid w:val="001741DD"/>
    <w:rsid w:val="00174216"/>
    <w:rsid w:val="00174AF4"/>
    <w:rsid w:val="00174BF6"/>
    <w:rsid w:val="001751D1"/>
    <w:rsid w:val="00175251"/>
    <w:rsid w:val="00175284"/>
    <w:rsid w:val="00175394"/>
    <w:rsid w:val="00175C90"/>
    <w:rsid w:val="00175D24"/>
    <w:rsid w:val="001760F8"/>
    <w:rsid w:val="0017638B"/>
    <w:rsid w:val="001765BD"/>
    <w:rsid w:val="001766D2"/>
    <w:rsid w:val="0017679A"/>
    <w:rsid w:val="001767A5"/>
    <w:rsid w:val="00176C6A"/>
    <w:rsid w:val="00176FB0"/>
    <w:rsid w:val="0017709A"/>
    <w:rsid w:val="001770C1"/>
    <w:rsid w:val="00177B48"/>
    <w:rsid w:val="00177D05"/>
    <w:rsid w:val="00177E3E"/>
    <w:rsid w:val="00180232"/>
    <w:rsid w:val="00180305"/>
    <w:rsid w:val="001805F9"/>
    <w:rsid w:val="001806FD"/>
    <w:rsid w:val="00180709"/>
    <w:rsid w:val="00180794"/>
    <w:rsid w:val="00180BA2"/>
    <w:rsid w:val="00180EF9"/>
    <w:rsid w:val="001811B7"/>
    <w:rsid w:val="00181635"/>
    <w:rsid w:val="001816A1"/>
    <w:rsid w:val="00181FEC"/>
    <w:rsid w:val="001820F4"/>
    <w:rsid w:val="001821BA"/>
    <w:rsid w:val="001823DF"/>
    <w:rsid w:val="001827FD"/>
    <w:rsid w:val="00182A57"/>
    <w:rsid w:val="00182C03"/>
    <w:rsid w:val="00182F6E"/>
    <w:rsid w:val="00183007"/>
    <w:rsid w:val="001830E3"/>
    <w:rsid w:val="00183112"/>
    <w:rsid w:val="0018344C"/>
    <w:rsid w:val="0018350D"/>
    <w:rsid w:val="00183521"/>
    <w:rsid w:val="0018375D"/>
    <w:rsid w:val="0018376F"/>
    <w:rsid w:val="00183778"/>
    <w:rsid w:val="001837F2"/>
    <w:rsid w:val="00183A6D"/>
    <w:rsid w:val="00183B58"/>
    <w:rsid w:val="00183C97"/>
    <w:rsid w:val="00183D67"/>
    <w:rsid w:val="00183E95"/>
    <w:rsid w:val="00183EA1"/>
    <w:rsid w:val="00183F74"/>
    <w:rsid w:val="00184072"/>
    <w:rsid w:val="0018421A"/>
    <w:rsid w:val="0018487A"/>
    <w:rsid w:val="00184D94"/>
    <w:rsid w:val="001850E5"/>
    <w:rsid w:val="001851CF"/>
    <w:rsid w:val="001857A0"/>
    <w:rsid w:val="001858F1"/>
    <w:rsid w:val="00185924"/>
    <w:rsid w:val="00185A4A"/>
    <w:rsid w:val="00185DEE"/>
    <w:rsid w:val="00186310"/>
    <w:rsid w:val="00186399"/>
    <w:rsid w:val="0018646B"/>
    <w:rsid w:val="00186592"/>
    <w:rsid w:val="001865D8"/>
    <w:rsid w:val="00186651"/>
    <w:rsid w:val="0018687F"/>
    <w:rsid w:val="00186BCD"/>
    <w:rsid w:val="00186C11"/>
    <w:rsid w:val="001874A3"/>
    <w:rsid w:val="00187A81"/>
    <w:rsid w:val="00187C8C"/>
    <w:rsid w:val="00187E76"/>
    <w:rsid w:val="001901B1"/>
    <w:rsid w:val="0019020D"/>
    <w:rsid w:val="0019030E"/>
    <w:rsid w:val="00190388"/>
    <w:rsid w:val="00190451"/>
    <w:rsid w:val="0019063D"/>
    <w:rsid w:val="0019082A"/>
    <w:rsid w:val="00190AF1"/>
    <w:rsid w:val="00190B9F"/>
    <w:rsid w:val="00190C17"/>
    <w:rsid w:val="00191648"/>
    <w:rsid w:val="00191A2D"/>
    <w:rsid w:val="00191C6A"/>
    <w:rsid w:val="00191DA2"/>
    <w:rsid w:val="00191DD0"/>
    <w:rsid w:val="00192186"/>
    <w:rsid w:val="001923DB"/>
    <w:rsid w:val="0019250C"/>
    <w:rsid w:val="0019259C"/>
    <w:rsid w:val="001928DE"/>
    <w:rsid w:val="00192A67"/>
    <w:rsid w:val="00192A98"/>
    <w:rsid w:val="00192ABA"/>
    <w:rsid w:val="00192B9F"/>
    <w:rsid w:val="00192BC4"/>
    <w:rsid w:val="00192DC7"/>
    <w:rsid w:val="0019317A"/>
    <w:rsid w:val="00193204"/>
    <w:rsid w:val="00193364"/>
    <w:rsid w:val="0019375B"/>
    <w:rsid w:val="0019387D"/>
    <w:rsid w:val="00193920"/>
    <w:rsid w:val="00193EE0"/>
    <w:rsid w:val="001940BE"/>
    <w:rsid w:val="001941E1"/>
    <w:rsid w:val="00194356"/>
    <w:rsid w:val="00194491"/>
    <w:rsid w:val="001947CB"/>
    <w:rsid w:val="00194910"/>
    <w:rsid w:val="00194B6A"/>
    <w:rsid w:val="00194BA2"/>
    <w:rsid w:val="00194E44"/>
    <w:rsid w:val="00195122"/>
    <w:rsid w:val="00195155"/>
    <w:rsid w:val="0019543C"/>
    <w:rsid w:val="0019546E"/>
    <w:rsid w:val="001956C4"/>
    <w:rsid w:val="00195769"/>
    <w:rsid w:val="001958F4"/>
    <w:rsid w:val="00195E6E"/>
    <w:rsid w:val="00195FB8"/>
    <w:rsid w:val="0019610A"/>
    <w:rsid w:val="001963C8"/>
    <w:rsid w:val="001964AC"/>
    <w:rsid w:val="001964D4"/>
    <w:rsid w:val="001964E0"/>
    <w:rsid w:val="001967FA"/>
    <w:rsid w:val="00196906"/>
    <w:rsid w:val="00196EE5"/>
    <w:rsid w:val="00196FFB"/>
    <w:rsid w:val="001970B6"/>
    <w:rsid w:val="0019721F"/>
    <w:rsid w:val="001973AD"/>
    <w:rsid w:val="001973FB"/>
    <w:rsid w:val="00197651"/>
    <w:rsid w:val="00197839"/>
    <w:rsid w:val="00197B67"/>
    <w:rsid w:val="00197C45"/>
    <w:rsid w:val="00197D48"/>
    <w:rsid w:val="00197D74"/>
    <w:rsid w:val="001A0089"/>
    <w:rsid w:val="001A02F8"/>
    <w:rsid w:val="001A07B8"/>
    <w:rsid w:val="001A086F"/>
    <w:rsid w:val="001A09B0"/>
    <w:rsid w:val="001A0BE7"/>
    <w:rsid w:val="001A0CB3"/>
    <w:rsid w:val="001A0F4E"/>
    <w:rsid w:val="001A1191"/>
    <w:rsid w:val="001A1401"/>
    <w:rsid w:val="001A1485"/>
    <w:rsid w:val="001A14FF"/>
    <w:rsid w:val="001A15E6"/>
    <w:rsid w:val="001A1669"/>
    <w:rsid w:val="001A1DF1"/>
    <w:rsid w:val="001A1EAD"/>
    <w:rsid w:val="001A2124"/>
    <w:rsid w:val="001A259A"/>
    <w:rsid w:val="001A3035"/>
    <w:rsid w:val="001A3087"/>
    <w:rsid w:val="001A30E7"/>
    <w:rsid w:val="001A315C"/>
    <w:rsid w:val="001A32BB"/>
    <w:rsid w:val="001A33C4"/>
    <w:rsid w:val="001A33E7"/>
    <w:rsid w:val="001A342D"/>
    <w:rsid w:val="001A349F"/>
    <w:rsid w:val="001A34B6"/>
    <w:rsid w:val="001A3581"/>
    <w:rsid w:val="001A373F"/>
    <w:rsid w:val="001A37FE"/>
    <w:rsid w:val="001A398C"/>
    <w:rsid w:val="001A3990"/>
    <w:rsid w:val="001A3BEF"/>
    <w:rsid w:val="001A3D70"/>
    <w:rsid w:val="001A4245"/>
    <w:rsid w:val="001A424A"/>
    <w:rsid w:val="001A4437"/>
    <w:rsid w:val="001A45A8"/>
    <w:rsid w:val="001A46DF"/>
    <w:rsid w:val="001A4836"/>
    <w:rsid w:val="001A4C2E"/>
    <w:rsid w:val="001A5121"/>
    <w:rsid w:val="001A544E"/>
    <w:rsid w:val="001A5567"/>
    <w:rsid w:val="001A578F"/>
    <w:rsid w:val="001A593F"/>
    <w:rsid w:val="001A5BB6"/>
    <w:rsid w:val="001A5BF0"/>
    <w:rsid w:val="001A5C11"/>
    <w:rsid w:val="001A5EBD"/>
    <w:rsid w:val="001A5F37"/>
    <w:rsid w:val="001A5F50"/>
    <w:rsid w:val="001A601E"/>
    <w:rsid w:val="001A65B1"/>
    <w:rsid w:val="001A66D2"/>
    <w:rsid w:val="001A693C"/>
    <w:rsid w:val="001A6C5C"/>
    <w:rsid w:val="001A6CFC"/>
    <w:rsid w:val="001A6DB1"/>
    <w:rsid w:val="001A72AB"/>
    <w:rsid w:val="001A7345"/>
    <w:rsid w:val="001A7541"/>
    <w:rsid w:val="001A757B"/>
    <w:rsid w:val="001A7A1A"/>
    <w:rsid w:val="001A7C31"/>
    <w:rsid w:val="001B044D"/>
    <w:rsid w:val="001B047D"/>
    <w:rsid w:val="001B05F9"/>
    <w:rsid w:val="001B0635"/>
    <w:rsid w:val="001B0730"/>
    <w:rsid w:val="001B07EB"/>
    <w:rsid w:val="001B08F9"/>
    <w:rsid w:val="001B0930"/>
    <w:rsid w:val="001B0942"/>
    <w:rsid w:val="001B0E38"/>
    <w:rsid w:val="001B1269"/>
    <w:rsid w:val="001B15D1"/>
    <w:rsid w:val="001B16A5"/>
    <w:rsid w:val="001B19C4"/>
    <w:rsid w:val="001B21DE"/>
    <w:rsid w:val="001B23B4"/>
    <w:rsid w:val="001B24EA"/>
    <w:rsid w:val="001B254F"/>
    <w:rsid w:val="001B27F8"/>
    <w:rsid w:val="001B29B3"/>
    <w:rsid w:val="001B2B23"/>
    <w:rsid w:val="001B2C97"/>
    <w:rsid w:val="001B2D70"/>
    <w:rsid w:val="001B2E3B"/>
    <w:rsid w:val="001B372B"/>
    <w:rsid w:val="001B3972"/>
    <w:rsid w:val="001B3D90"/>
    <w:rsid w:val="001B3DF9"/>
    <w:rsid w:val="001B43BC"/>
    <w:rsid w:val="001B44C1"/>
    <w:rsid w:val="001B4A60"/>
    <w:rsid w:val="001B4CB6"/>
    <w:rsid w:val="001B4D06"/>
    <w:rsid w:val="001B4D33"/>
    <w:rsid w:val="001B4DDB"/>
    <w:rsid w:val="001B4DFE"/>
    <w:rsid w:val="001B4F1C"/>
    <w:rsid w:val="001B51F5"/>
    <w:rsid w:val="001B525D"/>
    <w:rsid w:val="001B54A2"/>
    <w:rsid w:val="001B558E"/>
    <w:rsid w:val="001B55CF"/>
    <w:rsid w:val="001B55D2"/>
    <w:rsid w:val="001B591F"/>
    <w:rsid w:val="001B5CC5"/>
    <w:rsid w:val="001B5EFE"/>
    <w:rsid w:val="001B5FF4"/>
    <w:rsid w:val="001B60CE"/>
    <w:rsid w:val="001B67CC"/>
    <w:rsid w:val="001B67D6"/>
    <w:rsid w:val="001B68F0"/>
    <w:rsid w:val="001B6C33"/>
    <w:rsid w:val="001B6D1D"/>
    <w:rsid w:val="001B6D5E"/>
    <w:rsid w:val="001B6EC5"/>
    <w:rsid w:val="001B732A"/>
    <w:rsid w:val="001B74CF"/>
    <w:rsid w:val="001B77E0"/>
    <w:rsid w:val="001B7949"/>
    <w:rsid w:val="001B7AAC"/>
    <w:rsid w:val="001B7BC1"/>
    <w:rsid w:val="001B7C43"/>
    <w:rsid w:val="001B7D0A"/>
    <w:rsid w:val="001B7E03"/>
    <w:rsid w:val="001B7E30"/>
    <w:rsid w:val="001B7F12"/>
    <w:rsid w:val="001C0003"/>
    <w:rsid w:val="001C028D"/>
    <w:rsid w:val="001C083A"/>
    <w:rsid w:val="001C088F"/>
    <w:rsid w:val="001C0A12"/>
    <w:rsid w:val="001C0B6C"/>
    <w:rsid w:val="001C0C38"/>
    <w:rsid w:val="001C1092"/>
    <w:rsid w:val="001C1127"/>
    <w:rsid w:val="001C11EA"/>
    <w:rsid w:val="001C12DD"/>
    <w:rsid w:val="001C147C"/>
    <w:rsid w:val="001C153C"/>
    <w:rsid w:val="001C1555"/>
    <w:rsid w:val="001C15A8"/>
    <w:rsid w:val="001C15FD"/>
    <w:rsid w:val="001C16EB"/>
    <w:rsid w:val="001C1925"/>
    <w:rsid w:val="001C1A2B"/>
    <w:rsid w:val="001C1A82"/>
    <w:rsid w:val="001C1B08"/>
    <w:rsid w:val="001C1B5A"/>
    <w:rsid w:val="001C1C9C"/>
    <w:rsid w:val="001C1CC9"/>
    <w:rsid w:val="001C1EA0"/>
    <w:rsid w:val="001C23E9"/>
    <w:rsid w:val="001C245A"/>
    <w:rsid w:val="001C251A"/>
    <w:rsid w:val="001C25E1"/>
    <w:rsid w:val="001C2A4B"/>
    <w:rsid w:val="001C3070"/>
    <w:rsid w:val="001C37CA"/>
    <w:rsid w:val="001C381D"/>
    <w:rsid w:val="001C3B46"/>
    <w:rsid w:val="001C4000"/>
    <w:rsid w:val="001C400B"/>
    <w:rsid w:val="001C43C8"/>
    <w:rsid w:val="001C4487"/>
    <w:rsid w:val="001C452C"/>
    <w:rsid w:val="001C469E"/>
    <w:rsid w:val="001C481F"/>
    <w:rsid w:val="001C4BB4"/>
    <w:rsid w:val="001C4C96"/>
    <w:rsid w:val="001C4EAC"/>
    <w:rsid w:val="001C4F94"/>
    <w:rsid w:val="001C5308"/>
    <w:rsid w:val="001C53B0"/>
    <w:rsid w:val="001C5704"/>
    <w:rsid w:val="001C5987"/>
    <w:rsid w:val="001C5ACD"/>
    <w:rsid w:val="001C5C5F"/>
    <w:rsid w:val="001C5F3C"/>
    <w:rsid w:val="001C6159"/>
    <w:rsid w:val="001C6259"/>
    <w:rsid w:val="001C64A4"/>
    <w:rsid w:val="001C6511"/>
    <w:rsid w:val="001C663D"/>
    <w:rsid w:val="001C6705"/>
    <w:rsid w:val="001C6C6D"/>
    <w:rsid w:val="001C6D98"/>
    <w:rsid w:val="001C7238"/>
    <w:rsid w:val="001C72DD"/>
    <w:rsid w:val="001C739B"/>
    <w:rsid w:val="001C747E"/>
    <w:rsid w:val="001C755C"/>
    <w:rsid w:val="001C7A53"/>
    <w:rsid w:val="001C7BB5"/>
    <w:rsid w:val="001C7D6A"/>
    <w:rsid w:val="001C7E12"/>
    <w:rsid w:val="001C7E4C"/>
    <w:rsid w:val="001D0111"/>
    <w:rsid w:val="001D03E0"/>
    <w:rsid w:val="001D04B5"/>
    <w:rsid w:val="001D05D9"/>
    <w:rsid w:val="001D0676"/>
    <w:rsid w:val="001D0A65"/>
    <w:rsid w:val="001D0DDE"/>
    <w:rsid w:val="001D0FFC"/>
    <w:rsid w:val="001D1088"/>
    <w:rsid w:val="001D109E"/>
    <w:rsid w:val="001D10A9"/>
    <w:rsid w:val="001D1240"/>
    <w:rsid w:val="001D1443"/>
    <w:rsid w:val="001D1859"/>
    <w:rsid w:val="001D1BD0"/>
    <w:rsid w:val="001D1C6E"/>
    <w:rsid w:val="001D1DB6"/>
    <w:rsid w:val="001D2584"/>
    <w:rsid w:val="001D2733"/>
    <w:rsid w:val="001D2A28"/>
    <w:rsid w:val="001D2A50"/>
    <w:rsid w:val="001D2C38"/>
    <w:rsid w:val="001D2DC0"/>
    <w:rsid w:val="001D30DC"/>
    <w:rsid w:val="001D310B"/>
    <w:rsid w:val="001D3113"/>
    <w:rsid w:val="001D3175"/>
    <w:rsid w:val="001D3307"/>
    <w:rsid w:val="001D33B1"/>
    <w:rsid w:val="001D33E9"/>
    <w:rsid w:val="001D372A"/>
    <w:rsid w:val="001D3974"/>
    <w:rsid w:val="001D3ABB"/>
    <w:rsid w:val="001D3CE5"/>
    <w:rsid w:val="001D3FD5"/>
    <w:rsid w:val="001D411D"/>
    <w:rsid w:val="001D42C7"/>
    <w:rsid w:val="001D430C"/>
    <w:rsid w:val="001D4433"/>
    <w:rsid w:val="001D48DB"/>
    <w:rsid w:val="001D4A39"/>
    <w:rsid w:val="001D4B84"/>
    <w:rsid w:val="001D4CF3"/>
    <w:rsid w:val="001D4D3A"/>
    <w:rsid w:val="001D4E39"/>
    <w:rsid w:val="001D5416"/>
    <w:rsid w:val="001D550F"/>
    <w:rsid w:val="001D5540"/>
    <w:rsid w:val="001D5676"/>
    <w:rsid w:val="001D5AB4"/>
    <w:rsid w:val="001D5FEE"/>
    <w:rsid w:val="001D61BF"/>
    <w:rsid w:val="001D6311"/>
    <w:rsid w:val="001D65E0"/>
    <w:rsid w:val="001D6653"/>
    <w:rsid w:val="001D66A6"/>
    <w:rsid w:val="001D66F9"/>
    <w:rsid w:val="001D6715"/>
    <w:rsid w:val="001D6763"/>
    <w:rsid w:val="001D6891"/>
    <w:rsid w:val="001D69FB"/>
    <w:rsid w:val="001D6B66"/>
    <w:rsid w:val="001D70B5"/>
    <w:rsid w:val="001D751D"/>
    <w:rsid w:val="001D7600"/>
    <w:rsid w:val="001D7774"/>
    <w:rsid w:val="001D788A"/>
    <w:rsid w:val="001D78FD"/>
    <w:rsid w:val="001D7989"/>
    <w:rsid w:val="001D79DD"/>
    <w:rsid w:val="001D7A80"/>
    <w:rsid w:val="001D7AF6"/>
    <w:rsid w:val="001D7B73"/>
    <w:rsid w:val="001D7BC7"/>
    <w:rsid w:val="001D7DCB"/>
    <w:rsid w:val="001E01B7"/>
    <w:rsid w:val="001E0333"/>
    <w:rsid w:val="001E0411"/>
    <w:rsid w:val="001E059F"/>
    <w:rsid w:val="001E05CC"/>
    <w:rsid w:val="001E0AF2"/>
    <w:rsid w:val="001E0E4F"/>
    <w:rsid w:val="001E0EA2"/>
    <w:rsid w:val="001E0FB5"/>
    <w:rsid w:val="001E13ED"/>
    <w:rsid w:val="001E15ED"/>
    <w:rsid w:val="001E161D"/>
    <w:rsid w:val="001E171C"/>
    <w:rsid w:val="001E1B8E"/>
    <w:rsid w:val="001E1D42"/>
    <w:rsid w:val="001E201F"/>
    <w:rsid w:val="001E22B2"/>
    <w:rsid w:val="001E2348"/>
    <w:rsid w:val="001E255D"/>
    <w:rsid w:val="001E261A"/>
    <w:rsid w:val="001E2712"/>
    <w:rsid w:val="001E2A55"/>
    <w:rsid w:val="001E2B56"/>
    <w:rsid w:val="001E2EFF"/>
    <w:rsid w:val="001E3077"/>
    <w:rsid w:val="001E313D"/>
    <w:rsid w:val="001E33D8"/>
    <w:rsid w:val="001E3418"/>
    <w:rsid w:val="001E3512"/>
    <w:rsid w:val="001E353F"/>
    <w:rsid w:val="001E3755"/>
    <w:rsid w:val="001E3883"/>
    <w:rsid w:val="001E3A22"/>
    <w:rsid w:val="001E3BF3"/>
    <w:rsid w:val="001E3DDE"/>
    <w:rsid w:val="001E3F08"/>
    <w:rsid w:val="001E41DE"/>
    <w:rsid w:val="001E41F2"/>
    <w:rsid w:val="001E42E1"/>
    <w:rsid w:val="001E42FA"/>
    <w:rsid w:val="001E4457"/>
    <w:rsid w:val="001E48C8"/>
    <w:rsid w:val="001E4B70"/>
    <w:rsid w:val="001E4F09"/>
    <w:rsid w:val="001E528C"/>
    <w:rsid w:val="001E5462"/>
    <w:rsid w:val="001E561A"/>
    <w:rsid w:val="001E57BC"/>
    <w:rsid w:val="001E57C5"/>
    <w:rsid w:val="001E5983"/>
    <w:rsid w:val="001E5CAD"/>
    <w:rsid w:val="001E5FAD"/>
    <w:rsid w:val="001E606C"/>
    <w:rsid w:val="001E60C5"/>
    <w:rsid w:val="001E62B4"/>
    <w:rsid w:val="001E63B3"/>
    <w:rsid w:val="001E63ED"/>
    <w:rsid w:val="001E6439"/>
    <w:rsid w:val="001E67FE"/>
    <w:rsid w:val="001E684A"/>
    <w:rsid w:val="001E6902"/>
    <w:rsid w:val="001E6B3D"/>
    <w:rsid w:val="001E6BEA"/>
    <w:rsid w:val="001E708A"/>
    <w:rsid w:val="001E72F2"/>
    <w:rsid w:val="001E7448"/>
    <w:rsid w:val="001E7A93"/>
    <w:rsid w:val="001E7A9E"/>
    <w:rsid w:val="001E7D09"/>
    <w:rsid w:val="001F00D4"/>
    <w:rsid w:val="001F04C8"/>
    <w:rsid w:val="001F096F"/>
    <w:rsid w:val="001F0FA1"/>
    <w:rsid w:val="001F10A5"/>
    <w:rsid w:val="001F1484"/>
    <w:rsid w:val="001F19FE"/>
    <w:rsid w:val="001F1D71"/>
    <w:rsid w:val="001F1E07"/>
    <w:rsid w:val="001F1EAE"/>
    <w:rsid w:val="001F1F90"/>
    <w:rsid w:val="001F21AD"/>
    <w:rsid w:val="001F21BB"/>
    <w:rsid w:val="001F22CE"/>
    <w:rsid w:val="001F232D"/>
    <w:rsid w:val="001F2369"/>
    <w:rsid w:val="001F2445"/>
    <w:rsid w:val="001F26D2"/>
    <w:rsid w:val="001F2762"/>
    <w:rsid w:val="001F28CD"/>
    <w:rsid w:val="001F294E"/>
    <w:rsid w:val="001F29CD"/>
    <w:rsid w:val="001F2C40"/>
    <w:rsid w:val="001F2EFA"/>
    <w:rsid w:val="001F3046"/>
    <w:rsid w:val="001F3599"/>
    <w:rsid w:val="001F364A"/>
    <w:rsid w:val="001F3731"/>
    <w:rsid w:val="001F3895"/>
    <w:rsid w:val="001F3B18"/>
    <w:rsid w:val="001F3D1F"/>
    <w:rsid w:val="001F3FCC"/>
    <w:rsid w:val="001F42B8"/>
    <w:rsid w:val="001F42E4"/>
    <w:rsid w:val="001F4397"/>
    <w:rsid w:val="001F443D"/>
    <w:rsid w:val="001F44E1"/>
    <w:rsid w:val="001F473A"/>
    <w:rsid w:val="001F4B56"/>
    <w:rsid w:val="001F4BD7"/>
    <w:rsid w:val="001F4C3D"/>
    <w:rsid w:val="001F4C9A"/>
    <w:rsid w:val="001F4DCB"/>
    <w:rsid w:val="001F4EBF"/>
    <w:rsid w:val="001F5310"/>
    <w:rsid w:val="001F534C"/>
    <w:rsid w:val="001F5355"/>
    <w:rsid w:val="001F5815"/>
    <w:rsid w:val="001F5847"/>
    <w:rsid w:val="001F5970"/>
    <w:rsid w:val="001F59BF"/>
    <w:rsid w:val="001F5C11"/>
    <w:rsid w:val="001F5D3C"/>
    <w:rsid w:val="001F5D86"/>
    <w:rsid w:val="001F5E3F"/>
    <w:rsid w:val="001F5E50"/>
    <w:rsid w:val="001F5F89"/>
    <w:rsid w:val="001F6072"/>
    <w:rsid w:val="001F6074"/>
    <w:rsid w:val="001F63E0"/>
    <w:rsid w:val="001F64EE"/>
    <w:rsid w:val="001F68B1"/>
    <w:rsid w:val="001F6A23"/>
    <w:rsid w:val="001F6EDE"/>
    <w:rsid w:val="001F6FF2"/>
    <w:rsid w:val="001F70B0"/>
    <w:rsid w:val="001F70F4"/>
    <w:rsid w:val="001F72AF"/>
    <w:rsid w:val="001F77BC"/>
    <w:rsid w:val="001F7848"/>
    <w:rsid w:val="001F78B1"/>
    <w:rsid w:val="001F795F"/>
    <w:rsid w:val="001F79E5"/>
    <w:rsid w:val="001F7A7C"/>
    <w:rsid w:val="001F7BB2"/>
    <w:rsid w:val="001F7BC9"/>
    <w:rsid w:val="001F7CA7"/>
    <w:rsid w:val="001F7D87"/>
    <w:rsid w:val="001F7E45"/>
    <w:rsid w:val="001F7EF2"/>
    <w:rsid w:val="002000B3"/>
    <w:rsid w:val="002000F0"/>
    <w:rsid w:val="002001FA"/>
    <w:rsid w:val="00200984"/>
    <w:rsid w:val="0020099C"/>
    <w:rsid w:val="00200BE3"/>
    <w:rsid w:val="00200E8B"/>
    <w:rsid w:val="00200F12"/>
    <w:rsid w:val="00201248"/>
    <w:rsid w:val="002012A3"/>
    <w:rsid w:val="00201517"/>
    <w:rsid w:val="0020151B"/>
    <w:rsid w:val="002016D3"/>
    <w:rsid w:val="00201711"/>
    <w:rsid w:val="00201B16"/>
    <w:rsid w:val="00201B6B"/>
    <w:rsid w:val="00201EB0"/>
    <w:rsid w:val="00202166"/>
    <w:rsid w:val="002021BC"/>
    <w:rsid w:val="00202213"/>
    <w:rsid w:val="002024EE"/>
    <w:rsid w:val="0020254B"/>
    <w:rsid w:val="0020264A"/>
    <w:rsid w:val="00202960"/>
    <w:rsid w:val="00203088"/>
    <w:rsid w:val="002030DE"/>
    <w:rsid w:val="002031BF"/>
    <w:rsid w:val="002032BE"/>
    <w:rsid w:val="0020330B"/>
    <w:rsid w:val="00203312"/>
    <w:rsid w:val="002034B2"/>
    <w:rsid w:val="002034CD"/>
    <w:rsid w:val="00203592"/>
    <w:rsid w:val="00203605"/>
    <w:rsid w:val="00203892"/>
    <w:rsid w:val="002038B5"/>
    <w:rsid w:val="00203905"/>
    <w:rsid w:val="00203A64"/>
    <w:rsid w:val="00203BDD"/>
    <w:rsid w:val="00203CAA"/>
    <w:rsid w:val="00203E84"/>
    <w:rsid w:val="00204051"/>
    <w:rsid w:val="00204329"/>
    <w:rsid w:val="00204545"/>
    <w:rsid w:val="0020470C"/>
    <w:rsid w:val="00204D13"/>
    <w:rsid w:val="00204DBF"/>
    <w:rsid w:val="00204E5E"/>
    <w:rsid w:val="00204FD8"/>
    <w:rsid w:val="00205289"/>
    <w:rsid w:val="00205409"/>
    <w:rsid w:val="00205487"/>
    <w:rsid w:val="0020568B"/>
    <w:rsid w:val="00205791"/>
    <w:rsid w:val="00205A4E"/>
    <w:rsid w:val="00205B18"/>
    <w:rsid w:val="0020639B"/>
    <w:rsid w:val="002063E6"/>
    <w:rsid w:val="002064C6"/>
    <w:rsid w:val="002066EE"/>
    <w:rsid w:val="002067D3"/>
    <w:rsid w:val="00206848"/>
    <w:rsid w:val="002069A6"/>
    <w:rsid w:val="00206BA4"/>
    <w:rsid w:val="0020717A"/>
    <w:rsid w:val="002072EE"/>
    <w:rsid w:val="002076EA"/>
    <w:rsid w:val="00207A9F"/>
    <w:rsid w:val="00207B6B"/>
    <w:rsid w:val="00207BDD"/>
    <w:rsid w:val="00207E32"/>
    <w:rsid w:val="00207E60"/>
    <w:rsid w:val="00207FF9"/>
    <w:rsid w:val="002101D5"/>
    <w:rsid w:val="002101F7"/>
    <w:rsid w:val="002102A6"/>
    <w:rsid w:val="002103B1"/>
    <w:rsid w:val="00210470"/>
    <w:rsid w:val="00210486"/>
    <w:rsid w:val="00210669"/>
    <w:rsid w:val="00210B7A"/>
    <w:rsid w:val="00210BA0"/>
    <w:rsid w:val="00210E04"/>
    <w:rsid w:val="00210E47"/>
    <w:rsid w:val="00211066"/>
    <w:rsid w:val="00211076"/>
    <w:rsid w:val="002111B0"/>
    <w:rsid w:val="002113AE"/>
    <w:rsid w:val="002113FB"/>
    <w:rsid w:val="0021189F"/>
    <w:rsid w:val="00211931"/>
    <w:rsid w:val="00211A1B"/>
    <w:rsid w:val="00211A51"/>
    <w:rsid w:val="00211F2B"/>
    <w:rsid w:val="00211FDB"/>
    <w:rsid w:val="00212073"/>
    <w:rsid w:val="00212324"/>
    <w:rsid w:val="0021286C"/>
    <w:rsid w:val="00212D48"/>
    <w:rsid w:val="00212F84"/>
    <w:rsid w:val="0021307C"/>
    <w:rsid w:val="0021310E"/>
    <w:rsid w:val="00213146"/>
    <w:rsid w:val="00213255"/>
    <w:rsid w:val="00213368"/>
    <w:rsid w:val="002134FF"/>
    <w:rsid w:val="00213542"/>
    <w:rsid w:val="0021397A"/>
    <w:rsid w:val="00213A45"/>
    <w:rsid w:val="00213C79"/>
    <w:rsid w:val="00213CEA"/>
    <w:rsid w:val="00213D18"/>
    <w:rsid w:val="00214566"/>
    <w:rsid w:val="00214860"/>
    <w:rsid w:val="00214A99"/>
    <w:rsid w:val="00214A9A"/>
    <w:rsid w:val="00214CB3"/>
    <w:rsid w:val="00214FD5"/>
    <w:rsid w:val="00215011"/>
    <w:rsid w:val="002151AF"/>
    <w:rsid w:val="0021551B"/>
    <w:rsid w:val="00215646"/>
    <w:rsid w:val="002156FD"/>
    <w:rsid w:val="002157AC"/>
    <w:rsid w:val="00215AF5"/>
    <w:rsid w:val="00215B26"/>
    <w:rsid w:val="00216169"/>
    <w:rsid w:val="00216634"/>
    <w:rsid w:val="002168A7"/>
    <w:rsid w:val="002168E0"/>
    <w:rsid w:val="00216DBB"/>
    <w:rsid w:val="00216DC7"/>
    <w:rsid w:val="00216EB4"/>
    <w:rsid w:val="00216F9F"/>
    <w:rsid w:val="00216FDB"/>
    <w:rsid w:val="002170CA"/>
    <w:rsid w:val="00217134"/>
    <w:rsid w:val="00217181"/>
    <w:rsid w:val="002175A3"/>
    <w:rsid w:val="0021781E"/>
    <w:rsid w:val="00217D01"/>
    <w:rsid w:val="00220465"/>
    <w:rsid w:val="00220640"/>
    <w:rsid w:val="00220A80"/>
    <w:rsid w:val="00220A88"/>
    <w:rsid w:val="00220AB7"/>
    <w:rsid w:val="00220DED"/>
    <w:rsid w:val="002211A7"/>
    <w:rsid w:val="00221208"/>
    <w:rsid w:val="00221603"/>
    <w:rsid w:val="00221793"/>
    <w:rsid w:val="002218E7"/>
    <w:rsid w:val="00221A11"/>
    <w:rsid w:val="00221C7B"/>
    <w:rsid w:val="00221DE8"/>
    <w:rsid w:val="00222184"/>
    <w:rsid w:val="00222242"/>
    <w:rsid w:val="002224A1"/>
    <w:rsid w:val="002224F1"/>
    <w:rsid w:val="00222CD2"/>
    <w:rsid w:val="00222FF1"/>
    <w:rsid w:val="002232D2"/>
    <w:rsid w:val="002232FD"/>
    <w:rsid w:val="00223868"/>
    <w:rsid w:val="00223CBE"/>
    <w:rsid w:val="00223E78"/>
    <w:rsid w:val="00224166"/>
    <w:rsid w:val="00224A16"/>
    <w:rsid w:val="00224A5A"/>
    <w:rsid w:val="00224ACE"/>
    <w:rsid w:val="00224C10"/>
    <w:rsid w:val="00224CC5"/>
    <w:rsid w:val="00224D2A"/>
    <w:rsid w:val="00224DBD"/>
    <w:rsid w:val="0022506C"/>
    <w:rsid w:val="00225278"/>
    <w:rsid w:val="002252EC"/>
    <w:rsid w:val="002257FA"/>
    <w:rsid w:val="00226126"/>
    <w:rsid w:val="00226793"/>
    <w:rsid w:val="002268E3"/>
    <w:rsid w:val="00226DD9"/>
    <w:rsid w:val="00226FE6"/>
    <w:rsid w:val="0022715C"/>
    <w:rsid w:val="00227259"/>
    <w:rsid w:val="00227A44"/>
    <w:rsid w:val="00227ECD"/>
    <w:rsid w:val="00227F22"/>
    <w:rsid w:val="002301C0"/>
    <w:rsid w:val="002301C6"/>
    <w:rsid w:val="002302D7"/>
    <w:rsid w:val="002303CA"/>
    <w:rsid w:val="00230552"/>
    <w:rsid w:val="002307D8"/>
    <w:rsid w:val="00230908"/>
    <w:rsid w:val="00230A24"/>
    <w:rsid w:val="00230B97"/>
    <w:rsid w:val="0023126F"/>
    <w:rsid w:val="0023134A"/>
    <w:rsid w:val="00231389"/>
    <w:rsid w:val="002314E2"/>
    <w:rsid w:val="002316CE"/>
    <w:rsid w:val="00231AC9"/>
    <w:rsid w:val="00231B21"/>
    <w:rsid w:val="00231E69"/>
    <w:rsid w:val="00231EC7"/>
    <w:rsid w:val="00232091"/>
    <w:rsid w:val="002321A0"/>
    <w:rsid w:val="00232296"/>
    <w:rsid w:val="0023283B"/>
    <w:rsid w:val="00232D34"/>
    <w:rsid w:val="00232F66"/>
    <w:rsid w:val="002330EA"/>
    <w:rsid w:val="002331F9"/>
    <w:rsid w:val="002333F0"/>
    <w:rsid w:val="002334A3"/>
    <w:rsid w:val="00233813"/>
    <w:rsid w:val="00233A10"/>
    <w:rsid w:val="00233C0F"/>
    <w:rsid w:val="00233DDB"/>
    <w:rsid w:val="002342DC"/>
    <w:rsid w:val="00234381"/>
    <w:rsid w:val="002344AF"/>
    <w:rsid w:val="002345CA"/>
    <w:rsid w:val="00234644"/>
    <w:rsid w:val="002349CA"/>
    <w:rsid w:val="002350FF"/>
    <w:rsid w:val="0023530C"/>
    <w:rsid w:val="002354D8"/>
    <w:rsid w:val="002355CB"/>
    <w:rsid w:val="002355EC"/>
    <w:rsid w:val="00235981"/>
    <w:rsid w:val="002359D4"/>
    <w:rsid w:val="00235AB6"/>
    <w:rsid w:val="00235B8E"/>
    <w:rsid w:val="00235CD3"/>
    <w:rsid w:val="00235E70"/>
    <w:rsid w:val="002360C6"/>
    <w:rsid w:val="00236455"/>
    <w:rsid w:val="00236492"/>
    <w:rsid w:val="0023650A"/>
    <w:rsid w:val="0023654B"/>
    <w:rsid w:val="00236851"/>
    <w:rsid w:val="00236A3B"/>
    <w:rsid w:val="00236B3A"/>
    <w:rsid w:val="00237014"/>
    <w:rsid w:val="00237137"/>
    <w:rsid w:val="002375F6"/>
    <w:rsid w:val="0023789D"/>
    <w:rsid w:val="002378DB"/>
    <w:rsid w:val="0023797A"/>
    <w:rsid w:val="002379BE"/>
    <w:rsid w:val="00237C82"/>
    <w:rsid w:val="00240149"/>
    <w:rsid w:val="0024019B"/>
    <w:rsid w:val="002408E4"/>
    <w:rsid w:val="00240A5C"/>
    <w:rsid w:val="00240B71"/>
    <w:rsid w:val="00240C4B"/>
    <w:rsid w:val="00240FC7"/>
    <w:rsid w:val="0024100A"/>
    <w:rsid w:val="002412A9"/>
    <w:rsid w:val="002415B7"/>
    <w:rsid w:val="00241863"/>
    <w:rsid w:val="002419F1"/>
    <w:rsid w:val="00241A9A"/>
    <w:rsid w:val="00242078"/>
    <w:rsid w:val="002420E1"/>
    <w:rsid w:val="002421DC"/>
    <w:rsid w:val="0024231A"/>
    <w:rsid w:val="002425F0"/>
    <w:rsid w:val="00242629"/>
    <w:rsid w:val="00242689"/>
    <w:rsid w:val="002427A6"/>
    <w:rsid w:val="002429D0"/>
    <w:rsid w:val="00242FA3"/>
    <w:rsid w:val="0024310A"/>
    <w:rsid w:val="00243269"/>
    <w:rsid w:val="0024357E"/>
    <w:rsid w:val="002437CD"/>
    <w:rsid w:val="0024382A"/>
    <w:rsid w:val="0024398C"/>
    <w:rsid w:val="00243CC5"/>
    <w:rsid w:val="0024401A"/>
    <w:rsid w:val="0024409F"/>
    <w:rsid w:val="002442A3"/>
    <w:rsid w:val="002443A8"/>
    <w:rsid w:val="002443F5"/>
    <w:rsid w:val="00244C18"/>
    <w:rsid w:val="00244E07"/>
    <w:rsid w:val="00244E4B"/>
    <w:rsid w:val="0024504B"/>
    <w:rsid w:val="00245143"/>
    <w:rsid w:val="00245177"/>
    <w:rsid w:val="00245272"/>
    <w:rsid w:val="002452C0"/>
    <w:rsid w:val="0024534E"/>
    <w:rsid w:val="00245802"/>
    <w:rsid w:val="002458AA"/>
    <w:rsid w:val="00245997"/>
    <w:rsid w:val="00245C9F"/>
    <w:rsid w:val="00245E1C"/>
    <w:rsid w:val="00245E37"/>
    <w:rsid w:val="00245FA3"/>
    <w:rsid w:val="00245FC6"/>
    <w:rsid w:val="002460CD"/>
    <w:rsid w:val="0024614E"/>
    <w:rsid w:val="002461B6"/>
    <w:rsid w:val="0024634F"/>
    <w:rsid w:val="002464FE"/>
    <w:rsid w:val="0024650E"/>
    <w:rsid w:val="00246618"/>
    <w:rsid w:val="00246D0A"/>
    <w:rsid w:val="00246DDF"/>
    <w:rsid w:val="002472EF"/>
    <w:rsid w:val="0024770A"/>
    <w:rsid w:val="002478A9"/>
    <w:rsid w:val="00247B9F"/>
    <w:rsid w:val="00247C0E"/>
    <w:rsid w:val="00247DD2"/>
    <w:rsid w:val="00250106"/>
    <w:rsid w:val="0025020A"/>
    <w:rsid w:val="002502A8"/>
    <w:rsid w:val="00250341"/>
    <w:rsid w:val="002505BD"/>
    <w:rsid w:val="00250874"/>
    <w:rsid w:val="002509FD"/>
    <w:rsid w:val="00250DEA"/>
    <w:rsid w:val="002510B9"/>
    <w:rsid w:val="0025113B"/>
    <w:rsid w:val="00251223"/>
    <w:rsid w:val="00251295"/>
    <w:rsid w:val="00251829"/>
    <w:rsid w:val="00251B99"/>
    <w:rsid w:val="00251C58"/>
    <w:rsid w:val="00251C5F"/>
    <w:rsid w:val="00251D34"/>
    <w:rsid w:val="00251E3E"/>
    <w:rsid w:val="00251E48"/>
    <w:rsid w:val="00251F9A"/>
    <w:rsid w:val="0025207D"/>
    <w:rsid w:val="00252169"/>
    <w:rsid w:val="002521F7"/>
    <w:rsid w:val="00252286"/>
    <w:rsid w:val="0025241B"/>
    <w:rsid w:val="00252606"/>
    <w:rsid w:val="00252623"/>
    <w:rsid w:val="00252AE4"/>
    <w:rsid w:val="00252B01"/>
    <w:rsid w:val="00252CCA"/>
    <w:rsid w:val="00252F21"/>
    <w:rsid w:val="00253365"/>
    <w:rsid w:val="002533E6"/>
    <w:rsid w:val="0025351A"/>
    <w:rsid w:val="00253AE2"/>
    <w:rsid w:val="00253B7B"/>
    <w:rsid w:val="00253CFB"/>
    <w:rsid w:val="00253D27"/>
    <w:rsid w:val="00253E67"/>
    <w:rsid w:val="00254079"/>
    <w:rsid w:val="00254176"/>
    <w:rsid w:val="00254257"/>
    <w:rsid w:val="00254526"/>
    <w:rsid w:val="002546A2"/>
    <w:rsid w:val="00254866"/>
    <w:rsid w:val="0025491C"/>
    <w:rsid w:val="00254946"/>
    <w:rsid w:val="00254B44"/>
    <w:rsid w:val="00254B5D"/>
    <w:rsid w:val="00254C68"/>
    <w:rsid w:val="00254F27"/>
    <w:rsid w:val="00254FD4"/>
    <w:rsid w:val="0025526C"/>
    <w:rsid w:val="00255326"/>
    <w:rsid w:val="0025558A"/>
    <w:rsid w:val="0025595D"/>
    <w:rsid w:val="00255C16"/>
    <w:rsid w:val="00255D61"/>
    <w:rsid w:val="00255E44"/>
    <w:rsid w:val="00255E53"/>
    <w:rsid w:val="00255F5A"/>
    <w:rsid w:val="00255FE4"/>
    <w:rsid w:val="00256065"/>
    <w:rsid w:val="002563A7"/>
    <w:rsid w:val="00256602"/>
    <w:rsid w:val="002567DC"/>
    <w:rsid w:val="0025680E"/>
    <w:rsid w:val="00256BAC"/>
    <w:rsid w:val="00256CB3"/>
    <w:rsid w:val="00256D9C"/>
    <w:rsid w:val="00256E28"/>
    <w:rsid w:val="00256E35"/>
    <w:rsid w:val="00257129"/>
    <w:rsid w:val="00257158"/>
    <w:rsid w:val="0025728C"/>
    <w:rsid w:val="002573F8"/>
    <w:rsid w:val="002578AC"/>
    <w:rsid w:val="00257A2A"/>
    <w:rsid w:val="00257A7D"/>
    <w:rsid w:val="00257B89"/>
    <w:rsid w:val="00257BA1"/>
    <w:rsid w:val="00257E6A"/>
    <w:rsid w:val="00257F8B"/>
    <w:rsid w:val="00260386"/>
    <w:rsid w:val="0026043E"/>
    <w:rsid w:val="002604CF"/>
    <w:rsid w:val="002604E0"/>
    <w:rsid w:val="0026071D"/>
    <w:rsid w:val="0026074A"/>
    <w:rsid w:val="0026096D"/>
    <w:rsid w:val="0026099D"/>
    <w:rsid w:val="00260D32"/>
    <w:rsid w:val="0026122B"/>
    <w:rsid w:val="00261300"/>
    <w:rsid w:val="00261509"/>
    <w:rsid w:val="00261983"/>
    <w:rsid w:val="00261B14"/>
    <w:rsid w:val="00261C41"/>
    <w:rsid w:val="00261C9F"/>
    <w:rsid w:val="00261D37"/>
    <w:rsid w:val="00261D51"/>
    <w:rsid w:val="00261F86"/>
    <w:rsid w:val="00262112"/>
    <w:rsid w:val="0026244A"/>
    <w:rsid w:val="0026245D"/>
    <w:rsid w:val="0026253C"/>
    <w:rsid w:val="0026268D"/>
    <w:rsid w:val="0026275D"/>
    <w:rsid w:val="00262793"/>
    <w:rsid w:val="002628F8"/>
    <w:rsid w:val="00262978"/>
    <w:rsid w:val="00262C04"/>
    <w:rsid w:val="00262C0F"/>
    <w:rsid w:val="00262CFB"/>
    <w:rsid w:val="00262D09"/>
    <w:rsid w:val="00262E11"/>
    <w:rsid w:val="00263050"/>
    <w:rsid w:val="0026356F"/>
    <w:rsid w:val="002636F0"/>
    <w:rsid w:val="00263911"/>
    <w:rsid w:val="00263E1C"/>
    <w:rsid w:val="00263F04"/>
    <w:rsid w:val="0026427E"/>
    <w:rsid w:val="0026429D"/>
    <w:rsid w:val="002642A4"/>
    <w:rsid w:val="0026452C"/>
    <w:rsid w:val="002645BD"/>
    <w:rsid w:val="002646D8"/>
    <w:rsid w:val="00264948"/>
    <w:rsid w:val="00264B4A"/>
    <w:rsid w:val="00264B80"/>
    <w:rsid w:val="00264D69"/>
    <w:rsid w:val="002651CA"/>
    <w:rsid w:val="002652C8"/>
    <w:rsid w:val="002652EA"/>
    <w:rsid w:val="002654C9"/>
    <w:rsid w:val="00265538"/>
    <w:rsid w:val="002656F6"/>
    <w:rsid w:val="002657D9"/>
    <w:rsid w:val="0026591C"/>
    <w:rsid w:val="00265AEC"/>
    <w:rsid w:val="00265B45"/>
    <w:rsid w:val="00265B94"/>
    <w:rsid w:val="00265D0E"/>
    <w:rsid w:val="00265DFB"/>
    <w:rsid w:val="00265E63"/>
    <w:rsid w:val="002662B3"/>
    <w:rsid w:val="002663B4"/>
    <w:rsid w:val="0026673E"/>
    <w:rsid w:val="002667C9"/>
    <w:rsid w:val="00266AAD"/>
    <w:rsid w:val="00266B19"/>
    <w:rsid w:val="00266DB7"/>
    <w:rsid w:val="00266F04"/>
    <w:rsid w:val="00266F0F"/>
    <w:rsid w:val="00267135"/>
    <w:rsid w:val="00267214"/>
    <w:rsid w:val="002673CE"/>
    <w:rsid w:val="002673CF"/>
    <w:rsid w:val="002675A8"/>
    <w:rsid w:val="0026795E"/>
    <w:rsid w:val="00267BCC"/>
    <w:rsid w:val="00267CC5"/>
    <w:rsid w:val="002701B4"/>
    <w:rsid w:val="002702EF"/>
    <w:rsid w:val="00270421"/>
    <w:rsid w:val="00270903"/>
    <w:rsid w:val="00270910"/>
    <w:rsid w:val="00270A7C"/>
    <w:rsid w:val="00270BF8"/>
    <w:rsid w:val="00270D06"/>
    <w:rsid w:val="00270DC4"/>
    <w:rsid w:val="002710D2"/>
    <w:rsid w:val="002711AC"/>
    <w:rsid w:val="002712A0"/>
    <w:rsid w:val="0027177B"/>
    <w:rsid w:val="0027184E"/>
    <w:rsid w:val="00271910"/>
    <w:rsid w:val="00271B03"/>
    <w:rsid w:val="00271C2E"/>
    <w:rsid w:val="00271C7E"/>
    <w:rsid w:val="00271CFA"/>
    <w:rsid w:val="00271DCC"/>
    <w:rsid w:val="0027204B"/>
    <w:rsid w:val="002720CF"/>
    <w:rsid w:val="0027216A"/>
    <w:rsid w:val="0027224A"/>
    <w:rsid w:val="0027245C"/>
    <w:rsid w:val="002724FB"/>
    <w:rsid w:val="002727BD"/>
    <w:rsid w:val="00272B90"/>
    <w:rsid w:val="00272CD0"/>
    <w:rsid w:val="00272D19"/>
    <w:rsid w:val="00272DB2"/>
    <w:rsid w:val="00272DD0"/>
    <w:rsid w:val="00273304"/>
    <w:rsid w:val="00273446"/>
    <w:rsid w:val="0027344A"/>
    <w:rsid w:val="00273463"/>
    <w:rsid w:val="002734CB"/>
    <w:rsid w:val="0027362E"/>
    <w:rsid w:val="00273883"/>
    <w:rsid w:val="002738AC"/>
    <w:rsid w:val="00273963"/>
    <w:rsid w:val="00273C3F"/>
    <w:rsid w:val="00273DB3"/>
    <w:rsid w:val="00273E18"/>
    <w:rsid w:val="00274037"/>
    <w:rsid w:val="00274272"/>
    <w:rsid w:val="00274313"/>
    <w:rsid w:val="002745F4"/>
    <w:rsid w:val="00274701"/>
    <w:rsid w:val="00274B86"/>
    <w:rsid w:val="00274CBB"/>
    <w:rsid w:val="00274F52"/>
    <w:rsid w:val="00275502"/>
    <w:rsid w:val="002758CD"/>
    <w:rsid w:val="00275B0F"/>
    <w:rsid w:val="00275E6D"/>
    <w:rsid w:val="0027604E"/>
    <w:rsid w:val="00276539"/>
    <w:rsid w:val="0027675F"/>
    <w:rsid w:val="00276899"/>
    <w:rsid w:val="00276A1A"/>
    <w:rsid w:val="00276E22"/>
    <w:rsid w:val="00276F2C"/>
    <w:rsid w:val="00276FC6"/>
    <w:rsid w:val="0027700D"/>
    <w:rsid w:val="00277093"/>
    <w:rsid w:val="00277621"/>
    <w:rsid w:val="00277627"/>
    <w:rsid w:val="002776BC"/>
    <w:rsid w:val="002777C3"/>
    <w:rsid w:val="00277FD7"/>
    <w:rsid w:val="0028004E"/>
    <w:rsid w:val="00280306"/>
    <w:rsid w:val="00280536"/>
    <w:rsid w:val="0028077A"/>
    <w:rsid w:val="0028079D"/>
    <w:rsid w:val="002808D2"/>
    <w:rsid w:val="00280AC6"/>
    <w:rsid w:val="00280D00"/>
    <w:rsid w:val="00280DFB"/>
    <w:rsid w:val="00280F44"/>
    <w:rsid w:val="00281022"/>
    <w:rsid w:val="00281220"/>
    <w:rsid w:val="002812C1"/>
    <w:rsid w:val="002812DB"/>
    <w:rsid w:val="002813D1"/>
    <w:rsid w:val="0028150F"/>
    <w:rsid w:val="00281525"/>
    <w:rsid w:val="0028177B"/>
    <w:rsid w:val="0028181D"/>
    <w:rsid w:val="00281ABA"/>
    <w:rsid w:val="00281F2A"/>
    <w:rsid w:val="0028228B"/>
    <w:rsid w:val="002823C4"/>
    <w:rsid w:val="002825E0"/>
    <w:rsid w:val="00282622"/>
    <w:rsid w:val="002826A3"/>
    <w:rsid w:val="002826CA"/>
    <w:rsid w:val="002827B7"/>
    <w:rsid w:val="00282835"/>
    <w:rsid w:val="0028292A"/>
    <w:rsid w:val="002829A5"/>
    <w:rsid w:val="00282A0C"/>
    <w:rsid w:val="00282A1F"/>
    <w:rsid w:val="00282C58"/>
    <w:rsid w:val="00282E23"/>
    <w:rsid w:val="00282F10"/>
    <w:rsid w:val="00282FB4"/>
    <w:rsid w:val="0028306D"/>
    <w:rsid w:val="0028338B"/>
    <w:rsid w:val="0028344C"/>
    <w:rsid w:val="0028350C"/>
    <w:rsid w:val="00283864"/>
    <w:rsid w:val="0028395E"/>
    <w:rsid w:val="00283AC4"/>
    <w:rsid w:val="00283AC6"/>
    <w:rsid w:val="00283BC3"/>
    <w:rsid w:val="00283DF3"/>
    <w:rsid w:val="00283F90"/>
    <w:rsid w:val="00283FAD"/>
    <w:rsid w:val="0028470C"/>
    <w:rsid w:val="00284862"/>
    <w:rsid w:val="00284912"/>
    <w:rsid w:val="00284B64"/>
    <w:rsid w:val="00284E4D"/>
    <w:rsid w:val="00284E89"/>
    <w:rsid w:val="00284EE9"/>
    <w:rsid w:val="00285285"/>
    <w:rsid w:val="0028586C"/>
    <w:rsid w:val="00285C3F"/>
    <w:rsid w:val="00285C6B"/>
    <w:rsid w:val="00285E83"/>
    <w:rsid w:val="00285ED6"/>
    <w:rsid w:val="002866F4"/>
    <w:rsid w:val="002868CA"/>
    <w:rsid w:val="00286931"/>
    <w:rsid w:val="00286958"/>
    <w:rsid w:val="002869A7"/>
    <w:rsid w:val="002869ED"/>
    <w:rsid w:val="00286B56"/>
    <w:rsid w:val="00286B74"/>
    <w:rsid w:val="00286BCA"/>
    <w:rsid w:val="00286BEC"/>
    <w:rsid w:val="00286F47"/>
    <w:rsid w:val="00287050"/>
    <w:rsid w:val="002871EF"/>
    <w:rsid w:val="00287291"/>
    <w:rsid w:val="002872FC"/>
    <w:rsid w:val="0028752B"/>
    <w:rsid w:val="002877AB"/>
    <w:rsid w:val="00287C74"/>
    <w:rsid w:val="00287D37"/>
    <w:rsid w:val="00287DE9"/>
    <w:rsid w:val="00290153"/>
    <w:rsid w:val="002907FD"/>
    <w:rsid w:val="00290866"/>
    <w:rsid w:val="00290A4C"/>
    <w:rsid w:val="00290CBE"/>
    <w:rsid w:val="00290D7F"/>
    <w:rsid w:val="00291162"/>
    <w:rsid w:val="0029119F"/>
    <w:rsid w:val="00291371"/>
    <w:rsid w:val="00291393"/>
    <w:rsid w:val="0029147F"/>
    <w:rsid w:val="00291744"/>
    <w:rsid w:val="002917F5"/>
    <w:rsid w:val="00291807"/>
    <w:rsid w:val="00291825"/>
    <w:rsid w:val="00291DE8"/>
    <w:rsid w:val="002921F1"/>
    <w:rsid w:val="00292290"/>
    <w:rsid w:val="00292416"/>
    <w:rsid w:val="002924C9"/>
    <w:rsid w:val="0029256D"/>
    <w:rsid w:val="00292586"/>
    <w:rsid w:val="00292964"/>
    <w:rsid w:val="0029296E"/>
    <w:rsid w:val="002930E4"/>
    <w:rsid w:val="002932F6"/>
    <w:rsid w:val="002933BB"/>
    <w:rsid w:val="00293498"/>
    <w:rsid w:val="002936D3"/>
    <w:rsid w:val="002936F0"/>
    <w:rsid w:val="002937C5"/>
    <w:rsid w:val="00293A44"/>
    <w:rsid w:val="00294016"/>
    <w:rsid w:val="00294162"/>
    <w:rsid w:val="0029416E"/>
    <w:rsid w:val="002943BE"/>
    <w:rsid w:val="002946B8"/>
    <w:rsid w:val="00294734"/>
    <w:rsid w:val="00294809"/>
    <w:rsid w:val="0029499B"/>
    <w:rsid w:val="00294C98"/>
    <w:rsid w:val="00295172"/>
    <w:rsid w:val="00295384"/>
    <w:rsid w:val="002955AC"/>
    <w:rsid w:val="00295937"/>
    <w:rsid w:val="00295A33"/>
    <w:rsid w:val="00295A9C"/>
    <w:rsid w:val="00295AB8"/>
    <w:rsid w:val="00295D41"/>
    <w:rsid w:val="00295EBE"/>
    <w:rsid w:val="00295F43"/>
    <w:rsid w:val="002961AB"/>
    <w:rsid w:val="00296223"/>
    <w:rsid w:val="00296571"/>
    <w:rsid w:val="002965F3"/>
    <w:rsid w:val="002968BA"/>
    <w:rsid w:val="00296D24"/>
    <w:rsid w:val="00296FEA"/>
    <w:rsid w:val="00297073"/>
    <w:rsid w:val="00297675"/>
    <w:rsid w:val="002976AF"/>
    <w:rsid w:val="002976CB"/>
    <w:rsid w:val="002977E9"/>
    <w:rsid w:val="00297954"/>
    <w:rsid w:val="00297B66"/>
    <w:rsid w:val="00297B73"/>
    <w:rsid w:val="00297B9E"/>
    <w:rsid w:val="00297D2A"/>
    <w:rsid w:val="00297DEA"/>
    <w:rsid w:val="00297FAB"/>
    <w:rsid w:val="00297FD1"/>
    <w:rsid w:val="002A0170"/>
    <w:rsid w:val="002A0262"/>
    <w:rsid w:val="002A02C7"/>
    <w:rsid w:val="002A032E"/>
    <w:rsid w:val="002A07AE"/>
    <w:rsid w:val="002A09A6"/>
    <w:rsid w:val="002A0AF3"/>
    <w:rsid w:val="002A0B63"/>
    <w:rsid w:val="002A0CA8"/>
    <w:rsid w:val="002A0F60"/>
    <w:rsid w:val="002A0F73"/>
    <w:rsid w:val="002A0FB2"/>
    <w:rsid w:val="002A1362"/>
    <w:rsid w:val="002A15B0"/>
    <w:rsid w:val="002A1813"/>
    <w:rsid w:val="002A18E8"/>
    <w:rsid w:val="002A1AB7"/>
    <w:rsid w:val="002A1B02"/>
    <w:rsid w:val="002A1E89"/>
    <w:rsid w:val="002A1F03"/>
    <w:rsid w:val="002A22BC"/>
    <w:rsid w:val="002A2318"/>
    <w:rsid w:val="002A234C"/>
    <w:rsid w:val="002A271B"/>
    <w:rsid w:val="002A27CC"/>
    <w:rsid w:val="002A2ABB"/>
    <w:rsid w:val="002A2C5E"/>
    <w:rsid w:val="002A2C6A"/>
    <w:rsid w:val="002A2CB5"/>
    <w:rsid w:val="002A2D76"/>
    <w:rsid w:val="002A2F04"/>
    <w:rsid w:val="002A3227"/>
    <w:rsid w:val="002A32A5"/>
    <w:rsid w:val="002A35E4"/>
    <w:rsid w:val="002A35F7"/>
    <w:rsid w:val="002A361C"/>
    <w:rsid w:val="002A3644"/>
    <w:rsid w:val="002A3968"/>
    <w:rsid w:val="002A3BA0"/>
    <w:rsid w:val="002A3BBF"/>
    <w:rsid w:val="002A3CF5"/>
    <w:rsid w:val="002A42D7"/>
    <w:rsid w:val="002A4377"/>
    <w:rsid w:val="002A48E6"/>
    <w:rsid w:val="002A49B4"/>
    <w:rsid w:val="002A4B21"/>
    <w:rsid w:val="002A4B9B"/>
    <w:rsid w:val="002A4F49"/>
    <w:rsid w:val="002A51BE"/>
    <w:rsid w:val="002A53A5"/>
    <w:rsid w:val="002A5718"/>
    <w:rsid w:val="002A5738"/>
    <w:rsid w:val="002A5A44"/>
    <w:rsid w:val="002A5D8E"/>
    <w:rsid w:val="002A5D92"/>
    <w:rsid w:val="002A5DBD"/>
    <w:rsid w:val="002A6665"/>
    <w:rsid w:val="002A669A"/>
    <w:rsid w:val="002A673F"/>
    <w:rsid w:val="002A686E"/>
    <w:rsid w:val="002A6A41"/>
    <w:rsid w:val="002A6A5A"/>
    <w:rsid w:val="002A6A84"/>
    <w:rsid w:val="002A6C6C"/>
    <w:rsid w:val="002A6D0E"/>
    <w:rsid w:val="002A7175"/>
    <w:rsid w:val="002A745C"/>
    <w:rsid w:val="002A75B6"/>
    <w:rsid w:val="002A7705"/>
    <w:rsid w:val="002A7868"/>
    <w:rsid w:val="002A7B01"/>
    <w:rsid w:val="002A7DE0"/>
    <w:rsid w:val="002A7E40"/>
    <w:rsid w:val="002A7E94"/>
    <w:rsid w:val="002A7F88"/>
    <w:rsid w:val="002B01A6"/>
    <w:rsid w:val="002B01C7"/>
    <w:rsid w:val="002B0498"/>
    <w:rsid w:val="002B0844"/>
    <w:rsid w:val="002B0875"/>
    <w:rsid w:val="002B0B50"/>
    <w:rsid w:val="002B0E9C"/>
    <w:rsid w:val="002B1352"/>
    <w:rsid w:val="002B15FE"/>
    <w:rsid w:val="002B165F"/>
    <w:rsid w:val="002B1ABD"/>
    <w:rsid w:val="002B1C52"/>
    <w:rsid w:val="002B1CFC"/>
    <w:rsid w:val="002B2404"/>
    <w:rsid w:val="002B2512"/>
    <w:rsid w:val="002B2517"/>
    <w:rsid w:val="002B2657"/>
    <w:rsid w:val="002B2673"/>
    <w:rsid w:val="002B267A"/>
    <w:rsid w:val="002B26BD"/>
    <w:rsid w:val="002B2AD7"/>
    <w:rsid w:val="002B2B3A"/>
    <w:rsid w:val="002B2B90"/>
    <w:rsid w:val="002B3310"/>
    <w:rsid w:val="002B3AD9"/>
    <w:rsid w:val="002B3C1D"/>
    <w:rsid w:val="002B3CBE"/>
    <w:rsid w:val="002B3E41"/>
    <w:rsid w:val="002B3F87"/>
    <w:rsid w:val="002B4135"/>
    <w:rsid w:val="002B42F3"/>
    <w:rsid w:val="002B453E"/>
    <w:rsid w:val="002B4597"/>
    <w:rsid w:val="002B45F9"/>
    <w:rsid w:val="002B472F"/>
    <w:rsid w:val="002B4AF8"/>
    <w:rsid w:val="002B4C55"/>
    <w:rsid w:val="002B5022"/>
    <w:rsid w:val="002B5077"/>
    <w:rsid w:val="002B5466"/>
    <w:rsid w:val="002B547E"/>
    <w:rsid w:val="002B58FD"/>
    <w:rsid w:val="002B5903"/>
    <w:rsid w:val="002B595C"/>
    <w:rsid w:val="002B59CA"/>
    <w:rsid w:val="002B59D9"/>
    <w:rsid w:val="002B5A29"/>
    <w:rsid w:val="002B618E"/>
    <w:rsid w:val="002B62F3"/>
    <w:rsid w:val="002B64F6"/>
    <w:rsid w:val="002B6D69"/>
    <w:rsid w:val="002B7730"/>
    <w:rsid w:val="002B7796"/>
    <w:rsid w:val="002B7D00"/>
    <w:rsid w:val="002C0131"/>
    <w:rsid w:val="002C01F4"/>
    <w:rsid w:val="002C04A7"/>
    <w:rsid w:val="002C0519"/>
    <w:rsid w:val="002C05FD"/>
    <w:rsid w:val="002C08BF"/>
    <w:rsid w:val="002C0A56"/>
    <w:rsid w:val="002C0AF7"/>
    <w:rsid w:val="002C0B06"/>
    <w:rsid w:val="002C0DEB"/>
    <w:rsid w:val="002C0E33"/>
    <w:rsid w:val="002C131C"/>
    <w:rsid w:val="002C131E"/>
    <w:rsid w:val="002C1554"/>
    <w:rsid w:val="002C17D2"/>
    <w:rsid w:val="002C17DA"/>
    <w:rsid w:val="002C1A82"/>
    <w:rsid w:val="002C1CFC"/>
    <w:rsid w:val="002C1E73"/>
    <w:rsid w:val="002C1E99"/>
    <w:rsid w:val="002C1FC4"/>
    <w:rsid w:val="002C2374"/>
    <w:rsid w:val="002C261F"/>
    <w:rsid w:val="002C28C8"/>
    <w:rsid w:val="002C2BFD"/>
    <w:rsid w:val="002C2C2A"/>
    <w:rsid w:val="002C2C8C"/>
    <w:rsid w:val="002C2EC0"/>
    <w:rsid w:val="002C2F80"/>
    <w:rsid w:val="002C2F98"/>
    <w:rsid w:val="002C2FC0"/>
    <w:rsid w:val="002C300E"/>
    <w:rsid w:val="002C3174"/>
    <w:rsid w:val="002C3372"/>
    <w:rsid w:val="002C37AF"/>
    <w:rsid w:val="002C3ABD"/>
    <w:rsid w:val="002C3EFA"/>
    <w:rsid w:val="002C423F"/>
    <w:rsid w:val="002C4445"/>
    <w:rsid w:val="002C445F"/>
    <w:rsid w:val="002C4502"/>
    <w:rsid w:val="002C4781"/>
    <w:rsid w:val="002C48DE"/>
    <w:rsid w:val="002C4930"/>
    <w:rsid w:val="002C4C76"/>
    <w:rsid w:val="002C4DB3"/>
    <w:rsid w:val="002C4EC2"/>
    <w:rsid w:val="002C5188"/>
    <w:rsid w:val="002C5223"/>
    <w:rsid w:val="002C5224"/>
    <w:rsid w:val="002C5670"/>
    <w:rsid w:val="002C5A63"/>
    <w:rsid w:val="002C5A8E"/>
    <w:rsid w:val="002C5AA9"/>
    <w:rsid w:val="002C5AB4"/>
    <w:rsid w:val="002C5BD0"/>
    <w:rsid w:val="002C5FE5"/>
    <w:rsid w:val="002C62F8"/>
    <w:rsid w:val="002C6453"/>
    <w:rsid w:val="002C65EF"/>
    <w:rsid w:val="002C662A"/>
    <w:rsid w:val="002C6655"/>
    <w:rsid w:val="002C66CD"/>
    <w:rsid w:val="002C6741"/>
    <w:rsid w:val="002C6746"/>
    <w:rsid w:val="002C684A"/>
    <w:rsid w:val="002C689E"/>
    <w:rsid w:val="002C690C"/>
    <w:rsid w:val="002C6972"/>
    <w:rsid w:val="002C69E8"/>
    <w:rsid w:val="002C6A83"/>
    <w:rsid w:val="002C7288"/>
    <w:rsid w:val="002C73BB"/>
    <w:rsid w:val="002C7483"/>
    <w:rsid w:val="002C77C6"/>
    <w:rsid w:val="002C77EA"/>
    <w:rsid w:val="002C7995"/>
    <w:rsid w:val="002C79E4"/>
    <w:rsid w:val="002C7B4F"/>
    <w:rsid w:val="002C7D41"/>
    <w:rsid w:val="002C7E94"/>
    <w:rsid w:val="002C7EB3"/>
    <w:rsid w:val="002D020F"/>
    <w:rsid w:val="002D042F"/>
    <w:rsid w:val="002D0C43"/>
    <w:rsid w:val="002D0CC7"/>
    <w:rsid w:val="002D12F1"/>
    <w:rsid w:val="002D16B1"/>
    <w:rsid w:val="002D16D0"/>
    <w:rsid w:val="002D17CB"/>
    <w:rsid w:val="002D1825"/>
    <w:rsid w:val="002D1AAB"/>
    <w:rsid w:val="002D1DC0"/>
    <w:rsid w:val="002D2060"/>
    <w:rsid w:val="002D22C9"/>
    <w:rsid w:val="002D25DB"/>
    <w:rsid w:val="002D27C3"/>
    <w:rsid w:val="002D2B76"/>
    <w:rsid w:val="002D2F2A"/>
    <w:rsid w:val="002D33F4"/>
    <w:rsid w:val="002D38D6"/>
    <w:rsid w:val="002D3998"/>
    <w:rsid w:val="002D3A54"/>
    <w:rsid w:val="002D3D76"/>
    <w:rsid w:val="002D3EEB"/>
    <w:rsid w:val="002D3F5C"/>
    <w:rsid w:val="002D3F85"/>
    <w:rsid w:val="002D3FAD"/>
    <w:rsid w:val="002D4723"/>
    <w:rsid w:val="002D480C"/>
    <w:rsid w:val="002D4A71"/>
    <w:rsid w:val="002D4B15"/>
    <w:rsid w:val="002D4BCB"/>
    <w:rsid w:val="002D4CE5"/>
    <w:rsid w:val="002D4E0E"/>
    <w:rsid w:val="002D5423"/>
    <w:rsid w:val="002D5772"/>
    <w:rsid w:val="002D583E"/>
    <w:rsid w:val="002D5C6F"/>
    <w:rsid w:val="002D5CB7"/>
    <w:rsid w:val="002D5DDD"/>
    <w:rsid w:val="002D5DE2"/>
    <w:rsid w:val="002D5EE5"/>
    <w:rsid w:val="002D6092"/>
    <w:rsid w:val="002D637F"/>
    <w:rsid w:val="002D6764"/>
    <w:rsid w:val="002D6897"/>
    <w:rsid w:val="002D6D38"/>
    <w:rsid w:val="002D6D39"/>
    <w:rsid w:val="002D6E49"/>
    <w:rsid w:val="002D6EB4"/>
    <w:rsid w:val="002D6FAC"/>
    <w:rsid w:val="002D7055"/>
    <w:rsid w:val="002D7434"/>
    <w:rsid w:val="002D743A"/>
    <w:rsid w:val="002D754C"/>
    <w:rsid w:val="002D76F8"/>
    <w:rsid w:val="002D7BE3"/>
    <w:rsid w:val="002D7D1E"/>
    <w:rsid w:val="002D7E82"/>
    <w:rsid w:val="002D7F24"/>
    <w:rsid w:val="002E006A"/>
    <w:rsid w:val="002E04C8"/>
    <w:rsid w:val="002E0599"/>
    <w:rsid w:val="002E0748"/>
    <w:rsid w:val="002E076D"/>
    <w:rsid w:val="002E081B"/>
    <w:rsid w:val="002E0848"/>
    <w:rsid w:val="002E08A4"/>
    <w:rsid w:val="002E0BBD"/>
    <w:rsid w:val="002E0CCA"/>
    <w:rsid w:val="002E0E3B"/>
    <w:rsid w:val="002E0F19"/>
    <w:rsid w:val="002E12F7"/>
    <w:rsid w:val="002E1311"/>
    <w:rsid w:val="002E13D5"/>
    <w:rsid w:val="002E147A"/>
    <w:rsid w:val="002E149E"/>
    <w:rsid w:val="002E161B"/>
    <w:rsid w:val="002E189F"/>
    <w:rsid w:val="002E1C87"/>
    <w:rsid w:val="002E1D52"/>
    <w:rsid w:val="002E1DC6"/>
    <w:rsid w:val="002E1E49"/>
    <w:rsid w:val="002E1F0F"/>
    <w:rsid w:val="002E1F50"/>
    <w:rsid w:val="002E2255"/>
    <w:rsid w:val="002E2500"/>
    <w:rsid w:val="002E2542"/>
    <w:rsid w:val="002E26ED"/>
    <w:rsid w:val="002E28D7"/>
    <w:rsid w:val="002E30E1"/>
    <w:rsid w:val="002E3260"/>
    <w:rsid w:val="002E342E"/>
    <w:rsid w:val="002E3467"/>
    <w:rsid w:val="002E36A1"/>
    <w:rsid w:val="002E3795"/>
    <w:rsid w:val="002E37C6"/>
    <w:rsid w:val="002E393E"/>
    <w:rsid w:val="002E3948"/>
    <w:rsid w:val="002E397B"/>
    <w:rsid w:val="002E3F47"/>
    <w:rsid w:val="002E426B"/>
    <w:rsid w:val="002E455A"/>
    <w:rsid w:val="002E458E"/>
    <w:rsid w:val="002E499B"/>
    <w:rsid w:val="002E4CEB"/>
    <w:rsid w:val="002E4DAC"/>
    <w:rsid w:val="002E4E1E"/>
    <w:rsid w:val="002E4F47"/>
    <w:rsid w:val="002E5329"/>
    <w:rsid w:val="002E546F"/>
    <w:rsid w:val="002E54E1"/>
    <w:rsid w:val="002E54EA"/>
    <w:rsid w:val="002E5549"/>
    <w:rsid w:val="002E554A"/>
    <w:rsid w:val="002E5672"/>
    <w:rsid w:val="002E57F0"/>
    <w:rsid w:val="002E5800"/>
    <w:rsid w:val="002E59F1"/>
    <w:rsid w:val="002E5A80"/>
    <w:rsid w:val="002E5A98"/>
    <w:rsid w:val="002E5ABC"/>
    <w:rsid w:val="002E5D5C"/>
    <w:rsid w:val="002E5F54"/>
    <w:rsid w:val="002E62C0"/>
    <w:rsid w:val="002E65C4"/>
    <w:rsid w:val="002E67AF"/>
    <w:rsid w:val="002E687D"/>
    <w:rsid w:val="002E6AB5"/>
    <w:rsid w:val="002E6D1F"/>
    <w:rsid w:val="002E72D9"/>
    <w:rsid w:val="002E74A8"/>
    <w:rsid w:val="002E793F"/>
    <w:rsid w:val="002E7B00"/>
    <w:rsid w:val="002E7B42"/>
    <w:rsid w:val="002E7D01"/>
    <w:rsid w:val="002F00E3"/>
    <w:rsid w:val="002F0151"/>
    <w:rsid w:val="002F021C"/>
    <w:rsid w:val="002F0316"/>
    <w:rsid w:val="002F052C"/>
    <w:rsid w:val="002F052F"/>
    <w:rsid w:val="002F095B"/>
    <w:rsid w:val="002F0A15"/>
    <w:rsid w:val="002F0D15"/>
    <w:rsid w:val="002F0F01"/>
    <w:rsid w:val="002F1000"/>
    <w:rsid w:val="002F123D"/>
    <w:rsid w:val="002F129D"/>
    <w:rsid w:val="002F15C9"/>
    <w:rsid w:val="002F1CC9"/>
    <w:rsid w:val="002F1D56"/>
    <w:rsid w:val="002F1D63"/>
    <w:rsid w:val="002F1DF4"/>
    <w:rsid w:val="002F203C"/>
    <w:rsid w:val="002F253A"/>
    <w:rsid w:val="002F2709"/>
    <w:rsid w:val="002F2759"/>
    <w:rsid w:val="002F2772"/>
    <w:rsid w:val="002F27E1"/>
    <w:rsid w:val="002F2A19"/>
    <w:rsid w:val="002F2C08"/>
    <w:rsid w:val="002F2C5F"/>
    <w:rsid w:val="002F2CBF"/>
    <w:rsid w:val="002F2F3B"/>
    <w:rsid w:val="002F3098"/>
    <w:rsid w:val="002F3179"/>
    <w:rsid w:val="002F333B"/>
    <w:rsid w:val="002F33C4"/>
    <w:rsid w:val="002F3571"/>
    <w:rsid w:val="002F357E"/>
    <w:rsid w:val="002F398C"/>
    <w:rsid w:val="002F3D69"/>
    <w:rsid w:val="002F4075"/>
    <w:rsid w:val="002F40EA"/>
    <w:rsid w:val="002F41E3"/>
    <w:rsid w:val="002F41FF"/>
    <w:rsid w:val="002F4625"/>
    <w:rsid w:val="002F471B"/>
    <w:rsid w:val="002F487E"/>
    <w:rsid w:val="002F4ADA"/>
    <w:rsid w:val="002F4C68"/>
    <w:rsid w:val="002F4CC2"/>
    <w:rsid w:val="002F4CED"/>
    <w:rsid w:val="002F4DBE"/>
    <w:rsid w:val="002F4E7E"/>
    <w:rsid w:val="002F4EAB"/>
    <w:rsid w:val="002F53A0"/>
    <w:rsid w:val="002F54DB"/>
    <w:rsid w:val="002F56CE"/>
    <w:rsid w:val="002F5814"/>
    <w:rsid w:val="002F58C1"/>
    <w:rsid w:val="002F58FB"/>
    <w:rsid w:val="002F5D6F"/>
    <w:rsid w:val="002F5E3C"/>
    <w:rsid w:val="002F5FBB"/>
    <w:rsid w:val="002F62D3"/>
    <w:rsid w:val="002F660B"/>
    <w:rsid w:val="002F671E"/>
    <w:rsid w:val="002F697B"/>
    <w:rsid w:val="002F69B0"/>
    <w:rsid w:val="002F69C3"/>
    <w:rsid w:val="002F6A70"/>
    <w:rsid w:val="002F6DF2"/>
    <w:rsid w:val="002F735A"/>
    <w:rsid w:val="002F77CB"/>
    <w:rsid w:val="002F7911"/>
    <w:rsid w:val="002F79E9"/>
    <w:rsid w:val="002F7BC6"/>
    <w:rsid w:val="002F7DDD"/>
    <w:rsid w:val="002F7F85"/>
    <w:rsid w:val="00300107"/>
    <w:rsid w:val="0030018A"/>
    <w:rsid w:val="003001F6"/>
    <w:rsid w:val="003002EF"/>
    <w:rsid w:val="00300332"/>
    <w:rsid w:val="003003B3"/>
    <w:rsid w:val="003006F7"/>
    <w:rsid w:val="00300976"/>
    <w:rsid w:val="00300A1F"/>
    <w:rsid w:val="00300A2D"/>
    <w:rsid w:val="00300F0B"/>
    <w:rsid w:val="00301178"/>
    <w:rsid w:val="003012EA"/>
    <w:rsid w:val="00301568"/>
    <w:rsid w:val="003015B0"/>
    <w:rsid w:val="003015B9"/>
    <w:rsid w:val="00301671"/>
    <w:rsid w:val="0030167D"/>
    <w:rsid w:val="003016DF"/>
    <w:rsid w:val="00301800"/>
    <w:rsid w:val="00301B19"/>
    <w:rsid w:val="00301D1B"/>
    <w:rsid w:val="00301D51"/>
    <w:rsid w:val="00301D52"/>
    <w:rsid w:val="00302452"/>
    <w:rsid w:val="0030251B"/>
    <w:rsid w:val="00302BD3"/>
    <w:rsid w:val="00302D83"/>
    <w:rsid w:val="00302D9B"/>
    <w:rsid w:val="00302FEC"/>
    <w:rsid w:val="0030315B"/>
    <w:rsid w:val="003031F3"/>
    <w:rsid w:val="0030321C"/>
    <w:rsid w:val="0030348C"/>
    <w:rsid w:val="003035E2"/>
    <w:rsid w:val="003038AE"/>
    <w:rsid w:val="00303D8D"/>
    <w:rsid w:val="00303DEE"/>
    <w:rsid w:val="00303E0D"/>
    <w:rsid w:val="00303E5F"/>
    <w:rsid w:val="00303E91"/>
    <w:rsid w:val="00303FF6"/>
    <w:rsid w:val="00304006"/>
    <w:rsid w:val="0030402D"/>
    <w:rsid w:val="003041A1"/>
    <w:rsid w:val="0030478A"/>
    <w:rsid w:val="0030496A"/>
    <w:rsid w:val="00304A30"/>
    <w:rsid w:val="00304C89"/>
    <w:rsid w:val="00304CB3"/>
    <w:rsid w:val="0030520A"/>
    <w:rsid w:val="003052AD"/>
    <w:rsid w:val="00305355"/>
    <w:rsid w:val="003055D7"/>
    <w:rsid w:val="00305765"/>
    <w:rsid w:val="0030576D"/>
    <w:rsid w:val="00305E51"/>
    <w:rsid w:val="003065E1"/>
    <w:rsid w:val="003065F9"/>
    <w:rsid w:val="00306C9D"/>
    <w:rsid w:val="00306CC5"/>
    <w:rsid w:val="003075BF"/>
    <w:rsid w:val="003076CD"/>
    <w:rsid w:val="00307CC7"/>
    <w:rsid w:val="00310068"/>
    <w:rsid w:val="003100B7"/>
    <w:rsid w:val="00310278"/>
    <w:rsid w:val="00310321"/>
    <w:rsid w:val="0031047D"/>
    <w:rsid w:val="00310C74"/>
    <w:rsid w:val="00310CE1"/>
    <w:rsid w:val="00310D72"/>
    <w:rsid w:val="00310DD5"/>
    <w:rsid w:val="00310E5C"/>
    <w:rsid w:val="00310FA0"/>
    <w:rsid w:val="003113C7"/>
    <w:rsid w:val="003115C3"/>
    <w:rsid w:val="003116A1"/>
    <w:rsid w:val="00311809"/>
    <w:rsid w:val="00311A03"/>
    <w:rsid w:val="00311BE9"/>
    <w:rsid w:val="00311C05"/>
    <w:rsid w:val="00311CF3"/>
    <w:rsid w:val="00311DCF"/>
    <w:rsid w:val="00311E1B"/>
    <w:rsid w:val="003121D4"/>
    <w:rsid w:val="00312465"/>
    <w:rsid w:val="003124A5"/>
    <w:rsid w:val="003124B4"/>
    <w:rsid w:val="003124E1"/>
    <w:rsid w:val="00312E6B"/>
    <w:rsid w:val="00313227"/>
    <w:rsid w:val="0031325C"/>
    <w:rsid w:val="003133EE"/>
    <w:rsid w:val="003135B5"/>
    <w:rsid w:val="003136A3"/>
    <w:rsid w:val="00313743"/>
    <w:rsid w:val="003138F6"/>
    <w:rsid w:val="00313DAC"/>
    <w:rsid w:val="00314355"/>
    <w:rsid w:val="00314412"/>
    <w:rsid w:val="00314819"/>
    <w:rsid w:val="00314B0D"/>
    <w:rsid w:val="00314B85"/>
    <w:rsid w:val="00314E01"/>
    <w:rsid w:val="00314E03"/>
    <w:rsid w:val="00314F7B"/>
    <w:rsid w:val="003151DD"/>
    <w:rsid w:val="00315403"/>
    <w:rsid w:val="00315460"/>
    <w:rsid w:val="003155C6"/>
    <w:rsid w:val="00315663"/>
    <w:rsid w:val="00315816"/>
    <w:rsid w:val="003159B1"/>
    <w:rsid w:val="00315A7F"/>
    <w:rsid w:val="00315D07"/>
    <w:rsid w:val="00315D4E"/>
    <w:rsid w:val="003161AF"/>
    <w:rsid w:val="003162AE"/>
    <w:rsid w:val="003163A7"/>
    <w:rsid w:val="00316416"/>
    <w:rsid w:val="003167F7"/>
    <w:rsid w:val="0031680F"/>
    <w:rsid w:val="00316862"/>
    <w:rsid w:val="00316A3D"/>
    <w:rsid w:val="00316D32"/>
    <w:rsid w:val="003171AF"/>
    <w:rsid w:val="00317631"/>
    <w:rsid w:val="003178F2"/>
    <w:rsid w:val="00317BF9"/>
    <w:rsid w:val="00317ED5"/>
    <w:rsid w:val="00317F83"/>
    <w:rsid w:val="00317FA7"/>
    <w:rsid w:val="003201EC"/>
    <w:rsid w:val="003202E2"/>
    <w:rsid w:val="0032040F"/>
    <w:rsid w:val="00320597"/>
    <w:rsid w:val="003205A9"/>
    <w:rsid w:val="00320631"/>
    <w:rsid w:val="003208C4"/>
    <w:rsid w:val="00320BBD"/>
    <w:rsid w:val="00320DBC"/>
    <w:rsid w:val="00320ED2"/>
    <w:rsid w:val="003213D0"/>
    <w:rsid w:val="00321776"/>
    <w:rsid w:val="0032194A"/>
    <w:rsid w:val="00321AF9"/>
    <w:rsid w:val="00322012"/>
    <w:rsid w:val="00322031"/>
    <w:rsid w:val="003225B6"/>
    <w:rsid w:val="003228B1"/>
    <w:rsid w:val="003228D3"/>
    <w:rsid w:val="00322F43"/>
    <w:rsid w:val="00323155"/>
    <w:rsid w:val="00323305"/>
    <w:rsid w:val="00323374"/>
    <w:rsid w:val="00323838"/>
    <w:rsid w:val="00323851"/>
    <w:rsid w:val="00323AB7"/>
    <w:rsid w:val="00323AE8"/>
    <w:rsid w:val="00323B1C"/>
    <w:rsid w:val="00323C4E"/>
    <w:rsid w:val="00323C79"/>
    <w:rsid w:val="00323E40"/>
    <w:rsid w:val="00323F71"/>
    <w:rsid w:val="003240A0"/>
    <w:rsid w:val="00324169"/>
    <w:rsid w:val="003241E5"/>
    <w:rsid w:val="00324387"/>
    <w:rsid w:val="003245EF"/>
    <w:rsid w:val="003246DC"/>
    <w:rsid w:val="003247F0"/>
    <w:rsid w:val="003248BC"/>
    <w:rsid w:val="0032493A"/>
    <w:rsid w:val="0032498C"/>
    <w:rsid w:val="003249AB"/>
    <w:rsid w:val="00324AD8"/>
    <w:rsid w:val="00324B7E"/>
    <w:rsid w:val="00325387"/>
    <w:rsid w:val="003253C3"/>
    <w:rsid w:val="003253DF"/>
    <w:rsid w:val="003256D7"/>
    <w:rsid w:val="00325B2B"/>
    <w:rsid w:val="00325CC0"/>
    <w:rsid w:val="00325D0C"/>
    <w:rsid w:val="00325D40"/>
    <w:rsid w:val="00325D49"/>
    <w:rsid w:val="00325E12"/>
    <w:rsid w:val="00325F44"/>
    <w:rsid w:val="00325F7E"/>
    <w:rsid w:val="00325F99"/>
    <w:rsid w:val="00326076"/>
    <w:rsid w:val="003264B3"/>
    <w:rsid w:val="00326AEB"/>
    <w:rsid w:val="00326E0F"/>
    <w:rsid w:val="0032710D"/>
    <w:rsid w:val="00327167"/>
    <w:rsid w:val="003271E6"/>
    <w:rsid w:val="003274F6"/>
    <w:rsid w:val="00327699"/>
    <w:rsid w:val="003279DD"/>
    <w:rsid w:val="00327BDA"/>
    <w:rsid w:val="00327EBB"/>
    <w:rsid w:val="00330092"/>
    <w:rsid w:val="0033018D"/>
    <w:rsid w:val="00330328"/>
    <w:rsid w:val="003303F4"/>
    <w:rsid w:val="00330474"/>
    <w:rsid w:val="003306BB"/>
    <w:rsid w:val="0033073A"/>
    <w:rsid w:val="00330758"/>
    <w:rsid w:val="0033078C"/>
    <w:rsid w:val="003307C2"/>
    <w:rsid w:val="003308BB"/>
    <w:rsid w:val="003308F9"/>
    <w:rsid w:val="00330A8C"/>
    <w:rsid w:val="00330AC7"/>
    <w:rsid w:val="00330BE2"/>
    <w:rsid w:val="00330C98"/>
    <w:rsid w:val="00330F22"/>
    <w:rsid w:val="0033128A"/>
    <w:rsid w:val="00331359"/>
    <w:rsid w:val="0033175F"/>
    <w:rsid w:val="00331B06"/>
    <w:rsid w:val="00331FA3"/>
    <w:rsid w:val="00332019"/>
    <w:rsid w:val="00332095"/>
    <w:rsid w:val="003320E2"/>
    <w:rsid w:val="0033257A"/>
    <w:rsid w:val="003329A4"/>
    <w:rsid w:val="00332A93"/>
    <w:rsid w:val="00332CBB"/>
    <w:rsid w:val="00332E24"/>
    <w:rsid w:val="00333043"/>
    <w:rsid w:val="00333126"/>
    <w:rsid w:val="00333233"/>
    <w:rsid w:val="003334C6"/>
    <w:rsid w:val="00333C55"/>
    <w:rsid w:val="00333C56"/>
    <w:rsid w:val="00333FAF"/>
    <w:rsid w:val="003340DE"/>
    <w:rsid w:val="00334198"/>
    <w:rsid w:val="00334220"/>
    <w:rsid w:val="003342FE"/>
    <w:rsid w:val="00334349"/>
    <w:rsid w:val="003343AB"/>
    <w:rsid w:val="003343F7"/>
    <w:rsid w:val="003344E5"/>
    <w:rsid w:val="003346D3"/>
    <w:rsid w:val="003348A4"/>
    <w:rsid w:val="00334A4C"/>
    <w:rsid w:val="00335245"/>
    <w:rsid w:val="0033572F"/>
    <w:rsid w:val="00335B15"/>
    <w:rsid w:val="00335BB1"/>
    <w:rsid w:val="003361D1"/>
    <w:rsid w:val="0033622C"/>
    <w:rsid w:val="0033645C"/>
    <w:rsid w:val="0033664D"/>
    <w:rsid w:val="00336A2E"/>
    <w:rsid w:val="00336A96"/>
    <w:rsid w:val="00336BD4"/>
    <w:rsid w:val="00336C24"/>
    <w:rsid w:val="00336C4C"/>
    <w:rsid w:val="00336CC5"/>
    <w:rsid w:val="00337156"/>
    <w:rsid w:val="00337839"/>
    <w:rsid w:val="003379C9"/>
    <w:rsid w:val="00340395"/>
    <w:rsid w:val="00340621"/>
    <w:rsid w:val="00340688"/>
    <w:rsid w:val="00341652"/>
    <w:rsid w:val="00341693"/>
    <w:rsid w:val="0034181A"/>
    <w:rsid w:val="003419B0"/>
    <w:rsid w:val="00341A46"/>
    <w:rsid w:val="00341B28"/>
    <w:rsid w:val="0034209D"/>
    <w:rsid w:val="0034211D"/>
    <w:rsid w:val="00342318"/>
    <w:rsid w:val="00342394"/>
    <w:rsid w:val="00342501"/>
    <w:rsid w:val="003425EA"/>
    <w:rsid w:val="00342632"/>
    <w:rsid w:val="00342856"/>
    <w:rsid w:val="003429A0"/>
    <w:rsid w:val="00342BB6"/>
    <w:rsid w:val="00343086"/>
    <w:rsid w:val="0034319D"/>
    <w:rsid w:val="003432E1"/>
    <w:rsid w:val="003434CD"/>
    <w:rsid w:val="003436E2"/>
    <w:rsid w:val="00343D2B"/>
    <w:rsid w:val="00343E1D"/>
    <w:rsid w:val="00343F11"/>
    <w:rsid w:val="00344135"/>
    <w:rsid w:val="003441B2"/>
    <w:rsid w:val="00344377"/>
    <w:rsid w:val="0034462E"/>
    <w:rsid w:val="003446FB"/>
    <w:rsid w:val="0034496B"/>
    <w:rsid w:val="00344E37"/>
    <w:rsid w:val="0034504A"/>
    <w:rsid w:val="003452D6"/>
    <w:rsid w:val="00345329"/>
    <w:rsid w:val="00345577"/>
    <w:rsid w:val="00345678"/>
    <w:rsid w:val="00345732"/>
    <w:rsid w:val="0034579D"/>
    <w:rsid w:val="00345802"/>
    <w:rsid w:val="003458B0"/>
    <w:rsid w:val="00345971"/>
    <w:rsid w:val="003459AD"/>
    <w:rsid w:val="00345A0E"/>
    <w:rsid w:val="00346351"/>
    <w:rsid w:val="00346490"/>
    <w:rsid w:val="00346720"/>
    <w:rsid w:val="00346799"/>
    <w:rsid w:val="00346875"/>
    <w:rsid w:val="0034687F"/>
    <w:rsid w:val="00346907"/>
    <w:rsid w:val="00346A1C"/>
    <w:rsid w:val="00346B9D"/>
    <w:rsid w:val="00346CC4"/>
    <w:rsid w:val="00346CFB"/>
    <w:rsid w:val="00347267"/>
    <w:rsid w:val="003475DF"/>
    <w:rsid w:val="00347694"/>
    <w:rsid w:val="003478F2"/>
    <w:rsid w:val="00347D15"/>
    <w:rsid w:val="0035009D"/>
    <w:rsid w:val="00350143"/>
    <w:rsid w:val="003502BF"/>
    <w:rsid w:val="003505AF"/>
    <w:rsid w:val="00350675"/>
    <w:rsid w:val="00350942"/>
    <w:rsid w:val="00350AE3"/>
    <w:rsid w:val="003510F9"/>
    <w:rsid w:val="0035113B"/>
    <w:rsid w:val="00351256"/>
    <w:rsid w:val="00351371"/>
    <w:rsid w:val="003517A7"/>
    <w:rsid w:val="00351B18"/>
    <w:rsid w:val="00351E31"/>
    <w:rsid w:val="00351FB3"/>
    <w:rsid w:val="003522B4"/>
    <w:rsid w:val="0035236E"/>
    <w:rsid w:val="003523BA"/>
    <w:rsid w:val="0035253B"/>
    <w:rsid w:val="003526F1"/>
    <w:rsid w:val="00352845"/>
    <w:rsid w:val="0035298D"/>
    <w:rsid w:val="00352B7E"/>
    <w:rsid w:val="00352B95"/>
    <w:rsid w:val="00352D06"/>
    <w:rsid w:val="00352D57"/>
    <w:rsid w:val="00353155"/>
    <w:rsid w:val="00353385"/>
    <w:rsid w:val="003534E9"/>
    <w:rsid w:val="003536B8"/>
    <w:rsid w:val="003536BE"/>
    <w:rsid w:val="003536C6"/>
    <w:rsid w:val="00353ADC"/>
    <w:rsid w:val="00354408"/>
    <w:rsid w:val="003549B7"/>
    <w:rsid w:val="00354E92"/>
    <w:rsid w:val="00354EB3"/>
    <w:rsid w:val="00354F45"/>
    <w:rsid w:val="00354F91"/>
    <w:rsid w:val="00354FB1"/>
    <w:rsid w:val="003551EC"/>
    <w:rsid w:val="00355336"/>
    <w:rsid w:val="0035555D"/>
    <w:rsid w:val="0035578B"/>
    <w:rsid w:val="003557E8"/>
    <w:rsid w:val="003558A7"/>
    <w:rsid w:val="00355D0E"/>
    <w:rsid w:val="003563A7"/>
    <w:rsid w:val="0035649A"/>
    <w:rsid w:val="003566F2"/>
    <w:rsid w:val="00356847"/>
    <w:rsid w:val="00356A1C"/>
    <w:rsid w:val="00356A32"/>
    <w:rsid w:val="00356AFB"/>
    <w:rsid w:val="00356BBE"/>
    <w:rsid w:val="00356C50"/>
    <w:rsid w:val="00356CC0"/>
    <w:rsid w:val="00357062"/>
    <w:rsid w:val="003572A6"/>
    <w:rsid w:val="003573FA"/>
    <w:rsid w:val="003575BA"/>
    <w:rsid w:val="0035762D"/>
    <w:rsid w:val="0035763C"/>
    <w:rsid w:val="00357781"/>
    <w:rsid w:val="0035779D"/>
    <w:rsid w:val="00357970"/>
    <w:rsid w:val="00357AF6"/>
    <w:rsid w:val="00357C46"/>
    <w:rsid w:val="00357E87"/>
    <w:rsid w:val="00357EEB"/>
    <w:rsid w:val="003600D6"/>
    <w:rsid w:val="003601BD"/>
    <w:rsid w:val="003603B6"/>
    <w:rsid w:val="003605DA"/>
    <w:rsid w:val="003606CA"/>
    <w:rsid w:val="00360B7D"/>
    <w:rsid w:val="00360E3A"/>
    <w:rsid w:val="00360F1C"/>
    <w:rsid w:val="00360FC3"/>
    <w:rsid w:val="003610FA"/>
    <w:rsid w:val="003611CF"/>
    <w:rsid w:val="003611D7"/>
    <w:rsid w:val="003613EE"/>
    <w:rsid w:val="0036156F"/>
    <w:rsid w:val="0036161C"/>
    <w:rsid w:val="00361627"/>
    <w:rsid w:val="00361758"/>
    <w:rsid w:val="0036199E"/>
    <w:rsid w:val="00361A4A"/>
    <w:rsid w:val="00361AB3"/>
    <w:rsid w:val="00361C14"/>
    <w:rsid w:val="00361E18"/>
    <w:rsid w:val="00362076"/>
    <w:rsid w:val="003620B8"/>
    <w:rsid w:val="003622C2"/>
    <w:rsid w:val="00362761"/>
    <w:rsid w:val="00362B6E"/>
    <w:rsid w:val="00362C21"/>
    <w:rsid w:val="00363542"/>
    <w:rsid w:val="0036357D"/>
    <w:rsid w:val="0036390C"/>
    <w:rsid w:val="00363A5F"/>
    <w:rsid w:val="00363BC8"/>
    <w:rsid w:val="00363BD7"/>
    <w:rsid w:val="00363DB9"/>
    <w:rsid w:val="003640AE"/>
    <w:rsid w:val="00364511"/>
    <w:rsid w:val="00364620"/>
    <w:rsid w:val="003646C9"/>
    <w:rsid w:val="00364795"/>
    <w:rsid w:val="00364872"/>
    <w:rsid w:val="003648BD"/>
    <w:rsid w:val="003648EE"/>
    <w:rsid w:val="00364A3A"/>
    <w:rsid w:val="0036572F"/>
    <w:rsid w:val="00365E1C"/>
    <w:rsid w:val="00365FA7"/>
    <w:rsid w:val="0036600E"/>
    <w:rsid w:val="003660A4"/>
    <w:rsid w:val="003662C1"/>
    <w:rsid w:val="00366335"/>
    <w:rsid w:val="003665BF"/>
    <w:rsid w:val="00366661"/>
    <w:rsid w:val="00366678"/>
    <w:rsid w:val="0036673D"/>
    <w:rsid w:val="00366AD6"/>
    <w:rsid w:val="00366BB3"/>
    <w:rsid w:val="00366DDA"/>
    <w:rsid w:val="00366FF8"/>
    <w:rsid w:val="00367002"/>
    <w:rsid w:val="00367224"/>
    <w:rsid w:val="00367295"/>
    <w:rsid w:val="00367D86"/>
    <w:rsid w:val="00367DCF"/>
    <w:rsid w:val="003701C3"/>
    <w:rsid w:val="00370377"/>
    <w:rsid w:val="003703C1"/>
    <w:rsid w:val="003704CC"/>
    <w:rsid w:val="0037050E"/>
    <w:rsid w:val="00370EF0"/>
    <w:rsid w:val="00371275"/>
    <w:rsid w:val="0037131E"/>
    <w:rsid w:val="003713E5"/>
    <w:rsid w:val="00371458"/>
    <w:rsid w:val="003714F0"/>
    <w:rsid w:val="003716D0"/>
    <w:rsid w:val="003717AC"/>
    <w:rsid w:val="003719E9"/>
    <w:rsid w:val="00371A86"/>
    <w:rsid w:val="00371C91"/>
    <w:rsid w:val="00371CA1"/>
    <w:rsid w:val="00371EE5"/>
    <w:rsid w:val="003726D7"/>
    <w:rsid w:val="0037281E"/>
    <w:rsid w:val="003729F0"/>
    <w:rsid w:val="00372A54"/>
    <w:rsid w:val="00372B17"/>
    <w:rsid w:val="00372DC2"/>
    <w:rsid w:val="00372E2A"/>
    <w:rsid w:val="00372EEC"/>
    <w:rsid w:val="003730AF"/>
    <w:rsid w:val="003730F3"/>
    <w:rsid w:val="00373207"/>
    <w:rsid w:val="003734E0"/>
    <w:rsid w:val="0037367A"/>
    <w:rsid w:val="00373714"/>
    <w:rsid w:val="00373950"/>
    <w:rsid w:val="00373A57"/>
    <w:rsid w:val="00373B27"/>
    <w:rsid w:val="00373C3C"/>
    <w:rsid w:val="00373CCB"/>
    <w:rsid w:val="00373D37"/>
    <w:rsid w:val="00373F40"/>
    <w:rsid w:val="00374182"/>
    <w:rsid w:val="003741A2"/>
    <w:rsid w:val="00374370"/>
    <w:rsid w:val="003746EC"/>
    <w:rsid w:val="003748DF"/>
    <w:rsid w:val="00374B67"/>
    <w:rsid w:val="003751B2"/>
    <w:rsid w:val="0037555C"/>
    <w:rsid w:val="003755CE"/>
    <w:rsid w:val="0037563B"/>
    <w:rsid w:val="00375713"/>
    <w:rsid w:val="003757FA"/>
    <w:rsid w:val="00375A75"/>
    <w:rsid w:val="00375DBB"/>
    <w:rsid w:val="0037601D"/>
    <w:rsid w:val="00376398"/>
    <w:rsid w:val="003763ED"/>
    <w:rsid w:val="0037640F"/>
    <w:rsid w:val="003765F9"/>
    <w:rsid w:val="00376A3B"/>
    <w:rsid w:val="00376B3F"/>
    <w:rsid w:val="0037702C"/>
    <w:rsid w:val="003775AA"/>
    <w:rsid w:val="003775CD"/>
    <w:rsid w:val="0037768E"/>
    <w:rsid w:val="00377B43"/>
    <w:rsid w:val="00377D22"/>
    <w:rsid w:val="00377D74"/>
    <w:rsid w:val="00377FB3"/>
    <w:rsid w:val="00380113"/>
    <w:rsid w:val="003801D4"/>
    <w:rsid w:val="00380675"/>
    <w:rsid w:val="00380728"/>
    <w:rsid w:val="003809FC"/>
    <w:rsid w:val="00380F81"/>
    <w:rsid w:val="003811F0"/>
    <w:rsid w:val="00381206"/>
    <w:rsid w:val="0038136A"/>
    <w:rsid w:val="00381497"/>
    <w:rsid w:val="003814F8"/>
    <w:rsid w:val="00381639"/>
    <w:rsid w:val="00381701"/>
    <w:rsid w:val="0038195D"/>
    <w:rsid w:val="00381ACF"/>
    <w:rsid w:val="00381C31"/>
    <w:rsid w:val="00381C3F"/>
    <w:rsid w:val="00381CD4"/>
    <w:rsid w:val="00381F15"/>
    <w:rsid w:val="0038200E"/>
    <w:rsid w:val="0038201F"/>
    <w:rsid w:val="00382243"/>
    <w:rsid w:val="003823F2"/>
    <w:rsid w:val="00382A3D"/>
    <w:rsid w:val="00382CE4"/>
    <w:rsid w:val="00382E7B"/>
    <w:rsid w:val="00382FA7"/>
    <w:rsid w:val="003834BC"/>
    <w:rsid w:val="003836A5"/>
    <w:rsid w:val="0038373B"/>
    <w:rsid w:val="003837F0"/>
    <w:rsid w:val="00383BC6"/>
    <w:rsid w:val="00383C76"/>
    <w:rsid w:val="00383D29"/>
    <w:rsid w:val="003840A9"/>
    <w:rsid w:val="003841FA"/>
    <w:rsid w:val="00384607"/>
    <w:rsid w:val="00384689"/>
    <w:rsid w:val="0038485F"/>
    <w:rsid w:val="003849F5"/>
    <w:rsid w:val="00384C72"/>
    <w:rsid w:val="00385031"/>
    <w:rsid w:val="003851CF"/>
    <w:rsid w:val="003851F5"/>
    <w:rsid w:val="00385252"/>
    <w:rsid w:val="0038528D"/>
    <w:rsid w:val="003854A9"/>
    <w:rsid w:val="0038567D"/>
    <w:rsid w:val="0038573D"/>
    <w:rsid w:val="00385860"/>
    <w:rsid w:val="00385A1E"/>
    <w:rsid w:val="00385A5F"/>
    <w:rsid w:val="00385B34"/>
    <w:rsid w:val="00385C93"/>
    <w:rsid w:val="00385DD1"/>
    <w:rsid w:val="00385DD6"/>
    <w:rsid w:val="00385FF3"/>
    <w:rsid w:val="0038630A"/>
    <w:rsid w:val="00386405"/>
    <w:rsid w:val="00386555"/>
    <w:rsid w:val="00386987"/>
    <w:rsid w:val="00386AC7"/>
    <w:rsid w:val="00386DFA"/>
    <w:rsid w:val="00386E27"/>
    <w:rsid w:val="00387032"/>
    <w:rsid w:val="00387054"/>
    <w:rsid w:val="003870D3"/>
    <w:rsid w:val="00387253"/>
    <w:rsid w:val="00387257"/>
    <w:rsid w:val="003873ED"/>
    <w:rsid w:val="00387621"/>
    <w:rsid w:val="00387733"/>
    <w:rsid w:val="00387921"/>
    <w:rsid w:val="00387E6A"/>
    <w:rsid w:val="00390197"/>
    <w:rsid w:val="003902BC"/>
    <w:rsid w:val="00390460"/>
    <w:rsid w:val="003904AF"/>
    <w:rsid w:val="0039056C"/>
    <w:rsid w:val="0039066A"/>
    <w:rsid w:val="003906B1"/>
    <w:rsid w:val="00390917"/>
    <w:rsid w:val="00390AFC"/>
    <w:rsid w:val="00390C81"/>
    <w:rsid w:val="00390E82"/>
    <w:rsid w:val="00391004"/>
    <w:rsid w:val="00391057"/>
    <w:rsid w:val="00391747"/>
    <w:rsid w:val="00391A3A"/>
    <w:rsid w:val="00391B87"/>
    <w:rsid w:val="00391F5E"/>
    <w:rsid w:val="0039200B"/>
    <w:rsid w:val="00392135"/>
    <w:rsid w:val="003921CF"/>
    <w:rsid w:val="00392213"/>
    <w:rsid w:val="0039234E"/>
    <w:rsid w:val="00392365"/>
    <w:rsid w:val="003923D2"/>
    <w:rsid w:val="003927D1"/>
    <w:rsid w:val="003929A1"/>
    <w:rsid w:val="00392D3E"/>
    <w:rsid w:val="00393089"/>
    <w:rsid w:val="00393096"/>
    <w:rsid w:val="003931E8"/>
    <w:rsid w:val="003935A7"/>
    <w:rsid w:val="00393626"/>
    <w:rsid w:val="003936EA"/>
    <w:rsid w:val="0039371A"/>
    <w:rsid w:val="00393A54"/>
    <w:rsid w:val="00393B69"/>
    <w:rsid w:val="00393CCF"/>
    <w:rsid w:val="00393D0F"/>
    <w:rsid w:val="00393D5D"/>
    <w:rsid w:val="00393E50"/>
    <w:rsid w:val="00393FBC"/>
    <w:rsid w:val="0039417F"/>
    <w:rsid w:val="003943E5"/>
    <w:rsid w:val="0039474E"/>
    <w:rsid w:val="003947C3"/>
    <w:rsid w:val="00394939"/>
    <w:rsid w:val="00394BC5"/>
    <w:rsid w:val="0039517D"/>
    <w:rsid w:val="0039552D"/>
    <w:rsid w:val="0039590D"/>
    <w:rsid w:val="003959C9"/>
    <w:rsid w:val="00395B9C"/>
    <w:rsid w:val="00395EE5"/>
    <w:rsid w:val="00395FEC"/>
    <w:rsid w:val="003961E0"/>
    <w:rsid w:val="0039633B"/>
    <w:rsid w:val="0039638A"/>
    <w:rsid w:val="00396484"/>
    <w:rsid w:val="0039667E"/>
    <w:rsid w:val="003969A5"/>
    <w:rsid w:val="00396C4C"/>
    <w:rsid w:val="003972DB"/>
    <w:rsid w:val="0039740E"/>
    <w:rsid w:val="003976C5"/>
    <w:rsid w:val="0039779C"/>
    <w:rsid w:val="00397C4A"/>
    <w:rsid w:val="00397D00"/>
    <w:rsid w:val="00397D12"/>
    <w:rsid w:val="00397D33"/>
    <w:rsid w:val="00397F42"/>
    <w:rsid w:val="003A070E"/>
    <w:rsid w:val="003A08F0"/>
    <w:rsid w:val="003A0953"/>
    <w:rsid w:val="003A0ACE"/>
    <w:rsid w:val="003A0CA6"/>
    <w:rsid w:val="003A0D6E"/>
    <w:rsid w:val="003A0DFA"/>
    <w:rsid w:val="003A0F65"/>
    <w:rsid w:val="003A113E"/>
    <w:rsid w:val="003A11E4"/>
    <w:rsid w:val="003A12AD"/>
    <w:rsid w:val="003A14A9"/>
    <w:rsid w:val="003A174C"/>
    <w:rsid w:val="003A1916"/>
    <w:rsid w:val="003A1934"/>
    <w:rsid w:val="003A1DAB"/>
    <w:rsid w:val="003A1E2E"/>
    <w:rsid w:val="003A1E64"/>
    <w:rsid w:val="003A20B1"/>
    <w:rsid w:val="003A211A"/>
    <w:rsid w:val="003A2648"/>
    <w:rsid w:val="003A2A33"/>
    <w:rsid w:val="003A2B77"/>
    <w:rsid w:val="003A2BB4"/>
    <w:rsid w:val="003A2BBF"/>
    <w:rsid w:val="003A2C24"/>
    <w:rsid w:val="003A2E2F"/>
    <w:rsid w:val="003A3013"/>
    <w:rsid w:val="003A318C"/>
    <w:rsid w:val="003A3294"/>
    <w:rsid w:val="003A3319"/>
    <w:rsid w:val="003A359F"/>
    <w:rsid w:val="003A392B"/>
    <w:rsid w:val="003A39DB"/>
    <w:rsid w:val="003A3C66"/>
    <w:rsid w:val="003A407D"/>
    <w:rsid w:val="003A4170"/>
    <w:rsid w:val="003A44E3"/>
    <w:rsid w:val="003A4750"/>
    <w:rsid w:val="003A4967"/>
    <w:rsid w:val="003A4985"/>
    <w:rsid w:val="003A4993"/>
    <w:rsid w:val="003A4B2C"/>
    <w:rsid w:val="003A4B4D"/>
    <w:rsid w:val="003A4D7D"/>
    <w:rsid w:val="003A4DB6"/>
    <w:rsid w:val="003A4DCF"/>
    <w:rsid w:val="003A4F76"/>
    <w:rsid w:val="003A5082"/>
    <w:rsid w:val="003A50BB"/>
    <w:rsid w:val="003A5251"/>
    <w:rsid w:val="003A525A"/>
    <w:rsid w:val="003A528F"/>
    <w:rsid w:val="003A5705"/>
    <w:rsid w:val="003A5724"/>
    <w:rsid w:val="003A5C00"/>
    <w:rsid w:val="003A5C56"/>
    <w:rsid w:val="003A5F2B"/>
    <w:rsid w:val="003A5F44"/>
    <w:rsid w:val="003A5FC0"/>
    <w:rsid w:val="003A635A"/>
    <w:rsid w:val="003A67FA"/>
    <w:rsid w:val="003A6C1C"/>
    <w:rsid w:val="003A6D43"/>
    <w:rsid w:val="003A6E40"/>
    <w:rsid w:val="003A6E86"/>
    <w:rsid w:val="003A7042"/>
    <w:rsid w:val="003A71F1"/>
    <w:rsid w:val="003A757D"/>
    <w:rsid w:val="003A77B8"/>
    <w:rsid w:val="003A78CB"/>
    <w:rsid w:val="003A7CE4"/>
    <w:rsid w:val="003A7EB4"/>
    <w:rsid w:val="003B0046"/>
    <w:rsid w:val="003B01FC"/>
    <w:rsid w:val="003B022D"/>
    <w:rsid w:val="003B057E"/>
    <w:rsid w:val="003B0779"/>
    <w:rsid w:val="003B0EC9"/>
    <w:rsid w:val="003B0F4D"/>
    <w:rsid w:val="003B157F"/>
    <w:rsid w:val="003B16ED"/>
    <w:rsid w:val="003B1A6E"/>
    <w:rsid w:val="003B1B47"/>
    <w:rsid w:val="003B1E41"/>
    <w:rsid w:val="003B1EF3"/>
    <w:rsid w:val="003B20EA"/>
    <w:rsid w:val="003B2344"/>
    <w:rsid w:val="003B23AA"/>
    <w:rsid w:val="003B2631"/>
    <w:rsid w:val="003B268D"/>
    <w:rsid w:val="003B2A71"/>
    <w:rsid w:val="003B2A7C"/>
    <w:rsid w:val="003B3092"/>
    <w:rsid w:val="003B322A"/>
    <w:rsid w:val="003B3748"/>
    <w:rsid w:val="003B3995"/>
    <w:rsid w:val="003B3C59"/>
    <w:rsid w:val="003B3E8F"/>
    <w:rsid w:val="003B4218"/>
    <w:rsid w:val="003B4274"/>
    <w:rsid w:val="003B42A3"/>
    <w:rsid w:val="003B45EB"/>
    <w:rsid w:val="003B4926"/>
    <w:rsid w:val="003B4BB3"/>
    <w:rsid w:val="003B4EAA"/>
    <w:rsid w:val="003B517B"/>
    <w:rsid w:val="003B51F7"/>
    <w:rsid w:val="003B52B3"/>
    <w:rsid w:val="003B5374"/>
    <w:rsid w:val="003B5396"/>
    <w:rsid w:val="003B5597"/>
    <w:rsid w:val="003B56A8"/>
    <w:rsid w:val="003B56AE"/>
    <w:rsid w:val="003B5850"/>
    <w:rsid w:val="003B5B93"/>
    <w:rsid w:val="003B5D9C"/>
    <w:rsid w:val="003B5DCE"/>
    <w:rsid w:val="003B6025"/>
    <w:rsid w:val="003B606F"/>
    <w:rsid w:val="003B6093"/>
    <w:rsid w:val="003B6099"/>
    <w:rsid w:val="003B619B"/>
    <w:rsid w:val="003B65F5"/>
    <w:rsid w:val="003B675F"/>
    <w:rsid w:val="003B6AF7"/>
    <w:rsid w:val="003B6BA3"/>
    <w:rsid w:val="003B6BFD"/>
    <w:rsid w:val="003B6D8E"/>
    <w:rsid w:val="003B7002"/>
    <w:rsid w:val="003B700C"/>
    <w:rsid w:val="003B722F"/>
    <w:rsid w:val="003B7249"/>
    <w:rsid w:val="003B7732"/>
    <w:rsid w:val="003B7919"/>
    <w:rsid w:val="003B7A50"/>
    <w:rsid w:val="003B7B0E"/>
    <w:rsid w:val="003B7B52"/>
    <w:rsid w:val="003C02DB"/>
    <w:rsid w:val="003C0762"/>
    <w:rsid w:val="003C095F"/>
    <w:rsid w:val="003C0FBE"/>
    <w:rsid w:val="003C10C9"/>
    <w:rsid w:val="003C14D2"/>
    <w:rsid w:val="003C1575"/>
    <w:rsid w:val="003C157C"/>
    <w:rsid w:val="003C1769"/>
    <w:rsid w:val="003C190B"/>
    <w:rsid w:val="003C1A4C"/>
    <w:rsid w:val="003C1AD7"/>
    <w:rsid w:val="003C1B5D"/>
    <w:rsid w:val="003C1BEF"/>
    <w:rsid w:val="003C1D45"/>
    <w:rsid w:val="003C1DD2"/>
    <w:rsid w:val="003C208D"/>
    <w:rsid w:val="003C230F"/>
    <w:rsid w:val="003C279D"/>
    <w:rsid w:val="003C28B5"/>
    <w:rsid w:val="003C2A87"/>
    <w:rsid w:val="003C2BE4"/>
    <w:rsid w:val="003C2C0F"/>
    <w:rsid w:val="003C2C50"/>
    <w:rsid w:val="003C2D40"/>
    <w:rsid w:val="003C2DCC"/>
    <w:rsid w:val="003C2E74"/>
    <w:rsid w:val="003C2FAA"/>
    <w:rsid w:val="003C33A7"/>
    <w:rsid w:val="003C3723"/>
    <w:rsid w:val="003C39B8"/>
    <w:rsid w:val="003C3AB9"/>
    <w:rsid w:val="003C3F67"/>
    <w:rsid w:val="003C4213"/>
    <w:rsid w:val="003C44D7"/>
    <w:rsid w:val="003C452A"/>
    <w:rsid w:val="003C463A"/>
    <w:rsid w:val="003C478F"/>
    <w:rsid w:val="003C4B10"/>
    <w:rsid w:val="003C4D0E"/>
    <w:rsid w:val="003C4D7C"/>
    <w:rsid w:val="003C4E32"/>
    <w:rsid w:val="003C511B"/>
    <w:rsid w:val="003C5127"/>
    <w:rsid w:val="003C514D"/>
    <w:rsid w:val="003C538F"/>
    <w:rsid w:val="003C574E"/>
    <w:rsid w:val="003C59EE"/>
    <w:rsid w:val="003C5AF3"/>
    <w:rsid w:val="003C5E44"/>
    <w:rsid w:val="003C5F40"/>
    <w:rsid w:val="003C6210"/>
    <w:rsid w:val="003C6345"/>
    <w:rsid w:val="003C64AD"/>
    <w:rsid w:val="003C6AB7"/>
    <w:rsid w:val="003C6C17"/>
    <w:rsid w:val="003C6D0D"/>
    <w:rsid w:val="003C70C1"/>
    <w:rsid w:val="003C70CF"/>
    <w:rsid w:val="003C71E4"/>
    <w:rsid w:val="003C72E2"/>
    <w:rsid w:val="003C746F"/>
    <w:rsid w:val="003C754C"/>
    <w:rsid w:val="003C7857"/>
    <w:rsid w:val="003C791C"/>
    <w:rsid w:val="003C7923"/>
    <w:rsid w:val="003D0060"/>
    <w:rsid w:val="003D0172"/>
    <w:rsid w:val="003D01D4"/>
    <w:rsid w:val="003D01E8"/>
    <w:rsid w:val="003D033F"/>
    <w:rsid w:val="003D0359"/>
    <w:rsid w:val="003D0380"/>
    <w:rsid w:val="003D0395"/>
    <w:rsid w:val="003D03C4"/>
    <w:rsid w:val="003D043E"/>
    <w:rsid w:val="003D07F2"/>
    <w:rsid w:val="003D093B"/>
    <w:rsid w:val="003D09AB"/>
    <w:rsid w:val="003D0D54"/>
    <w:rsid w:val="003D0DF7"/>
    <w:rsid w:val="003D0F17"/>
    <w:rsid w:val="003D110A"/>
    <w:rsid w:val="003D119B"/>
    <w:rsid w:val="003D12F6"/>
    <w:rsid w:val="003D1514"/>
    <w:rsid w:val="003D1702"/>
    <w:rsid w:val="003D1717"/>
    <w:rsid w:val="003D1936"/>
    <w:rsid w:val="003D1C2C"/>
    <w:rsid w:val="003D1EA2"/>
    <w:rsid w:val="003D23F1"/>
    <w:rsid w:val="003D245A"/>
    <w:rsid w:val="003D2496"/>
    <w:rsid w:val="003D2595"/>
    <w:rsid w:val="003D2648"/>
    <w:rsid w:val="003D26CC"/>
    <w:rsid w:val="003D2853"/>
    <w:rsid w:val="003D289B"/>
    <w:rsid w:val="003D2A89"/>
    <w:rsid w:val="003D2FD5"/>
    <w:rsid w:val="003D3733"/>
    <w:rsid w:val="003D3849"/>
    <w:rsid w:val="003D38C2"/>
    <w:rsid w:val="003D3959"/>
    <w:rsid w:val="003D3968"/>
    <w:rsid w:val="003D39C8"/>
    <w:rsid w:val="003D3C3E"/>
    <w:rsid w:val="003D3ED0"/>
    <w:rsid w:val="003D3F20"/>
    <w:rsid w:val="003D403D"/>
    <w:rsid w:val="003D456E"/>
    <w:rsid w:val="003D4853"/>
    <w:rsid w:val="003D4894"/>
    <w:rsid w:val="003D4A2C"/>
    <w:rsid w:val="003D4AC9"/>
    <w:rsid w:val="003D4BDE"/>
    <w:rsid w:val="003D4C19"/>
    <w:rsid w:val="003D5095"/>
    <w:rsid w:val="003D51C1"/>
    <w:rsid w:val="003D5481"/>
    <w:rsid w:val="003D5668"/>
    <w:rsid w:val="003D581A"/>
    <w:rsid w:val="003D5996"/>
    <w:rsid w:val="003D5A75"/>
    <w:rsid w:val="003D5B7A"/>
    <w:rsid w:val="003D61A9"/>
    <w:rsid w:val="003D61EC"/>
    <w:rsid w:val="003D631F"/>
    <w:rsid w:val="003D63EB"/>
    <w:rsid w:val="003D6628"/>
    <w:rsid w:val="003D680C"/>
    <w:rsid w:val="003D6812"/>
    <w:rsid w:val="003D6BCE"/>
    <w:rsid w:val="003D6CDC"/>
    <w:rsid w:val="003D6D46"/>
    <w:rsid w:val="003D74E3"/>
    <w:rsid w:val="003D7546"/>
    <w:rsid w:val="003D77FB"/>
    <w:rsid w:val="003D7965"/>
    <w:rsid w:val="003D79AE"/>
    <w:rsid w:val="003D7C59"/>
    <w:rsid w:val="003D7EB8"/>
    <w:rsid w:val="003D7EC4"/>
    <w:rsid w:val="003E00BD"/>
    <w:rsid w:val="003E01AB"/>
    <w:rsid w:val="003E020A"/>
    <w:rsid w:val="003E04BB"/>
    <w:rsid w:val="003E07DA"/>
    <w:rsid w:val="003E0A90"/>
    <w:rsid w:val="003E0B19"/>
    <w:rsid w:val="003E0D9C"/>
    <w:rsid w:val="003E114D"/>
    <w:rsid w:val="003E1159"/>
    <w:rsid w:val="003E12FC"/>
    <w:rsid w:val="003E1444"/>
    <w:rsid w:val="003E1660"/>
    <w:rsid w:val="003E1764"/>
    <w:rsid w:val="003E17D8"/>
    <w:rsid w:val="003E184C"/>
    <w:rsid w:val="003E190B"/>
    <w:rsid w:val="003E1A1A"/>
    <w:rsid w:val="003E2024"/>
    <w:rsid w:val="003E2318"/>
    <w:rsid w:val="003E232C"/>
    <w:rsid w:val="003E23F6"/>
    <w:rsid w:val="003E245B"/>
    <w:rsid w:val="003E2ABC"/>
    <w:rsid w:val="003E2CF0"/>
    <w:rsid w:val="003E30A9"/>
    <w:rsid w:val="003E32DB"/>
    <w:rsid w:val="003E32E4"/>
    <w:rsid w:val="003E335A"/>
    <w:rsid w:val="003E33EF"/>
    <w:rsid w:val="003E34B1"/>
    <w:rsid w:val="003E3899"/>
    <w:rsid w:val="003E3904"/>
    <w:rsid w:val="003E3AC4"/>
    <w:rsid w:val="003E3B2E"/>
    <w:rsid w:val="003E3D11"/>
    <w:rsid w:val="003E3D27"/>
    <w:rsid w:val="003E3D45"/>
    <w:rsid w:val="003E4206"/>
    <w:rsid w:val="003E446C"/>
    <w:rsid w:val="003E44A3"/>
    <w:rsid w:val="003E4536"/>
    <w:rsid w:val="003E471E"/>
    <w:rsid w:val="003E48AF"/>
    <w:rsid w:val="003E49E2"/>
    <w:rsid w:val="003E49E9"/>
    <w:rsid w:val="003E4A83"/>
    <w:rsid w:val="003E4BF3"/>
    <w:rsid w:val="003E51E2"/>
    <w:rsid w:val="003E53CC"/>
    <w:rsid w:val="003E5822"/>
    <w:rsid w:val="003E5CBA"/>
    <w:rsid w:val="003E63CF"/>
    <w:rsid w:val="003E67E4"/>
    <w:rsid w:val="003E695B"/>
    <w:rsid w:val="003E6A3B"/>
    <w:rsid w:val="003E6D06"/>
    <w:rsid w:val="003E6D09"/>
    <w:rsid w:val="003E6DD9"/>
    <w:rsid w:val="003E7163"/>
    <w:rsid w:val="003E7198"/>
    <w:rsid w:val="003E71F7"/>
    <w:rsid w:val="003E735A"/>
    <w:rsid w:val="003E740C"/>
    <w:rsid w:val="003E793C"/>
    <w:rsid w:val="003E796B"/>
    <w:rsid w:val="003E7B0F"/>
    <w:rsid w:val="003E7C2E"/>
    <w:rsid w:val="003E7D10"/>
    <w:rsid w:val="003E7F1A"/>
    <w:rsid w:val="003F0037"/>
    <w:rsid w:val="003F01B3"/>
    <w:rsid w:val="003F01F3"/>
    <w:rsid w:val="003F07BF"/>
    <w:rsid w:val="003F0C93"/>
    <w:rsid w:val="003F0D62"/>
    <w:rsid w:val="003F11EE"/>
    <w:rsid w:val="003F1446"/>
    <w:rsid w:val="003F1612"/>
    <w:rsid w:val="003F183F"/>
    <w:rsid w:val="003F18B1"/>
    <w:rsid w:val="003F1949"/>
    <w:rsid w:val="003F19C3"/>
    <w:rsid w:val="003F1B98"/>
    <w:rsid w:val="003F1D0A"/>
    <w:rsid w:val="003F21CE"/>
    <w:rsid w:val="003F27AD"/>
    <w:rsid w:val="003F282A"/>
    <w:rsid w:val="003F2951"/>
    <w:rsid w:val="003F2C12"/>
    <w:rsid w:val="003F2CFB"/>
    <w:rsid w:val="003F2D02"/>
    <w:rsid w:val="003F2D9A"/>
    <w:rsid w:val="003F32A0"/>
    <w:rsid w:val="003F338A"/>
    <w:rsid w:val="003F348A"/>
    <w:rsid w:val="003F37EB"/>
    <w:rsid w:val="003F3849"/>
    <w:rsid w:val="003F38A0"/>
    <w:rsid w:val="003F3998"/>
    <w:rsid w:val="003F3B41"/>
    <w:rsid w:val="003F3B4D"/>
    <w:rsid w:val="003F3C66"/>
    <w:rsid w:val="003F3E05"/>
    <w:rsid w:val="003F4343"/>
    <w:rsid w:val="003F4434"/>
    <w:rsid w:val="003F446E"/>
    <w:rsid w:val="003F45BD"/>
    <w:rsid w:val="003F46E3"/>
    <w:rsid w:val="003F49D4"/>
    <w:rsid w:val="003F4C2B"/>
    <w:rsid w:val="003F4CB6"/>
    <w:rsid w:val="003F4CBA"/>
    <w:rsid w:val="003F4D3C"/>
    <w:rsid w:val="003F4D62"/>
    <w:rsid w:val="003F4F11"/>
    <w:rsid w:val="003F502A"/>
    <w:rsid w:val="003F510D"/>
    <w:rsid w:val="003F5277"/>
    <w:rsid w:val="003F52E8"/>
    <w:rsid w:val="003F5618"/>
    <w:rsid w:val="003F56A3"/>
    <w:rsid w:val="003F58F8"/>
    <w:rsid w:val="003F5998"/>
    <w:rsid w:val="003F59E9"/>
    <w:rsid w:val="003F5E8F"/>
    <w:rsid w:val="003F6036"/>
    <w:rsid w:val="003F607E"/>
    <w:rsid w:val="003F6159"/>
    <w:rsid w:val="003F64B7"/>
    <w:rsid w:val="003F6535"/>
    <w:rsid w:val="003F6576"/>
    <w:rsid w:val="003F67B3"/>
    <w:rsid w:val="003F69F4"/>
    <w:rsid w:val="003F6B56"/>
    <w:rsid w:val="003F6BEB"/>
    <w:rsid w:val="003F6D47"/>
    <w:rsid w:val="003F780C"/>
    <w:rsid w:val="003F789C"/>
    <w:rsid w:val="003F7AA5"/>
    <w:rsid w:val="003F7B77"/>
    <w:rsid w:val="004000FE"/>
    <w:rsid w:val="004002ED"/>
    <w:rsid w:val="0040036D"/>
    <w:rsid w:val="00400457"/>
    <w:rsid w:val="0040060A"/>
    <w:rsid w:val="004006CC"/>
    <w:rsid w:val="00400A77"/>
    <w:rsid w:val="00400B96"/>
    <w:rsid w:val="0040128C"/>
    <w:rsid w:val="00401620"/>
    <w:rsid w:val="00401624"/>
    <w:rsid w:val="00402152"/>
    <w:rsid w:val="004029F6"/>
    <w:rsid w:val="00402C15"/>
    <w:rsid w:val="00402F30"/>
    <w:rsid w:val="004030D2"/>
    <w:rsid w:val="00403133"/>
    <w:rsid w:val="004035EC"/>
    <w:rsid w:val="00403758"/>
    <w:rsid w:val="004038B6"/>
    <w:rsid w:val="0040390B"/>
    <w:rsid w:val="00403ABE"/>
    <w:rsid w:val="00403AC1"/>
    <w:rsid w:val="00403B9F"/>
    <w:rsid w:val="00403BF0"/>
    <w:rsid w:val="00403C0E"/>
    <w:rsid w:val="00403D26"/>
    <w:rsid w:val="00403E1B"/>
    <w:rsid w:val="00404279"/>
    <w:rsid w:val="004043D6"/>
    <w:rsid w:val="00404503"/>
    <w:rsid w:val="00404896"/>
    <w:rsid w:val="00404A11"/>
    <w:rsid w:val="00404B34"/>
    <w:rsid w:val="00404CA9"/>
    <w:rsid w:val="0040514A"/>
    <w:rsid w:val="00405160"/>
    <w:rsid w:val="0040524F"/>
    <w:rsid w:val="00405302"/>
    <w:rsid w:val="0040564D"/>
    <w:rsid w:val="0040565A"/>
    <w:rsid w:val="00405708"/>
    <w:rsid w:val="0040576C"/>
    <w:rsid w:val="0040589B"/>
    <w:rsid w:val="004059E4"/>
    <w:rsid w:val="00405D6A"/>
    <w:rsid w:val="00405F55"/>
    <w:rsid w:val="00406050"/>
    <w:rsid w:val="00406293"/>
    <w:rsid w:val="00406A36"/>
    <w:rsid w:val="00406A37"/>
    <w:rsid w:val="00406AB7"/>
    <w:rsid w:val="00406AFF"/>
    <w:rsid w:val="00406BE1"/>
    <w:rsid w:val="00406C13"/>
    <w:rsid w:val="00406C17"/>
    <w:rsid w:val="00406C5E"/>
    <w:rsid w:val="00406E94"/>
    <w:rsid w:val="0040724A"/>
    <w:rsid w:val="00407406"/>
    <w:rsid w:val="0040768E"/>
    <w:rsid w:val="0040798A"/>
    <w:rsid w:val="00407E1B"/>
    <w:rsid w:val="00407EAA"/>
    <w:rsid w:val="0041008B"/>
    <w:rsid w:val="004100D5"/>
    <w:rsid w:val="00410364"/>
    <w:rsid w:val="004103FE"/>
    <w:rsid w:val="0041076A"/>
    <w:rsid w:val="00410828"/>
    <w:rsid w:val="004109B8"/>
    <w:rsid w:val="00410CA6"/>
    <w:rsid w:val="00410F54"/>
    <w:rsid w:val="00411284"/>
    <w:rsid w:val="004112EC"/>
    <w:rsid w:val="0041161C"/>
    <w:rsid w:val="00411753"/>
    <w:rsid w:val="004117F6"/>
    <w:rsid w:val="00411C96"/>
    <w:rsid w:val="00411D02"/>
    <w:rsid w:val="00411F21"/>
    <w:rsid w:val="00411F32"/>
    <w:rsid w:val="004122D3"/>
    <w:rsid w:val="004124AC"/>
    <w:rsid w:val="0041251E"/>
    <w:rsid w:val="00412679"/>
    <w:rsid w:val="004127A7"/>
    <w:rsid w:val="0041302A"/>
    <w:rsid w:val="0041315D"/>
    <w:rsid w:val="00413303"/>
    <w:rsid w:val="0041353C"/>
    <w:rsid w:val="0041363D"/>
    <w:rsid w:val="004136EE"/>
    <w:rsid w:val="00413A9E"/>
    <w:rsid w:val="00413AB0"/>
    <w:rsid w:val="00413FAA"/>
    <w:rsid w:val="0041459B"/>
    <w:rsid w:val="0041460A"/>
    <w:rsid w:val="0041463A"/>
    <w:rsid w:val="00414734"/>
    <w:rsid w:val="00414928"/>
    <w:rsid w:val="00414A52"/>
    <w:rsid w:val="00414CCD"/>
    <w:rsid w:val="0041518E"/>
    <w:rsid w:val="00415340"/>
    <w:rsid w:val="004156D5"/>
    <w:rsid w:val="00415776"/>
    <w:rsid w:val="0041579A"/>
    <w:rsid w:val="00415B83"/>
    <w:rsid w:val="00415EBA"/>
    <w:rsid w:val="00415FB9"/>
    <w:rsid w:val="004161BA"/>
    <w:rsid w:val="004163A5"/>
    <w:rsid w:val="004163D3"/>
    <w:rsid w:val="004163EF"/>
    <w:rsid w:val="004165E4"/>
    <w:rsid w:val="0041689B"/>
    <w:rsid w:val="00416BC3"/>
    <w:rsid w:val="00417237"/>
    <w:rsid w:val="004172C1"/>
    <w:rsid w:val="004172F5"/>
    <w:rsid w:val="0041744B"/>
    <w:rsid w:val="00417515"/>
    <w:rsid w:val="0041755E"/>
    <w:rsid w:val="004175E7"/>
    <w:rsid w:val="00417652"/>
    <w:rsid w:val="00417743"/>
    <w:rsid w:val="0041777F"/>
    <w:rsid w:val="00417C7E"/>
    <w:rsid w:val="00417CB6"/>
    <w:rsid w:val="00420279"/>
    <w:rsid w:val="00420921"/>
    <w:rsid w:val="00420C25"/>
    <w:rsid w:val="00420D25"/>
    <w:rsid w:val="00420FF2"/>
    <w:rsid w:val="004210D9"/>
    <w:rsid w:val="0042175A"/>
    <w:rsid w:val="00421993"/>
    <w:rsid w:val="00421A6C"/>
    <w:rsid w:val="00421BF5"/>
    <w:rsid w:val="00422087"/>
    <w:rsid w:val="004221B9"/>
    <w:rsid w:val="00422275"/>
    <w:rsid w:val="004226EB"/>
    <w:rsid w:val="00422BB2"/>
    <w:rsid w:val="00422C4E"/>
    <w:rsid w:val="00422D5E"/>
    <w:rsid w:val="00423ABB"/>
    <w:rsid w:val="00423E78"/>
    <w:rsid w:val="00423E99"/>
    <w:rsid w:val="00423F56"/>
    <w:rsid w:val="00424145"/>
    <w:rsid w:val="0042418F"/>
    <w:rsid w:val="00424267"/>
    <w:rsid w:val="0042445B"/>
    <w:rsid w:val="00424651"/>
    <w:rsid w:val="00424680"/>
    <w:rsid w:val="004247A6"/>
    <w:rsid w:val="004248D3"/>
    <w:rsid w:val="00424FAF"/>
    <w:rsid w:val="0042510B"/>
    <w:rsid w:val="004254AF"/>
    <w:rsid w:val="004254E8"/>
    <w:rsid w:val="004255A9"/>
    <w:rsid w:val="00425684"/>
    <w:rsid w:val="00425B28"/>
    <w:rsid w:val="00425F58"/>
    <w:rsid w:val="004260EF"/>
    <w:rsid w:val="004261AB"/>
    <w:rsid w:val="00426359"/>
    <w:rsid w:val="004263C1"/>
    <w:rsid w:val="004264F9"/>
    <w:rsid w:val="00426756"/>
    <w:rsid w:val="00426788"/>
    <w:rsid w:val="00426A48"/>
    <w:rsid w:val="00426B71"/>
    <w:rsid w:val="00426DD5"/>
    <w:rsid w:val="004270B1"/>
    <w:rsid w:val="0042733C"/>
    <w:rsid w:val="00427723"/>
    <w:rsid w:val="004277D1"/>
    <w:rsid w:val="004279B4"/>
    <w:rsid w:val="00427B18"/>
    <w:rsid w:val="00427C46"/>
    <w:rsid w:val="00430051"/>
    <w:rsid w:val="00430244"/>
    <w:rsid w:val="004306A0"/>
    <w:rsid w:val="00430826"/>
    <w:rsid w:val="00430874"/>
    <w:rsid w:val="00430CF6"/>
    <w:rsid w:val="00430DB8"/>
    <w:rsid w:val="0043144E"/>
    <w:rsid w:val="0043175D"/>
    <w:rsid w:val="00431970"/>
    <w:rsid w:val="00431AC4"/>
    <w:rsid w:val="00432450"/>
    <w:rsid w:val="0043252D"/>
    <w:rsid w:val="004326BC"/>
    <w:rsid w:val="00433126"/>
    <w:rsid w:val="00433338"/>
    <w:rsid w:val="00433ACC"/>
    <w:rsid w:val="004341B2"/>
    <w:rsid w:val="00434227"/>
    <w:rsid w:val="0043424E"/>
    <w:rsid w:val="00434260"/>
    <w:rsid w:val="004342B4"/>
    <w:rsid w:val="00434416"/>
    <w:rsid w:val="004344C1"/>
    <w:rsid w:val="00434B04"/>
    <w:rsid w:val="00434CAC"/>
    <w:rsid w:val="00435393"/>
    <w:rsid w:val="0043539A"/>
    <w:rsid w:val="00435708"/>
    <w:rsid w:val="00435AA2"/>
    <w:rsid w:val="00435CA1"/>
    <w:rsid w:val="00435E3A"/>
    <w:rsid w:val="00435E57"/>
    <w:rsid w:val="0043634B"/>
    <w:rsid w:val="0043661A"/>
    <w:rsid w:val="0043668B"/>
    <w:rsid w:val="0043684F"/>
    <w:rsid w:val="0043695E"/>
    <w:rsid w:val="0043695F"/>
    <w:rsid w:val="004369FA"/>
    <w:rsid w:val="00436BDD"/>
    <w:rsid w:val="00436DDE"/>
    <w:rsid w:val="00436F07"/>
    <w:rsid w:val="00436FA4"/>
    <w:rsid w:val="0043724F"/>
    <w:rsid w:val="0043731E"/>
    <w:rsid w:val="00437505"/>
    <w:rsid w:val="0043769C"/>
    <w:rsid w:val="0043774D"/>
    <w:rsid w:val="004377F5"/>
    <w:rsid w:val="00437C15"/>
    <w:rsid w:val="004406C8"/>
    <w:rsid w:val="00440A64"/>
    <w:rsid w:val="00440C07"/>
    <w:rsid w:val="00440CDA"/>
    <w:rsid w:val="00440F6C"/>
    <w:rsid w:val="0044115E"/>
    <w:rsid w:val="00441549"/>
    <w:rsid w:val="00441814"/>
    <w:rsid w:val="004418B2"/>
    <w:rsid w:val="00441931"/>
    <w:rsid w:val="00441978"/>
    <w:rsid w:val="004419A7"/>
    <w:rsid w:val="00441A4F"/>
    <w:rsid w:val="00441EA6"/>
    <w:rsid w:val="004425BC"/>
    <w:rsid w:val="004425E8"/>
    <w:rsid w:val="00442710"/>
    <w:rsid w:val="00442760"/>
    <w:rsid w:val="0044290E"/>
    <w:rsid w:val="004429F8"/>
    <w:rsid w:val="00442AC6"/>
    <w:rsid w:val="00442ADF"/>
    <w:rsid w:val="00442AED"/>
    <w:rsid w:val="00442CFD"/>
    <w:rsid w:val="00442D17"/>
    <w:rsid w:val="00442D29"/>
    <w:rsid w:val="00442F4D"/>
    <w:rsid w:val="00442F7A"/>
    <w:rsid w:val="00443007"/>
    <w:rsid w:val="004432AE"/>
    <w:rsid w:val="00443389"/>
    <w:rsid w:val="0044345A"/>
    <w:rsid w:val="00443C28"/>
    <w:rsid w:val="004443E2"/>
    <w:rsid w:val="00444617"/>
    <w:rsid w:val="00444667"/>
    <w:rsid w:val="00444829"/>
    <w:rsid w:val="004448CC"/>
    <w:rsid w:val="00444C49"/>
    <w:rsid w:val="004450D3"/>
    <w:rsid w:val="004451C2"/>
    <w:rsid w:val="004451F2"/>
    <w:rsid w:val="004454A6"/>
    <w:rsid w:val="0044577F"/>
    <w:rsid w:val="00445827"/>
    <w:rsid w:val="004458E1"/>
    <w:rsid w:val="00445A2E"/>
    <w:rsid w:val="00445C16"/>
    <w:rsid w:val="00445D01"/>
    <w:rsid w:val="00445D18"/>
    <w:rsid w:val="00445EA6"/>
    <w:rsid w:val="0044621B"/>
    <w:rsid w:val="004465FD"/>
    <w:rsid w:val="004466FA"/>
    <w:rsid w:val="0044696A"/>
    <w:rsid w:val="00446B4E"/>
    <w:rsid w:val="00446B91"/>
    <w:rsid w:val="00446E31"/>
    <w:rsid w:val="004471DB"/>
    <w:rsid w:val="00447287"/>
    <w:rsid w:val="00447357"/>
    <w:rsid w:val="00447460"/>
    <w:rsid w:val="00447670"/>
    <w:rsid w:val="004476A7"/>
    <w:rsid w:val="004476AB"/>
    <w:rsid w:val="00447756"/>
    <w:rsid w:val="004477ED"/>
    <w:rsid w:val="004479E3"/>
    <w:rsid w:val="00447A27"/>
    <w:rsid w:val="00447AC1"/>
    <w:rsid w:val="00447DBF"/>
    <w:rsid w:val="00447F65"/>
    <w:rsid w:val="00447FDA"/>
    <w:rsid w:val="00450110"/>
    <w:rsid w:val="004505B2"/>
    <w:rsid w:val="0045065C"/>
    <w:rsid w:val="00450901"/>
    <w:rsid w:val="00450D7B"/>
    <w:rsid w:val="00450DE5"/>
    <w:rsid w:val="004510F5"/>
    <w:rsid w:val="00451129"/>
    <w:rsid w:val="00451296"/>
    <w:rsid w:val="004513B2"/>
    <w:rsid w:val="004513FF"/>
    <w:rsid w:val="00451AB2"/>
    <w:rsid w:val="00451D9D"/>
    <w:rsid w:val="00451FFC"/>
    <w:rsid w:val="00452232"/>
    <w:rsid w:val="0045242A"/>
    <w:rsid w:val="0045252A"/>
    <w:rsid w:val="0045293A"/>
    <w:rsid w:val="00452DAF"/>
    <w:rsid w:val="00452FAD"/>
    <w:rsid w:val="00453186"/>
    <w:rsid w:val="004531E7"/>
    <w:rsid w:val="004535E5"/>
    <w:rsid w:val="0045379E"/>
    <w:rsid w:val="00453C86"/>
    <w:rsid w:val="00453EA6"/>
    <w:rsid w:val="00454176"/>
    <w:rsid w:val="00454541"/>
    <w:rsid w:val="004545C2"/>
    <w:rsid w:val="004548B7"/>
    <w:rsid w:val="00454B13"/>
    <w:rsid w:val="00454BD9"/>
    <w:rsid w:val="00454C91"/>
    <w:rsid w:val="00455164"/>
    <w:rsid w:val="00455191"/>
    <w:rsid w:val="004551C3"/>
    <w:rsid w:val="004551DB"/>
    <w:rsid w:val="00455343"/>
    <w:rsid w:val="004554DA"/>
    <w:rsid w:val="004554E6"/>
    <w:rsid w:val="00455603"/>
    <w:rsid w:val="004556F4"/>
    <w:rsid w:val="0045573E"/>
    <w:rsid w:val="00455862"/>
    <w:rsid w:val="00455B7B"/>
    <w:rsid w:val="00455C50"/>
    <w:rsid w:val="00455E19"/>
    <w:rsid w:val="00455F3B"/>
    <w:rsid w:val="0045637D"/>
    <w:rsid w:val="00456600"/>
    <w:rsid w:val="004567BB"/>
    <w:rsid w:val="00456C3A"/>
    <w:rsid w:val="004570B8"/>
    <w:rsid w:val="0045713B"/>
    <w:rsid w:val="0045752D"/>
    <w:rsid w:val="0045760C"/>
    <w:rsid w:val="004576D8"/>
    <w:rsid w:val="004578BC"/>
    <w:rsid w:val="004579FD"/>
    <w:rsid w:val="00457A28"/>
    <w:rsid w:val="00457A6C"/>
    <w:rsid w:val="004602AF"/>
    <w:rsid w:val="0046035B"/>
    <w:rsid w:val="004603EE"/>
    <w:rsid w:val="00460779"/>
    <w:rsid w:val="00460922"/>
    <w:rsid w:val="00460BA6"/>
    <w:rsid w:val="00460DA3"/>
    <w:rsid w:val="004610A3"/>
    <w:rsid w:val="004610F1"/>
    <w:rsid w:val="00461201"/>
    <w:rsid w:val="0046124F"/>
    <w:rsid w:val="0046187C"/>
    <w:rsid w:val="004619F5"/>
    <w:rsid w:val="00461A67"/>
    <w:rsid w:val="00461BAC"/>
    <w:rsid w:val="00461E9B"/>
    <w:rsid w:val="004620C9"/>
    <w:rsid w:val="004620EF"/>
    <w:rsid w:val="00462344"/>
    <w:rsid w:val="004624D5"/>
    <w:rsid w:val="00462821"/>
    <w:rsid w:val="00462981"/>
    <w:rsid w:val="00462AA5"/>
    <w:rsid w:val="00462F89"/>
    <w:rsid w:val="004631A9"/>
    <w:rsid w:val="00463331"/>
    <w:rsid w:val="0046333D"/>
    <w:rsid w:val="00463440"/>
    <w:rsid w:val="0046345F"/>
    <w:rsid w:val="004634C6"/>
    <w:rsid w:val="004634D3"/>
    <w:rsid w:val="004634D8"/>
    <w:rsid w:val="00463802"/>
    <w:rsid w:val="004638A9"/>
    <w:rsid w:val="004638FC"/>
    <w:rsid w:val="00463985"/>
    <w:rsid w:val="00463993"/>
    <w:rsid w:val="004639AB"/>
    <w:rsid w:val="00463A1C"/>
    <w:rsid w:val="00463D14"/>
    <w:rsid w:val="004640C7"/>
    <w:rsid w:val="00464196"/>
    <w:rsid w:val="00464320"/>
    <w:rsid w:val="0046444D"/>
    <w:rsid w:val="00464AAF"/>
    <w:rsid w:val="00464BE3"/>
    <w:rsid w:val="00464C97"/>
    <w:rsid w:val="00464CE6"/>
    <w:rsid w:val="00464D4F"/>
    <w:rsid w:val="00464F07"/>
    <w:rsid w:val="00464F3D"/>
    <w:rsid w:val="00465093"/>
    <w:rsid w:val="0046533F"/>
    <w:rsid w:val="004656F9"/>
    <w:rsid w:val="00465D65"/>
    <w:rsid w:val="00466089"/>
    <w:rsid w:val="004662FB"/>
    <w:rsid w:val="00466504"/>
    <w:rsid w:val="00466683"/>
    <w:rsid w:val="004667D1"/>
    <w:rsid w:val="00467426"/>
    <w:rsid w:val="004675A7"/>
    <w:rsid w:val="004677E2"/>
    <w:rsid w:val="0046791F"/>
    <w:rsid w:val="00467A8B"/>
    <w:rsid w:val="00467C8C"/>
    <w:rsid w:val="00467D38"/>
    <w:rsid w:val="00467D65"/>
    <w:rsid w:val="00467E95"/>
    <w:rsid w:val="00467F11"/>
    <w:rsid w:val="00467FB6"/>
    <w:rsid w:val="00467FDF"/>
    <w:rsid w:val="00470042"/>
    <w:rsid w:val="0047016C"/>
    <w:rsid w:val="0047052E"/>
    <w:rsid w:val="004705BF"/>
    <w:rsid w:val="004707CE"/>
    <w:rsid w:val="004708D5"/>
    <w:rsid w:val="00470A1B"/>
    <w:rsid w:val="00470A89"/>
    <w:rsid w:val="00470BC6"/>
    <w:rsid w:val="00470BF7"/>
    <w:rsid w:val="00470C08"/>
    <w:rsid w:val="00471028"/>
    <w:rsid w:val="004711AE"/>
    <w:rsid w:val="004713A4"/>
    <w:rsid w:val="004714CE"/>
    <w:rsid w:val="00471788"/>
    <w:rsid w:val="00471958"/>
    <w:rsid w:val="00471E06"/>
    <w:rsid w:val="00472083"/>
    <w:rsid w:val="004721F8"/>
    <w:rsid w:val="0047244D"/>
    <w:rsid w:val="004726AA"/>
    <w:rsid w:val="004726E5"/>
    <w:rsid w:val="004727F4"/>
    <w:rsid w:val="00472DC1"/>
    <w:rsid w:val="00472DF6"/>
    <w:rsid w:val="00472E60"/>
    <w:rsid w:val="00472E6C"/>
    <w:rsid w:val="0047307E"/>
    <w:rsid w:val="004730AC"/>
    <w:rsid w:val="004730CE"/>
    <w:rsid w:val="004731AB"/>
    <w:rsid w:val="0047330F"/>
    <w:rsid w:val="00473397"/>
    <w:rsid w:val="0047342C"/>
    <w:rsid w:val="00473697"/>
    <w:rsid w:val="00473775"/>
    <w:rsid w:val="0047378E"/>
    <w:rsid w:val="0047387F"/>
    <w:rsid w:val="00473902"/>
    <w:rsid w:val="0047392A"/>
    <w:rsid w:val="00473DC4"/>
    <w:rsid w:val="00473F22"/>
    <w:rsid w:val="00474038"/>
    <w:rsid w:val="0047411D"/>
    <w:rsid w:val="00474376"/>
    <w:rsid w:val="0047446E"/>
    <w:rsid w:val="00474548"/>
    <w:rsid w:val="00474BD9"/>
    <w:rsid w:val="00474DDD"/>
    <w:rsid w:val="004750B1"/>
    <w:rsid w:val="004754C4"/>
    <w:rsid w:val="00475681"/>
    <w:rsid w:val="0047576C"/>
    <w:rsid w:val="0047582A"/>
    <w:rsid w:val="004758AD"/>
    <w:rsid w:val="004758B7"/>
    <w:rsid w:val="004759F1"/>
    <w:rsid w:val="00475A97"/>
    <w:rsid w:val="00475AC8"/>
    <w:rsid w:val="00475B1A"/>
    <w:rsid w:val="00475D81"/>
    <w:rsid w:val="00475DC6"/>
    <w:rsid w:val="00475E3F"/>
    <w:rsid w:val="00475E4B"/>
    <w:rsid w:val="00475F70"/>
    <w:rsid w:val="004760B4"/>
    <w:rsid w:val="00476333"/>
    <w:rsid w:val="004764FD"/>
    <w:rsid w:val="004765B4"/>
    <w:rsid w:val="0047671B"/>
    <w:rsid w:val="0047693D"/>
    <w:rsid w:val="004769BA"/>
    <w:rsid w:val="00476B56"/>
    <w:rsid w:val="00476D3B"/>
    <w:rsid w:val="00476D70"/>
    <w:rsid w:val="00476F3B"/>
    <w:rsid w:val="00476F41"/>
    <w:rsid w:val="004770A5"/>
    <w:rsid w:val="004773FB"/>
    <w:rsid w:val="00477584"/>
    <w:rsid w:val="004775AC"/>
    <w:rsid w:val="004776DA"/>
    <w:rsid w:val="004778F6"/>
    <w:rsid w:val="004779F9"/>
    <w:rsid w:val="00477B3F"/>
    <w:rsid w:val="0048023E"/>
    <w:rsid w:val="004802EE"/>
    <w:rsid w:val="004803F1"/>
    <w:rsid w:val="00480806"/>
    <w:rsid w:val="0048080F"/>
    <w:rsid w:val="004808E8"/>
    <w:rsid w:val="00480A87"/>
    <w:rsid w:val="00480B97"/>
    <w:rsid w:val="00480BDF"/>
    <w:rsid w:val="00480C05"/>
    <w:rsid w:val="00480C19"/>
    <w:rsid w:val="00480C8B"/>
    <w:rsid w:val="00480D73"/>
    <w:rsid w:val="00480FC8"/>
    <w:rsid w:val="0048116F"/>
    <w:rsid w:val="004811EA"/>
    <w:rsid w:val="0048137C"/>
    <w:rsid w:val="0048169E"/>
    <w:rsid w:val="00481758"/>
    <w:rsid w:val="00481943"/>
    <w:rsid w:val="004819AE"/>
    <w:rsid w:val="004819F3"/>
    <w:rsid w:val="00481A7B"/>
    <w:rsid w:val="00481B7A"/>
    <w:rsid w:val="00481BED"/>
    <w:rsid w:val="00481D79"/>
    <w:rsid w:val="00481FF1"/>
    <w:rsid w:val="004824F8"/>
    <w:rsid w:val="00482555"/>
    <w:rsid w:val="004827E1"/>
    <w:rsid w:val="00482864"/>
    <w:rsid w:val="0048288D"/>
    <w:rsid w:val="00482DD4"/>
    <w:rsid w:val="00482E3E"/>
    <w:rsid w:val="00482FF1"/>
    <w:rsid w:val="00483392"/>
    <w:rsid w:val="004834CF"/>
    <w:rsid w:val="004838A1"/>
    <w:rsid w:val="00483A3D"/>
    <w:rsid w:val="00483E7C"/>
    <w:rsid w:val="004840A1"/>
    <w:rsid w:val="00484252"/>
    <w:rsid w:val="0048457C"/>
    <w:rsid w:val="004846AD"/>
    <w:rsid w:val="004846EE"/>
    <w:rsid w:val="00484C29"/>
    <w:rsid w:val="00484F21"/>
    <w:rsid w:val="00485007"/>
    <w:rsid w:val="0048502E"/>
    <w:rsid w:val="004852C0"/>
    <w:rsid w:val="00485384"/>
    <w:rsid w:val="0048546C"/>
    <w:rsid w:val="004854CC"/>
    <w:rsid w:val="004855B5"/>
    <w:rsid w:val="00485692"/>
    <w:rsid w:val="00485878"/>
    <w:rsid w:val="00485980"/>
    <w:rsid w:val="00485A61"/>
    <w:rsid w:val="00486022"/>
    <w:rsid w:val="00486330"/>
    <w:rsid w:val="0048634B"/>
    <w:rsid w:val="0048637A"/>
    <w:rsid w:val="004869B7"/>
    <w:rsid w:val="00486AF7"/>
    <w:rsid w:val="00486C26"/>
    <w:rsid w:val="00486DAE"/>
    <w:rsid w:val="00486E7E"/>
    <w:rsid w:val="0048703A"/>
    <w:rsid w:val="004870C9"/>
    <w:rsid w:val="0048731E"/>
    <w:rsid w:val="00487772"/>
    <w:rsid w:val="00487880"/>
    <w:rsid w:val="00487AFD"/>
    <w:rsid w:val="00487B67"/>
    <w:rsid w:val="00487D12"/>
    <w:rsid w:val="00487E52"/>
    <w:rsid w:val="00487E72"/>
    <w:rsid w:val="00487F0F"/>
    <w:rsid w:val="00487F14"/>
    <w:rsid w:val="00487FE0"/>
    <w:rsid w:val="00490264"/>
    <w:rsid w:val="0049053E"/>
    <w:rsid w:val="004905B0"/>
    <w:rsid w:val="0049084D"/>
    <w:rsid w:val="00490897"/>
    <w:rsid w:val="00490B99"/>
    <w:rsid w:val="00490CF6"/>
    <w:rsid w:val="00490DEE"/>
    <w:rsid w:val="00490E8B"/>
    <w:rsid w:val="00490FF5"/>
    <w:rsid w:val="004912A9"/>
    <w:rsid w:val="004914E8"/>
    <w:rsid w:val="00491746"/>
    <w:rsid w:val="00491A35"/>
    <w:rsid w:val="00491FEA"/>
    <w:rsid w:val="004920C9"/>
    <w:rsid w:val="004920E8"/>
    <w:rsid w:val="00492122"/>
    <w:rsid w:val="004921F1"/>
    <w:rsid w:val="004923B6"/>
    <w:rsid w:val="00492445"/>
    <w:rsid w:val="004924D0"/>
    <w:rsid w:val="0049254B"/>
    <w:rsid w:val="004929C7"/>
    <w:rsid w:val="00492A13"/>
    <w:rsid w:val="00492AF0"/>
    <w:rsid w:val="00492E25"/>
    <w:rsid w:val="0049342B"/>
    <w:rsid w:val="0049346F"/>
    <w:rsid w:val="004934B0"/>
    <w:rsid w:val="004935AB"/>
    <w:rsid w:val="00493F86"/>
    <w:rsid w:val="00494010"/>
    <w:rsid w:val="004940C8"/>
    <w:rsid w:val="0049434F"/>
    <w:rsid w:val="004945AF"/>
    <w:rsid w:val="00494A60"/>
    <w:rsid w:val="00494AE4"/>
    <w:rsid w:val="00494B28"/>
    <w:rsid w:val="00494BC7"/>
    <w:rsid w:val="00494E9F"/>
    <w:rsid w:val="00494F6D"/>
    <w:rsid w:val="00495100"/>
    <w:rsid w:val="00495119"/>
    <w:rsid w:val="004951E8"/>
    <w:rsid w:val="0049550B"/>
    <w:rsid w:val="00495682"/>
    <w:rsid w:val="00495916"/>
    <w:rsid w:val="0049594C"/>
    <w:rsid w:val="004959D3"/>
    <w:rsid w:val="00495B52"/>
    <w:rsid w:val="00495D95"/>
    <w:rsid w:val="00495F2B"/>
    <w:rsid w:val="004961AC"/>
    <w:rsid w:val="00496420"/>
    <w:rsid w:val="004965B8"/>
    <w:rsid w:val="004965C1"/>
    <w:rsid w:val="00496622"/>
    <w:rsid w:val="00496726"/>
    <w:rsid w:val="004969BA"/>
    <w:rsid w:val="00496A65"/>
    <w:rsid w:val="00496D37"/>
    <w:rsid w:val="00496F7F"/>
    <w:rsid w:val="00496FAE"/>
    <w:rsid w:val="00497382"/>
    <w:rsid w:val="004974E2"/>
    <w:rsid w:val="0049757A"/>
    <w:rsid w:val="004975FB"/>
    <w:rsid w:val="004976B7"/>
    <w:rsid w:val="004979C6"/>
    <w:rsid w:val="00497B4F"/>
    <w:rsid w:val="00497D6E"/>
    <w:rsid w:val="004A022B"/>
    <w:rsid w:val="004A034C"/>
    <w:rsid w:val="004A0366"/>
    <w:rsid w:val="004A040F"/>
    <w:rsid w:val="004A0779"/>
    <w:rsid w:val="004A096D"/>
    <w:rsid w:val="004A0D8F"/>
    <w:rsid w:val="004A0DBE"/>
    <w:rsid w:val="004A0EBA"/>
    <w:rsid w:val="004A0EE0"/>
    <w:rsid w:val="004A12D9"/>
    <w:rsid w:val="004A12F4"/>
    <w:rsid w:val="004A1368"/>
    <w:rsid w:val="004A13D4"/>
    <w:rsid w:val="004A1720"/>
    <w:rsid w:val="004A1CAB"/>
    <w:rsid w:val="004A1CF8"/>
    <w:rsid w:val="004A1DB4"/>
    <w:rsid w:val="004A1E4A"/>
    <w:rsid w:val="004A24D0"/>
    <w:rsid w:val="004A262C"/>
    <w:rsid w:val="004A2846"/>
    <w:rsid w:val="004A2E45"/>
    <w:rsid w:val="004A2EF6"/>
    <w:rsid w:val="004A2F25"/>
    <w:rsid w:val="004A30B7"/>
    <w:rsid w:val="004A3223"/>
    <w:rsid w:val="004A32CB"/>
    <w:rsid w:val="004A3351"/>
    <w:rsid w:val="004A3397"/>
    <w:rsid w:val="004A36EC"/>
    <w:rsid w:val="004A36F2"/>
    <w:rsid w:val="004A36F7"/>
    <w:rsid w:val="004A3844"/>
    <w:rsid w:val="004A38E9"/>
    <w:rsid w:val="004A398E"/>
    <w:rsid w:val="004A3A1C"/>
    <w:rsid w:val="004A3B59"/>
    <w:rsid w:val="004A3D82"/>
    <w:rsid w:val="004A465F"/>
    <w:rsid w:val="004A48A5"/>
    <w:rsid w:val="004A490D"/>
    <w:rsid w:val="004A49A3"/>
    <w:rsid w:val="004A529E"/>
    <w:rsid w:val="004A54E0"/>
    <w:rsid w:val="004A54ED"/>
    <w:rsid w:val="004A567A"/>
    <w:rsid w:val="004A56DB"/>
    <w:rsid w:val="004A56E7"/>
    <w:rsid w:val="004A570A"/>
    <w:rsid w:val="004A5E1A"/>
    <w:rsid w:val="004A5F1A"/>
    <w:rsid w:val="004A600B"/>
    <w:rsid w:val="004A603D"/>
    <w:rsid w:val="004A62A1"/>
    <w:rsid w:val="004A631D"/>
    <w:rsid w:val="004A6500"/>
    <w:rsid w:val="004A6923"/>
    <w:rsid w:val="004A6963"/>
    <w:rsid w:val="004A6AE4"/>
    <w:rsid w:val="004A6C3B"/>
    <w:rsid w:val="004A6FA1"/>
    <w:rsid w:val="004A7572"/>
    <w:rsid w:val="004A7740"/>
    <w:rsid w:val="004A783F"/>
    <w:rsid w:val="004A7E88"/>
    <w:rsid w:val="004B013E"/>
    <w:rsid w:val="004B01FE"/>
    <w:rsid w:val="004B04A8"/>
    <w:rsid w:val="004B04C5"/>
    <w:rsid w:val="004B06F1"/>
    <w:rsid w:val="004B0758"/>
    <w:rsid w:val="004B0867"/>
    <w:rsid w:val="004B09C2"/>
    <w:rsid w:val="004B119B"/>
    <w:rsid w:val="004B18A7"/>
    <w:rsid w:val="004B1C76"/>
    <w:rsid w:val="004B1ECB"/>
    <w:rsid w:val="004B214F"/>
    <w:rsid w:val="004B2179"/>
    <w:rsid w:val="004B228A"/>
    <w:rsid w:val="004B23FE"/>
    <w:rsid w:val="004B2575"/>
    <w:rsid w:val="004B290F"/>
    <w:rsid w:val="004B2935"/>
    <w:rsid w:val="004B2A59"/>
    <w:rsid w:val="004B2BD0"/>
    <w:rsid w:val="004B2C02"/>
    <w:rsid w:val="004B2CAB"/>
    <w:rsid w:val="004B2E49"/>
    <w:rsid w:val="004B30C1"/>
    <w:rsid w:val="004B3173"/>
    <w:rsid w:val="004B3189"/>
    <w:rsid w:val="004B319F"/>
    <w:rsid w:val="004B3334"/>
    <w:rsid w:val="004B392C"/>
    <w:rsid w:val="004B3A1E"/>
    <w:rsid w:val="004B3BE9"/>
    <w:rsid w:val="004B3D0B"/>
    <w:rsid w:val="004B4036"/>
    <w:rsid w:val="004B4245"/>
    <w:rsid w:val="004B448A"/>
    <w:rsid w:val="004B4584"/>
    <w:rsid w:val="004B4761"/>
    <w:rsid w:val="004B4ADA"/>
    <w:rsid w:val="004B4B22"/>
    <w:rsid w:val="004B4C10"/>
    <w:rsid w:val="004B4E7B"/>
    <w:rsid w:val="004B4F4E"/>
    <w:rsid w:val="004B508D"/>
    <w:rsid w:val="004B50C6"/>
    <w:rsid w:val="004B5237"/>
    <w:rsid w:val="004B5475"/>
    <w:rsid w:val="004B54DC"/>
    <w:rsid w:val="004B54E3"/>
    <w:rsid w:val="004B5524"/>
    <w:rsid w:val="004B5529"/>
    <w:rsid w:val="004B58B4"/>
    <w:rsid w:val="004B59A1"/>
    <w:rsid w:val="004B5FBF"/>
    <w:rsid w:val="004B6040"/>
    <w:rsid w:val="004B6084"/>
    <w:rsid w:val="004B627C"/>
    <w:rsid w:val="004B6344"/>
    <w:rsid w:val="004B64CD"/>
    <w:rsid w:val="004B6509"/>
    <w:rsid w:val="004B669F"/>
    <w:rsid w:val="004B6992"/>
    <w:rsid w:val="004B69E1"/>
    <w:rsid w:val="004B6E23"/>
    <w:rsid w:val="004B6ED0"/>
    <w:rsid w:val="004B7020"/>
    <w:rsid w:val="004B7220"/>
    <w:rsid w:val="004B7295"/>
    <w:rsid w:val="004B7344"/>
    <w:rsid w:val="004B7655"/>
    <w:rsid w:val="004B76DA"/>
    <w:rsid w:val="004B7754"/>
    <w:rsid w:val="004B7828"/>
    <w:rsid w:val="004B7995"/>
    <w:rsid w:val="004B7CBC"/>
    <w:rsid w:val="004B7DF3"/>
    <w:rsid w:val="004B7FC2"/>
    <w:rsid w:val="004B7FC3"/>
    <w:rsid w:val="004C0177"/>
    <w:rsid w:val="004C01D0"/>
    <w:rsid w:val="004C06E9"/>
    <w:rsid w:val="004C0860"/>
    <w:rsid w:val="004C0ACB"/>
    <w:rsid w:val="004C0AE3"/>
    <w:rsid w:val="004C0B5D"/>
    <w:rsid w:val="004C0C72"/>
    <w:rsid w:val="004C0C7E"/>
    <w:rsid w:val="004C0F49"/>
    <w:rsid w:val="004C0F93"/>
    <w:rsid w:val="004C0FFE"/>
    <w:rsid w:val="004C101C"/>
    <w:rsid w:val="004C101E"/>
    <w:rsid w:val="004C126E"/>
    <w:rsid w:val="004C17C5"/>
    <w:rsid w:val="004C191F"/>
    <w:rsid w:val="004C19B2"/>
    <w:rsid w:val="004C1CAC"/>
    <w:rsid w:val="004C1CD3"/>
    <w:rsid w:val="004C1EAD"/>
    <w:rsid w:val="004C208F"/>
    <w:rsid w:val="004C24D2"/>
    <w:rsid w:val="004C255C"/>
    <w:rsid w:val="004C2A13"/>
    <w:rsid w:val="004C2AD8"/>
    <w:rsid w:val="004C2E45"/>
    <w:rsid w:val="004C319F"/>
    <w:rsid w:val="004C363E"/>
    <w:rsid w:val="004C37CB"/>
    <w:rsid w:val="004C384D"/>
    <w:rsid w:val="004C3850"/>
    <w:rsid w:val="004C3883"/>
    <w:rsid w:val="004C3B04"/>
    <w:rsid w:val="004C3B99"/>
    <w:rsid w:val="004C3C74"/>
    <w:rsid w:val="004C3CD8"/>
    <w:rsid w:val="004C3D27"/>
    <w:rsid w:val="004C3F94"/>
    <w:rsid w:val="004C4139"/>
    <w:rsid w:val="004C43AC"/>
    <w:rsid w:val="004C4843"/>
    <w:rsid w:val="004C49B2"/>
    <w:rsid w:val="004C49C2"/>
    <w:rsid w:val="004C4A10"/>
    <w:rsid w:val="004C4AFD"/>
    <w:rsid w:val="004C4B51"/>
    <w:rsid w:val="004C4B6C"/>
    <w:rsid w:val="004C4BB1"/>
    <w:rsid w:val="004C5168"/>
    <w:rsid w:val="004C52A4"/>
    <w:rsid w:val="004C54B6"/>
    <w:rsid w:val="004C5562"/>
    <w:rsid w:val="004C55E0"/>
    <w:rsid w:val="004C579D"/>
    <w:rsid w:val="004C59C4"/>
    <w:rsid w:val="004C5A39"/>
    <w:rsid w:val="004C5A76"/>
    <w:rsid w:val="004C5ACE"/>
    <w:rsid w:val="004C5B49"/>
    <w:rsid w:val="004C5D7E"/>
    <w:rsid w:val="004C5F56"/>
    <w:rsid w:val="004C5FD6"/>
    <w:rsid w:val="004C613D"/>
    <w:rsid w:val="004C6322"/>
    <w:rsid w:val="004C64F8"/>
    <w:rsid w:val="004C6539"/>
    <w:rsid w:val="004C655F"/>
    <w:rsid w:val="004C6791"/>
    <w:rsid w:val="004C68C9"/>
    <w:rsid w:val="004C69D3"/>
    <w:rsid w:val="004C6ABA"/>
    <w:rsid w:val="004C6DD7"/>
    <w:rsid w:val="004C700E"/>
    <w:rsid w:val="004C701E"/>
    <w:rsid w:val="004C7185"/>
    <w:rsid w:val="004C7187"/>
    <w:rsid w:val="004C71AD"/>
    <w:rsid w:val="004C74FA"/>
    <w:rsid w:val="004C76B6"/>
    <w:rsid w:val="004C794A"/>
    <w:rsid w:val="004C798A"/>
    <w:rsid w:val="004C7C66"/>
    <w:rsid w:val="004C7D24"/>
    <w:rsid w:val="004D0801"/>
    <w:rsid w:val="004D0BC0"/>
    <w:rsid w:val="004D1156"/>
    <w:rsid w:val="004D140B"/>
    <w:rsid w:val="004D181F"/>
    <w:rsid w:val="004D1C8B"/>
    <w:rsid w:val="004D1DE7"/>
    <w:rsid w:val="004D1FF6"/>
    <w:rsid w:val="004D22FB"/>
    <w:rsid w:val="004D2317"/>
    <w:rsid w:val="004D23F7"/>
    <w:rsid w:val="004D2459"/>
    <w:rsid w:val="004D2CA5"/>
    <w:rsid w:val="004D2D59"/>
    <w:rsid w:val="004D2DE1"/>
    <w:rsid w:val="004D3184"/>
    <w:rsid w:val="004D3349"/>
    <w:rsid w:val="004D33A1"/>
    <w:rsid w:val="004D34C3"/>
    <w:rsid w:val="004D363E"/>
    <w:rsid w:val="004D38C1"/>
    <w:rsid w:val="004D3A0B"/>
    <w:rsid w:val="004D3B3D"/>
    <w:rsid w:val="004D3C4E"/>
    <w:rsid w:val="004D3F44"/>
    <w:rsid w:val="004D40C1"/>
    <w:rsid w:val="004D4102"/>
    <w:rsid w:val="004D4371"/>
    <w:rsid w:val="004D4826"/>
    <w:rsid w:val="004D4A62"/>
    <w:rsid w:val="004D4A7A"/>
    <w:rsid w:val="004D4CB8"/>
    <w:rsid w:val="004D4E70"/>
    <w:rsid w:val="004D51B7"/>
    <w:rsid w:val="004D5338"/>
    <w:rsid w:val="004D55D0"/>
    <w:rsid w:val="004D566B"/>
    <w:rsid w:val="004D574C"/>
    <w:rsid w:val="004D58E8"/>
    <w:rsid w:val="004D5975"/>
    <w:rsid w:val="004D598B"/>
    <w:rsid w:val="004D5AA3"/>
    <w:rsid w:val="004D5CA5"/>
    <w:rsid w:val="004D5CCB"/>
    <w:rsid w:val="004D5CD3"/>
    <w:rsid w:val="004D5D06"/>
    <w:rsid w:val="004D5D6E"/>
    <w:rsid w:val="004D5DD7"/>
    <w:rsid w:val="004D5DEF"/>
    <w:rsid w:val="004D5E42"/>
    <w:rsid w:val="004D5F6B"/>
    <w:rsid w:val="004D604A"/>
    <w:rsid w:val="004D618E"/>
    <w:rsid w:val="004D66A4"/>
    <w:rsid w:val="004D6AAE"/>
    <w:rsid w:val="004D6B26"/>
    <w:rsid w:val="004D6CA4"/>
    <w:rsid w:val="004D7041"/>
    <w:rsid w:val="004D7421"/>
    <w:rsid w:val="004D74DA"/>
    <w:rsid w:val="004D7815"/>
    <w:rsid w:val="004D7903"/>
    <w:rsid w:val="004D7A12"/>
    <w:rsid w:val="004D7C37"/>
    <w:rsid w:val="004D7E36"/>
    <w:rsid w:val="004E096E"/>
    <w:rsid w:val="004E0B93"/>
    <w:rsid w:val="004E0CB3"/>
    <w:rsid w:val="004E0D72"/>
    <w:rsid w:val="004E0DFA"/>
    <w:rsid w:val="004E1383"/>
    <w:rsid w:val="004E15CE"/>
    <w:rsid w:val="004E1B80"/>
    <w:rsid w:val="004E2127"/>
    <w:rsid w:val="004E21CC"/>
    <w:rsid w:val="004E228F"/>
    <w:rsid w:val="004E22D1"/>
    <w:rsid w:val="004E254E"/>
    <w:rsid w:val="004E25AB"/>
    <w:rsid w:val="004E25E2"/>
    <w:rsid w:val="004E283A"/>
    <w:rsid w:val="004E2892"/>
    <w:rsid w:val="004E2CBA"/>
    <w:rsid w:val="004E3180"/>
    <w:rsid w:val="004E3316"/>
    <w:rsid w:val="004E34DD"/>
    <w:rsid w:val="004E35E9"/>
    <w:rsid w:val="004E36A6"/>
    <w:rsid w:val="004E37F3"/>
    <w:rsid w:val="004E3B50"/>
    <w:rsid w:val="004E3F09"/>
    <w:rsid w:val="004E3FB1"/>
    <w:rsid w:val="004E44AC"/>
    <w:rsid w:val="004E44EA"/>
    <w:rsid w:val="004E481E"/>
    <w:rsid w:val="004E489E"/>
    <w:rsid w:val="004E4989"/>
    <w:rsid w:val="004E4A11"/>
    <w:rsid w:val="004E4B6E"/>
    <w:rsid w:val="004E51B4"/>
    <w:rsid w:val="004E5517"/>
    <w:rsid w:val="004E5A0B"/>
    <w:rsid w:val="004E5A31"/>
    <w:rsid w:val="004E5CAA"/>
    <w:rsid w:val="004E60FD"/>
    <w:rsid w:val="004E611D"/>
    <w:rsid w:val="004E62F2"/>
    <w:rsid w:val="004E639B"/>
    <w:rsid w:val="004E6487"/>
    <w:rsid w:val="004E668F"/>
    <w:rsid w:val="004E6921"/>
    <w:rsid w:val="004E695B"/>
    <w:rsid w:val="004E6CE6"/>
    <w:rsid w:val="004E6D1E"/>
    <w:rsid w:val="004E6E2A"/>
    <w:rsid w:val="004E6E5D"/>
    <w:rsid w:val="004E73EC"/>
    <w:rsid w:val="004E7957"/>
    <w:rsid w:val="004E7AF1"/>
    <w:rsid w:val="004E7B60"/>
    <w:rsid w:val="004E7D42"/>
    <w:rsid w:val="004E7DFC"/>
    <w:rsid w:val="004E7E72"/>
    <w:rsid w:val="004F0076"/>
    <w:rsid w:val="004F0712"/>
    <w:rsid w:val="004F07BB"/>
    <w:rsid w:val="004F0823"/>
    <w:rsid w:val="004F086B"/>
    <w:rsid w:val="004F0F29"/>
    <w:rsid w:val="004F1145"/>
    <w:rsid w:val="004F15C7"/>
    <w:rsid w:val="004F1858"/>
    <w:rsid w:val="004F1A61"/>
    <w:rsid w:val="004F1CBD"/>
    <w:rsid w:val="004F1CCD"/>
    <w:rsid w:val="004F1F45"/>
    <w:rsid w:val="004F2127"/>
    <w:rsid w:val="004F21BF"/>
    <w:rsid w:val="004F21EF"/>
    <w:rsid w:val="004F22D0"/>
    <w:rsid w:val="004F24B5"/>
    <w:rsid w:val="004F259A"/>
    <w:rsid w:val="004F25CB"/>
    <w:rsid w:val="004F2628"/>
    <w:rsid w:val="004F28E9"/>
    <w:rsid w:val="004F2C66"/>
    <w:rsid w:val="004F2D72"/>
    <w:rsid w:val="004F2D7E"/>
    <w:rsid w:val="004F2E5D"/>
    <w:rsid w:val="004F30D7"/>
    <w:rsid w:val="004F3131"/>
    <w:rsid w:val="004F316D"/>
    <w:rsid w:val="004F31A3"/>
    <w:rsid w:val="004F31F1"/>
    <w:rsid w:val="004F34AE"/>
    <w:rsid w:val="004F356B"/>
    <w:rsid w:val="004F366B"/>
    <w:rsid w:val="004F3AD4"/>
    <w:rsid w:val="004F3F0D"/>
    <w:rsid w:val="004F410F"/>
    <w:rsid w:val="004F42F7"/>
    <w:rsid w:val="004F4348"/>
    <w:rsid w:val="004F4811"/>
    <w:rsid w:val="004F4D49"/>
    <w:rsid w:val="004F4F3D"/>
    <w:rsid w:val="004F4FDB"/>
    <w:rsid w:val="004F5186"/>
    <w:rsid w:val="004F5235"/>
    <w:rsid w:val="004F53FE"/>
    <w:rsid w:val="004F59EC"/>
    <w:rsid w:val="004F5B07"/>
    <w:rsid w:val="004F6054"/>
    <w:rsid w:val="004F617E"/>
    <w:rsid w:val="004F631F"/>
    <w:rsid w:val="004F63CE"/>
    <w:rsid w:val="004F650F"/>
    <w:rsid w:val="004F6AA1"/>
    <w:rsid w:val="004F6B66"/>
    <w:rsid w:val="004F6C60"/>
    <w:rsid w:val="004F6D84"/>
    <w:rsid w:val="004F7054"/>
    <w:rsid w:val="004F7214"/>
    <w:rsid w:val="004F733D"/>
    <w:rsid w:val="004F7394"/>
    <w:rsid w:val="004F7412"/>
    <w:rsid w:val="004F75D8"/>
    <w:rsid w:val="004F7758"/>
    <w:rsid w:val="004F78C3"/>
    <w:rsid w:val="004F7C3C"/>
    <w:rsid w:val="004F7FEE"/>
    <w:rsid w:val="00500100"/>
    <w:rsid w:val="00500489"/>
    <w:rsid w:val="0050055A"/>
    <w:rsid w:val="00500575"/>
    <w:rsid w:val="0050081C"/>
    <w:rsid w:val="0050081F"/>
    <w:rsid w:val="00500A5A"/>
    <w:rsid w:val="00500F9F"/>
    <w:rsid w:val="00501316"/>
    <w:rsid w:val="0050158F"/>
    <w:rsid w:val="00501688"/>
    <w:rsid w:val="005017E3"/>
    <w:rsid w:val="00501B33"/>
    <w:rsid w:val="00501C27"/>
    <w:rsid w:val="00501C70"/>
    <w:rsid w:val="00501D16"/>
    <w:rsid w:val="00501DDB"/>
    <w:rsid w:val="005022ED"/>
    <w:rsid w:val="0050242A"/>
    <w:rsid w:val="005024CC"/>
    <w:rsid w:val="00502CD9"/>
    <w:rsid w:val="00503014"/>
    <w:rsid w:val="005031EC"/>
    <w:rsid w:val="00503342"/>
    <w:rsid w:val="0050369B"/>
    <w:rsid w:val="005039BF"/>
    <w:rsid w:val="00503B1C"/>
    <w:rsid w:val="00503BDA"/>
    <w:rsid w:val="00503EED"/>
    <w:rsid w:val="00503FD8"/>
    <w:rsid w:val="00504561"/>
    <w:rsid w:val="00504728"/>
    <w:rsid w:val="005047EE"/>
    <w:rsid w:val="0050494D"/>
    <w:rsid w:val="00504C59"/>
    <w:rsid w:val="00504E95"/>
    <w:rsid w:val="00504EBA"/>
    <w:rsid w:val="00504FD6"/>
    <w:rsid w:val="00505000"/>
    <w:rsid w:val="0050510D"/>
    <w:rsid w:val="0050514D"/>
    <w:rsid w:val="005051C1"/>
    <w:rsid w:val="0050526B"/>
    <w:rsid w:val="0050545C"/>
    <w:rsid w:val="0050566A"/>
    <w:rsid w:val="00505C63"/>
    <w:rsid w:val="005066E0"/>
    <w:rsid w:val="00506745"/>
    <w:rsid w:val="0050677E"/>
    <w:rsid w:val="0050693D"/>
    <w:rsid w:val="005073AE"/>
    <w:rsid w:val="00507766"/>
    <w:rsid w:val="0050780D"/>
    <w:rsid w:val="00507837"/>
    <w:rsid w:val="005079A4"/>
    <w:rsid w:val="00507E5C"/>
    <w:rsid w:val="0051008D"/>
    <w:rsid w:val="0051018F"/>
    <w:rsid w:val="00510607"/>
    <w:rsid w:val="005107E8"/>
    <w:rsid w:val="00510838"/>
    <w:rsid w:val="0051094E"/>
    <w:rsid w:val="00510C94"/>
    <w:rsid w:val="00510DBB"/>
    <w:rsid w:val="00511660"/>
    <w:rsid w:val="0051176C"/>
    <w:rsid w:val="00511E8C"/>
    <w:rsid w:val="00511F1B"/>
    <w:rsid w:val="00511F50"/>
    <w:rsid w:val="0051224F"/>
    <w:rsid w:val="005123D9"/>
    <w:rsid w:val="00512448"/>
    <w:rsid w:val="00512478"/>
    <w:rsid w:val="005126EC"/>
    <w:rsid w:val="00512743"/>
    <w:rsid w:val="0051275D"/>
    <w:rsid w:val="00512B14"/>
    <w:rsid w:val="00512BB2"/>
    <w:rsid w:val="00512CFA"/>
    <w:rsid w:val="00512D56"/>
    <w:rsid w:val="00512D62"/>
    <w:rsid w:val="00512DBC"/>
    <w:rsid w:val="00512F3D"/>
    <w:rsid w:val="00513029"/>
    <w:rsid w:val="0051319E"/>
    <w:rsid w:val="005132E4"/>
    <w:rsid w:val="005134AF"/>
    <w:rsid w:val="00513590"/>
    <w:rsid w:val="005136A6"/>
    <w:rsid w:val="0051372F"/>
    <w:rsid w:val="00513747"/>
    <w:rsid w:val="005139AC"/>
    <w:rsid w:val="00513B11"/>
    <w:rsid w:val="00513D5D"/>
    <w:rsid w:val="005142E0"/>
    <w:rsid w:val="005145E8"/>
    <w:rsid w:val="005148D2"/>
    <w:rsid w:val="00514976"/>
    <w:rsid w:val="00514AD3"/>
    <w:rsid w:val="00514AF9"/>
    <w:rsid w:val="00514D43"/>
    <w:rsid w:val="00514DD4"/>
    <w:rsid w:val="00515174"/>
    <w:rsid w:val="005151E5"/>
    <w:rsid w:val="00515270"/>
    <w:rsid w:val="005154E5"/>
    <w:rsid w:val="00515A1E"/>
    <w:rsid w:val="00515A90"/>
    <w:rsid w:val="00515C59"/>
    <w:rsid w:val="00515C67"/>
    <w:rsid w:val="00515C71"/>
    <w:rsid w:val="005161F0"/>
    <w:rsid w:val="00516318"/>
    <w:rsid w:val="005164BA"/>
    <w:rsid w:val="005164D4"/>
    <w:rsid w:val="0051656A"/>
    <w:rsid w:val="005165D8"/>
    <w:rsid w:val="00516830"/>
    <w:rsid w:val="00516EC0"/>
    <w:rsid w:val="00516FF4"/>
    <w:rsid w:val="0051706A"/>
    <w:rsid w:val="00517351"/>
    <w:rsid w:val="005175B1"/>
    <w:rsid w:val="005178B5"/>
    <w:rsid w:val="0051793E"/>
    <w:rsid w:val="00517A0A"/>
    <w:rsid w:val="00517A13"/>
    <w:rsid w:val="00517B0A"/>
    <w:rsid w:val="00517C69"/>
    <w:rsid w:val="00517C88"/>
    <w:rsid w:val="00517C8F"/>
    <w:rsid w:val="00517DF0"/>
    <w:rsid w:val="00517EF6"/>
    <w:rsid w:val="0052020C"/>
    <w:rsid w:val="00520425"/>
    <w:rsid w:val="005204DD"/>
    <w:rsid w:val="005204FD"/>
    <w:rsid w:val="00520994"/>
    <w:rsid w:val="00520AF9"/>
    <w:rsid w:val="00520BF9"/>
    <w:rsid w:val="00520DDD"/>
    <w:rsid w:val="00521056"/>
    <w:rsid w:val="005215E7"/>
    <w:rsid w:val="0052171F"/>
    <w:rsid w:val="00521726"/>
    <w:rsid w:val="00521B97"/>
    <w:rsid w:val="00521C96"/>
    <w:rsid w:val="00521EFA"/>
    <w:rsid w:val="00521F53"/>
    <w:rsid w:val="00521FE3"/>
    <w:rsid w:val="00522168"/>
    <w:rsid w:val="00522661"/>
    <w:rsid w:val="00522C50"/>
    <w:rsid w:val="00522CB5"/>
    <w:rsid w:val="00522E39"/>
    <w:rsid w:val="00522E81"/>
    <w:rsid w:val="00523142"/>
    <w:rsid w:val="005232FE"/>
    <w:rsid w:val="005235EA"/>
    <w:rsid w:val="00523807"/>
    <w:rsid w:val="005239A2"/>
    <w:rsid w:val="005239EE"/>
    <w:rsid w:val="00523A09"/>
    <w:rsid w:val="00523C55"/>
    <w:rsid w:val="00523CB3"/>
    <w:rsid w:val="00524102"/>
    <w:rsid w:val="00524153"/>
    <w:rsid w:val="005241BB"/>
    <w:rsid w:val="005246AD"/>
    <w:rsid w:val="005246BD"/>
    <w:rsid w:val="00524757"/>
    <w:rsid w:val="00524919"/>
    <w:rsid w:val="00524B81"/>
    <w:rsid w:val="00524C6B"/>
    <w:rsid w:val="00524CC4"/>
    <w:rsid w:val="00524FC8"/>
    <w:rsid w:val="00525050"/>
    <w:rsid w:val="00525066"/>
    <w:rsid w:val="0052575F"/>
    <w:rsid w:val="00525C48"/>
    <w:rsid w:val="00525C62"/>
    <w:rsid w:val="00525C65"/>
    <w:rsid w:val="00525D04"/>
    <w:rsid w:val="00525F28"/>
    <w:rsid w:val="00526147"/>
    <w:rsid w:val="005266F7"/>
    <w:rsid w:val="00526A98"/>
    <w:rsid w:val="00526C84"/>
    <w:rsid w:val="00526E43"/>
    <w:rsid w:val="00526F7E"/>
    <w:rsid w:val="005270F9"/>
    <w:rsid w:val="00527121"/>
    <w:rsid w:val="0052730D"/>
    <w:rsid w:val="005273B4"/>
    <w:rsid w:val="005278C4"/>
    <w:rsid w:val="00527C3B"/>
    <w:rsid w:val="00527DA4"/>
    <w:rsid w:val="00527E17"/>
    <w:rsid w:val="00527E55"/>
    <w:rsid w:val="00527E63"/>
    <w:rsid w:val="00527EC8"/>
    <w:rsid w:val="00530003"/>
    <w:rsid w:val="00530A8D"/>
    <w:rsid w:val="00530A9F"/>
    <w:rsid w:val="00530EAC"/>
    <w:rsid w:val="005311E4"/>
    <w:rsid w:val="00531208"/>
    <w:rsid w:val="0053128B"/>
    <w:rsid w:val="005315A5"/>
    <w:rsid w:val="0053163A"/>
    <w:rsid w:val="005316BF"/>
    <w:rsid w:val="005317DD"/>
    <w:rsid w:val="005318B6"/>
    <w:rsid w:val="005318C2"/>
    <w:rsid w:val="00531A1F"/>
    <w:rsid w:val="00531A52"/>
    <w:rsid w:val="00531B5B"/>
    <w:rsid w:val="00531C94"/>
    <w:rsid w:val="00531D76"/>
    <w:rsid w:val="00531E49"/>
    <w:rsid w:val="00531E61"/>
    <w:rsid w:val="00531F67"/>
    <w:rsid w:val="00532232"/>
    <w:rsid w:val="0053227C"/>
    <w:rsid w:val="005328C5"/>
    <w:rsid w:val="005329E9"/>
    <w:rsid w:val="00532B82"/>
    <w:rsid w:val="00532C22"/>
    <w:rsid w:val="00532C7F"/>
    <w:rsid w:val="00533029"/>
    <w:rsid w:val="005332C2"/>
    <w:rsid w:val="00533307"/>
    <w:rsid w:val="005333F2"/>
    <w:rsid w:val="0053342E"/>
    <w:rsid w:val="0053352F"/>
    <w:rsid w:val="00533733"/>
    <w:rsid w:val="00533AB8"/>
    <w:rsid w:val="00533EF0"/>
    <w:rsid w:val="00533FA6"/>
    <w:rsid w:val="00534083"/>
    <w:rsid w:val="00534264"/>
    <w:rsid w:val="005343BA"/>
    <w:rsid w:val="00534507"/>
    <w:rsid w:val="005345A8"/>
    <w:rsid w:val="005347A6"/>
    <w:rsid w:val="005350D4"/>
    <w:rsid w:val="00535383"/>
    <w:rsid w:val="0053568C"/>
    <w:rsid w:val="005358EB"/>
    <w:rsid w:val="00535957"/>
    <w:rsid w:val="00535B25"/>
    <w:rsid w:val="00535D4A"/>
    <w:rsid w:val="005363A1"/>
    <w:rsid w:val="00536458"/>
    <w:rsid w:val="00536703"/>
    <w:rsid w:val="0053672B"/>
    <w:rsid w:val="0053677D"/>
    <w:rsid w:val="00536782"/>
    <w:rsid w:val="00536830"/>
    <w:rsid w:val="00536B3C"/>
    <w:rsid w:val="00536E31"/>
    <w:rsid w:val="00536EB2"/>
    <w:rsid w:val="005370AB"/>
    <w:rsid w:val="005379F0"/>
    <w:rsid w:val="00537CA5"/>
    <w:rsid w:val="00537F4E"/>
    <w:rsid w:val="00540108"/>
    <w:rsid w:val="00540112"/>
    <w:rsid w:val="0054026E"/>
    <w:rsid w:val="0054031B"/>
    <w:rsid w:val="005403F6"/>
    <w:rsid w:val="00540B12"/>
    <w:rsid w:val="00540BED"/>
    <w:rsid w:val="00540C76"/>
    <w:rsid w:val="00540D82"/>
    <w:rsid w:val="00540E34"/>
    <w:rsid w:val="00540ECA"/>
    <w:rsid w:val="00540FDA"/>
    <w:rsid w:val="005410C4"/>
    <w:rsid w:val="0054158F"/>
    <w:rsid w:val="005415EB"/>
    <w:rsid w:val="00541751"/>
    <w:rsid w:val="0054218F"/>
    <w:rsid w:val="00542629"/>
    <w:rsid w:val="00542649"/>
    <w:rsid w:val="00542732"/>
    <w:rsid w:val="00542894"/>
    <w:rsid w:val="00542FA5"/>
    <w:rsid w:val="005432BD"/>
    <w:rsid w:val="005439BD"/>
    <w:rsid w:val="00543A23"/>
    <w:rsid w:val="00543A6F"/>
    <w:rsid w:val="00543C88"/>
    <w:rsid w:val="0054412D"/>
    <w:rsid w:val="005441CE"/>
    <w:rsid w:val="0054429C"/>
    <w:rsid w:val="00544386"/>
    <w:rsid w:val="0054447B"/>
    <w:rsid w:val="005444AA"/>
    <w:rsid w:val="00544569"/>
    <w:rsid w:val="005445B5"/>
    <w:rsid w:val="0054480D"/>
    <w:rsid w:val="0054481B"/>
    <w:rsid w:val="00544C18"/>
    <w:rsid w:val="00544C34"/>
    <w:rsid w:val="00544CF2"/>
    <w:rsid w:val="00544D67"/>
    <w:rsid w:val="00545134"/>
    <w:rsid w:val="0054540C"/>
    <w:rsid w:val="005455E6"/>
    <w:rsid w:val="005455ED"/>
    <w:rsid w:val="005457E8"/>
    <w:rsid w:val="00545A80"/>
    <w:rsid w:val="00545D4B"/>
    <w:rsid w:val="00545E0F"/>
    <w:rsid w:val="00545E64"/>
    <w:rsid w:val="00546206"/>
    <w:rsid w:val="00546477"/>
    <w:rsid w:val="0054673C"/>
    <w:rsid w:val="0054692D"/>
    <w:rsid w:val="00546A6D"/>
    <w:rsid w:val="00546AEB"/>
    <w:rsid w:val="00546D13"/>
    <w:rsid w:val="00547280"/>
    <w:rsid w:val="00547317"/>
    <w:rsid w:val="00547792"/>
    <w:rsid w:val="00547A3F"/>
    <w:rsid w:val="00547A51"/>
    <w:rsid w:val="00547B50"/>
    <w:rsid w:val="00547BFE"/>
    <w:rsid w:val="00547C0C"/>
    <w:rsid w:val="00547C1F"/>
    <w:rsid w:val="0055011B"/>
    <w:rsid w:val="00550177"/>
    <w:rsid w:val="00550530"/>
    <w:rsid w:val="0055054B"/>
    <w:rsid w:val="00550666"/>
    <w:rsid w:val="0055076D"/>
    <w:rsid w:val="0055099F"/>
    <w:rsid w:val="00550AC3"/>
    <w:rsid w:val="00550AFF"/>
    <w:rsid w:val="00550B63"/>
    <w:rsid w:val="00550CE0"/>
    <w:rsid w:val="00550E77"/>
    <w:rsid w:val="00550F5F"/>
    <w:rsid w:val="005510B3"/>
    <w:rsid w:val="0055115F"/>
    <w:rsid w:val="005511E1"/>
    <w:rsid w:val="005516F2"/>
    <w:rsid w:val="005518E5"/>
    <w:rsid w:val="0055192A"/>
    <w:rsid w:val="00551C3A"/>
    <w:rsid w:val="00551D02"/>
    <w:rsid w:val="00551E92"/>
    <w:rsid w:val="00551EAA"/>
    <w:rsid w:val="00551F87"/>
    <w:rsid w:val="00552719"/>
    <w:rsid w:val="005529AF"/>
    <w:rsid w:val="00552A18"/>
    <w:rsid w:val="00552B39"/>
    <w:rsid w:val="00552DD3"/>
    <w:rsid w:val="00552DFA"/>
    <w:rsid w:val="00552E73"/>
    <w:rsid w:val="00553058"/>
    <w:rsid w:val="0055314E"/>
    <w:rsid w:val="005531AE"/>
    <w:rsid w:val="00553716"/>
    <w:rsid w:val="005537FF"/>
    <w:rsid w:val="005539A3"/>
    <w:rsid w:val="00553E9A"/>
    <w:rsid w:val="00554231"/>
    <w:rsid w:val="005542FC"/>
    <w:rsid w:val="00554653"/>
    <w:rsid w:val="0055471D"/>
    <w:rsid w:val="00554750"/>
    <w:rsid w:val="00554802"/>
    <w:rsid w:val="00554830"/>
    <w:rsid w:val="005550E9"/>
    <w:rsid w:val="005551ED"/>
    <w:rsid w:val="0055588B"/>
    <w:rsid w:val="00555C08"/>
    <w:rsid w:val="00555DD8"/>
    <w:rsid w:val="00555F3B"/>
    <w:rsid w:val="00555F81"/>
    <w:rsid w:val="005562E8"/>
    <w:rsid w:val="00556375"/>
    <w:rsid w:val="00556429"/>
    <w:rsid w:val="00556439"/>
    <w:rsid w:val="00556861"/>
    <w:rsid w:val="00556948"/>
    <w:rsid w:val="00556BCC"/>
    <w:rsid w:val="00556CC3"/>
    <w:rsid w:val="005571C2"/>
    <w:rsid w:val="005577AE"/>
    <w:rsid w:val="0055789A"/>
    <w:rsid w:val="00557967"/>
    <w:rsid w:val="00557B59"/>
    <w:rsid w:val="00557C01"/>
    <w:rsid w:val="00557DF0"/>
    <w:rsid w:val="00557E8D"/>
    <w:rsid w:val="00557F35"/>
    <w:rsid w:val="00557FC6"/>
    <w:rsid w:val="0056018E"/>
    <w:rsid w:val="005601A4"/>
    <w:rsid w:val="0056049D"/>
    <w:rsid w:val="005605F9"/>
    <w:rsid w:val="00560768"/>
    <w:rsid w:val="00560D25"/>
    <w:rsid w:val="00560D2C"/>
    <w:rsid w:val="00560ECC"/>
    <w:rsid w:val="00561063"/>
    <w:rsid w:val="00561211"/>
    <w:rsid w:val="0056125C"/>
    <w:rsid w:val="005617F4"/>
    <w:rsid w:val="0056189A"/>
    <w:rsid w:val="00561A96"/>
    <w:rsid w:val="00561B1C"/>
    <w:rsid w:val="00561B7A"/>
    <w:rsid w:val="00561BA1"/>
    <w:rsid w:val="00561DF1"/>
    <w:rsid w:val="00562351"/>
    <w:rsid w:val="005623D8"/>
    <w:rsid w:val="005627C0"/>
    <w:rsid w:val="00562804"/>
    <w:rsid w:val="00562942"/>
    <w:rsid w:val="005629D3"/>
    <w:rsid w:val="00562AE3"/>
    <w:rsid w:val="00562B12"/>
    <w:rsid w:val="00562CF7"/>
    <w:rsid w:val="005630A8"/>
    <w:rsid w:val="0056316F"/>
    <w:rsid w:val="00563239"/>
    <w:rsid w:val="005635BC"/>
    <w:rsid w:val="00563962"/>
    <w:rsid w:val="00563C36"/>
    <w:rsid w:val="00563C39"/>
    <w:rsid w:val="00563EBB"/>
    <w:rsid w:val="00563F13"/>
    <w:rsid w:val="005640A8"/>
    <w:rsid w:val="0056424A"/>
    <w:rsid w:val="00564262"/>
    <w:rsid w:val="00564294"/>
    <w:rsid w:val="0056433E"/>
    <w:rsid w:val="0056455B"/>
    <w:rsid w:val="00564649"/>
    <w:rsid w:val="005648B7"/>
    <w:rsid w:val="00564B26"/>
    <w:rsid w:val="00564CBD"/>
    <w:rsid w:val="00564D25"/>
    <w:rsid w:val="00564D77"/>
    <w:rsid w:val="005652CB"/>
    <w:rsid w:val="005653ED"/>
    <w:rsid w:val="0056541C"/>
    <w:rsid w:val="005654EF"/>
    <w:rsid w:val="00565733"/>
    <w:rsid w:val="00565734"/>
    <w:rsid w:val="00565B16"/>
    <w:rsid w:val="0056611B"/>
    <w:rsid w:val="005662E5"/>
    <w:rsid w:val="0056664C"/>
    <w:rsid w:val="0056689B"/>
    <w:rsid w:val="005668CC"/>
    <w:rsid w:val="005669E7"/>
    <w:rsid w:val="00566AFF"/>
    <w:rsid w:val="00566B3F"/>
    <w:rsid w:val="00567028"/>
    <w:rsid w:val="005672FC"/>
    <w:rsid w:val="0056749D"/>
    <w:rsid w:val="00567584"/>
    <w:rsid w:val="00567924"/>
    <w:rsid w:val="00567AF8"/>
    <w:rsid w:val="00567D4A"/>
    <w:rsid w:val="00570038"/>
    <w:rsid w:val="005700CD"/>
    <w:rsid w:val="005703B7"/>
    <w:rsid w:val="005707F2"/>
    <w:rsid w:val="005709E6"/>
    <w:rsid w:val="00570A2A"/>
    <w:rsid w:val="00570DE8"/>
    <w:rsid w:val="00571289"/>
    <w:rsid w:val="005712E7"/>
    <w:rsid w:val="005712F8"/>
    <w:rsid w:val="00571351"/>
    <w:rsid w:val="0057146C"/>
    <w:rsid w:val="005714D4"/>
    <w:rsid w:val="00571B57"/>
    <w:rsid w:val="00571C8C"/>
    <w:rsid w:val="00571E34"/>
    <w:rsid w:val="00571E73"/>
    <w:rsid w:val="00571EE2"/>
    <w:rsid w:val="00572130"/>
    <w:rsid w:val="00572499"/>
    <w:rsid w:val="00572714"/>
    <w:rsid w:val="005729FE"/>
    <w:rsid w:val="00572F1F"/>
    <w:rsid w:val="005730C1"/>
    <w:rsid w:val="00573124"/>
    <w:rsid w:val="0057325D"/>
    <w:rsid w:val="005732C8"/>
    <w:rsid w:val="005735D2"/>
    <w:rsid w:val="0057364F"/>
    <w:rsid w:val="00573687"/>
    <w:rsid w:val="00573AFC"/>
    <w:rsid w:val="00573C34"/>
    <w:rsid w:val="00573D2D"/>
    <w:rsid w:val="00573E1E"/>
    <w:rsid w:val="00573F73"/>
    <w:rsid w:val="00574168"/>
    <w:rsid w:val="00574171"/>
    <w:rsid w:val="005741DB"/>
    <w:rsid w:val="0057444B"/>
    <w:rsid w:val="00574493"/>
    <w:rsid w:val="00574546"/>
    <w:rsid w:val="005745D3"/>
    <w:rsid w:val="005746AE"/>
    <w:rsid w:val="00575018"/>
    <w:rsid w:val="005755E9"/>
    <w:rsid w:val="00575994"/>
    <w:rsid w:val="00575CDD"/>
    <w:rsid w:val="00575DB7"/>
    <w:rsid w:val="00575E05"/>
    <w:rsid w:val="005760DD"/>
    <w:rsid w:val="0057613C"/>
    <w:rsid w:val="0057632C"/>
    <w:rsid w:val="005764BB"/>
    <w:rsid w:val="0057655D"/>
    <w:rsid w:val="00576638"/>
    <w:rsid w:val="005767ED"/>
    <w:rsid w:val="00576974"/>
    <w:rsid w:val="00576A12"/>
    <w:rsid w:val="00576BD5"/>
    <w:rsid w:val="00576CA9"/>
    <w:rsid w:val="00577054"/>
    <w:rsid w:val="005771B6"/>
    <w:rsid w:val="005771B9"/>
    <w:rsid w:val="0057735F"/>
    <w:rsid w:val="005777F4"/>
    <w:rsid w:val="00577935"/>
    <w:rsid w:val="00577B6F"/>
    <w:rsid w:val="00577B7D"/>
    <w:rsid w:val="00577CD5"/>
    <w:rsid w:val="0058021E"/>
    <w:rsid w:val="00580301"/>
    <w:rsid w:val="005803B2"/>
    <w:rsid w:val="00580621"/>
    <w:rsid w:val="00580886"/>
    <w:rsid w:val="0058099C"/>
    <w:rsid w:val="00580E78"/>
    <w:rsid w:val="00580EDE"/>
    <w:rsid w:val="00581049"/>
    <w:rsid w:val="00581129"/>
    <w:rsid w:val="005814D3"/>
    <w:rsid w:val="00581571"/>
    <w:rsid w:val="00581745"/>
    <w:rsid w:val="00581755"/>
    <w:rsid w:val="00581925"/>
    <w:rsid w:val="00581B38"/>
    <w:rsid w:val="00581BB1"/>
    <w:rsid w:val="00581DB4"/>
    <w:rsid w:val="00581F81"/>
    <w:rsid w:val="00581FF8"/>
    <w:rsid w:val="005820AA"/>
    <w:rsid w:val="00582298"/>
    <w:rsid w:val="005822FC"/>
    <w:rsid w:val="005827EE"/>
    <w:rsid w:val="00582BB1"/>
    <w:rsid w:val="00582C85"/>
    <w:rsid w:val="00582EB5"/>
    <w:rsid w:val="00582EB7"/>
    <w:rsid w:val="0058301B"/>
    <w:rsid w:val="00583047"/>
    <w:rsid w:val="00583074"/>
    <w:rsid w:val="005831AC"/>
    <w:rsid w:val="00583224"/>
    <w:rsid w:val="00583263"/>
    <w:rsid w:val="005833D6"/>
    <w:rsid w:val="00583586"/>
    <w:rsid w:val="005835E6"/>
    <w:rsid w:val="005839BF"/>
    <w:rsid w:val="00583A52"/>
    <w:rsid w:val="00583D5D"/>
    <w:rsid w:val="00583E75"/>
    <w:rsid w:val="005844BD"/>
    <w:rsid w:val="00584691"/>
    <w:rsid w:val="0058490A"/>
    <w:rsid w:val="00584953"/>
    <w:rsid w:val="0058497E"/>
    <w:rsid w:val="00584E28"/>
    <w:rsid w:val="00584E76"/>
    <w:rsid w:val="0058514A"/>
    <w:rsid w:val="00585181"/>
    <w:rsid w:val="00585732"/>
    <w:rsid w:val="00585839"/>
    <w:rsid w:val="00585BD8"/>
    <w:rsid w:val="00585D71"/>
    <w:rsid w:val="00586240"/>
    <w:rsid w:val="00586376"/>
    <w:rsid w:val="005865B9"/>
    <w:rsid w:val="005867AA"/>
    <w:rsid w:val="005868E1"/>
    <w:rsid w:val="00586C87"/>
    <w:rsid w:val="005870DD"/>
    <w:rsid w:val="005873E6"/>
    <w:rsid w:val="00587625"/>
    <w:rsid w:val="00587659"/>
    <w:rsid w:val="005877C8"/>
    <w:rsid w:val="00587BAC"/>
    <w:rsid w:val="00587BDA"/>
    <w:rsid w:val="00587CD2"/>
    <w:rsid w:val="00587F78"/>
    <w:rsid w:val="005903F3"/>
    <w:rsid w:val="00590879"/>
    <w:rsid w:val="00590F0C"/>
    <w:rsid w:val="00590FA3"/>
    <w:rsid w:val="00590FE4"/>
    <w:rsid w:val="00591578"/>
    <w:rsid w:val="0059164A"/>
    <w:rsid w:val="00591780"/>
    <w:rsid w:val="0059186E"/>
    <w:rsid w:val="00591ACC"/>
    <w:rsid w:val="00591B29"/>
    <w:rsid w:val="00591CC3"/>
    <w:rsid w:val="0059203C"/>
    <w:rsid w:val="005921EB"/>
    <w:rsid w:val="0059222B"/>
    <w:rsid w:val="0059231E"/>
    <w:rsid w:val="005924CE"/>
    <w:rsid w:val="00592840"/>
    <w:rsid w:val="0059292C"/>
    <w:rsid w:val="00592975"/>
    <w:rsid w:val="00592A31"/>
    <w:rsid w:val="00592AAC"/>
    <w:rsid w:val="00592B90"/>
    <w:rsid w:val="0059302D"/>
    <w:rsid w:val="005931E1"/>
    <w:rsid w:val="00593232"/>
    <w:rsid w:val="0059333C"/>
    <w:rsid w:val="005933D2"/>
    <w:rsid w:val="005934D6"/>
    <w:rsid w:val="005936A9"/>
    <w:rsid w:val="005937D1"/>
    <w:rsid w:val="005937D7"/>
    <w:rsid w:val="00593C86"/>
    <w:rsid w:val="00593D5A"/>
    <w:rsid w:val="00593DB1"/>
    <w:rsid w:val="00593F4E"/>
    <w:rsid w:val="00594007"/>
    <w:rsid w:val="00594121"/>
    <w:rsid w:val="00594168"/>
    <w:rsid w:val="00594334"/>
    <w:rsid w:val="005949C6"/>
    <w:rsid w:val="00594A05"/>
    <w:rsid w:val="00594D03"/>
    <w:rsid w:val="00594D62"/>
    <w:rsid w:val="00594EBC"/>
    <w:rsid w:val="00595490"/>
    <w:rsid w:val="00595A39"/>
    <w:rsid w:val="00595BA2"/>
    <w:rsid w:val="00595ED5"/>
    <w:rsid w:val="005960DD"/>
    <w:rsid w:val="005961E8"/>
    <w:rsid w:val="00596301"/>
    <w:rsid w:val="00596380"/>
    <w:rsid w:val="0059641B"/>
    <w:rsid w:val="005964B3"/>
    <w:rsid w:val="005966E5"/>
    <w:rsid w:val="00596983"/>
    <w:rsid w:val="00596E39"/>
    <w:rsid w:val="00596EC0"/>
    <w:rsid w:val="00597156"/>
    <w:rsid w:val="005971BF"/>
    <w:rsid w:val="005971C9"/>
    <w:rsid w:val="0059727B"/>
    <w:rsid w:val="005972B2"/>
    <w:rsid w:val="00597834"/>
    <w:rsid w:val="00597AD0"/>
    <w:rsid w:val="00597D21"/>
    <w:rsid w:val="00597E1A"/>
    <w:rsid w:val="005A0145"/>
    <w:rsid w:val="005A03C7"/>
    <w:rsid w:val="005A0B30"/>
    <w:rsid w:val="005A0BAB"/>
    <w:rsid w:val="005A0C0B"/>
    <w:rsid w:val="005A0D0A"/>
    <w:rsid w:val="005A0E34"/>
    <w:rsid w:val="005A0EB2"/>
    <w:rsid w:val="005A0FCF"/>
    <w:rsid w:val="005A1109"/>
    <w:rsid w:val="005A1154"/>
    <w:rsid w:val="005A117A"/>
    <w:rsid w:val="005A1235"/>
    <w:rsid w:val="005A1539"/>
    <w:rsid w:val="005A15E6"/>
    <w:rsid w:val="005A166F"/>
    <w:rsid w:val="005A190D"/>
    <w:rsid w:val="005A199D"/>
    <w:rsid w:val="005A19C2"/>
    <w:rsid w:val="005A19DD"/>
    <w:rsid w:val="005A260D"/>
    <w:rsid w:val="005A278D"/>
    <w:rsid w:val="005A2927"/>
    <w:rsid w:val="005A29E5"/>
    <w:rsid w:val="005A2CB7"/>
    <w:rsid w:val="005A2E15"/>
    <w:rsid w:val="005A2EDC"/>
    <w:rsid w:val="005A2FBC"/>
    <w:rsid w:val="005A3151"/>
    <w:rsid w:val="005A31D1"/>
    <w:rsid w:val="005A324E"/>
    <w:rsid w:val="005A3485"/>
    <w:rsid w:val="005A3557"/>
    <w:rsid w:val="005A3894"/>
    <w:rsid w:val="005A3ACF"/>
    <w:rsid w:val="005A3C14"/>
    <w:rsid w:val="005A3EC4"/>
    <w:rsid w:val="005A4124"/>
    <w:rsid w:val="005A43F3"/>
    <w:rsid w:val="005A4560"/>
    <w:rsid w:val="005A4997"/>
    <w:rsid w:val="005A4C25"/>
    <w:rsid w:val="005A4C7C"/>
    <w:rsid w:val="005A4D1B"/>
    <w:rsid w:val="005A4D1C"/>
    <w:rsid w:val="005A5082"/>
    <w:rsid w:val="005A50F4"/>
    <w:rsid w:val="005A5275"/>
    <w:rsid w:val="005A52A4"/>
    <w:rsid w:val="005A53E1"/>
    <w:rsid w:val="005A543A"/>
    <w:rsid w:val="005A5493"/>
    <w:rsid w:val="005A558F"/>
    <w:rsid w:val="005A56C0"/>
    <w:rsid w:val="005A5743"/>
    <w:rsid w:val="005A5835"/>
    <w:rsid w:val="005A5838"/>
    <w:rsid w:val="005A5DF5"/>
    <w:rsid w:val="005A62DB"/>
    <w:rsid w:val="005A67E9"/>
    <w:rsid w:val="005A68F3"/>
    <w:rsid w:val="005A6D2F"/>
    <w:rsid w:val="005A6F3C"/>
    <w:rsid w:val="005A6FBA"/>
    <w:rsid w:val="005A71A8"/>
    <w:rsid w:val="005A71BD"/>
    <w:rsid w:val="005A72E0"/>
    <w:rsid w:val="005A7411"/>
    <w:rsid w:val="005A7599"/>
    <w:rsid w:val="005A76DE"/>
    <w:rsid w:val="005A77C4"/>
    <w:rsid w:val="005A78C4"/>
    <w:rsid w:val="005A7905"/>
    <w:rsid w:val="005A79E6"/>
    <w:rsid w:val="005A7D3B"/>
    <w:rsid w:val="005A7E02"/>
    <w:rsid w:val="005B0375"/>
    <w:rsid w:val="005B04F3"/>
    <w:rsid w:val="005B06E4"/>
    <w:rsid w:val="005B0A2E"/>
    <w:rsid w:val="005B0AD0"/>
    <w:rsid w:val="005B0B9D"/>
    <w:rsid w:val="005B0C8E"/>
    <w:rsid w:val="005B0F87"/>
    <w:rsid w:val="005B10B3"/>
    <w:rsid w:val="005B13F0"/>
    <w:rsid w:val="005B1635"/>
    <w:rsid w:val="005B165D"/>
    <w:rsid w:val="005B1790"/>
    <w:rsid w:val="005B1798"/>
    <w:rsid w:val="005B1B60"/>
    <w:rsid w:val="005B1C19"/>
    <w:rsid w:val="005B1D2A"/>
    <w:rsid w:val="005B1D7E"/>
    <w:rsid w:val="005B1DAC"/>
    <w:rsid w:val="005B1F24"/>
    <w:rsid w:val="005B1FD5"/>
    <w:rsid w:val="005B2136"/>
    <w:rsid w:val="005B21B0"/>
    <w:rsid w:val="005B22A9"/>
    <w:rsid w:val="005B24EF"/>
    <w:rsid w:val="005B25F2"/>
    <w:rsid w:val="005B2769"/>
    <w:rsid w:val="005B29AB"/>
    <w:rsid w:val="005B2C83"/>
    <w:rsid w:val="005B30CA"/>
    <w:rsid w:val="005B31FE"/>
    <w:rsid w:val="005B3436"/>
    <w:rsid w:val="005B3640"/>
    <w:rsid w:val="005B3835"/>
    <w:rsid w:val="005B38EB"/>
    <w:rsid w:val="005B39B7"/>
    <w:rsid w:val="005B4199"/>
    <w:rsid w:val="005B4241"/>
    <w:rsid w:val="005B434D"/>
    <w:rsid w:val="005B45A2"/>
    <w:rsid w:val="005B4692"/>
    <w:rsid w:val="005B4693"/>
    <w:rsid w:val="005B46DC"/>
    <w:rsid w:val="005B494F"/>
    <w:rsid w:val="005B4A93"/>
    <w:rsid w:val="005B4E7C"/>
    <w:rsid w:val="005B4ECD"/>
    <w:rsid w:val="005B52E0"/>
    <w:rsid w:val="005B53BB"/>
    <w:rsid w:val="005B550A"/>
    <w:rsid w:val="005B57DC"/>
    <w:rsid w:val="005B59FE"/>
    <w:rsid w:val="005B5B23"/>
    <w:rsid w:val="005B5C5A"/>
    <w:rsid w:val="005B5FA4"/>
    <w:rsid w:val="005B602B"/>
    <w:rsid w:val="005B641B"/>
    <w:rsid w:val="005B6424"/>
    <w:rsid w:val="005B6527"/>
    <w:rsid w:val="005B66BA"/>
    <w:rsid w:val="005B6BC4"/>
    <w:rsid w:val="005B6C21"/>
    <w:rsid w:val="005B6C95"/>
    <w:rsid w:val="005B6EC8"/>
    <w:rsid w:val="005B6F48"/>
    <w:rsid w:val="005B73CD"/>
    <w:rsid w:val="005B75FC"/>
    <w:rsid w:val="005B77C1"/>
    <w:rsid w:val="005B78CC"/>
    <w:rsid w:val="005B792B"/>
    <w:rsid w:val="005B793C"/>
    <w:rsid w:val="005B7AF5"/>
    <w:rsid w:val="005B7E0A"/>
    <w:rsid w:val="005C0054"/>
    <w:rsid w:val="005C00FD"/>
    <w:rsid w:val="005C0143"/>
    <w:rsid w:val="005C04AC"/>
    <w:rsid w:val="005C0603"/>
    <w:rsid w:val="005C0646"/>
    <w:rsid w:val="005C0924"/>
    <w:rsid w:val="005C0CE2"/>
    <w:rsid w:val="005C0DDB"/>
    <w:rsid w:val="005C1701"/>
    <w:rsid w:val="005C1E2E"/>
    <w:rsid w:val="005C1EE1"/>
    <w:rsid w:val="005C1F9C"/>
    <w:rsid w:val="005C2017"/>
    <w:rsid w:val="005C2122"/>
    <w:rsid w:val="005C225C"/>
    <w:rsid w:val="005C22BB"/>
    <w:rsid w:val="005C25DD"/>
    <w:rsid w:val="005C273F"/>
    <w:rsid w:val="005C2A88"/>
    <w:rsid w:val="005C2B89"/>
    <w:rsid w:val="005C2CA3"/>
    <w:rsid w:val="005C31E6"/>
    <w:rsid w:val="005C32B5"/>
    <w:rsid w:val="005C3453"/>
    <w:rsid w:val="005C35F8"/>
    <w:rsid w:val="005C36B6"/>
    <w:rsid w:val="005C37B3"/>
    <w:rsid w:val="005C37DE"/>
    <w:rsid w:val="005C3825"/>
    <w:rsid w:val="005C38F1"/>
    <w:rsid w:val="005C3B61"/>
    <w:rsid w:val="005C3C70"/>
    <w:rsid w:val="005C4086"/>
    <w:rsid w:val="005C40D8"/>
    <w:rsid w:val="005C40EE"/>
    <w:rsid w:val="005C4223"/>
    <w:rsid w:val="005C431D"/>
    <w:rsid w:val="005C44D4"/>
    <w:rsid w:val="005C4675"/>
    <w:rsid w:val="005C476A"/>
    <w:rsid w:val="005C4C78"/>
    <w:rsid w:val="005C4D14"/>
    <w:rsid w:val="005C4F78"/>
    <w:rsid w:val="005C4F99"/>
    <w:rsid w:val="005C52BF"/>
    <w:rsid w:val="005C530A"/>
    <w:rsid w:val="005C54F9"/>
    <w:rsid w:val="005C55B8"/>
    <w:rsid w:val="005C5C8C"/>
    <w:rsid w:val="005C5DF7"/>
    <w:rsid w:val="005C5FF7"/>
    <w:rsid w:val="005C5FFD"/>
    <w:rsid w:val="005C6061"/>
    <w:rsid w:val="005C61C7"/>
    <w:rsid w:val="005C62E8"/>
    <w:rsid w:val="005C6595"/>
    <w:rsid w:val="005C65C2"/>
    <w:rsid w:val="005C6660"/>
    <w:rsid w:val="005C6812"/>
    <w:rsid w:val="005C6B10"/>
    <w:rsid w:val="005C6E19"/>
    <w:rsid w:val="005C6F92"/>
    <w:rsid w:val="005C6FE0"/>
    <w:rsid w:val="005C70E0"/>
    <w:rsid w:val="005C732D"/>
    <w:rsid w:val="005C74FE"/>
    <w:rsid w:val="005C79F6"/>
    <w:rsid w:val="005C7A65"/>
    <w:rsid w:val="005C7ACB"/>
    <w:rsid w:val="005C7B09"/>
    <w:rsid w:val="005C7D7C"/>
    <w:rsid w:val="005D02E6"/>
    <w:rsid w:val="005D0393"/>
    <w:rsid w:val="005D0584"/>
    <w:rsid w:val="005D0712"/>
    <w:rsid w:val="005D0A14"/>
    <w:rsid w:val="005D0A28"/>
    <w:rsid w:val="005D0E09"/>
    <w:rsid w:val="005D11CF"/>
    <w:rsid w:val="005D11E3"/>
    <w:rsid w:val="005D1A62"/>
    <w:rsid w:val="005D1A93"/>
    <w:rsid w:val="005D1AA9"/>
    <w:rsid w:val="005D1AD5"/>
    <w:rsid w:val="005D1C5F"/>
    <w:rsid w:val="005D1CF1"/>
    <w:rsid w:val="005D1D4E"/>
    <w:rsid w:val="005D1EB0"/>
    <w:rsid w:val="005D2209"/>
    <w:rsid w:val="005D2757"/>
    <w:rsid w:val="005D27F1"/>
    <w:rsid w:val="005D2C7D"/>
    <w:rsid w:val="005D355B"/>
    <w:rsid w:val="005D3849"/>
    <w:rsid w:val="005D395A"/>
    <w:rsid w:val="005D39E3"/>
    <w:rsid w:val="005D3AD4"/>
    <w:rsid w:val="005D3C00"/>
    <w:rsid w:val="005D3FD8"/>
    <w:rsid w:val="005D4029"/>
    <w:rsid w:val="005D4053"/>
    <w:rsid w:val="005D416D"/>
    <w:rsid w:val="005D4252"/>
    <w:rsid w:val="005D4389"/>
    <w:rsid w:val="005D4927"/>
    <w:rsid w:val="005D492E"/>
    <w:rsid w:val="005D4944"/>
    <w:rsid w:val="005D4AA9"/>
    <w:rsid w:val="005D4AF1"/>
    <w:rsid w:val="005D4AF4"/>
    <w:rsid w:val="005D4BA8"/>
    <w:rsid w:val="005D4C0F"/>
    <w:rsid w:val="005D4CB3"/>
    <w:rsid w:val="005D4DED"/>
    <w:rsid w:val="005D5147"/>
    <w:rsid w:val="005D5156"/>
    <w:rsid w:val="005D5251"/>
    <w:rsid w:val="005D53E9"/>
    <w:rsid w:val="005D55E0"/>
    <w:rsid w:val="005D5625"/>
    <w:rsid w:val="005D5DE6"/>
    <w:rsid w:val="005D621F"/>
    <w:rsid w:val="005D63EF"/>
    <w:rsid w:val="005D66A9"/>
    <w:rsid w:val="005D6991"/>
    <w:rsid w:val="005D6AF0"/>
    <w:rsid w:val="005D6BE0"/>
    <w:rsid w:val="005D7374"/>
    <w:rsid w:val="005D7386"/>
    <w:rsid w:val="005D7466"/>
    <w:rsid w:val="005D7485"/>
    <w:rsid w:val="005D74C4"/>
    <w:rsid w:val="005D7530"/>
    <w:rsid w:val="005D76C5"/>
    <w:rsid w:val="005D7790"/>
    <w:rsid w:val="005D7908"/>
    <w:rsid w:val="005D7B40"/>
    <w:rsid w:val="005D7D6A"/>
    <w:rsid w:val="005D7D85"/>
    <w:rsid w:val="005E0122"/>
    <w:rsid w:val="005E0360"/>
    <w:rsid w:val="005E053F"/>
    <w:rsid w:val="005E074D"/>
    <w:rsid w:val="005E0FCF"/>
    <w:rsid w:val="005E1249"/>
    <w:rsid w:val="005E12B1"/>
    <w:rsid w:val="005E1424"/>
    <w:rsid w:val="005E165C"/>
    <w:rsid w:val="005E165E"/>
    <w:rsid w:val="005E1697"/>
    <w:rsid w:val="005E1772"/>
    <w:rsid w:val="005E191C"/>
    <w:rsid w:val="005E1A07"/>
    <w:rsid w:val="005E1DD4"/>
    <w:rsid w:val="005E1EC9"/>
    <w:rsid w:val="005E1F1D"/>
    <w:rsid w:val="005E21BE"/>
    <w:rsid w:val="005E21F0"/>
    <w:rsid w:val="005E2337"/>
    <w:rsid w:val="005E2356"/>
    <w:rsid w:val="005E23F2"/>
    <w:rsid w:val="005E29EF"/>
    <w:rsid w:val="005E2C14"/>
    <w:rsid w:val="005E2E7C"/>
    <w:rsid w:val="005E2EF4"/>
    <w:rsid w:val="005E2F72"/>
    <w:rsid w:val="005E31E5"/>
    <w:rsid w:val="005E3723"/>
    <w:rsid w:val="005E374E"/>
    <w:rsid w:val="005E3756"/>
    <w:rsid w:val="005E3819"/>
    <w:rsid w:val="005E39C4"/>
    <w:rsid w:val="005E3A08"/>
    <w:rsid w:val="005E3B7C"/>
    <w:rsid w:val="005E3E3E"/>
    <w:rsid w:val="005E3F62"/>
    <w:rsid w:val="005E4176"/>
    <w:rsid w:val="005E4563"/>
    <w:rsid w:val="005E479C"/>
    <w:rsid w:val="005E4972"/>
    <w:rsid w:val="005E49C1"/>
    <w:rsid w:val="005E49E9"/>
    <w:rsid w:val="005E4A89"/>
    <w:rsid w:val="005E4C2B"/>
    <w:rsid w:val="005E4D64"/>
    <w:rsid w:val="005E4DB3"/>
    <w:rsid w:val="005E4DF6"/>
    <w:rsid w:val="005E502E"/>
    <w:rsid w:val="005E5086"/>
    <w:rsid w:val="005E5731"/>
    <w:rsid w:val="005E58E7"/>
    <w:rsid w:val="005E5B43"/>
    <w:rsid w:val="005E5B6C"/>
    <w:rsid w:val="005E5FB0"/>
    <w:rsid w:val="005E6004"/>
    <w:rsid w:val="005E60F4"/>
    <w:rsid w:val="005E6301"/>
    <w:rsid w:val="005E636C"/>
    <w:rsid w:val="005E638E"/>
    <w:rsid w:val="005E647D"/>
    <w:rsid w:val="005E6B6C"/>
    <w:rsid w:val="005E6E5C"/>
    <w:rsid w:val="005E718B"/>
    <w:rsid w:val="005E7199"/>
    <w:rsid w:val="005E722C"/>
    <w:rsid w:val="005E7261"/>
    <w:rsid w:val="005E790F"/>
    <w:rsid w:val="005E7A5F"/>
    <w:rsid w:val="005E7D3C"/>
    <w:rsid w:val="005E7FF1"/>
    <w:rsid w:val="005F0AF4"/>
    <w:rsid w:val="005F0B09"/>
    <w:rsid w:val="005F0B0E"/>
    <w:rsid w:val="005F0BC7"/>
    <w:rsid w:val="005F1501"/>
    <w:rsid w:val="005F1765"/>
    <w:rsid w:val="005F178F"/>
    <w:rsid w:val="005F19AA"/>
    <w:rsid w:val="005F2046"/>
    <w:rsid w:val="005F25E6"/>
    <w:rsid w:val="005F2B7D"/>
    <w:rsid w:val="005F2C88"/>
    <w:rsid w:val="005F2D95"/>
    <w:rsid w:val="005F2E03"/>
    <w:rsid w:val="005F31E7"/>
    <w:rsid w:val="005F3237"/>
    <w:rsid w:val="005F32C0"/>
    <w:rsid w:val="005F330F"/>
    <w:rsid w:val="005F337C"/>
    <w:rsid w:val="005F35E3"/>
    <w:rsid w:val="005F366D"/>
    <w:rsid w:val="005F36B7"/>
    <w:rsid w:val="005F36F3"/>
    <w:rsid w:val="005F393B"/>
    <w:rsid w:val="005F3C03"/>
    <w:rsid w:val="005F3C53"/>
    <w:rsid w:val="005F3DB3"/>
    <w:rsid w:val="005F3E54"/>
    <w:rsid w:val="005F4058"/>
    <w:rsid w:val="005F41A9"/>
    <w:rsid w:val="005F429B"/>
    <w:rsid w:val="005F448E"/>
    <w:rsid w:val="005F4555"/>
    <w:rsid w:val="005F45BE"/>
    <w:rsid w:val="005F47C4"/>
    <w:rsid w:val="005F48F5"/>
    <w:rsid w:val="005F49F9"/>
    <w:rsid w:val="005F4A8E"/>
    <w:rsid w:val="005F4DBC"/>
    <w:rsid w:val="005F5062"/>
    <w:rsid w:val="005F51C8"/>
    <w:rsid w:val="005F526E"/>
    <w:rsid w:val="005F5391"/>
    <w:rsid w:val="005F5434"/>
    <w:rsid w:val="005F544B"/>
    <w:rsid w:val="005F56B9"/>
    <w:rsid w:val="005F586F"/>
    <w:rsid w:val="005F589F"/>
    <w:rsid w:val="005F5904"/>
    <w:rsid w:val="005F592C"/>
    <w:rsid w:val="005F598F"/>
    <w:rsid w:val="005F5F10"/>
    <w:rsid w:val="005F604C"/>
    <w:rsid w:val="005F60BA"/>
    <w:rsid w:val="005F61DF"/>
    <w:rsid w:val="005F6347"/>
    <w:rsid w:val="005F636B"/>
    <w:rsid w:val="005F667C"/>
    <w:rsid w:val="005F68C4"/>
    <w:rsid w:val="005F69E3"/>
    <w:rsid w:val="005F6D2C"/>
    <w:rsid w:val="005F6FA4"/>
    <w:rsid w:val="005F6FD5"/>
    <w:rsid w:val="005F752D"/>
    <w:rsid w:val="005F7551"/>
    <w:rsid w:val="005F7702"/>
    <w:rsid w:val="005F7716"/>
    <w:rsid w:val="005F77D3"/>
    <w:rsid w:val="005F7984"/>
    <w:rsid w:val="005F7B5C"/>
    <w:rsid w:val="005F7BB2"/>
    <w:rsid w:val="005F7BE7"/>
    <w:rsid w:val="005F7CDF"/>
    <w:rsid w:val="00600061"/>
    <w:rsid w:val="00600128"/>
    <w:rsid w:val="006002E0"/>
    <w:rsid w:val="00600382"/>
    <w:rsid w:val="0060062C"/>
    <w:rsid w:val="00600CFC"/>
    <w:rsid w:val="00600EEF"/>
    <w:rsid w:val="006010C8"/>
    <w:rsid w:val="00601324"/>
    <w:rsid w:val="006013CE"/>
    <w:rsid w:val="00601493"/>
    <w:rsid w:val="00601599"/>
    <w:rsid w:val="00601675"/>
    <w:rsid w:val="00601769"/>
    <w:rsid w:val="00601933"/>
    <w:rsid w:val="006019F3"/>
    <w:rsid w:val="00601A05"/>
    <w:rsid w:val="00601C05"/>
    <w:rsid w:val="00601D57"/>
    <w:rsid w:val="00601EE3"/>
    <w:rsid w:val="00602038"/>
    <w:rsid w:val="00602170"/>
    <w:rsid w:val="00602412"/>
    <w:rsid w:val="00602736"/>
    <w:rsid w:val="0060291A"/>
    <w:rsid w:val="00602A6A"/>
    <w:rsid w:val="00602C6A"/>
    <w:rsid w:val="00602D00"/>
    <w:rsid w:val="00602E8D"/>
    <w:rsid w:val="00603003"/>
    <w:rsid w:val="00603059"/>
    <w:rsid w:val="00603312"/>
    <w:rsid w:val="006034C1"/>
    <w:rsid w:val="00603994"/>
    <w:rsid w:val="00603C18"/>
    <w:rsid w:val="006040E7"/>
    <w:rsid w:val="00604112"/>
    <w:rsid w:val="0060430A"/>
    <w:rsid w:val="00604359"/>
    <w:rsid w:val="0060466D"/>
    <w:rsid w:val="006046CE"/>
    <w:rsid w:val="00604878"/>
    <w:rsid w:val="00604974"/>
    <w:rsid w:val="006049FD"/>
    <w:rsid w:val="00604DA1"/>
    <w:rsid w:val="00605086"/>
    <w:rsid w:val="006050E2"/>
    <w:rsid w:val="006050F5"/>
    <w:rsid w:val="006052DB"/>
    <w:rsid w:val="006054EC"/>
    <w:rsid w:val="006056DD"/>
    <w:rsid w:val="0060634F"/>
    <w:rsid w:val="006063ED"/>
    <w:rsid w:val="00606568"/>
    <w:rsid w:val="006067AC"/>
    <w:rsid w:val="00606E4D"/>
    <w:rsid w:val="00606E4F"/>
    <w:rsid w:val="00606F50"/>
    <w:rsid w:val="00606FBE"/>
    <w:rsid w:val="00606FBF"/>
    <w:rsid w:val="00607053"/>
    <w:rsid w:val="0060724A"/>
    <w:rsid w:val="0060731F"/>
    <w:rsid w:val="00607627"/>
    <w:rsid w:val="00607781"/>
    <w:rsid w:val="00607812"/>
    <w:rsid w:val="00607B33"/>
    <w:rsid w:val="00607B7A"/>
    <w:rsid w:val="0061016B"/>
    <w:rsid w:val="0061034C"/>
    <w:rsid w:val="0061065B"/>
    <w:rsid w:val="006106F9"/>
    <w:rsid w:val="006108BE"/>
    <w:rsid w:val="00610E28"/>
    <w:rsid w:val="00611126"/>
    <w:rsid w:val="0061174A"/>
    <w:rsid w:val="006118EF"/>
    <w:rsid w:val="006119AD"/>
    <w:rsid w:val="00611B47"/>
    <w:rsid w:val="00611BDC"/>
    <w:rsid w:val="00611E2E"/>
    <w:rsid w:val="00611EF1"/>
    <w:rsid w:val="00611F29"/>
    <w:rsid w:val="00611F5D"/>
    <w:rsid w:val="00611F9D"/>
    <w:rsid w:val="006121A0"/>
    <w:rsid w:val="006123A5"/>
    <w:rsid w:val="00612468"/>
    <w:rsid w:val="00612697"/>
    <w:rsid w:val="00612B2D"/>
    <w:rsid w:val="00612CFA"/>
    <w:rsid w:val="00612D5D"/>
    <w:rsid w:val="00612D62"/>
    <w:rsid w:val="00612DED"/>
    <w:rsid w:val="00612F9D"/>
    <w:rsid w:val="00613519"/>
    <w:rsid w:val="00613591"/>
    <w:rsid w:val="006135D3"/>
    <w:rsid w:val="00613634"/>
    <w:rsid w:val="006138BB"/>
    <w:rsid w:val="006139B0"/>
    <w:rsid w:val="00613A42"/>
    <w:rsid w:val="00613A51"/>
    <w:rsid w:val="00613FA9"/>
    <w:rsid w:val="00613FAD"/>
    <w:rsid w:val="006143F3"/>
    <w:rsid w:val="00614408"/>
    <w:rsid w:val="00614428"/>
    <w:rsid w:val="006144A0"/>
    <w:rsid w:val="00614954"/>
    <w:rsid w:val="00614CF3"/>
    <w:rsid w:val="00614EC0"/>
    <w:rsid w:val="00614FE5"/>
    <w:rsid w:val="00615096"/>
    <w:rsid w:val="00615139"/>
    <w:rsid w:val="0061513D"/>
    <w:rsid w:val="00615188"/>
    <w:rsid w:val="006151AA"/>
    <w:rsid w:val="006151EE"/>
    <w:rsid w:val="00615353"/>
    <w:rsid w:val="0061535A"/>
    <w:rsid w:val="006155D5"/>
    <w:rsid w:val="00615604"/>
    <w:rsid w:val="00615613"/>
    <w:rsid w:val="0061561F"/>
    <w:rsid w:val="006158BB"/>
    <w:rsid w:val="00615CC8"/>
    <w:rsid w:val="00615D78"/>
    <w:rsid w:val="00615F05"/>
    <w:rsid w:val="00615F45"/>
    <w:rsid w:val="006162DA"/>
    <w:rsid w:val="006165B3"/>
    <w:rsid w:val="00616A14"/>
    <w:rsid w:val="00616BD3"/>
    <w:rsid w:val="00616DDB"/>
    <w:rsid w:val="00616E78"/>
    <w:rsid w:val="006172FD"/>
    <w:rsid w:val="006176F7"/>
    <w:rsid w:val="00617A08"/>
    <w:rsid w:val="00620225"/>
    <w:rsid w:val="00620237"/>
    <w:rsid w:val="00620316"/>
    <w:rsid w:val="00620432"/>
    <w:rsid w:val="00620668"/>
    <w:rsid w:val="00620810"/>
    <w:rsid w:val="00620812"/>
    <w:rsid w:val="006208F8"/>
    <w:rsid w:val="00620966"/>
    <w:rsid w:val="00621051"/>
    <w:rsid w:val="0062123A"/>
    <w:rsid w:val="0062125B"/>
    <w:rsid w:val="00621318"/>
    <w:rsid w:val="0062157C"/>
    <w:rsid w:val="0062158C"/>
    <w:rsid w:val="00621690"/>
    <w:rsid w:val="006217B6"/>
    <w:rsid w:val="006217D2"/>
    <w:rsid w:val="00621844"/>
    <w:rsid w:val="00621968"/>
    <w:rsid w:val="006219DC"/>
    <w:rsid w:val="00621D06"/>
    <w:rsid w:val="00621F89"/>
    <w:rsid w:val="006220E2"/>
    <w:rsid w:val="00622189"/>
    <w:rsid w:val="006221E4"/>
    <w:rsid w:val="00622260"/>
    <w:rsid w:val="00622292"/>
    <w:rsid w:val="00622587"/>
    <w:rsid w:val="00622B6D"/>
    <w:rsid w:val="00622D00"/>
    <w:rsid w:val="00623080"/>
    <w:rsid w:val="00623201"/>
    <w:rsid w:val="006232B0"/>
    <w:rsid w:val="006233AE"/>
    <w:rsid w:val="006237DB"/>
    <w:rsid w:val="00623879"/>
    <w:rsid w:val="00623B86"/>
    <w:rsid w:val="00623F37"/>
    <w:rsid w:val="00624219"/>
    <w:rsid w:val="006244AB"/>
    <w:rsid w:val="006244E0"/>
    <w:rsid w:val="006248BB"/>
    <w:rsid w:val="006248CA"/>
    <w:rsid w:val="0062497A"/>
    <w:rsid w:val="00624A15"/>
    <w:rsid w:val="00624E3A"/>
    <w:rsid w:val="0062514C"/>
    <w:rsid w:val="00625672"/>
    <w:rsid w:val="006257C0"/>
    <w:rsid w:val="00625977"/>
    <w:rsid w:val="00625BB5"/>
    <w:rsid w:val="00625C88"/>
    <w:rsid w:val="00625E35"/>
    <w:rsid w:val="006266A5"/>
    <w:rsid w:val="0062681D"/>
    <w:rsid w:val="00626ABC"/>
    <w:rsid w:val="00626B3C"/>
    <w:rsid w:val="00626D5A"/>
    <w:rsid w:val="00627072"/>
    <w:rsid w:val="00627303"/>
    <w:rsid w:val="006277D0"/>
    <w:rsid w:val="00627846"/>
    <w:rsid w:val="0062796F"/>
    <w:rsid w:val="00627A8C"/>
    <w:rsid w:val="00627CD3"/>
    <w:rsid w:val="00627D7A"/>
    <w:rsid w:val="00630092"/>
    <w:rsid w:val="006300BE"/>
    <w:rsid w:val="006301F3"/>
    <w:rsid w:val="00630364"/>
    <w:rsid w:val="00630523"/>
    <w:rsid w:val="00630675"/>
    <w:rsid w:val="0063071A"/>
    <w:rsid w:val="0063072D"/>
    <w:rsid w:val="00630B7B"/>
    <w:rsid w:val="00630C55"/>
    <w:rsid w:val="00630C6E"/>
    <w:rsid w:val="00630EB3"/>
    <w:rsid w:val="00630F1F"/>
    <w:rsid w:val="0063105F"/>
    <w:rsid w:val="00631278"/>
    <w:rsid w:val="0063156D"/>
    <w:rsid w:val="0063158D"/>
    <w:rsid w:val="00631658"/>
    <w:rsid w:val="00631B71"/>
    <w:rsid w:val="00631EA8"/>
    <w:rsid w:val="00632858"/>
    <w:rsid w:val="00632D3E"/>
    <w:rsid w:val="00632D46"/>
    <w:rsid w:val="00632FAF"/>
    <w:rsid w:val="00633324"/>
    <w:rsid w:val="006333D8"/>
    <w:rsid w:val="006334CD"/>
    <w:rsid w:val="006336AC"/>
    <w:rsid w:val="00633A96"/>
    <w:rsid w:val="00633AAC"/>
    <w:rsid w:val="00633D3F"/>
    <w:rsid w:val="00633EE7"/>
    <w:rsid w:val="00634155"/>
    <w:rsid w:val="006342CF"/>
    <w:rsid w:val="00634456"/>
    <w:rsid w:val="00634A0E"/>
    <w:rsid w:val="00634AFF"/>
    <w:rsid w:val="00634B5A"/>
    <w:rsid w:val="00634D88"/>
    <w:rsid w:val="00634E60"/>
    <w:rsid w:val="0063516B"/>
    <w:rsid w:val="0063535F"/>
    <w:rsid w:val="006354A4"/>
    <w:rsid w:val="0063556F"/>
    <w:rsid w:val="006355C8"/>
    <w:rsid w:val="0063579E"/>
    <w:rsid w:val="00635A24"/>
    <w:rsid w:val="00635B06"/>
    <w:rsid w:val="00635B4F"/>
    <w:rsid w:val="0063615D"/>
    <w:rsid w:val="00636160"/>
    <w:rsid w:val="00636348"/>
    <w:rsid w:val="006364AC"/>
    <w:rsid w:val="00636828"/>
    <w:rsid w:val="006369A9"/>
    <w:rsid w:val="006369C5"/>
    <w:rsid w:val="00636A4E"/>
    <w:rsid w:val="00636D8F"/>
    <w:rsid w:val="00636F2A"/>
    <w:rsid w:val="00636F70"/>
    <w:rsid w:val="00636FC2"/>
    <w:rsid w:val="00637111"/>
    <w:rsid w:val="006373F9"/>
    <w:rsid w:val="006376DA"/>
    <w:rsid w:val="006377EC"/>
    <w:rsid w:val="00637D93"/>
    <w:rsid w:val="00637F28"/>
    <w:rsid w:val="006407E9"/>
    <w:rsid w:val="006408FC"/>
    <w:rsid w:val="00640B74"/>
    <w:rsid w:val="00640FC9"/>
    <w:rsid w:val="006412AB"/>
    <w:rsid w:val="006416C2"/>
    <w:rsid w:val="006418E2"/>
    <w:rsid w:val="0064195B"/>
    <w:rsid w:val="00641C24"/>
    <w:rsid w:val="00641EB5"/>
    <w:rsid w:val="006421D6"/>
    <w:rsid w:val="006423AF"/>
    <w:rsid w:val="00642536"/>
    <w:rsid w:val="0064253B"/>
    <w:rsid w:val="0064255D"/>
    <w:rsid w:val="00642613"/>
    <w:rsid w:val="006427D7"/>
    <w:rsid w:val="006428F6"/>
    <w:rsid w:val="00642AE2"/>
    <w:rsid w:val="00642C00"/>
    <w:rsid w:val="00642C07"/>
    <w:rsid w:val="00642D31"/>
    <w:rsid w:val="00642D64"/>
    <w:rsid w:val="00642E5A"/>
    <w:rsid w:val="006430FA"/>
    <w:rsid w:val="00643154"/>
    <w:rsid w:val="0064335A"/>
    <w:rsid w:val="006435B0"/>
    <w:rsid w:val="00643627"/>
    <w:rsid w:val="00643848"/>
    <w:rsid w:val="00643A52"/>
    <w:rsid w:val="00643AE3"/>
    <w:rsid w:val="00643CA7"/>
    <w:rsid w:val="00643E9D"/>
    <w:rsid w:val="00644191"/>
    <w:rsid w:val="00644270"/>
    <w:rsid w:val="006442AB"/>
    <w:rsid w:val="00644408"/>
    <w:rsid w:val="00644438"/>
    <w:rsid w:val="006445DC"/>
    <w:rsid w:val="006446BD"/>
    <w:rsid w:val="006449DE"/>
    <w:rsid w:val="00644EBC"/>
    <w:rsid w:val="0064530A"/>
    <w:rsid w:val="00645333"/>
    <w:rsid w:val="00645666"/>
    <w:rsid w:val="006456B1"/>
    <w:rsid w:val="00645757"/>
    <w:rsid w:val="00645CB5"/>
    <w:rsid w:val="00645CBC"/>
    <w:rsid w:val="00645E28"/>
    <w:rsid w:val="00645E59"/>
    <w:rsid w:val="006464B0"/>
    <w:rsid w:val="006468B6"/>
    <w:rsid w:val="00646931"/>
    <w:rsid w:val="006469F6"/>
    <w:rsid w:val="00646B11"/>
    <w:rsid w:val="00646E0D"/>
    <w:rsid w:val="00646EF0"/>
    <w:rsid w:val="00646F42"/>
    <w:rsid w:val="00647349"/>
    <w:rsid w:val="00647561"/>
    <w:rsid w:val="006478F0"/>
    <w:rsid w:val="00647B5F"/>
    <w:rsid w:val="00647B7C"/>
    <w:rsid w:val="00647D79"/>
    <w:rsid w:val="00650933"/>
    <w:rsid w:val="00650967"/>
    <w:rsid w:val="006509E3"/>
    <w:rsid w:val="00650A91"/>
    <w:rsid w:val="00650C94"/>
    <w:rsid w:val="00651066"/>
    <w:rsid w:val="006512CE"/>
    <w:rsid w:val="00651445"/>
    <w:rsid w:val="00651786"/>
    <w:rsid w:val="0065183F"/>
    <w:rsid w:val="00651855"/>
    <w:rsid w:val="00651B04"/>
    <w:rsid w:val="00651B27"/>
    <w:rsid w:val="00651D57"/>
    <w:rsid w:val="00651DCB"/>
    <w:rsid w:val="00651EAC"/>
    <w:rsid w:val="00651FCF"/>
    <w:rsid w:val="00651FFB"/>
    <w:rsid w:val="006521F0"/>
    <w:rsid w:val="0065224C"/>
    <w:rsid w:val="00652478"/>
    <w:rsid w:val="006526E2"/>
    <w:rsid w:val="00652D46"/>
    <w:rsid w:val="00652D6A"/>
    <w:rsid w:val="00652DB1"/>
    <w:rsid w:val="00652DC1"/>
    <w:rsid w:val="00652E93"/>
    <w:rsid w:val="00652F2C"/>
    <w:rsid w:val="0065312E"/>
    <w:rsid w:val="006533D7"/>
    <w:rsid w:val="0065389D"/>
    <w:rsid w:val="00653951"/>
    <w:rsid w:val="00653A7D"/>
    <w:rsid w:val="00653AFD"/>
    <w:rsid w:val="00653B30"/>
    <w:rsid w:val="00653D7B"/>
    <w:rsid w:val="00654227"/>
    <w:rsid w:val="00654261"/>
    <w:rsid w:val="00654361"/>
    <w:rsid w:val="00654417"/>
    <w:rsid w:val="006545F4"/>
    <w:rsid w:val="00654683"/>
    <w:rsid w:val="00654818"/>
    <w:rsid w:val="006549E2"/>
    <w:rsid w:val="00654A05"/>
    <w:rsid w:val="00654B00"/>
    <w:rsid w:val="00654B94"/>
    <w:rsid w:val="00654BB4"/>
    <w:rsid w:val="00654EE5"/>
    <w:rsid w:val="00654F6B"/>
    <w:rsid w:val="0065511C"/>
    <w:rsid w:val="00655550"/>
    <w:rsid w:val="00655689"/>
    <w:rsid w:val="006556E8"/>
    <w:rsid w:val="00655777"/>
    <w:rsid w:val="006558FB"/>
    <w:rsid w:val="00655AC7"/>
    <w:rsid w:val="00655BD8"/>
    <w:rsid w:val="006560BE"/>
    <w:rsid w:val="006561B9"/>
    <w:rsid w:val="006562D5"/>
    <w:rsid w:val="0065655B"/>
    <w:rsid w:val="00656860"/>
    <w:rsid w:val="0065697C"/>
    <w:rsid w:val="00656D09"/>
    <w:rsid w:val="00656E41"/>
    <w:rsid w:val="006574AB"/>
    <w:rsid w:val="00657607"/>
    <w:rsid w:val="00657D03"/>
    <w:rsid w:val="00657EE2"/>
    <w:rsid w:val="0066012D"/>
    <w:rsid w:val="0066019F"/>
    <w:rsid w:val="0066034D"/>
    <w:rsid w:val="00660660"/>
    <w:rsid w:val="00660746"/>
    <w:rsid w:val="0066087A"/>
    <w:rsid w:val="00660917"/>
    <w:rsid w:val="00660954"/>
    <w:rsid w:val="00660999"/>
    <w:rsid w:val="00660B14"/>
    <w:rsid w:val="00660BAF"/>
    <w:rsid w:val="00660DA8"/>
    <w:rsid w:val="00660FD8"/>
    <w:rsid w:val="0066110B"/>
    <w:rsid w:val="00661177"/>
    <w:rsid w:val="006611A6"/>
    <w:rsid w:val="006612CB"/>
    <w:rsid w:val="006612ED"/>
    <w:rsid w:val="006613F7"/>
    <w:rsid w:val="00661557"/>
    <w:rsid w:val="00661573"/>
    <w:rsid w:val="006618BB"/>
    <w:rsid w:val="00661A39"/>
    <w:rsid w:val="00661BCF"/>
    <w:rsid w:val="00661C62"/>
    <w:rsid w:val="00661D53"/>
    <w:rsid w:val="00661D8C"/>
    <w:rsid w:val="00661E0F"/>
    <w:rsid w:val="0066218C"/>
    <w:rsid w:val="006621CC"/>
    <w:rsid w:val="00662581"/>
    <w:rsid w:val="0066258D"/>
    <w:rsid w:val="00662C2E"/>
    <w:rsid w:val="00662CB4"/>
    <w:rsid w:val="00662F59"/>
    <w:rsid w:val="006631D5"/>
    <w:rsid w:val="006632C2"/>
    <w:rsid w:val="006633F2"/>
    <w:rsid w:val="00663724"/>
    <w:rsid w:val="0066398F"/>
    <w:rsid w:val="006639D6"/>
    <w:rsid w:val="00663B2C"/>
    <w:rsid w:val="00663BC1"/>
    <w:rsid w:val="00663CA8"/>
    <w:rsid w:val="00663E80"/>
    <w:rsid w:val="00664341"/>
    <w:rsid w:val="006643F7"/>
    <w:rsid w:val="006644C5"/>
    <w:rsid w:val="00664520"/>
    <w:rsid w:val="0066470B"/>
    <w:rsid w:val="00664988"/>
    <w:rsid w:val="00664CAC"/>
    <w:rsid w:val="00664E22"/>
    <w:rsid w:val="006650C9"/>
    <w:rsid w:val="00665402"/>
    <w:rsid w:val="00665430"/>
    <w:rsid w:val="00665500"/>
    <w:rsid w:val="00665630"/>
    <w:rsid w:val="0066564E"/>
    <w:rsid w:val="00665C7D"/>
    <w:rsid w:val="00665DA1"/>
    <w:rsid w:val="00665DCA"/>
    <w:rsid w:val="00665F94"/>
    <w:rsid w:val="00665FED"/>
    <w:rsid w:val="006660C2"/>
    <w:rsid w:val="00666557"/>
    <w:rsid w:val="006666A4"/>
    <w:rsid w:val="00666889"/>
    <w:rsid w:val="00666A27"/>
    <w:rsid w:val="00667046"/>
    <w:rsid w:val="00667220"/>
    <w:rsid w:val="006672D9"/>
    <w:rsid w:val="006673A9"/>
    <w:rsid w:val="006676EB"/>
    <w:rsid w:val="00667886"/>
    <w:rsid w:val="00667EFC"/>
    <w:rsid w:val="00667F72"/>
    <w:rsid w:val="00667F90"/>
    <w:rsid w:val="00670116"/>
    <w:rsid w:val="006704BC"/>
    <w:rsid w:val="00670BE5"/>
    <w:rsid w:val="00670C3E"/>
    <w:rsid w:val="00670DF5"/>
    <w:rsid w:val="0067136B"/>
    <w:rsid w:val="0067178B"/>
    <w:rsid w:val="00671A27"/>
    <w:rsid w:val="00671CA8"/>
    <w:rsid w:val="00671E38"/>
    <w:rsid w:val="00671FAB"/>
    <w:rsid w:val="00672022"/>
    <w:rsid w:val="00672037"/>
    <w:rsid w:val="0067221C"/>
    <w:rsid w:val="006722E7"/>
    <w:rsid w:val="00672507"/>
    <w:rsid w:val="0067250E"/>
    <w:rsid w:val="00672647"/>
    <w:rsid w:val="006726AC"/>
    <w:rsid w:val="00672995"/>
    <w:rsid w:val="00672A10"/>
    <w:rsid w:val="00672BF8"/>
    <w:rsid w:val="00672D20"/>
    <w:rsid w:val="00672D2E"/>
    <w:rsid w:val="00672D5A"/>
    <w:rsid w:val="006730A2"/>
    <w:rsid w:val="00673743"/>
    <w:rsid w:val="0067398F"/>
    <w:rsid w:val="00673AD3"/>
    <w:rsid w:val="00673DB9"/>
    <w:rsid w:val="00674263"/>
    <w:rsid w:val="00674363"/>
    <w:rsid w:val="0067487E"/>
    <w:rsid w:val="00674987"/>
    <w:rsid w:val="00674B06"/>
    <w:rsid w:val="00674CCC"/>
    <w:rsid w:val="00674D13"/>
    <w:rsid w:val="00674E60"/>
    <w:rsid w:val="00674EE6"/>
    <w:rsid w:val="00675051"/>
    <w:rsid w:val="00675197"/>
    <w:rsid w:val="006751CC"/>
    <w:rsid w:val="006753A9"/>
    <w:rsid w:val="0067565A"/>
    <w:rsid w:val="0067594B"/>
    <w:rsid w:val="00675BEE"/>
    <w:rsid w:val="00675D2D"/>
    <w:rsid w:val="00675E7E"/>
    <w:rsid w:val="00675F6A"/>
    <w:rsid w:val="00676206"/>
    <w:rsid w:val="00676517"/>
    <w:rsid w:val="006765FA"/>
    <w:rsid w:val="0067663D"/>
    <w:rsid w:val="006768A9"/>
    <w:rsid w:val="006768BE"/>
    <w:rsid w:val="00676B4B"/>
    <w:rsid w:val="00676C2A"/>
    <w:rsid w:val="0067703E"/>
    <w:rsid w:val="0067705F"/>
    <w:rsid w:val="006771BB"/>
    <w:rsid w:val="00677354"/>
    <w:rsid w:val="006775A4"/>
    <w:rsid w:val="00677629"/>
    <w:rsid w:val="006776B5"/>
    <w:rsid w:val="006778F0"/>
    <w:rsid w:val="006779A0"/>
    <w:rsid w:val="006779DB"/>
    <w:rsid w:val="00680081"/>
    <w:rsid w:val="006800BF"/>
    <w:rsid w:val="006801E4"/>
    <w:rsid w:val="006801F6"/>
    <w:rsid w:val="00680310"/>
    <w:rsid w:val="00680723"/>
    <w:rsid w:val="00680768"/>
    <w:rsid w:val="006809DE"/>
    <w:rsid w:val="00680CBE"/>
    <w:rsid w:val="00680EAF"/>
    <w:rsid w:val="00680ED2"/>
    <w:rsid w:val="0068100D"/>
    <w:rsid w:val="006811C0"/>
    <w:rsid w:val="0068137B"/>
    <w:rsid w:val="00681460"/>
    <w:rsid w:val="00681648"/>
    <w:rsid w:val="0068179A"/>
    <w:rsid w:val="0068180C"/>
    <w:rsid w:val="006818B1"/>
    <w:rsid w:val="00681D21"/>
    <w:rsid w:val="00681E45"/>
    <w:rsid w:val="00681EBA"/>
    <w:rsid w:val="0068200C"/>
    <w:rsid w:val="00682057"/>
    <w:rsid w:val="0068215F"/>
    <w:rsid w:val="0068225A"/>
    <w:rsid w:val="006822A7"/>
    <w:rsid w:val="00682376"/>
    <w:rsid w:val="0068275A"/>
    <w:rsid w:val="00682865"/>
    <w:rsid w:val="00682938"/>
    <w:rsid w:val="00682B8B"/>
    <w:rsid w:val="00682C85"/>
    <w:rsid w:val="00682D82"/>
    <w:rsid w:val="00682FF0"/>
    <w:rsid w:val="00683555"/>
    <w:rsid w:val="00683621"/>
    <w:rsid w:val="00683704"/>
    <w:rsid w:val="006838B5"/>
    <w:rsid w:val="00683A85"/>
    <w:rsid w:val="00683BAE"/>
    <w:rsid w:val="00683BDB"/>
    <w:rsid w:val="00683DDF"/>
    <w:rsid w:val="00683E35"/>
    <w:rsid w:val="00683EEF"/>
    <w:rsid w:val="00684124"/>
    <w:rsid w:val="006844CE"/>
    <w:rsid w:val="006847EB"/>
    <w:rsid w:val="006848AD"/>
    <w:rsid w:val="00684994"/>
    <w:rsid w:val="00684A64"/>
    <w:rsid w:val="00684C30"/>
    <w:rsid w:val="00684EFB"/>
    <w:rsid w:val="00684F41"/>
    <w:rsid w:val="00685108"/>
    <w:rsid w:val="00685182"/>
    <w:rsid w:val="00685603"/>
    <w:rsid w:val="0068570E"/>
    <w:rsid w:val="006857C9"/>
    <w:rsid w:val="00685995"/>
    <w:rsid w:val="006859C5"/>
    <w:rsid w:val="00685AE1"/>
    <w:rsid w:val="00685E67"/>
    <w:rsid w:val="006861FD"/>
    <w:rsid w:val="00686375"/>
    <w:rsid w:val="0068657A"/>
    <w:rsid w:val="006866EE"/>
    <w:rsid w:val="00686740"/>
    <w:rsid w:val="00686AE8"/>
    <w:rsid w:val="00686B0F"/>
    <w:rsid w:val="00686BD0"/>
    <w:rsid w:val="00686DA2"/>
    <w:rsid w:val="00686DC1"/>
    <w:rsid w:val="00686FE2"/>
    <w:rsid w:val="006872C4"/>
    <w:rsid w:val="006875D8"/>
    <w:rsid w:val="006877AE"/>
    <w:rsid w:val="0068799C"/>
    <w:rsid w:val="00687AAF"/>
    <w:rsid w:val="00687B61"/>
    <w:rsid w:val="00690121"/>
    <w:rsid w:val="00690397"/>
    <w:rsid w:val="006904E9"/>
    <w:rsid w:val="006906CC"/>
    <w:rsid w:val="0069082E"/>
    <w:rsid w:val="0069083C"/>
    <w:rsid w:val="00690890"/>
    <w:rsid w:val="00690D00"/>
    <w:rsid w:val="00690D2C"/>
    <w:rsid w:val="00690D72"/>
    <w:rsid w:val="00690DAD"/>
    <w:rsid w:val="006911B6"/>
    <w:rsid w:val="006915B4"/>
    <w:rsid w:val="00691617"/>
    <w:rsid w:val="006917EF"/>
    <w:rsid w:val="00691EF3"/>
    <w:rsid w:val="00692037"/>
    <w:rsid w:val="00692317"/>
    <w:rsid w:val="00692589"/>
    <w:rsid w:val="00692619"/>
    <w:rsid w:val="00692CD5"/>
    <w:rsid w:val="00692D55"/>
    <w:rsid w:val="00693295"/>
    <w:rsid w:val="00693573"/>
    <w:rsid w:val="006935D1"/>
    <w:rsid w:val="00693830"/>
    <w:rsid w:val="006939FB"/>
    <w:rsid w:val="00693E5B"/>
    <w:rsid w:val="00693EDB"/>
    <w:rsid w:val="0069442B"/>
    <w:rsid w:val="0069455A"/>
    <w:rsid w:val="006946D6"/>
    <w:rsid w:val="00694998"/>
    <w:rsid w:val="00694E8A"/>
    <w:rsid w:val="00694F57"/>
    <w:rsid w:val="00695214"/>
    <w:rsid w:val="006954A9"/>
    <w:rsid w:val="0069558B"/>
    <w:rsid w:val="0069564F"/>
    <w:rsid w:val="00695807"/>
    <w:rsid w:val="0069582A"/>
    <w:rsid w:val="0069583A"/>
    <w:rsid w:val="00695969"/>
    <w:rsid w:val="00695B4E"/>
    <w:rsid w:val="00695E86"/>
    <w:rsid w:val="00695F3E"/>
    <w:rsid w:val="006961CD"/>
    <w:rsid w:val="00696218"/>
    <w:rsid w:val="006963DC"/>
    <w:rsid w:val="0069656F"/>
    <w:rsid w:val="00696613"/>
    <w:rsid w:val="006967CD"/>
    <w:rsid w:val="00696ADE"/>
    <w:rsid w:val="00696B07"/>
    <w:rsid w:val="00696BB1"/>
    <w:rsid w:val="0069706E"/>
    <w:rsid w:val="0069711E"/>
    <w:rsid w:val="006971ED"/>
    <w:rsid w:val="006973E6"/>
    <w:rsid w:val="00697469"/>
    <w:rsid w:val="006974E9"/>
    <w:rsid w:val="00697553"/>
    <w:rsid w:val="00697947"/>
    <w:rsid w:val="00697A04"/>
    <w:rsid w:val="00697CD5"/>
    <w:rsid w:val="00697D74"/>
    <w:rsid w:val="006A0222"/>
    <w:rsid w:val="006A02AB"/>
    <w:rsid w:val="006A06E8"/>
    <w:rsid w:val="006A09F9"/>
    <w:rsid w:val="006A0A16"/>
    <w:rsid w:val="006A0C40"/>
    <w:rsid w:val="006A0ECA"/>
    <w:rsid w:val="006A0ED0"/>
    <w:rsid w:val="006A1243"/>
    <w:rsid w:val="006A1342"/>
    <w:rsid w:val="006A1900"/>
    <w:rsid w:val="006A192F"/>
    <w:rsid w:val="006A1A13"/>
    <w:rsid w:val="006A1A3B"/>
    <w:rsid w:val="006A1A5C"/>
    <w:rsid w:val="006A1D37"/>
    <w:rsid w:val="006A1DA5"/>
    <w:rsid w:val="006A239F"/>
    <w:rsid w:val="006A240B"/>
    <w:rsid w:val="006A26D2"/>
    <w:rsid w:val="006A28C0"/>
    <w:rsid w:val="006A2923"/>
    <w:rsid w:val="006A2927"/>
    <w:rsid w:val="006A29D6"/>
    <w:rsid w:val="006A2C64"/>
    <w:rsid w:val="006A2F77"/>
    <w:rsid w:val="006A2FF4"/>
    <w:rsid w:val="006A3234"/>
    <w:rsid w:val="006A3795"/>
    <w:rsid w:val="006A3AA8"/>
    <w:rsid w:val="006A3FB6"/>
    <w:rsid w:val="006A43BB"/>
    <w:rsid w:val="006A44C0"/>
    <w:rsid w:val="006A48B5"/>
    <w:rsid w:val="006A495C"/>
    <w:rsid w:val="006A49C5"/>
    <w:rsid w:val="006A4CFC"/>
    <w:rsid w:val="006A4E88"/>
    <w:rsid w:val="006A4F3E"/>
    <w:rsid w:val="006A5088"/>
    <w:rsid w:val="006A5962"/>
    <w:rsid w:val="006A5BA2"/>
    <w:rsid w:val="006A5C60"/>
    <w:rsid w:val="006A5D31"/>
    <w:rsid w:val="006A5D72"/>
    <w:rsid w:val="006A5EB3"/>
    <w:rsid w:val="006A5F31"/>
    <w:rsid w:val="006A6025"/>
    <w:rsid w:val="006A6258"/>
    <w:rsid w:val="006A6271"/>
    <w:rsid w:val="006A62B0"/>
    <w:rsid w:val="006A63D2"/>
    <w:rsid w:val="006A650E"/>
    <w:rsid w:val="006A67F7"/>
    <w:rsid w:val="006A67F8"/>
    <w:rsid w:val="006A6D63"/>
    <w:rsid w:val="006A6DA8"/>
    <w:rsid w:val="006A6DEF"/>
    <w:rsid w:val="006A75C9"/>
    <w:rsid w:val="006A776D"/>
    <w:rsid w:val="006A79A8"/>
    <w:rsid w:val="006A7BC7"/>
    <w:rsid w:val="006A7CAA"/>
    <w:rsid w:val="006A7E1F"/>
    <w:rsid w:val="006B00B9"/>
    <w:rsid w:val="006B019B"/>
    <w:rsid w:val="006B0212"/>
    <w:rsid w:val="006B03A4"/>
    <w:rsid w:val="006B04CE"/>
    <w:rsid w:val="006B06F7"/>
    <w:rsid w:val="006B0775"/>
    <w:rsid w:val="006B09A0"/>
    <w:rsid w:val="006B0A13"/>
    <w:rsid w:val="006B0ADD"/>
    <w:rsid w:val="006B0AF5"/>
    <w:rsid w:val="006B0B67"/>
    <w:rsid w:val="006B0D53"/>
    <w:rsid w:val="006B0E18"/>
    <w:rsid w:val="006B1067"/>
    <w:rsid w:val="006B1068"/>
    <w:rsid w:val="006B1142"/>
    <w:rsid w:val="006B1247"/>
    <w:rsid w:val="006B12B2"/>
    <w:rsid w:val="006B1521"/>
    <w:rsid w:val="006B157A"/>
    <w:rsid w:val="006B15C9"/>
    <w:rsid w:val="006B163C"/>
    <w:rsid w:val="006B16C1"/>
    <w:rsid w:val="006B193F"/>
    <w:rsid w:val="006B1A2C"/>
    <w:rsid w:val="006B1A80"/>
    <w:rsid w:val="006B1C1C"/>
    <w:rsid w:val="006B1E57"/>
    <w:rsid w:val="006B1FF5"/>
    <w:rsid w:val="006B223E"/>
    <w:rsid w:val="006B2272"/>
    <w:rsid w:val="006B24DB"/>
    <w:rsid w:val="006B25B7"/>
    <w:rsid w:val="006B25F7"/>
    <w:rsid w:val="006B263D"/>
    <w:rsid w:val="006B2B46"/>
    <w:rsid w:val="006B31AB"/>
    <w:rsid w:val="006B33ED"/>
    <w:rsid w:val="006B347A"/>
    <w:rsid w:val="006B35F6"/>
    <w:rsid w:val="006B36DE"/>
    <w:rsid w:val="006B3948"/>
    <w:rsid w:val="006B39C4"/>
    <w:rsid w:val="006B3B1F"/>
    <w:rsid w:val="006B3DCD"/>
    <w:rsid w:val="006B3E02"/>
    <w:rsid w:val="006B3E24"/>
    <w:rsid w:val="006B412F"/>
    <w:rsid w:val="006B427E"/>
    <w:rsid w:val="006B4737"/>
    <w:rsid w:val="006B4B07"/>
    <w:rsid w:val="006B50D3"/>
    <w:rsid w:val="006B5143"/>
    <w:rsid w:val="006B5148"/>
    <w:rsid w:val="006B54BB"/>
    <w:rsid w:val="006B5A3D"/>
    <w:rsid w:val="006B5AD3"/>
    <w:rsid w:val="006B5C11"/>
    <w:rsid w:val="006B5D06"/>
    <w:rsid w:val="006B5D5A"/>
    <w:rsid w:val="006B5FF0"/>
    <w:rsid w:val="006B60E7"/>
    <w:rsid w:val="006B6262"/>
    <w:rsid w:val="006B640D"/>
    <w:rsid w:val="006B6496"/>
    <w:rsid w:val="006B660F"/>
    <w:rsid w:val="006B67DB"/>
    <w:rsid w:val="006B6927"/>
    <w:rsid w:val="006B6AEA"/>
    <w:rsid w:val="006B6B1A"/>
    <w:rsid w:val="006B6D9B"/>
    <w:rsid w:val="006B6FE3"/>
    <w:rsid w:val="006B7258"/>
    <w:rsid w:val="006B7301"/>
    <w:rsid w:val="006B7AD9"/>
    <w:rsid w:val="006B7AF5"/>
    <w:rsid w:val="006B7C54"/>
    <w:rsid w:val="006B7CE8"/>
    <w:rsid w:val="006B7E79"/>
    <w:rsid w:val="006C0160"/>
    <w:rsid w:val="006C02DD"/>
    <w:rsid w:val="006C079F"/>
    <w:rsid w:val="006C07CB"/>
    <w:rsid w:val="006C08FB"/>
    <w:rsid w:val="006C0B0F"/>
    <w:rsid w:val="006C0B38"/>
    <w:rsid w:val="006C10A6"/>
    <w:rsid w:val="006C13D6"/>
    <w:rsid w:val="006C1813"/>
    <w:rsid w:val="006C186B"/>
    <w:rsid w:val="006C1B1B"/>
    <w:rsid w:val="006C1B4F"/>
    <w:rsid w:val="006C1B88"/>
    <w:rsid w:val="006C1CD6"/>
    <w:rsid w:val="006C1D4E"/>
    <w:rsid w:val="006C20BE"/>
    <w:rsid w:val="006C210B"/>
    <w:rsid w:val="006C2359"/>
    <w:rsid w:val="006C2421"/>
    <w:rsid w:val="006C2642"/>
    <w:rsid w:val="006C2780"/>
    <w:rsid w:val="006C29AE"/>
    <w:rsid w:val="006C29F5"/>
    <w:rsid w:val="006C2E8D"/>
    <w:rsid w:val="006C3059"/>
    <w:rsid w:val="006C35C6"/>
    <w:rsid w:val="006C387E"/>
    <w:rsid w:val="006C3B13"/>
    <w:rsid w:val="006C3EA5"/>
    <w:rsid w:val="006C3EB6"/>
    <w:rsid w:val="006C40E8"/>
    <w:rsid w:val="006C416B"/>
    <w:rsid w:val="006C41E7"/>
    <w:rsid w:val="006C4590"/>
    <w:rsid w:val="006C46BF"/>
    <w:rsid w:val="006C4BE4"/>
    <w:rsid w:val="006C4D81"/>
    <w:rsid w:val="006C4E9A"/>
    <w:rsid w:val="006C50DA"/>
    <w:rsid w:val="006C5105"/>
    <w:rsid w:val="006C5152"/>
    <w:rsid w:val="006C51E3"/>
    <w:rsid w:val="006C51FD"/>
    <w:rsid w:val="006C54F7"/>
    <w:rsid w:val="006C5517"/>
    <w:rsid w:val="006C556A"/>
    <w:rsid w:val="006C55F6"/>
    <w:rsid w:val="006C56A2"/>
    <w:rsid w:val="006C5B50"/>
    <w:rsid w:val="006C5CC5"/>
    <w:rsid w:val="006C5CCF"/>
    <w:rsid w:val="006C5D9E"/>
    <w:rsid w:val="006C5DB2"/>
    <w:rsid w:val="006C5F60"/>
    <w:rsid w:val="006C5FF5"/>
    <w:rsid w:val="006C6041"/>
    <w:rsid w:val="006C6045"/>
    <w:rsid w:val="006C61E4"/>
    <w:rsid w:val="006C62BC"/>
    <w:rsid w:val="006C6335"/>
    <w:rsid w:val="006C6807"/>
    <w:rsid w:val="006C6949"/>
    <w:rsid w:val="006C6CB3"/>
    <w:rsid w:val="006C6D55"/>
    <w:rsid w:val="006C6FC9"/>
    <w:rsid w:val="006C705B"/>
    <w:rsid w:val="006C70AE"/>
    <w:rsid w:val="006C7138"/>
    <w:rsid w:val="006C7283"/>
    <w:rsid w:val="006C72F0"/>
    <w:rsid w:val="006C7461"/>
    <w:rsid w:val="006C76F4"/>
    <w:rsid w:val="006C7A24"/>
    <w:rsid w:val="006C7A38"/>
    <w:rsid w:val="006C7BE2"/>
    <w:rsid w:val="006C7C7D"/>
    <w:rsid w:val="006C7D74"/>
    <w:rsid w:val="006C7EBC"/>
    <w:rsid w:val="006C7F08"/>
    <w:rsid w:val="006C7F5A"/>
    <w:rsid w:val="006D02D6"/>
    <w:rsid w:val="006D0543"/>
    <w:rsid w:val="006D0597"/>
    <w:rsid w:val="006D068A"/>
    <w:rsid w:val="006D0926"/>
    <w:rsid w:val="006D0B20"/>
    <w:rsid w:val="006D0EA8"/>
    <w:rsid w:val="006D0FC1"/>
    <w:rsid w:val="006D1145"/>
    <w:rsid w:val="006D129D"/>
    <w:rsid w:val="006D12DB"/>
    <w:rsid w:val="006D1332"/>
    <w:rsid w:val="006D14B8"/>
    <w:rsid w:val="006D17EE"/>
    <w:rsid w:val="006D186B"/>
    <w:rsid w:val="006D1E05"/>
    <w:rsid w:val="006D233F"/>
    <w:rsid w:val="006D2460"/>
    <w:rsid w:val="006D24EB"/>
    <w:rsid w:val="006D27E0"/>
    <w:rsid w:val="006D29CD"/>
    <w:rsid w:val="006D2B9F"/>
    <w:rsid w:val="006D2C59"/>
    <w:rsid w:val="006D2CBD"/>
    <w:rsid w:val="006D2CD5"/>
    <w:rsid w:val="006D3144"/>
    <w:rsid w:val="006D315A"/>
    <w:rsid w:val="006D3534"/>
    <w:rsid w:val="006D38DA"/>
    <w:rsid w:val="006D39DE"/>
    <w:rsid w:val="006D41A4"/>
    <w:rsid w:val="006D4710"/>
    <w:rsid w:val="006D4DDD"/>
    <w:rsid w:val="006D4F8E"/>
    <w:rsid w:val="006D4FA7"/>
    <w:rsid w:val="006D5026"/>
    <w:rsid w:val="006D50B9"/>
    <w:rsid w:val="006D523C"/>
    <w:rsid w:val="006D5522"/>
    <w:rsid w:val="006D5B5D"/>
    <w:rsid w:val="006D5CA1"/>
    <w:rsid w:val="006D5D0F"/>
    <w:rsid w:val="006D5E5C"/>
    <w:rsid w:val="006D625F"/>
    <w:rsid w:val="006D62DB"/>
    <w:rsid w:val="006D6573"/>
    <w:rsid w:val="006D6752"/>
    <w:rsid w:val="006D71CD"/>
    <w:rsid w:val="006D7302"/>
    <w:rsid w:val="006D7430"/>
    <w:rsid w:val="006D778D"/>
    <w:rsid w:val="006D780F"/>
    <w:rsid w:val="006D78C2"/>
    <w:rsid w:val="006D7B28"/>
    <w:rsid w:val="006D7B57"/>
    <w:rsid w:val="006D7C7C"/>
    <w:rsid w:val="006D7C7D"/>
    <w:rsid w:val="006D7E1D"/>
    <w:rsid w:val="006E032E"/>
    <w:rsid w:val="006E0432"/>
    <w:rsid w:val="006E0460"/>
    <w:rsid w:val="006E050A"/>
    <w:rsid w:val="006E0725"/>
    <w:rsid w:val="006E07FE"/>
    <w:rsid w:val="006E0BB1"/>
    <w:rsid w:val="006E0BD9"/>
    <w:rsid w:val="006E0C77"/>
    <w:rsid w:val="006E0DCF"/>
    <w:rsid w:val="006E0EF1"/>
    <w:rsid w:val="006E1173"/>
    <w:rsid w:val="006E166C"/>
    <w:rsid w:val="006E16E2"/>
    <w:rsid w:val="006E1AD7"/>
    <w:rsid w:val="006E1C7B"/>
    <w:rsid w:val="006E1DC9"/>
    <w:rsid w:val="006E1E90"/>
    <w:rsid w:val="006E1FA3"/>
    <w:rsid w:val="006E20CB"/>
    <w:rsid w:val="006E2510"/>
    <w:rsid w:val="006E272F"/>
    <w:rsid w:val="006E2733"/>
    <w:rsid w:val="006E28FE"/>
    <w:rsid w:val="006E2A7B"/>
    <w:rsid w:val="006E321C"/>
    <w:rsid w:val="006E3374"/>
    <w:rsid w:val="006E3482"/>
    <w:rsid w:val="006E35D6"/>
    <w:rsid w:val="006E37BA"/>
    <w:rsid w:val="006E3B8A"/>
    <w:rsid w:val="006E3D29"/>
    <w:rsid w:val="006E3DB4"/>
    <w:rsid w:val="006E3DC3"/>
    <w:rsid w:val="006E3DF2"/>
    <w:rsid w:val="006E3F40"/>
    <w:rsid w:val="006E400F"/>
    <w:rsid w:val="006E42B5"/>
    <w:rsid w:val="006E43CE"/>
    <w:rsid w:val="006E4400"/>
    <w:rsid w:val="006E4466"/>
    <w:rsid w:val="006E45B9"/>
    <w:rsid w:val="006E4757"/>
    <w:rsid w:val="006E47F6"/>
    <w:rsid w:val="006E4857"/>
    <w:rsid w:val="006E4874"/>
    <w:rsid w:val="006E4C1F"/>
    <w:rsid w:val="006E4DBD"/>
    <w:rsid w:val="006E4DEA"/>
    <w:rsid w:val="006E5117"/>
    <w:rsid w:val="006E5513"/>
    <w:rsid w:val="006E55C2"/>
    <w:rsid w:val="006E57BF"/>
    <w:rsid w:val="006E5B8E"/>
    <w:rsid w:val="006E5C4D"/>
    <w:rsid w:val="006E5ED8"/>
    <w:rsid w:val="006E5F7B"/>
    <w:rsid w:val="006E61CF"/>
    <w:rsid w:val="006E645E"/>
    <w:rsid w:val="006E6534"/>
    <w:rsid w:val="006E6571"/>
    <w:rsid w:val="006E6606"/>
    <w:rsid w:val="006E6739"/>
    <w:rsid w:val="006E6813"/>
    <w:rsid w:val="006E6AF6"/>
    <w:rsid w:val="006E6BDB"/>
    <w:rsid w:val="006E71E1"/>
    <w:rsid w:val="006E72DD"/>
    <w:rsid w:val="006E7301"/>
    <w:rsid w:val="006E74B1"/>
    <w:rsid w:val="006E7542"/>
    <w:rsid w:val="006E78BD"/>
    <w:rsid w:val="006E7B8A"/>
    <w:rsid w:val="006E7C3D"/>
    <w:rsid w:val="006E7C9A"/>
    <w:rsid w:val="006F014B"/>
    <w:rsid w:val="006F0335"/>
    <w:rsid w:val="006F04AB"/>
    <w:rsid w:val="006F08EB"/>
    <w:rsid w:val="006F0AC6"/>
    <w:rsid w:val="006F0CE7"/>
    <w:rsid w:val="006F0D18"/>
    <w:rsid w:val="006F0DA4"/>
    <w:rsid w:val="006F1285"/>
    <w:rsid w:val="006F12AF"/>
    <w:rsid w:val="006F1362"/>
    <w:rsid w:val="006F14E1"/>
    <w:rsid w:val="006F161D"/>
    <w:rsid w:val="006F1634"/>
    <w:rsid w:val="006F168A"/>
    <w:rsid w:val="006F182A"/>
    <w:rsid w:val="006F1863"/>
    <w:rsid w:val="006F1BAA"/>
    <w:rsid w:val="006F1F6D"/>
    <w:rsid w:val="006F2293"/>
    <w:rsid w:val="006F2375"/>
    <w:rsid w:val="006F23B5"/>
    <w:rsid w:val="006F261E"/>
    <w:rsid w:val="006F2818"/>
    <w:rsid w:val="006F2AD1"/>
    <w:rsid w:val="006F2B22"/>
    <w:rsid w:val="006F2B2B"/>
    <w:rsid w:val="006F2E23"/>
    <w:rsid w:val="006F2EF1"/>
    <w:rsid w:val="006F2EF4"/>
    <w:rsid w:val="006F2F26"/>
    <w:rsid w:val="006F2FF4"/>
    <w:rsid w:val="006F30CD"/>
    <w:rsid w:val="006F321E"/>
    <w:rsid w:val="006F332A"/>
    <w:rsid w:val="006F33EF"/>
    <w:rsid w:val="006F367D"/>
    <w:rsid w:val="006F3823"/>
    <w:rsid w:val="006F39E1"/>
    <w:rsid w:val="006F3BA6"/>
    <w:rsid w:val="006F3C3A"/>
    <w:rsid w:val="006F3C9B"/>
    <w:rsid w:val="006F3F72"/>
    <w:rsid w:val="006F4478"/>
    <w:rsid w:val="006F4596"/>
    <w:rsid w:val="006F45C0"/>
    <w:rsid w:val="006F4611"/>
    <w:rsid w:val="006F4980"/>
    <w:rsid w:val="006F4B33"/>
    <w:rsid w:val="006F5581"/>
    <w:rsid w:val="006F561F"/>
    <w:rsid w:val="006F566B"/>
    <w:rsid w:val="006F5813"/>
    <w:rsid w:val="006F5880"/>
    <w:rsid w:val="006F5A1F"/>
    <w:rsid w:val="006F5B51"/>
    <w:rsid w:val="006F5CB6"/>
    <w:rsid w:val="006F5CD2"/>
    <w:rsid w:val="006F63C9"/>
    <w:rsid w:val="006F644D"/>
    <w:rsid w:val="006F678D"/>
    <w:rsid w:val="006F6E03"/>
    <w:rsid w:val="006F6E2B"/>
    <w:rsid w:val="006F6F1F"/>
    <w:rsid w:val="006F6F8F"/>
    <w:rsid w:val="006F75E3"/>
    <w:rsid w:val="006F76B3"/>
    <w:rsid w:val="006F76C3"/>
    <w:rsid w:val="006F76EF"/>
    <w:rsid w:val="006F7818"/>
    <w:rsid w:val="006F7838"/>
    <w:rsid w:val="006F7A26"/>
    <w:rsid w:val="006F7D19"/>
    <w:rsid w:val="006F7D72"/>
    <w:rsid w:val="006F7EA8"/>
    <w:rsid w:val="006F7FC9"/>
    <w:rsid w:val="00700259"/>
    <w:rsid w:val="00700799"/>
    <w:rsid w:val="007008D2"/>
    <w:rsid w:val="00700C07"/>
    <w:rsid w:val="00700E8F"/>
    <w:rsid w:val="0070103A"/>
    <w:rsid w:val="00701149"/>
    <w:rsid w:val="0070132A"/>
    <w:rsid w:val="007014E8"/>
    <w:rsid w:val="00701553"/>
    <w:rsid w:val="0070168E"/>
    <w:rsid w:val="00701819"/>
    <w:rsid w:val="00701992"/>
    <w:rsid w:val="007019CD"/>
    <w:rsid w:val="00701DE4"/>
    <w:rsid w:val="00702081"/>
    <w:rsid w:val="00702212"/>
    <w:rsid w:val="00702364"/>
    <w:rsid w:val="00702770"/>
    <w:rsid w:val="00702795"/>
    <w:rsid w:val="00702ACE"/>
    <w:rsid w:val="007030F8"/>
    <w:rsid w:val="0070310D"/>
    <w:rsid w:val="00703124"/>
    <w:rsid w:val="0070319E"/>
    <w:rsid w:val="00703370"/>
    <w:rsid w:val="007033A7"/>
    <w:rsid w:val="00703511"/>
    <w:rsid w:val="0070361C"/>
    <w:rsid w:val="00703858"/>
    <w:rsid w:val="007038D3"/>
    <w:rsid w:val="0070392F"/>
    <w:rsid w:val="00703964"/>
    <w:rsid w:val="00703A5E"/>
    <w:rsid w:val="00703A71"/>
    <w:rsid w:val="00703E12"/>
    <w:rsid w:val="00704277"/>
    <w:rsid w:val="007043D2"/>
    <w:rsid w:val="00704476"/>
    <w:rsid w:val="007044CF"/>
    <w:rsid w:val="007045F7"/>
    <w:rsid w:val="007046D0"/>
    <w:rsid w:val="00704A7F"/>
    <w:rsid w:val="00704B0E"/>
    <w:rsid w:val="00704CC2"/>
    <w:rsid w:val="00704E5C"/>
    <w:rsid w:val="00704F21"/>
    <w:rsid w:val="007053D9"/>
    <w:rsid w:val="00705553"/>
    <w:rsid w:val="0070561E"/>
    <w:rsid w:val="00705859"/>
    <w:rsid w:val="00705993"/>
    <w:rsid w:val="0070641D"/>
    <w:rsid w:val="007064E5"/>
    <w:rsid w:val="00706582"/>
    <w:rsid w:val="00706801"/>
    <w:rsid w:val="00706B59"/>
    <w:rsid w:val="00706B8C"/>
    <w:rsid w:val="00706EC7"/>
    <w:rsid w:val="00706F8C"/>
    <w:rsid w:val="00707187"/>
    <w:rsid w:val="007074E7"/>
    <w:rsid w:val="00707617"/>
    <w:rsid w:val="007077B6"/>
    <w:rsid w:val="007078C0"/>
    <w:rsid w:val="00707DF6"/>
    <w:rsid w:val="00707F83"/>
    <w:rsid w:val="007100C0"/>
    <w:rsid w:val="00710245"/>
    <w:rsid w:val="00710315"/>
    <w:rsid w:val="007104CD"/>
    <w:rsid w:val="007104F8"/>
    <w:rsid w:val="00710511"/>
    <w:rsid w:val="007105B5"/>
    <w:rsid w:val="007108E8"/>
    <w:rsid w:val="00710AAC"/>
    <w:rsid w:val="00710AC3"/>
    <w:rsid w:val="00710C62"/>
    <w:rsid w:val="00710D72"/>
    <w:rsid w:val="00710F0C"/>
    <w:rsid w:val="00710F83"/>
    <w:rsid w:val="00711156"/>
    <w:rsid w:val="00711169"/>
    <w:rsid w:val="00711324"/>
    <w:rsid w:val="007115E5"/>
    <w:rsid w:val="00711AFD"/>
    <w:rsid w:val="00711CDB"/>
    <w:rsid w:val="00711CEC"/>
    <w:rsid w:val="00711DB7"/>
    <w:rsid w:val="00712610"/>
    <w:rsid w:val="007128BC"/>
    <w:rsid w:val="00712A93"/>
    <w:rsid w:val="00712B18"/>
    <w:rsid w:val="00712E49"/>
    <w:rsid w:val="00713058"/>
    <w:rsid w:val="007130C2"/>
    <w:rsid w:val="00713132"/>
    <w:rsid w:val="007131EA"/>
    <w:rsid w:val="007132CB"/>
    <w:rsid w:val="00713412"/>
    <w:rsid w:val="0071345D"/>
    <w:rsid w:val="0071370A"/>
    <w:rsid w:val="007138CD"/>
    <w:rsid w:val="007140F0"/>
    <w:rsid w:val="00714300"/>
    <w:rsid w:val="007145B3"/>
    <w:rsid w:val="0071497B"/>
    <w:rsid w:val="00714A81"/>
    <w:rsid w:val="00714B4F"/>
    <w:rsid w:val="00714D00"/>
    <w:rsid w:val="00714D09"/>
    <w:rsid w:val="00714D0C"/>
    <w:rsid w:val="00714DA7"/>
    <w:rsid w:val="00714DB5"/>
    <w:rsid w:val="00715054"/>
    <w:rsid w:val="00715434"/>
    <w:rsid w:val="00715468"/>
    <w:rsid w:val="00715551"/>
    <w:rsid w:val="0071569B"/>
    <w:rsid w:val="007157B7"/>
    <w:rsid w:val="007158FC"/>
    <w:rsid w:val="00715AD2"/>
    <w:rsid w:val="00715E6B"/>
    <w:rsid w:val="007161D6"/>
    <w:rsid w:val="00716233"/>
    <w:rsid w:val="007163A8"/>
    <w:rsid w:val="007163AB"/>
    <w:rsid w:val="00716482"/>
    <w:rsid w:val="00716555"/>
    <w:rsid w:val="0071656A"/>
    <w:rsid w:val="0071680A"/>
    <w:rsid w:val="00716840"/>
    <w:rsid w:val="00716A65"/>
    <w:rsid w:val="00716AE7"/>
    <w:rsid w:val="00716C6E"/>
    <w:rsid w:val="00717333"/>
    <w:rsid w:val="007177EB"/>
    <w:rsid w:val="007200CE"/>
    <w:rsid w:val="0072015E"/>
    <w:rsid w:val="00720399"/>
    <w:rsid w:val="007204E3"/>
    <w:rsid w:val="007205F0"/>
    <w:rsid w:val="007206DF"/>
    <w:rsid w:val="007207ED"/>
    <w:rsid w:val="00720928"/>
    <w:rsid w:val="0072092E"/>
    <w:rsid w:val="0072099B"/>
    <w:rsid w:val="00720C6F"/>
    <w:rsid w:val="00720CD9"/>
    <w:rsid w:val="00720FBA"/>
    <w:rsid w:val="00720FBC"/>
    <w:rsid w:val="007210F6"/>
    <w:rsid w:val="00721126"/>
    <w:rsid w:val="0072129B"/>
    <w:rsid w:val="0072134C"/>
    <w:rsid w:val="007213F5"/>
    <w:rsid w:val="0072151C"/>
    <w:rsid w:val="0072153F"/>
    <w:rsid w:val="007216D6"/>
    <w:rsid w:val="00721779"/>
    <w:rsid w:val="007217B1"/>
    <w:rsid w:val="00721A88"/>
    <w:rsid w:val="00721BE6"/>
    <w:rsid w:val="00721D75"/>
    <w:rsid w:val="0072226F"/>
    <w:rsid w:val="007222BE"/>
    <w:rsid w:val="007224C6"/>
    <w:rsid w:val="00722508"/>
    <w:rsid w:val="00722553"/>
    <w:rsid w:val="007228D5"/>
    <w:rsid w:val="00722AFB"/>
    <w:rsid w:val="00722C89"/>
    <w:rsid w:val="0072315C"/>
    <w:rsid w:val="00723272"/>
    <w:rsid w:val="0072336C"/>
    <w:rsid w:val="007234CA"/>
    <w:rsid w:val="0072369B"/>
    <w:rsid w:val="00723DCD"/>
    <w:rsid w:val="00723F13"/>
    <w:rsid w:val="007240C7"/>
    <w:rsid w:val="00724211"/>
    <w:rsid w:val="00724324"/>
    <w:rsid w:val="00724328"/>
    <w:rsid w:val="00724384"/>
    <w:rsid w:val="00724422"/>
    <w:rsid w:val="007246D8"/>
    <w:rsid w:val="007248D6"/>
    <w:rsid w:val="00724A88"/>
    <w:rsid w:val="00724C04"/>
    <w:rsid w:val="00724D93"/>
    <w:rsid w:val="00724EA0"/>
    <w:rsid w:val="00724ED0"/>
    <w:rsid w:val="007256FC"/>
    <w:rsid w:val="00725B35"/>
    <w:rsid w:val="00725B53"/>
    <w:rsid w:val="00725E31"/>
    <w:rsid w:val="00725F10"/>
    <w:rsid w:val="007261FF"/>
    <w:rsid w:val="0072659A"/>
    <w:rsid w:val="007267C1"/>
    <w:rsid w:val="00726A43"/>
    <w:rsid w:val="00726A91"/>
    <w:rsid w:val="00726B2F"/>
    <w:rsid w:val="00726EDF"/>
    <w:rsid w:val="007270FD"/>
    <w:rsid w:val="00727100"/>
    <w:rsid w:val="00727341"/>
    <w:rsid w:val="00727775"/>
    <w:rsid w:val="00727867"/>
    <w:rsid w:val="00727868"/>
    <w:rsid w:val="00727C29"/>
    <w:rsid w:val="00730193"/>
    <w:rsid w:val="00730582"/>
    <w:rsid w:val="007307A8"/>
    <w:rsid w:val="007309A8"/>
    <w:rsid w:val="00730A23"/>
    <w:rsid w:val="00730AF2"/>
    <w:rsid w:val="00730B5E"/>
    <w:rsid w:val="00730BC7"/>
    <w:rsid w:val="0073116D"/>
    <w:rsid w:val="007311CE"/>
    <w:rsid w:val="007311FA"/>
    <w:rsid w:val="00731737"/>
    <w:rsid w:val="007317D1"/>
    <w:rsid w:val="007319F0"/>
    <w:rsid w:val="00731A09"/>
    <w:rsid w:val="00731C61"/>
    <w:rsid w:val="00731D52"/>
    <w:rsid w:val="0073200F"/>
    <w:rsid w:val="0073213D"/>
    <w:rsid w:val="007321E5"/>
    <w:rsid w:val="007322F1"/>
    <w:rsid w:val="007324D0"/>
    <w:rsid w:val="0073256A"/>
    <w:rsid w:val="007325C6"/>
    <w:rsid w:val="007326CA"/>
    <w:rsid w:val="007327D4"/>
    <w:rsid w:val="0073297E"/>
    <w:rsid w:val="00732B63"/>
    <w:rsid w:val="00732CB3"/>
    <w:rsid w:val="00732E51"/>
    <w:rsid w:val="00732EFB"/>
    <w:rsid w:val="007330F6"/>
    <w:rsid w:val="007332C7"/>
    <w:rsid w:val="00733594"/>
    <w:rsid w:val="007335B7"/>
    <w:rsid w:val="0073368B"/>
    <w:rsid w:val="0073379A"/>
    <w:rsid w:val="00733AAC"/>
    <w:rsid w:val="00733DA8"/>
    <w:rsid w:val="00733DBC"/>
    <w:rsid w:val="0073402F"/>
    <w:rsid w:val="007342C0"/>
    <w:rsid w:val="007343A6"/>
    <w:rsid w:val="007343F6"/>
    <w:rsid w:val="0073448C"/>
    <w:rsid w:val="00734524"/>
    <w:rsid w:val="00734951"/>
    <w:rsid w:val="00734A44"/>
    <w:rsid w:val="00734B5F"/>
    <w:rsid w:val="00734C6E"/>
    <w:rsid w:val="007351EA"/>
    <w:rsid w:val="00735200"/>
    <w:rsid w:val="00735567"/>
    <w:rsid w:val="007355AB"/>
    <w:rsid w:val="00735BF8"/>
    <w:rsid w:val="00735D4C"/>
    <w:rsid w:val="00735EC4"/>
    <w:rsid w:val="007368FE"/>
    <w:rsid w:val="00736AB5"/>
    <w:rsid w:val="00736BD1"/>
    <w:rsid w:val="00736F4B"/>
    <w:rsid w:val="007370B9"/>
    <w:rsid w:val="007373B5"/>
    <w:rsid w:val="007376C5"/>
    <w:rsid w:val="0073775E"/>
    <w:rsid w:val="007378AB"/>
    <w:rsid w:val="00737AF5"/>
    <w:rsid w:val="00737BC4"/>
    <w:rsid w:val="00737CE4"/>
    <w:rsid w:val="007401FF"/>
    <w:rsid w:val="0074043A"/>
    <w:rsid w:val="007408AF"/>
    <w:rsid w:val="00740DEE"/>
    <w:rsid w:val="00740EC2"/>
    <w:rsid w:val="00740F18"/>
    <w:rsid w:val="00740F98"/>
    <w:rsid w:val="007410BC"/>
    <w:rsid w:val="00741684"/>
    <w:rsid w:val="00741725"/>
    <w:rsid w:val="00741D9C"/>
    <w:rsid w:val="00741DF3"/>
    <w:rsid w:val="00741FE9"/>
    <w:rsid w:val="007420E1"/>
    <w:rsid w:val="0074210A"/>
    <w:rsid w:val="00742254"/>
    <w:rsid w:val="00742464"/>
    <w:rsid w:val="007424A3"/>
    <w:rsid w:val="00742505"/>
    <w:rsid w:val="00742550"/>
    <w:rsid w:val="00742782"/>
    <w:rsid w:val="00742A73"/>
    <w:rsid w:val="00742EB9"/>
    <w:rsid w:val="007430C3"/>
    <w:rsid w:val="007432E2"/>
    <w:rsid w:val="00743418"/>
    <w:rsid w:val="0074366B"/>
    <w:rsid w:val="007437E0"/>
    <w:rsid w:val="007438B9"/>
    <w:rsid w:val="00743965"/>
    <w:rsid w:val="00743B7C"/>
    <w:rsid w:val="00743D21"/>
    <w:rsid w:val="00744056"/>
    <w:rsid w:val="00744158"/>
    <w:rsid w:val="00744332"/>
    <w:rsid w:val="007446A4"/>
    <w:rsid w:val="00744A6C"/>
    <w:rsid w:val="00744D60"/>
    <w:rsid w:val="00744DE4"/>
    <w:rsid w:val="00745C6A"/>
    <w:rsid w:val="00745E0E"/>
    <w:rsid w:val="00745EE5"/>
    <w:rsid w:val="00746448"/>
    <w:rsid w:val="00746654"/>
    <w:rsid w:val="0074684C"/>
    <w:rsid w:val="00746A0E"/>
    <w:rsid w:val="00746B50"/>
    <w:rsid w:val="00746CF3"/>
    <w:rsid w:val="00746D64"/>
    <w:rsid w:val="00746EC3"/>
    <w:rsid w:val="007471E2"/>
    <w:rsid w:val="00747288"/>
    <w:rsid w:val="007472B3"/>
    <w:rsid w:val="00747360"/>
    <w:rsid w:val="00747595"/>
    <w:rsid w:val="007478EF"/>
    <w:rsid w:val="00747B07"/>
    <w:rsid w:val="00747BA9"/>
    <w:rsid w:val="00747C47"/>
    <w:rsid w:val="00750019"/>
    <w:rsid w:val="00750041"/>
    <w:rsid w:val="007501B7"/>
    <w:rsid w:val="007501D3"/>
    <w:rsid w:val="007505B8"/>
    <w:rsid w:val="0075070D"/>
    <w:rsid w:val="0075076C"/>
    <w:rsid w:val="00750A8D"/>
    <w:rsid w:val="00750AA2"/>
    <w:rsid w:val="00750B5A"/>
    <w:rsid w:val="00750B9C"/>
    <w:rsid w:val="00750BAB"/>
    <w:rsid w:val="00750BDC"/>
    <w:rsid w:val="007512F0"/>
    <w:rsid w:val="007513AA"/>
    <w:rsid w:val="007514D7"/>
    <w:rsid w:val="00751681"/>
    <w:rsid w:val="00751904"/>
    <w:rsid w:val="00751A70"/>
    <w:rsid w:val="00752039"/>
    <w:rsid w:val="00752641"/>
    <w:rsid w:val="00752679"/>
    <w:rsid w:val="00752E59"/>
    <w:rsid w:val="00752EDF"/>
    <w:rsid w:val="007530B4"/>
    <w:rsid w:val="007531EB"/>
    <w:rsid w:val="0075351C"/>
    <w:rsid w:val="007535B4"/>
    <w:rsid w:val="00753646"/>
    <w:rsid w:val="007537AC"/>
    <w:rsid w:val="00753920"/>
    <w:rsid w:val="007539DF"/>
    <w:rsid w:val="00753A8C"/>
    <w:rsid w:val="00753B75"/>
    <w:rsid w:val="00753CE4"/>
    <w:rsid w:val="00753EDE"/>
    <w:rsid w:val="00754171"/>
    <w:rsid w:val="0075459D"/>
    <w:rsid w:val="0075484B"/>
    <w:rsid w:val="0075489A"/>
    <w:rsid w:val="00754B71"/>
    <w:rsid w:val="0075514E"/>
    <w:rsid w:val="007552D0"/>
    <w:rsid w:val="00755743"/>
    <w:rsid w:val="00755864"/>
    <w:rsid w:val="007558AF"/>
    <w:rsid w:val="00755A2C"/>
    <w:rsid w:val="00755B7E"/>
    <w:rsid w:val="00755B96"/>
    <w:rsid w:val="00755BF2"/>
    <w:rsid w:val="00755DA1"/>
    <w:rsid w:val="00755DED"/>
    <w:rsid w:val="00755FA4"/>
    <w:rsid w:val="0075604F"/>
    <w:rsid w:val="0075633A"/>
    <w:rsid w:val="007564B8"/>
    <w:rsid w:val="00756A06"/>
    <w:rsid w:val="00756D76"/>
    <w:rsid w:val="00756E3C"/>
    <w:rsid w:val="007572D4"/>
    <w:rsid w:val="007572DE"/>
    <w:rsid w:val="0075766E"/>
    <w:rsid w:val="007576D2"/>
    <w:rsid w:val="00757A5E"/>
    <w:rsid w:val="00757A69"/>
    <w:rsid w:val="00757AF7"/>
    <w:rsid w:val="00757C92"/>
    <w:rsid w:val="00757D1B"/>
    <w:rsid w:val="007601DD"/>
    <w:rsid w:val="0076075A"/>
    <w:rsid w:val="00760885"/>
    <w:rsid w:val="00760BDA"/>
    <w:rsid w:val="00760E68"/>
    <w:rsid w:val="00760E78"/>
    <w:rsid w:val="00760F8C"/>
    <w:rsid w:val="00761163"/>
    <w:rsid w:val="00761896"/>
    <w:rsid w:val="00761958"/>
    <w:rsid w:val="00761DDE"/>
    <w:rsid w:val="00762085"/>
    <w:rsid w:val="007622E9"/>
    <w:rsid w:val="007622ED"/>
    <w:rsid w:val="007622F5"/>
    <w:rsid w:val="00762489"/>
    <w:rsid w:val="007626AE"/>
    <w:rsid w:val="0076294D"/>
    <w:rsid w:val="00762D5E"/>
    <w:rsid w:val="00763102"/>
    <w:rsid w:val="00763529"/>
    <w:rsid w:val="0076360A"/>
    <w:rsid w:val="007636F0"/>
    <w:rsid w:val="0076373A"/>
    <w:rsid w:val="00763984"/>
    <w:rsid w:val="00763C48"/>
    <w:rsid w:val="00763CDF"/>
    <w:rsid w:val="00763D78"/>
    <w:rsid w:val="00763F1E"/>
    <w:rsid w:val="00764027"/>
    <w:rsid w:val="00764031"/>
    <w:rsid w:val="00764357"/>
    <w:rsid w:val="007643F4"/>
    <w:rsid w:val="007646F8"/>
    <w:rsid w:val="0076490B"/>
    <w:rsid w:val="00764A64"/>
    <w:rsid w:val="00764A7A"/>
    <w:rsid w:val="00764B2F"/>
    <w:rsid w:val="00764D06"/>
    <w:rsid w:val="00764D3B"/>
    <w:rsid w:val="00765052"/>
    <w:rsid w:val="00765751"/>
    <w:rsid w:val="007658F4"/>
    <w:rsid w:val="00765A50"/>
    <w:rsid w:val="00765BCC"/>
    <w:rsid w:val="00765DB3"/>
    <w:rsid w:val="00765DD9"/>
    <w:rsid w:val="00766131"/>
    <w:rsid w:val="00766311"/>
    <w:rsid w:val="007663C8"/>
    <w:rsid w:val="007666AC"/>
    <w:rsid w:val="00766707"/>
    <w:rsid w:val="007668D4"/>
    <w:rsid w:val="00766C9A"/>
    <w:rsid w:val="007670D7"/>
    <w:rsid w:val="007671A1"/>
    <w:rsid w:val="007671D1"/>
    <w:rsid w:val="00767386"/>
    <w:rsid w:val="007679B3"/>
    <w:rsid w:val="007679C8"/>
    <w:rsid w:val="00767AA3"/>
    <w:rsid w:val="00767BC9"/>
    <w:rsid w:val="00767CF6"/>
    <w:rsid w:val="00767F21"/>
    <w:rsid w:val="00770030"/>
    <w:rsid w:val="007704FB"/>
    <w:rsid w:val="00770548"/>
    <w:rsid w:val="00770627"/>
    <w:rsid w:val="00770E14"/>
    <w:rsid w:val="00770F55"/>
    <w:rsid w:val="007712F6"/>
    <w:rsid w:val="0077143E"/>
    <w:rsid w:val="00771AC0"/>
    <w:rsid w:val="00771AF5"/>
    <w:rsid w:val="00771B46"/>
    <w:rsid w:val="00771CEA"/>
    <w:rsid w:val="00771CF2"/>
    <w:rsid w:val="007720DD"/>
    <w:rsid w:val="0077215F"/>
    <w:rsid w:val="007723B6"/>
    <w:rsid w:val="007723B8"/>
    <w:rsid w:val="0077267E"/>
    <w:rsid w:val="007728E8"/>
    <w:rsid w:val="00772C0D"/>
    <w:rsid w:val="00772D04"/>
    <w:rsid w:val="00772EE2"/>
    <w:rsid w:val="00773180"/>
    <w:rsid w:val="007731C7"/>
    <w:rsid w:val="00773368"/>
    <w:rsid w:val="007735F8"/>
    <w:rsid w:val="00773673"/>
    <w:rsid w:val="0077378D"/>
    <w:rsid w:val="0077378E"/>
    <w:rsid w:val="00773965"/>
    <w:rsid w:val="00773A73"/>
    <w:rsid w:val="00773B66"/>
    <w:rsid w:val="00773C44"/>
    <w:rsid w:val="00773D10"/>
    <w:rsid w:val="00773ED6"/>
    <w:rsid w:val="00774254"/>
    <w:rsid w:val="00774282"/>
    <w:rsid w:val="0077433B"/>
    <w:rsid w:val="007743B0"/>
    <w:rsid w:val="0077453E"/>
    <w:rsid w:val="007745BE"/>
    <w:rsid w:val="007745F7"/>
    <w:rsid w:val="00774780"/>
    <w:rsid w:val="007748CB"/>
    <w:rsid w:val="00774B77"/>
    <w:rsid w:val="00774BA6"/>
    <w:rsid w:val="00774DEB"/>
    <w:rsid w:val="00774E18"/>
    <w:rsid w:val="0077501E"/>
    <w:rsid w:val="007751EB"/>
    <w:rsid w:val="0077549D"/>
    <w:rsid w:val="007755A5"/>
    <w:rsid w:val="00775741"/>
    <w:rsid w:val="0077591C"/>
    <w:rsid w:val="00775936"/>
    <w:rsid w:val="00775A5F"/>
    <w:rsid w:val="00775B59"/>
    <w:rsid w:val="00775C76"/>
    <w:rsid w:val="00775D9D"/>
    <w:rsid w:val="00775F25"/>
    <w:rsid w:val="0077601C"/>
    <w:rsid w:val="00776459"/>
    <w:rsid w:val="007765F3"/>
    <w:rsid w:val="007770D1"/>
    <w:rsid w:val="007771B3"/>
    <w:rsid w:val="0077734C"/>
    <w:rsid w:val="0077755A"/>
    <w:rsid w:val="00777620"/>
    <w:rsid w:val="00777668"/>
    <w:rsid w:val="00777794"/>
    <w:rsid w:val="00777B1F"/>
    <w:rsid w:val="00777ECF"/>
    <w:rsid w:val="00780075"/>
    <w:rsid w:val="007801EA"/>
    <w:rsid w:val="00780214"/>
    <w:rsid w:val="007804B7"/>
    <w:rsid w:val="0078056E"/>
    <w:rsid w:val="00780570"/>
    <w:rsid w:val="00780583"/>
    <w:rsid w:val="00780842"/>
    <w:rsid w:val="00780995"/>
    <w:rsid w:val="007809A3"/>
    <w:rsid w:val="007809FE"/>
    <w:rsid w:val="00780A1C"/>
    <w:rsid w:val="00780AC4"/>
    <w:rsid w:val="00780B0E"/>
    <w:rsid w:val="00780FCD"/>
    <w:rsid w:val="007813B9"/>
    <w:rsid w:val="0078169F"/>
    <w:rsid w:val="007816C1"/>
    <w:rsid w:val="00781748"/>
    <w:rsid w:val="0078178C"/>
    <w:rsid w:val="007817E0"/>
    <w:rsid w:val="00781A24"/>
    <w:rsid w:val="00781CB2"/>
    <w:rsid w:val="00781CB7"/>
    <w:rsid w:val="0078236E"/>
    <w:rsid w:val="0078248C"/>
    <w:rsid w:val="0078257A"/>
    <w:rsid w:val="00782668"/>
    <w:rsid w:val="00782770"/>
    <w:rsid w:val="00782B5A"/>
    <w:rsid w:val="00783000"/>
    <w:rsid w:val="0078315D"/>
    <w:rsid w:val="007834E1"/>
    <w:rsid w:val="007834FA"/>
    <w:rsid w:val="0078362C"/>
    <w:rsid w:val="00783644"/>
    <w:rsid w:val="00783682"/>
    <w:rsid w:val="0078380D"/>
    <w:rsid w:val="00783B8C"/>
    <w:rsid w:val="00783F40"/>
    <w:rsid w:val="00784126"/>
    <w:rsid w:val="00784501"/>
    <w:rsid w:val="007846DE"/>
    <w:rsid w:val="00784717"/>
    <w:rsid w:val="00784728"/>
    <w:rsid w:val="0078483B"/>
    <w:rsid w:val="00784A8E"/>
    <w:rsid w:val="00784AA6"/>
    <w:rsid w:val="00785127"/>
    <w:rsid w:val="00785457"/>
    <w:rsid w:val="0078587E"/>
    <w:rsid w:val="00785A07"/>
    <w:rsid w:val="00785B8B"/>
    <w:rsid w:val="00785BA7"/>
    <w:rsid w:val="00785D86"/>
    <w:rsid w:val="0078610A"/>
    <w:rsid w:val="007861F2"/>
    <w:rsid w:val="0078624D"/>
    <w:rsid w:val="00786511"/>
    <w:rsid w:val="007865FC"/>
    <w:rsid w:val="007866C5"/>
    <w:rsid w:val="0078699E"/>
    <w:rsid w:val="007869E8"/>
    <w:rsid w:val="00786BF2"/>
    <w:rsid w:val="00786C44"/>
    <w:rsid w:val="00786D77"/>
    <w:rsid w:val="00786F2D"/>
    <w:rsid w:val="00787199"/>
    <w:rsid w:val="007875F0"/>
    <w:rsid w:val="0078761D"/>
    <w:rsid w:val="00787A65"/>
    <w:rsid w:val="00787AD3"/>
    <w:rsid w:val="00787E35"/>
    <w:rsid w:val="007901C8"/>
    <w:rsid w:val="007903BB"/>
    <w:rsid w:val="00790512"/>
    <w:rsid w:val="007906FD"/>
    <w:rsid w:val="007907CD"/>
    <w:rsid w:val="00790B8C"/>
    <w:rsid w:val="00790BB1"/>
    <w:rsid w:val="00790E03"/>
    <w:rsid w:val="00790F95"/>
    <w:rsid w:val="007910FF"/>
    <w:rsid w:val="007913A3"/>
    <w:rsid w:val="00791862"/>
    <w:rsid w:val="007918DB"/>
    <w:rsid w:val="00791AC0"/>
    <w:rsid w:val="00791C90"/>
    <w:rsid w:val="00791E3F"/>
    <w:rsid w:val="0079217C"/>
    <w:rsid w:val="007924C8"/>
    <w:rsid w:val="007927AB"/>
    <w:rsid w:val="0079288F"/>
    <w:rsid w:val="00792ADB"/>
    <w:rsid w:val="00792B7B"/>
    <w:rsid w:val="00792BBC"/>
    <w:rsid w:val="00792CE9"/>
    <w:rsid w:val="00793062"/>
    <w:rsid w:val="00793090"/>
    <w:rsid w:val="0079312D"/>
    <w:rsid w:val="00793510"/>
    <w:rsid w:val="007938E4"/>
    <w:rsid w:val="00793A3A"/>
    <w:rsid w:val="00793A6F"/>
    <w:rsid w:val="00793B08"/>
    <w:rsid w:val="00793BC9"/>
    <w:rsid w:val="00793BFA"/>
    <w:rsid w:val="00794107"/>
    <w:rsid w:val="007941F6"/>
    <w:rsid w:val="00794629"/>
    <w:rsid w:val="00794831"/>
    <w:rsid w:val="00794832"/>
    <w:rsid w:val="00794A2F"/>
    <w:rsid w:val="00794E54"/>
    <w:rsid w:val="007955CE"/>
    <w:rsid w:val="00795927"/>
    <w:rsid w:val="00795A3A"/>
    <w:rsid w:val="00795A95"/>
    <w:rsid w:val="00795AB3"/>
    <w:rsid w:val="00795B7C"/>
    <w:rsid w:val="00796492"/>
    <w:rsid w:val="00796A55"/>
    <w:rsid w:val="00796B9B"/>
    <w:rsid w:val="007971B5"/>
    <w:rsid w:val="00797809"/>
    <w:rsid w:val="0079797F"/>
    <w:rsid w:val="007979BB"/>
    <w:rsid w:val="00797D90"/>
    <w:rsid w:val="00797E4C"/>
    <w:rsid w:val="007A03A5"/>
    <w:rsid w:val="007A04D0"/>
    <w:rsid w:val="007A0664"/>
    <w:rsid w:val="007A072B"/>
    <w:rsid w:val="007A0836"/>
    <w:rsid w:val="007A087D"/>
    <w:rsid w:val="007A09BB"/>
    <w:rsid w:val="007A0B17"/>
    <w:rsid w:val="007A0BF5"/>
    <w:rsid w:val="007A0DD5"/>
    <w:rsid w:val="007A0DE6"/>
    <w:rsid w:val="007A0EB5"/>
    <w:rsid w:val="007A1396"/>
    <w:rsid w:val="007A18F9"/>
    <w:rsid w:val="007A1A89"/>
    <w:rsid w:val="007A1D83"/>
    <w:rsid w:val="007A1DC6"/>
    <w:rsid w:val="007A209B"/>
    <w:rsid w:val="007A2442"/>
    <w:rsid w:val="007A2598"/>
    <w:rsid w:val="007A2940"/>
    <w:rsid w:val="007A2A54"/>
    <w:rsid w:val="007A2AEF"/>
    <w:rsid w:val="007A2D06"/>
    <w:rsid w:val="007A2D8F"/>
    <w:rsid w:val="007A2D9B"/>
    <w:rsid w:val="007A2E85"/>
    <w:rsid w:val="007A30E0"/>
    <w:rsid w:val="007A30E8"/>
    <w:rsid w:val="007A3298"/>
    <w:rsid w:val="007A355E"/>
    <w:rsid w:val="007A37C3"/>
    <w:rsid w:val="007A3A73"/>
    <w:rsid w:val="007A3E5C"/>
    <w:rsid w:val="007A3EE3"/>
    <w:rsid w:val="007A3F0B"/>
    <w:rsid w:val="007A3F49"/>
    <w:rsid w:val="007A41CB"/>
    <w:rsid w:val="007A4231"/>
    <w:rsid w:val="007A472B"/>
    <w:rsid w:val="007A477F"/>
    <w:rsid w:val="007A48EC"/>
    <w:rsid w:val="007A498D"/>
    <w:rsid w:val="007A4BFD"/>
    <w:rsid w:val="007A4F78"/>
    <w:rsid w:val="007A523E"/>
    <w:rsid w:val="007A5468"/>
    <w:rsid w:val="007A55BA"/>
    <w:rsid w:val="007A5A13"/>
    <w:rsid w:val="007A5AFB"/>
    <w:rsid w:val="007A5D9B"/>
    <w:rsid w:val="007A5DDE"/>
    <w:rsid w:val="007A61B1"/>
    <w:rsid w:val="007A627B"/>
    <w:rsid w:val="007A67CA"/>
    <w:rsid w:val="007A6A32"/>
    <w:rsid w:val="007A6E9B"/>
    <w:rsid w:val="007A6FE0"/>
    <w:rsid w:val="007A7157"/>
    <w:rsid w:val="007A725B"/>
    <w:rsid w:val="007A7470"/>
    <w:rsid w:val="007A75DC"/>
    <w:rsid w:val="007A788A"/>
    <w:rsid w:val="007A78C7"/>
    <w:rsid w:val="007A7BE5"/>
    <w:rsid w:val="007A7F0E"/>
    <w:rsid w:val="007B021D"/>
    <w:rsid w:val="007B0364"/>
    <w:rsid w:val="007B03E8"/>
    <w:rsid w:val="007B07C7"/>
    <w:rsid w:val="007B0919"/>
    <w:rsid w:val="007B0940"/>
    <w:rsid w:val="007B0AED"/>
    <w:rsid w:val="007B0BBF"/>
    <w:rsid w:val="007B0C64"/>
    <w:rsid w:val="007B1097"/>
    <w:rsid w:val="007B13DC"/>
    <w:rsid w:val="007B146F"/>
    <w:rsid w:val="007B15D7"/>
    <w:rsid w:val="007B1884"/>
    <w:rsid w:val="007B1B51"/>
    <w:rsid w:val="007B1EC9"/>
    <w:rsid w:val="007B21E9"/>
    <w:rsid w:val="007B2293"/>
    <w:rsid w:val="007B22E2"/>
    <w:rsid w:val="007B2512"/>
    <w:rsid w:val="007B2711"/>
    <w:rsid w:val="007B2863"/>
    <w:rsid w:val="007B29B4"/>
    <w:rsid w:val="007B2B05"/>
    <w:rsid w:val="007B3307"/>
    <w:rsid w:val="007B35B6"/>
    <w:rsid w:val="007B35CB"/>
    <w:rsid w:val="007B3743"/>
    <w:rsid w:val="007B37C6"/>
    <w:rsid w:val="007B37FF"/>
    <w:rsid w:val="007B387A"/>
    <w:rsid w:val="007B3B72"/>
    <w:rsid w:val="007B40AD"/>
    <w:rsid w:val="007B420E"/>
    <w:rsid w:val="007B42ED"/>
    <w:rsid w:val="007B45A5"/>
    <w:rsid w:val="007B49FF"/>
    <w:rsid w:val="007B4A4B"/>
    <w:rsid w:val="007B4BF3"/>
    <w:rsid w:val="007B5151"/>
    <w:rsid w:val="007B55C8"/>
    <w:rsid w:val="007B57C5"/>
    <w:rsid w:val="007B58C3"/>
    <w:rsid w:val="007B59F9"/>
    <w:rsid w:val="007B5B15"/>
    <w:rsid w:val="007B5CDD"/>
    <w:rsid w:val="007B5D96"/>
    <w:rsid w:val="007B5DC0"/>
    <w:rsid w:val="007B5E2F"/>
    <w:rsid w:val="007B61A4"/>
    <w:rsid w:val="007B62E3"/>
    <w:rsid w:val="007B636E"/>
    <w:rsid w:val="007B6449"/>
    <w:rsid w:val="007B68AF"/>
    <w:rsid w:val="007B68FC"/>
    <w:rsid w:val="007B6937"/>
    <w:rsid w:val="007B6A6A"/>
    <w:rsid w:val="007B6AAB"/>
    <w:rsid w:val="007B6BB4"/>
    <w:rsid w:val="007B7150"/>
    <w:rsid w:val="007B7931"/>
    <w:rsid w:val="007B7B16"/>
    <w:rsid w:val="007B7BAB"/>
    <w:rsid w:val="007C01B7"/>
    <w:rsid w:val="007C039A"/>
    <w:rsid w:val="007C04CD"/>
    <w:rsid w:val="007C050A"/>
    <w:rsid w:val="007C0522"/>
    <w:rsid w:val="007C071D"/>
    <w:rsid w:val="007C07EB"/>
    <w:rsid w:val="007C0816"/>
    <w:rsid w:val="007C0A4B"/>
    <w:rsid w:val="007C0B00"/>
    <w:rsid w:val="007C0D12"/>
    <w:rsid w:val="007C0D19"/>
    <w:rsid w:val="007C0D67"/>
    <w:rsid w:val="007C0F78"/>
    <w:rsid w:val="007C109C"/>
    <w:rsid w:val="007C11B3"/>
    <w:rsid w:val="007C1433"/>
    <w:rsid w:val="007C1469"/>
    <w:rsid w:val="007C16DC"/>
    <w:rsid w:val="007C16F9"/>
    <w:rsid w:val="007C1749"/>
    <w:rsid w:val="007C181D"/>
    <w:rsid w:val="007C1CB5"/>
    <w:rsid w:val="007C1D2D"/>
    <w:rsid w:val="007C1EC1"/>
    <w:rsid w:val="007C21EC"/>
    <w:rsid w:val="007C2296"/>
    <w:rsid w:val="007C23B6"/>
    <w:rsid w:val="007C2889"/>
    <w:rsid w:val="007C2AFA"/>
    <w:rsid w:val="007C2B3C"/>
    <w:rsid w:val="007C2F45"/>
    <w:rsid w:val="007C2FB6"/>
    <w:rsid w:val="007C3424"/>
    <w:rsid w:val="007C34F0"/>
    <w:rsid w:val="007C3634"/>
    <w:rsid w:val="007C367D"/>
    <w:rsid w:val="007C376E"/>
    <w:rsid w:val="007C376F"/>
    <w:rsid w:val="007C3855"/>
    <w:rsid w:val="007C38D0"/>
    <w:rsid w:val="007C39DA"/>
    <w:rsid w:val="007C3B0D"/>
    <w:rsid w:val="007C3C90"/>
    <w:rsid w:val="007C3E54"/>
    <w:rsid w:val="007C40E4"/>
    <w:rsid w:val="007C42AE"/>
    <w:rsid w:val="007C43AE"/>
    <w:rsid w:val="007C45E5"/>
    <w:rsid w:val="007C473F"/>
    <w:rsid w:val="007C477C"/>
    <w:rsid w:val="007C499B"/>
    <w:rsid w:val="007C4A8B"/>
    <w:rsid w:val="007C4E39"/>
    <w:rsid w:val="007C4FB1"/>
    <w:rsid w:val="007C5173"/>
    <w:rsid w:val="007C52DD"/>
    <w:rsid w:val="007C53E4"/>
    <w:rsid w:val="007C5611"/>
    <w:rsid w:val="007C56B7"/>
    <w:rsid w:val="007C5973"/>
    <w:rsid w:val="007C5A83"/>
    <w:rsid w:val="007C5D1C"/>
    <w:rsid w:val="007C6268"/>
    <w:rsid w:val="007C636D"/>
    <w:rsid w:val="007C65EF"/>
    <w:rsid w:val="007C6636"/>
    <w:rsid w:val="007C6CA6"/>
    <w:rsid w:val="007C7215"/>
    <w:rsid w:val="007C7300"/>
    <w:rsid w:val="007C7319"/>
    <w:rsid w:val="007C7467"/>
    <w:rsid w:val="007C7906"/>
    <w:rsid w:val="007C7B47"/>
    <w:rsid w:val="007C7B95"/>
    <w:rsid w:val="007C7BE1"/>
    <w:rsid w:val="007C7D7C"/>
    <w:rsid w:val="007C7EC1"/>
    <w:rsid w:val="007C7F8C"/>
    <w:rsid w:val="007D049B"/>
    <w:rsid w:val="007D0653"/>
    <w:rsid w:val="007D0882"/>
    <w:rsid w:val="007D08F7"/>
    <w:rsid w:val="007D094F"/>
    <w:rsid w:val="007D0AD4"/>
    <w:rsid w:val="007D0B2A"/>
    <w:rsid w:val="007D12E7"/>
    <w:rsid w:val="007D14E3"/>
    <w:rsid w:val="007D15B9"/>
    <w:rsid w:val="007D17E7"/>
    <w:rsid w:val="007D18EF"/>
    <w:rsid w:val="007D19FE"/>
    <w:rsid w:val="007D1ADC"/>
    <w:rsid w:val="007D1F00"/>
    <w:rsid w:val="007D2047"/>
    <w:rsid w:val="007D235E"/>
    <w:rsid w:val="007D246E"/>
    <w:rsid w:val="007D25D1"/>
    <w:rsid w:val="007D2619"/>
    <w:rsid w:val="007D275D"/>
    <w:rsid w:val="007D28E9"/>
    <w:rsid w:val="007D2EC1"/>
    <w:rsid w:val="007D2F2D"/>
    <w:rsid w:val="007D3311"/>
    <w:rsid w:val="007D3515"/>
    <w:rsid w:val="007D37F4"/>
    <w:rsid w:val="007D3B77"/>
    <w:rsid w:val="007D3B81"/>
    <w:rsid w:val="007D3BDA"/>
    <w:rsid w:val="007D3CD7"/>
    <w:rsid w:val="007D3F41"/>
    <w:rsid w:val="007D3FF5"/>
    <w:rsid w:val="007D402B"/>
    <w:rsid w:val="007D46CB"/>
    <w:rsid w:val="007D4976"/>
    <w:rsid w:val="007D49C2"/>
    <w:rsid w:val="007D4C35"/>
    <w:rsid w:val="007D50E5"/>
    <w:rsid w:val="007D591E"/>
    <w:rsid w:val="007D5E9D"/>
    <w:rsid w:val="007D6213"/>
    <w:rsid w:val="007D6238"/>
    <w:rsid w:val="007D6289"/>
    <w:rsid w:val="007D6428"/>
    <w:rsid w:val="007D683F"/>
    <w:rsid w:val="007D6DA0"/>
    <w:rsid w:val="007D6E7F"/>
    <w:rsid w:val="007D6F40"/>
    <w:rsid w:val="007D709F"/>
    <w:rsid w:val="007D74B6"/>
    <w:rsid w:val="007D7619"/>
    <w:rsid w:val="007D7930"/>
    <w:rsid w:val="007D7981"/>
    <w:rsid w:val="007D7988"/>
    <w:rsid w:val="007D7BD5"/>
    <w:rsid w:val="007D7DD1"/>
    <w:rsid w:val="007E0181"/>
    <w:rsid w:val="007E0237"/>
    <w:rsid w:val="007E058C"/>
    <w:rsid w:val="007E060B"/>
    <w:rsid w:val="007E0A75"/>
    <w:rsid w:val="007E0B36"/>
    <w:rsid w:val="007E0B74"/>
    <w:rsid w:val="007E0BE7"/>
    <w:rsid w:val="007E0CCF"/>
    <w:rsid w:val="007E0CE0"/>
    <w:rsid w:val="007E0CF7"/>
    <w:rsid w:val="007E0D2E"/>
    <w:rsid w:val="007E0D3C"/>
    <w:rsid w:val="007E0DA8"/>
    <w:rsid w:val="007E0E36"/>
    <w:rsid w:val="007E0E45"/>
    <w:rsid w:val="007E0F69"/>
    <w:rsid w:val="007E1074"/>
    <w:rsid w:val="007E119C"/>
    <w:rsid w:val="007E11B7"/>
    <w:rsid w:val="007E1344"/>
    <w:rsid w:val="007E1411"/>
    <w:rsid w:val="007E1463"/>
    <w:rsid w:val="007E1586"/>
    <w:rsid w:val="007E163F"/>
    <w:rsid w:val="007E1754"/>
    <w:rsid w:val="007E198D"/>
    <w:rsid w:val="007E1994"/>
    <w:rsid w:val="007E1A74"/>
    <w:rsid w:val="007E1A79"/>
    <w:rsid w:val="007E1C07"/>
    <w:rsid w:val="007E1C68"/>
    <w:rsid w:val="007E1D76"/>
    <w:rsid w:val="007E1E6C"/>
    <w:rsid w:val="007E218E"/>
    <w:rsid w:val="007E22E4"/>
    <w:rsid w:val="007E2451"/>
    <w:rsid w:val="007E2B8F"/>
    <w:rsid w:val="007E2C29"/>
    <w:rsid w:val="007E2C33"/>
    <w:rsid w:val="007E2EE6"/>
    <w:rsid w:val="007E326B"/>
    <w:rsid w:val="007E3388"/>
    <w:rsid w:val="007E373C"/>
    <w:rsid w:val="007E37D0"/>
    <w:rsid w:val="007E38B5"/>
    <w:rsid w:val="007E3931"/>
    <w:rsid w:val="007E3948"/>
    <w:rsid w:val="007E3988"/>
    <w:rsid w:val="007E399E"/>
    <w:rsid w:val="007E3CBF"/>
    <w:rsid w:val="007E3D99"/>
    <w:rsid w:val="007E42AF"/>
    <w:rsid w:val="007E4344"/>
    <w:rsid w:val="007E4461"/>
    <w:rsid w:val="007E4489"/>
    <w:rsid w:val="007E4770"/>
    <w:rsid w:val="007E4DAF"/>
    <w:rsid w:val="007E4DBD"/>
    <w:rsid w:val="007E5097"/>
    <w:rsid w:val="007E512F"/>
    <w:rsid w:val="007E513E"/>
    <w:rsid w:val="007E54FE"/>
    <w:rsid w:val="007E5AE0"/>
    <w:rsid w:val="007E5C43"/>
    <w:rsid w:val="007E5CF9"/>
    <w:rsid w:val="007E5D75"/>
    <w:rsid w:val="007E5FD3"/>
    <w:rsid w:val="007E61C2"/>
    <w:rsid w:val="007E6315"/>
    <w:rsid w:val="007E6578"/>
    <w:rsid w:val="007E671D"/>
    <w:rsid w:val="007E6A34"/>
    <w:rsid w:val="007E6A57"/>
    <w:rsid w:val="007E6C0F"/>
    <w:rsid w:val="007E6E89"/>
    <w:rsid w:val="007E6F11"/>
    <w:rsid w:val="007E6FBE"/>
    <w:rsid w:val="007E6FE7"/>
    <w:rsid w:val="007E6FEC"/>
    <w:rsid w:val="007E711E"/>
    <w:rsid w:val="007E741E"/>
    <w:rsid w:val="007E7526"/>
    <w:rsid w:val="007E7A74"/>
    <w:rsid w:val="007E7C2D"/>
    <w:rsid w:val="007E7C86"/>
    <w:rsid w:val="007E7D92"/>
    <w:rsid w:val="007E7E3E"/>
    <w:rsid w:val="007F020E"/>
    <w:rsid w:val="007F059E"/>
    <w:rsid w:val="007F05D1"/>
    <w:rsid w:val="007F068A"/>
    <w:rsid w:val="007F070C"/>
    <w:rsid w:val="007F07AC"/>
    <w:rsid w:val="007F0A68"/>
    <w:rsid w:val="007F0CBB"/>
    <w:rsid w:val="007F0D7D"/>
    <w:rsid w:val="007F0E29"/>
    <w:rsid w:val="007F0EAD"/>
    <w:rsid w:val="007F0F34"/>
    <w:rsid w:val="007F0F83"/>
    <w:rsid w:val="007F11B5"/>
    <w:rsid w:val="007F1252"/>
    <w:rsid w:val="007F1608"/>
    <w:rsid w:val="007F17FC"/>
    <w:rsid w:val="007F18B4"/>
    <w:rsid w:val="007F1973"/>
    <w:rsid w:val="007F1A79"/>
    <w:rsid w:val="007F1B6B"/>
    <w:rsid w:val="007F1C46"/>
    <w:rsid w:val="007F1C58"/>
    <w:rsid w:val="007F1F1E"/>
    <w:rsid w:val="007F1F45"/>
    <w:rsid w:val="007F21CA"/>
    <w:rsid w:val="007F22BD"/>
    <w:rsid w:val="007F24A1"/>
    <w:rsid w:val="007F258B"/>
    <w:rsid w:val="007F25BB"/>
    <w:rsid w:val="007F2609"/>
    <w:rsid w:val="007F28B2"/>
    <w:rsid w:val="007F29E5"/>
    <w:rsid w:val="007F2A5A"/>
    <w:rsid w:val="007F2A91"/>
    <w:rsid w:val="007F2AE0"/>
    <w:rsid w:val="007F2CA7"/>
    <w:rsid w:val="007F2F35"/>
    <w:rsid w:val="007F31FB"/>
    <w:rsid w:val="007F33AF"/>
    <w:rsid w:val="007F347A"/>
    <w:rsid w:val="007F36B8"/>
    <w:rsid w:val="007F3DC8"/>
    <w:rsid w:val="007F3DD5"/>
    <w:rsid w:val="007F3EB6"/>
    <w:rsid w:val="007F3F26"/>
    <w:rsid w:val="007F42C3"/>
    <w:rsid w:val="007F46FD"/>
    <w:rsid w:val="007F4745"/>
    <w:rsid w:val="007F49AB"/>
    <w:rsid w:val="007F4B10"/>
    <w:rsid w:val="007F4B35"/>
    <w:rsid w:val="007F4DF8"/>
    <w:rsid w:val="007F50A9"/>
    <w:rsid w:val="007F547F"/>
    <w:rsid w:val="007F576D"/>
    <w:rsid w:val="007F58CC"/>
    <w:rsid w:val="007F5A2D"/>
    <w:rsid w:val="007F601D"/>
    <w:rsid w:val="007F6037"/>
    <w:rsid w:val="007F611D"/>
    <w:rsid w:val="007F6185"/>
    <w:rsid w:val="007F64A5"/>
    <w:rsid w:val="007F64BA"/>
    <w:rsid w:val="007F650C"/>
    <w:rsid w:val="007F65C1"/>
    <w:rsid w:val="007F6884"/>
    <w:rsid w:val="007F697B"/>
    <w:rsid w:val="007F69E5"/>
    <w:rsid w:val="007F6A89"/>
    <w:rsid w:val="007F6FE3"/>
    <w:rsid w:val="007F70F7"/>
    <w:rsid w:val="007F72C0"/>
    <w:rsid w:val="007F7BDD"/>
    <w:rsid w:val="007F7E30"/>
    <w:rsid w:val="00800262"/>
    <w:rsid w:val="008003EA"/>
    <w:rsid w:val="008004B9"/>
    <w:rsid w:val="008005ED"/>
    <w:rsid w:val="008006A4"/>
    <w:rsid w:val="00800998"/>
    <w:rsid w:val="00800C07"/>
    <w:rsid w:val="00800C1D"/>
    <w:rsid w:val="00800EA0"/>
    <w:rsid w:val="00800F03"/>
    <w:rsid w:val="00801208"/>
    <w:rsid w:val="00801226"/>
    <w:rsid w:val="0080124B"/>
    <w:rsid w:val="008017E4"/>
    <w:rsid w:val="008018FB"/>
    <w:rsid w:val="00801B63"/>
    <w:rsid w:val="00801F46"/>
    <w:rsid w:val="00802042"/>
    <w:rsid w:val="0080222D"/>
    <w:rsid w:val="00802452"/>
    <w:rsid w:val="00802618"/>
    <w:rsid w:val="00802B4A"/>
    <w:rsid w:val="00802D94"/>
    <w:rsid w:val="00802E2F"/>
    <w:rsid w:val="00802E89"/>
    <w:rsid w:val="008030E2"/>
    <w:rsid w:val="0080339A"/>
    <w:rsid w:val="008034FF"/>
    <w:rsid w:val="00803657"/>
    <w:rsid w:val="0080389E"/>
    <w:rsid w:val="00803958"/>
    <w:rsid w:val="00803A96"/>
    <w:rsid w:val="00803C17"/>
    <w:rsid w:val="00803C58"/>
    <w:rsid w:val="00803CD1"/>
    <w:rsid w:val="00803EC7"/>
    <w:rsid w:val="00803F48"/>
    <w:rsid w:val="0080411B"/>
    <w:rsid w:val="008041E9"/>
    <w:rsid w:val="008042F3"/>
    <w:rsid w:val="008043FE"/>
    <w:rsid w:val="00804681"/>
    <w:rsid w:val="0080483C"/>
    <w:rsid w:val="00804986"/>
    <w:rsid w:val="00804B1E"/>
    <w:rsid w:val="00804B22"/>
    <w:rsid w:val="00805038"/>
    <w:rsid w:val="008051B1"/>
    <w:rsid w:val="008052EC"/>
    <w:rsid w:val="0080536C"/>
    <w:rsid w:val="00805446"/>
    <w:rsid w:val="008054C8"/>
    <w:rsid w:val="008055B7"/>
    <w:rsid w:val="0080566A"/>
    <w:rsid w:val="00805689"/>
    <w:rsid w:val="00805691"/>
    <w:rsid w:val="00805A00"/>
    <w:rsid w:val="00805A54"/>
    <w:rsid w:val="00805A6A"/>
    <w:rsid w:val="00805AF0"/>
    <w:rsid w:val="00805D82"/>
    <w:rsid w:val="00805D92"/>
    <w:rsid w:val="00805F83"/>
    <w:rsid w:val="0080615E"/>
    <w:rsid w:val="008063B6"/>
    <w:rsid w:val="008063EB"/>
    <w:rsid w:val="0080665C"/>
    <w:rsid w:val="00806677"/>
    <w:rsid w:val="008066ED"/>
    <w:rsid w:val="00806AA1"/>
    <w:rsid w:val="00806B1B"/>
    <w:rsid w:val="00806CF4"/>
    <w:rsid w:val="00806DD8"/>
    <w:rsid w:val="008077D6"/>
    <w:rsid w:val="00807929"/>
    <w:rsid w:val="00807B0B"/>
    <w:rsid w:val="00807D49"/>
    <w:rsid w:val="00807DC7"/>
    <w:rsid w:val="00807E2D"/>
    <w:rsid w:val="00807EE7"/>
    <w:rsid w:val="00807F18"/>
    <w:rsid w:val="00807FA0"/>
    <w:rsid w:val="008102FF"/>
    <w:rsid w:val="00810427"/>
    <w:rsid w:val="00810683"/>
    <w:rsid w:val="00810962"/>
    <w:rsid w:val="0081099B"/>
    <w:rsid w:val="008109BD"/>
    <w:rsid w:val="00810BAA"/>
    <w:rsid w:val="00810BCA"/>
    <w:rsid w:val="00810DD0"/>
    <w:rsid w:val="008111CD"/>
    <w:rsid w:val="008112E0"/>
    <w:rsid w:val="0081139C"/>
    <w:rsid w:val="008115E3"/>
    <w:rsid w:val="008117CF"/>
    <w:rsid w:val="00811A6B"/>
    <w:rsid w:val="00811BC3"/>
    <w:rsid w:val="00811D08"/>
    <w:rsid w:val="00811FF3"/>
    <w:rsid w:val="00812086"/>
    <w:rsid w:val="008120EE"/>
    <w:rsid w:val="00812462"/>
    <w:rsid w:val="00812567"/>
    <w:rsid w:val="0081281A"/>
    <w:rsid w:val="00812996"/>
    <w:rsid w:val="00812B88"/>
    <w:rsid w:val="00812D54"/>
    <w:rsid w:val="00812EA3"/>
    <w:rsid w:val="00812F6F"/>
    <w:rsid w:val="00813201"/>
    <w:rsid w:val="0081324F"/>
    <w:rsid w:val="008134A5"/>
    <w:rsid w:val="008135AE"/>
    <w:rsid w:val="008136CA"/>
    <w:rsid w:val="00813729"/>
    <w:rsid w:val="008138DE"/>
    <w:rsid w:val="00813BAE"/>
    <w:rsid w:val="00813DDE"/>
    <w:rsid w:val="00813F60"/>
    <w:rsid w:val="008142D1"/>
    <w:rsid w:val="0081445B"/>
    <w:rsid w:val="008145A8"/>
    <w:rsid w:val="008145AB"/>
    <w:rsid w:val="00814C18"/>
    <w:rsid w:val="00814C88"/>
    <w:rsid w:val="00814CBB"/>
    <w:rsid w:val="00814EB1"/>
    <w:rsid w:val="0081505E"/>
    <w:rsid w:val="008152F3"/>
    <w:rsid w:val="008156BE"/>
    <w:rsid w:val="00815AE4"/>
    <w:rsid w:val="00815BCC"/>
    <w:rsid w:val="00815D0D"/>
    <w:rsid w:val="0081614C"/>
    <w:rsid w:val="008161DB"/>
    <w:rsid w:val="008162BA"/>
    <w:rsid w:val="0081638F"/>
    <w:rsid w:val="0081664B"/>
    <w:rsid w:val="0081670C"/>
    <w:rsid w:val="00816996"/>
    <w:rsid w:val="00816CDD"/>
    <w:rsid w:val="00816D14"/>
    <w:rsid w:val="00816D16"/>
    <w:rsid w:val="00816F59"/>
    <w:rsid w:val="00817047"/>
    <w:rsid w:val="008170BA"/>
    <w:rsid w:val="00817120"/>
    <w:rsid w:val="0081733C"/>
    <w:rsid w:val="00817350"/>
    <w:rsid w:val="008173CE"/>
    <w:rsid w:val="008173F8"/>
    <w:rsid w:val="0081742F"/>
    <w:rsid w:val="0081761F"/>
    <w:rsid w:val="008176E5"/>
    <w:rsid w:val="008176E9"/>
    <w:rsid w:val="00817758"/>
    <w:rsid w:val="00817A04"/>
    <w:rsid w:val="00817BD2"/>
    <w:rsid w:val="00817E3F"/>
    <w:rsid w:val="00817F78"/>
    <w:rsid w:val="0082015B"/>
    <w:rsid w:val="00820457"/>
    <w:rsid w:val="00820682"/>
    <w:rsid w:val="008206E2"/>
    <w:rsid w:val="0082076B"/>
    <w:rsid w:val="00820794"/>
    <w:rsid w:val="00820CD4"/>
    <w:rsid w:val="00821012"/>
    <w:rsid w:val="00821077"/>
    <w:rsid w:val="0082160D"/>
    <w:rsid w:val="00821676"/>
    <w:rsid w:val="0082196F"/>
    <w:rsid w:val="00821C26"/>
    <w:rsid w:val="00821D84"/>
    <w:rsid w:val="00821D85"/>
    <w:rsid w:val="00821E64"/>
    <w:rsid w:val="00821FB5"/>
    <w:rsid w:val="00822113"/>
    <w:rsid w:val="008222E2"/>
    <w:rsid w:val="00822348"/>
    <w:rsid w:val="00822530"/>
    <w:rsid w:val="0082256B"/>
    <w:rsid w:val="008225F3"/>
    <w:rsid w:val="00822743"/>
    <w:rsid w:val="008228FF"/>
    <w:rsid w:val="0082299B"/>
    <w:rsid w:val="00822C81"/>
    <w:rsid w:val="00822F80"/>
    <w:rsid w:val="00822F8F"/>
    <w:rsid w:val="0082326C"/>
    <w:rsid w:val="00823448"/>
    <w:rsid w:val="00823541"/>
    <w:rsid w:val="00823689"/>
    <w:rsid w:val="00823785"/>
    <w:rsid w:val="0082381E"/>
    <w:rsid w:val="0082395B"/>
    <w:rsid w:val="008239F8"/>
    <w:rsid w:val="00823AA2"/>
    <w:rsid w:val="00823C07"/>
    <w:rsid w:val="00823D22"/>
    <w:rsid w:val="00823EB3"/>
    <w:rsid w:val="00823F06"/>
    <w:rsid w:val="00824149"/>
    <w:rsid w:val="008241A5"/>
    <w:rsid w:val="008242E8"/>
    <w:rsid w:val="008245E1"/>
    <w:rsid w:val="0082464B"/>
    <w:rsid w:val="0082467D"/>
    <w:rsid w:val="0082477B"/>
    <w:rsid w:val="00824A14"/>
    <w:rsid w:val="008252B9"/>
    <w:rsid w:val="008253A3"/>
    <w:rsid w:val="0082586C"/>
    <w:rsid w:val="00825A75"/>
    <w:rsid w:val="008262DB"/>
    <w:rsid w:val="00826463"/>
    <w:rsid w:val="008265DD"/>
    <w:rsid w:val="008266D9"/>
    <w:rsid w:val="0082676F"/>
    <w:rsid w:val="008268D4"/>
    <w:rsid w:val="0082692E"/>
    <w:rsid w:val="00826CAE"/>
    <w:rsid w:val="00826CF5"/>
    <w:rsid w:val="00826EDB"/>
    <w:rsid w:val="00826F59"/>
    <w:rsid w:val="008270F3"/>
    <w:rsid w:val="0082760E"/>
    <w:rsid w:val="008278B2"/>
    <w:rsid w:val="008278EE"/>
    <w:rsid w:val="00827AFD"/>
    <w:rsid w:val="00827C1E"/>
    <w:rsid w:val="00827EC4"/>
    <w:rsid w:val="00830110"/>
    <w:rsid w:val="008301D2"/>
    <w:rsid w:val="0083044D"/>
    <w:rsid w:val="008304E3"/>
    <w:rsid w:val="0083074A"/>
    <w:rsid w:val="008308FF"/>
    <w:rsid w:val="00830B05"/>
    <w:rsid w:val="00830BAC"/>
    <w:rsid w:val="00830E72"/>
    <w:rsid w:val="00831079"/>
    <w:rsid w:val="00831137"/>
    <w:rsid w:val="00831188"/>
    <w:rsid w:val="0083136E"/>
    <w:rsid w:val="0083153B"/>
    <w:rsid w:val="0083164E"/>
    <w:rsid w:val="0083164F"/>
    <w:rsid w:val="008316EB"/>
    <w:rsid w:val="008318E3"/>
    <w:rsid w:val="00831A8F"/>
    <w:rsid w:val="00831C4E"/>
    <w:rsid w:val="00832192"/>
    <w:rsid w:val="008325B8"/>
    <w:rsid w:val="00832858"/>
    <w:rsid w:val="00832AEF"/>
    <w:rsid w:val="00832E15"/>
    <w:rsid w:val="00832F59"/>
    <w:rsid w:val="008332FA"/>
    <w:rsid w:val="008335E3"/>
    <w:rsid w:val="008336E1"/>
    <w:rsid w:val="0083370E"/>
    <w:rsid w:val="00833727"/>
    <w:rsid w:val="008339CC"/>
    <w:rsid w:val="00833B5A"/>
    <w:rsid w:val="00833BC8"/>
    <w:rsid w:val="00833F4C"/>
    <w:rsid w:val="00834110"/>
    <w:rsid w:val="008342A0"/>
    <w:rsid w:val="0083445A"/>
    <w:rsid w:val="008344E5"/>
    <w:rsid w:val="00834514"/>
    <w:rsid w:val="008348BE"/>
    <w:rsid w:val="00834BAD"/>
    <w:rsid w:val="00834E08"/>
    <w:rsid w:val="00834F8D"/>
    <w:rsid w:val="0083526B"/>
    <w:rsid w:val="00835316"/>
    <w:rsid w:val="00835523"/>
    <w:rsid w:val="00835667"/>
    <w:rsid w:val="0083567A"/>
    <w:rsid w:val="00835704"/>
    <w:rsid w:val="00835E81"/>
    <w:rsid w:val="00835ECD"/>
    <w:rsid w:val="00835F2C"/>
    <w:rsid w:val="00835F75"/>
    <w:rsid w:val="00836057"/>
    <w:rsid w:val="00836286"/>
    <w:rsid w:val="00836378"/>
    <w:rsid w:val="008366FE"/>
    <w:rsid w:val="0083718A"/>
    <w:rsid w:val="00837211"/>
    <w:rsid w:val="008373C3"/>
    <w:rsid w:val="0083748A"/>
    <w:rsid w:val="0083749F"/>
    <w:rsid w:val="00837508"/>
    <w:rsid w:val="00837684"/>
    <w:rsid w:val="0083772E"/>
    <w:rsid w:val="008378A3"/>
    <w:rsid w:val="008378D3"/>
    <w:rsid w:val="00837A40"/>
    <w:rsid w:val="00837CCC"/>
    <w:rsid w:val="00837D40"/>
    <w:rsid w:val="00837FAA"/>
    <w:rsid w:val="008401BA"/>
    <w:rsid w:val="008401F4"/>
    <w:rsid w:val="00840242"/>
    <w:rsid w:val="00840554"/>
    <w:rsid w:val="00840A81"/>
    <w:rsid w:val="00840DEE"/>
    <w:rsid w:val="00841217"/>
    <w:rsid w:val="00841620"/>
    <w:rsid w:val="0084173B"/>
    <w:rsid w:val="00841843"/>
    <w:rsid w:val="008419F2"/>
    <w:rsid w:val="00841C4A"/>
    <w:rsid w:val="00842002"/>
    <w:rsid w:val="00842599"/>
    <w:rsid w:val="008426B0"/>
    <w:rsid w:val="008426C4"/>
    <w:rsid w:val="0084275C"/>
    <w:rsid w:val="00842834"/>
    <w:rsid w:val="00842887"/>
    <w:rsid w:val="00842AD2"/>
    <w:rsid w:val="00842B2E"/>
    <w:rsid w:val="00842EAB"/>
    <w:rsid w:val="00842ED5"/>
    <w:rsid w:val="008430B2"/>
    <w:rsid w:val="00843217"/>
    <w:rsid w:val="00843283"/>
    <w:rsid w:val="008434A0"/>
    <w:rsid w:val="0084350E"/>
    <w:rsid w:val="008435BD"/>
    <w:rsid w:val="00843A1F"/>
    <w:rsid w:val="00843A63"/>
    <w:rsid w:val="00843E2C"/>
    <w:rsid w:val="00844034"/>
    <w:rsid w:val="00844452"/>
    <w:rsid w:val="008445D0"/>
    <w:rsid w:val="00844870"/>
    <w:rsid w:val="0084490C"/>
    <w:rsid w:val="00844B99"/>
    <w:rsid w:val="00844BDE"/>
    <w:rsid w:val="00844C4E"/>
    <w:rsid w:val="00844E51"/>
    <w:rsid w:val="0084583F"/>
    <w:rsid w:val="00845876"/>
    <w:rsid w:val="00845891"/>
    <w:rsid w:val="0084591E"/>
    <w:rsid w:val="00845B72"/>
    <w:rsid w:val="00845E8C"/>
    <w:rsid w:val="00845EC7"/>
    <w:rsid w:val="00846032"/>
    <w:rsid w:val="00846169"/>
    <w:rsid w:val="0084625C"/>
    <w:rsid w:val="00846506"/>
    <w:rsid w:val="00846514"/>
    <w:rsid w:val="00846766"/>
    <w:rsid w:val="00846B0F"/>
    <w:rsid w:val="00846DA4"/>
    <w:rsid w:val="00846DC7"/>
    <w:rsid w:val="00846E52"/>
    <w:rsid w:val="0084702D"/>
    <w:rsid w:val="008476BA"/>
    <w:rsid w:val="00847850"/>
    <w:rsid w:val="00847994"/>
    <w:rsid w:val="00847A20"/>
    <w:rsid w:val="00847A39"/>
    <w:rsid w:val="00847D60"/>
    <w:rsid w:val="00847EF1"/>
    <w:rsid w:val="00847EF2"/>
    <w:rsid w:val="00850633"/>
    <w:rsid w:val="0085073B"/>
    <w:rsid w:val="00850FAA"/>
    <w:rsid w:val="008512FA"/>
    <w:rsid w:val="0085147D"/>
    <w:rsid w:val="008514B7"/>
    <w:rsid w:val="008517F5"/>
    <w:rsid w:val="00852226"/>
    <w:rsid w:val="00852236"/>
    <w:rsid w:val="008522E8"/>
    <w:rsid w:val="0085235B"/>
    <w:rsid w:val="00852595"/>
    <w:rsid w:val="0085259A"/>
    <w:rsid w:val="008531E8"/>
    <w:rsid w:val="00853322"/>
    <w:rsid w:val="00853351"/>
    <w:rsid w:val="00853397"/>
    <w:rsid w:val="008533D6"/>
    <w:rsid w:val="0085360F"/>
    <w:rsid w:val="00853893"/>
    <w:rsid w:val="008539D8"/>
    <w:rsid w:val="00853CD3"/>
    <w:rsid w:val="00853E66"/>
    <w:rsid w:val="00853F6C"/>
    <w:rsid w:val="008540A1"/>
    <w:rsid w:val="0085421F"/>
    <w:rsid w:val="00854299"/>
    <w:rsid w:val="008543BA"/>
    <w:rsid w:val="00854418"/>
    <w:rsid w:val="00854737"/>
    <w:rsid w:val="008547DE"/>
    <w:rsid w:val="00854894"/>
    <w:rsid w:val="00854A06"/>
    <w:rsid w:val="00854C54"/>
    <w:rsid w:val="00854F9A"/>
    <w:rsid w:val="00854FD0"/>
    <w:rsid w:val="008551F6"/>
    <w:rsid w:val="0085525D"/>
    <w:rsid w:val="008553AD"/>
    <w:rsid w:val="00855473"/>
    <w:rsid w:val="008557A5"/>
    <w:rsid w:val="008557AE"/>
    <w:rsid w:val="00855D75"/>
    <w:rsid w:val="00855E95"/>
    <w:rsid w:val="00855ED7"/>
    <w:rsid w:val="00855F49"/>
    <w:rsid w:val="00855F50"/>
    <w:rsid w:val="008563AD"/>
    <w:rsid w:val="008563BC"/>
    <w:rsid w:val="00856723"/>
    <w:rsid w:val="008568B5"/>
    <w:rsid w:val="00856A76"/>
    <w:rsid w:val="00856AB6"/>
    <w:rsid w:val="00856AF1"/>
    <w:rsid w:val="00856FCF"/>
    <w:rsid w:val="00857018"/>
    <w:rsid w:val="00857231"/>
    <w:rsid w:val="0085732C"/>
    <w:rsid w:val="00857720"/>
    <w:rsid w:val="00857934"/>
    <w:rsid w:val="00857B17"/>
    <w:rsid w:val="00857D41"/>
    <w:rsid w:val="00860189"/>
    <w:rsid w:val="008602CA"/>
    <w:rsid w:val="00860388"/>
    <w:rsid w:val="008607A2"/>
    <w:rsid w:val="00860D32"/>
    <w:rsid w:val="00860DD1"/>
    <w:rsid w:val="00860F43"/>
    <w:rsid w:val="00860FFD"/>
    <w:rsid w:val="00860FFF"/>
    <w:rsid w:val="008611BB"/>
    <w:rsid w:val="00861482"/>
    <w:rsid w:val="008614A7"/>
    <w:rsid w:val="008614CB"/>
    <w:rsid w:val="0086161E"/>
    <w:rsid w:val="008616CA"/>
    <w:rsid w:val="008616FB"/>
    <w:rsid w:val="00861747"/>
    <w:rsid w:val="0086191A"/>
    <w:rsid w:val="0086196A"/>
    <w:rsid w:val="00861A9B"/>
    <w:rsid w:val="00861F00"/>
    <w:rsid w:val="008620C5"/>
    <w:rsid w:val="00862434"/>
    <w:rsid w:val="008625E4"/>
    <w:rsid w:val="008626C7"/>
    <w:rsid w:val="008626E9"/>
    <w:rsid w:val="00862975"/>
    <w:rsid w:val="00862A85"/>
    <w:rsid w:val="00862B10"/>
    <w:rsid w:val="00862C13"/>
    <w:rsid w:val="00862D3D"/>
    <w:rsid w:val="00862DCC"/>
    <w:rsid w:val="00863005"/>
    <w:rsid w:val="008630CB"/>
    <w:rsid w:val="00863111"/>
    <w:rsid w:val="0086313A"/>
    <w:rsid w:val="0086319A"/>
    <w:rsid w:val="00863342"/>
    <w:rsid w:val="008634A1"/>
    <w:rsid w:val="00863707"/>
    <w:rsid w:val="008637BA"/>
    <w:rsid w:val="00863986"/>
    <w:rsid w:val="00863B33"/>
    <w:rsid w:val="00863E78"/>
    <w:rsid w:val="00863E7E"/>
    <w:rsid w:val="00864002"/>
    <w:rsid w:val="008640E9"/>
    <w:rsid w:val="008641F3"/>
    <w:rsid w:val="0086423A"/>
    <w:rsid w:val="008642A0"/>
    <w:rsid w:val="008642AA"/>
    <w:rsid w:val="008644F8"/>
    <w:rsid w:val="00864778"/>
    <w:rsid w:val="008647AA"/>
    <w:rsid w:val="0086488B"/>
    <w:rsid w:val="00864A30"/>
    <w:rsid w:val="00864AFC"/>
    <w:rsid w:val="00864B9A"/>
    <w:rsid w:val="00864C6B"/>
    <w:rsid w:val="00864CEB"/>
    <w:rsid w:val="00864DC8"/>
    <w:rsid w:val="0086523D"/>
    <w:rsid w:val="008652B8"/>
    <w:rsid w:val="008655BA"/>
    <w:rsid w:val="0086571C"/>
    <w:rsid w:val="00865786"/>
    <w:rsid w:val="008657AE"/>
    <w:rsid w:val="00865839"/>
    <w:rsid w:val="00865B21"/>
    <w:rsid w:val="00865B32"/>
    <w:rsid w:val="00865C33"/>
    <w:rsid w:val="00865D68"/>
    <w:rsid w:val="00865F76"/>
    <w:rsid w:val="008662E5"/>
    <w:rsid w:val="00866324"/>
    <w:rsid w:val="0086636A"/>
    <w:rsid w:val="00866392"/>
    <w:rsid w:val="0086664D"/>
    <w:rsid w:val="00866688"/>
    <w:rsid w:val="0086679E"/>
    <w:rsid w:val="00866992"/>
    <w:rsid w:val="00867337"/>
    <w:rsid w:val="0086734F"/>
    <w:rsid w:val="008676B4"/>
    <w:rsid w:val="0086777A"/>
    <w:rsid w:val="008678FA"/>
    <w:rsid w:val="008679B0"/>
    <w:rsid w:val="00867C81"/>
    <w:rsid w:val="00867E16"/>
    <w:rsid w:val="0087028D"/>
    <w:rsid w:val="0087040A"/>
    <w:rsid w:val="008709A9"/>
    <w:rsid w:val="00870CE3"/>
    <w:rsid w:val="00870EDA"/>
    <w:rsid w:val="00870F21"/>
    <w:rsid w:val="00870FE7"/>
    <w:rsid w:val="0087120C"/>
    <w:rsid w:val="0087123E"/>
    <w:rsid w:val="0087130C"/>
    <w:rsid w:val="00871629"/>
    <w:rsid w:val="00871715"/>
    <w:rsid w:val="00871AB2"/>
    <w:rsid w:val="00871B08"/>
    <w:rsid w:val="00871D38"/>
    <w:rsid w:val="00871E43"/>
    <w:rsid w:val="00871EEE"/>
    <w:rsid w:val="00872062"/>
    <w:rsid w:val="008720A1"/>
    <w:rsid w:val="008727DC"/>
    <w:rsid w:val="0087292F"/>
    <w:rsid w:val="0087299A"/>
    <w:rsid w:val="00872C3B"/>
    <w:rsid w:val="008730FB"/>
    <w:rsid w:val="008735C8"/>
    <w:rsid w:val="00873977"/>
    <w:rsid w:val="008739FC"/>
    <w:rsid w:val="00873B22"/>
    <w:rsid w:val="008741EB"/>
    <w:rsid w:val="008743BA"/>
    <w:rsid w:val="0087479F"/>
    <w:rsid w:val="008747CF"/>
    <w:rsid w:val="008749E8"/>
    <w:rsid w:val="00874E11"/>
    <w:rsid w:val="00874E43"/>
    <w:rsid w:val="00875043"/>
    <w:rsid w:val="008755C6"/>
    <w:rsid w:val="008759E2"/>
    <w:rsid w:val="00875D6E"/>
    <w:rsid w:val="00875EC2"/>
    <w:rsid w:val="00875EE9"/>
    <w:rsid w:val="00875FA0"/>
    <w:rsid w:val="00876071"/>
    <w:rsid w:val="008764F5"/>
    <w:rsid w:val="0087679D"/>
    <w:rsid w:val="008767DB"/>
    <w:rsid w:val="00876890"/>
    <w:rsid w:val="00876962"/>
    <w:rsid w:val="00876C22"/>
    <w:rsid w:val="00876D04"/>
    <w:rsid w:val="00876F9B"/>
    <w:rsid w:val="00877282"/>
    <w:rsid w:val="0087742E"/>
    <w:rsid w:val="008774AA"/>
    <w:rsid w:val="00877686"/>
    <w:rsid w:val="008776C9"/>
    <w:rsid w:val="00877876"/>
    <w:rsid w:val="00877E9D"/>
    <w:rsid w:val="008800A8"/>
    <w:rsid w:val="008801BC"/>
    <w:rsid w:val="00880232"/>
    <w:rsid w:val="008803E2"/>
    <w:rsid w:val="00880BDA"/>
    <w:rsid w:val="00880C8B"/>
    <w:rsid w:val="00880EFD"/>
    <w:rsid w:val="00880F22"/>
    <w:rsid w:val="008819E8"/>
    <w:rsid w:val="00881A5D"/>
    <w:rsid w:val="0088243B"/>
    <w:rsid w:val="00882666"/>
    <w:rsid w:val="008826EC"/>
    <w:rsid w:val="00882A76"/>
    <w:rsid w:val="00882CE3"/>
    <w:rsid w:val="00882D9D"/>
    <w:rsid w:val="00883071"/>
    <w:rsid w:val="00883118"/>
    <w:rsid w:val="00883492"/>
    <w:rsid w:val="008834C6"/>
    <w:rsid w:val="00883662"/>
    <w:rsid w:val="00883671"/>
    <w:rsid w:val="00883B7D"/>
    <w:rsid w:val="00883C6A"/>
    <w:rsid w:val="00883CA0"/>
    <w:rsid w:val="00883DF0"/>
    <w:rsid w:val="008841D5"/>
    <w:rsid w:val="0088445E"/>
    <w:rsid w:val="00884462"/>
    <w:rsid w:val="00884537"/>
    <w:rsid w:val="00884779"/>
    <w:rsid w:val="008849C2"/>
    <w:rsid w:val="00884ADF"/>
    <w:rsid w:val="00884B4B"/>
    <w:rsid w:val="00884EF7"/>
    <w:rsid w:val="00885163"/>
    <w:rsid w:val="008854A6"/>
    <w:rsid w:val="008856C1"/>
    <w:rsid w:val="008858AE"/>
    <w:rsid w:val="00885B59"/>
    <w:rsid w:val="00885DAA"/>
    <w:rsid w:val="0088626B"/>
    <w:rsid w:val="00886456"/>
    <w:rsid w:val="008865EA"/>
    <w:rsid w:val="0088662C"/>
    <w:rsid w:val="00886839"/>
    <w:rsid w:val="008869F4"/>
    <w:rsid w:val="00886C1E"/>
    <w:rsid w:val="00886CAF"/>
    <w:rsid w:val="00886EBF"/>
    <w:rsid w:val="00886EEE"/>
    <w:rsid w:val="00886F95"/>
    <w:rsid w:val="0088717F"/>
    <w:rsid w:val="008874B2"/>
    <w:rsid w:val="008877D1"/>
    <w:rsid w:val="00887A0B"/>
    <w:rsid w:val="00887A36"/>
    <w:rsid w:val="00887B9A"/>
    <w:rsid w:val="00887BB2"/>
    <w:rsid w:val="00887C68"/>
    <w:rsid w:val="00887C9F"/>
    <w:rsid w:val="00887D7C"/>
    <w:rsid w:val="00887FC9"/>
    <w:rsid w:val="00890453"/>
    <w:rsid w:val="0089093B"/>
    <w:rsid w:val="00890977"/>
    <w:rsid w:val="00890D24"/>
    <w:rsid w:val="00890F32"/>
    <w:rsid w:val="0089137F"/>
    <w:rsid w:val="00891420"/>
    <w:rsid w:val="00891A4F"/>
    <w:rsid w:val="00891B49"/>
    <w:rsid w:val="00891BA4"/>
    <w:rsid w:val="00891D57"/>
    <w:rsid w:val="00892214"/>
    <w:rsid w:val="008927D7"/>
    <w:rsid w:val="00892A90"/>
    <w:rsid w:val="00892B15"/>
    <w:rsid w:val="00892E1D"/>
    <w:rsid w:val="00892EE5"/>
    <w:rsid w:val="00892F80"/>
    <w:rsid w:val="008930A1"/>
    <w:rsid w:val="00893191"/>
    <w:rsid w:val="0089339B"/>
    <w:rsid w:val="008935E8"/>
    <w:rsid w:val="0089377A"/>
    <w:rsid w:val="008939B9"/>
    <w:rsid w:val="008939EF"/>
    <w:rsid w:val="00893B53"/>
    <w:rsid w:val="00893CC1"/>
    <w:rsid w:val="00893D77"/>
    <w:rsid w:val="00894122"/>
    <w:rsid w:val="00894949"/>
    <w:rsid w:val="0089495C"/>
    <w:rsid w:val="008949FE"/>
    <w:rsid w:val="00894F8D"/>
    <w:rsid w:val="00895062"/>
    <w:rsid w:val="0089508C"/>
    <w:rsid w:val="008952F6"/>
    <w:rsid w:val="00895451"/>
    <w:rsid w:val="0089546A"/>
    <w:rsid w:val="0089547D"/>
    <w:rsid w:val="008954A5"/>
    <w:rsid w:val="008954FB"/>
    <w:rsid w:val="0089576F"/>
    <w:rsid w:val="00895C81"/>
    <w:rsid w:val="00895CA7"/>
    <w:rsid w:val="00895CF6"/>
    <w:rsid w:val="00895D33"/>
    <w:rsid w:val="00895DC1"/>
    <w:rsid w:val="00895E6D"/>
    <w:rsid w:val="00895E78"/>
    <w:rsid w:val="008960D6"/>
    <w:rsid w:val="008961C4"/>
    <w:rsid w:val="0089621F"/>
    <w:rsid w:val="008964DF"/>
    <w:rsid w:val="00896508"/>
    <w:rsid w:val="008965E1"/>
    <w:rsid w:val="00896909"/>
    <w:rsid w:val="00896AE2"/>
    <w:rsid w:val="00896B96"/>
    <w:rsid w:val="00896F33"/>
    <w:rsid w:val="00897086"/>
    <w:rsid w:val="0089758F"/>
    <w:rsid w:val="00897B76"/>
    <w:rsid w:val="00897C60"/>
    <w:rsid w:val="00897DCC"/>
    <w:rsid w:val="00897E0F"/>
    <w:rsid w:val="008A026C"/>
    <w:rsid w:val="008A02EC"/>
    <w:rsid w:val="008A03AF"/>
    <w:rsid w:val="008A0812"/>
    <w:rsid w:val="008A0AA1"/>
    <w:rsid w:val="008A0C69"/>
    <w:rsid w:val="008A0EE2"/>
    <w:rsid w:val="008A1280"/>
    <w:rsid w:val="008A1475"/>
    <w:rsid w:val="008A1916"/>
    <w:rsid w:val="008A223B"/>
    <w:rsid w:val="008A28B9"/>
    <w:rsid w:val="008A2970"/>
    <w:rsid w:val="008A2AE8"/>
    <w:rsid w:val="008A2C9E"/>
    <w:rsid w:val="008A2F4C"/>
    <w:rsid w:val="008A2FAE"/>
    <w:rsid w:val="008A3244"/>
    <w:rsid w:val="008A3334"/>
    <w:rsid w:val="008A365E"/>
    <w:rsid w:val="008A3A0F"/>
    <w:rsid w:val="008A3AE1"/>
    <w:rsid w:val="008A3B60"/>
    <w:rsid w:val="008A3C7E"/>
    <w:rsid w:val="008A3F86"/>
    <w:rsid w:val="008A414E"/>
    <w:rsid w:val="008A4269"/>
    <w:rsid w:val="008A42E1"/>
    <w:rsid w:val="008A42EE"/>
    <w:rsid w:val="008A439C"/>
    <w:rsid w:val="008A43AD"/>
    <w:rsid w:val="008A44D3"/>
    <w:rsid w:val="008A482C"/>
    <w:rsid w:val="008A4957"/>
    <w:rsid w:val="008A4AA5"/>
    <w:rsid w:val="008A4B07"/>
    <w:rsid w:val="008A4C16"/>
    <w:rsid w:val="008A4E3A"/>
    <w:rsid w:val="008A5080"/>
    <w:rsid w:val="008A5083"/>
    <w:rsid w:val="008A5213"/>
    <w:rsid w:val="008A53BE"/>
    <w:rsid w:val="008A55B4"/>
    <w:rsid w:val="008A55F8"/>
    <w:rsid w:val="008A561D"/>
    <w:rsid w:val="008A56AC"/>
    <w:rsid w:val="008A5808"/>
    <w:rsid w:val="008A58C6"/>
    <w:rsid w:val="008A5AA8"/>
    <w:rsid w:val="008A5B3F"/>
    <w:rsid w:val="008A5DE2"/>
    <w:rsid w:val="008A5E68"/>
    <w:rsid w:val="008A5FFA"/>
    <w:rsid w:val="008A61B4"/>
    <w:rsid w:val="008A6306"/>
    <w:rsid w:val="008A6685"/>
    <w:rsid w:val="008A685E"/>
    <w:rsid w:val="008A6A79"/>
    <w:rsid w:val="008A6B49"/>
    <w:rsid w:val="008A6D29"/>
    <w:rsid w:val="008A6F48"/>
    <w:rsid w:val="008A713C"/>
    <w:rsid w:val="008A7391"/>
    <w:rsid w:val="008A7584"/>
    <w:rsid w:val="008A7643"/>
    <w:rsid w:val="008A77BA"/>
    <w:rsid w:val="008A7BA1"/>
    <w:rsid w:val="008A7BDE"/>
    <w:rsid w:val="008A7CCD"/>
    <w:rsid w:val="008A7E71"/>
    <w:rsid w:val="008A7F24"/>
    <w:rsid w:val="008B0150"/>
    <w:rsid w:val="008B01D6"/>
    <w:rsid w:val="008B038A"/>
    <w:rsid w:val="008B05FE"/>
    <w:rsid w:val="008B08F3"/>
    <w:rsid w:val="008B0956"/>
    <w:rsid w:val="008B0AD4"/>
    <w:rsid w:val="008B0BF1"/>
    <w:rsid w:val="008B0D30"/>
    <w:rsid w:val="008B1178"/>
    <w:rsid w:val="008B13E0"/>
    <w:rsid w:val="008B164A"/>
    <w:rsid w:val="008B16EE"/>
    <w:rsid w:val="008B17BE"/>
    <w:rsid w:val="008B1842"/>
    <w:rsid w:val="008B205B"/>
    <w:rsid w:val="008B2122"/>
    <w:rsid w:val="008B2470"/>
    <w:rsid w:val="008B24F4"/>
    <w:rsid w:val="008B2614"/>
    <w:rsid w:val="008B2644"/>
    <w:rsid w:val="008B267E"/>
    <w:rsid w:val="008B2B1D"/>
    <w:rsid w:val="008B2D82"/>
    <w:rsid w:val="008B2E2E"/>
    <w:rsid w:val="008B2FD1"/>
    <w:rsid w:val="008B3033"/>
    <w:rsid w:val="008B31E1"/>
    <w:rsid w:val="008B3289"/>
    <w:rsid w:val="008B3420"/>
    <w:rsid w:val="008B3621"/>
    <w:rsid w:val="008B368B"/>
    <w:rsid w:val="008B3719"/>
    <w:rsid w:val="008B3871"/>
    <w:rsid w:val="008B387E"/>
    <w:rsid w:val="008B3894"/>
    <w:rsid w:val="008B3A7F"/>
    <w:rsid w:val="008B3B54"/>
    <w:rsid w:val="008B3CCD"/>
    <w:rsid w:val="008B4025"/>
    <w:rsid w:val="008B440F"/>
    <w:rsid w:val="008B4476"/>
    <w:rsid w:val="008B44A8"/>
    <w:rsid w:val="008B45A6"/>
    <w:rsid w:val="008B45D7"/>
    <w:rsid w:val="008B45EA"/>
    <w:rsid w:val="008B47BA"/>
    <w:rsid w:val="008B49CB"/>
    <w:rsid w:val="008B4FE4"/>
    <w:rsid w:val="008B5132"/>
    <w:rsid w:val="008B54B9"/>
    <w:rsid w:val="008B5748"/>
    <w:rsid w:val="008B59CC"/>
    <w:rsid w:val="008B5D37"/>
    <w:rsid w:val="008B5D81"/>
    <w:rsid w:val="008B6020"/>
    <w:rsid w:val="008B60C8"/>
    <w:rsid w:val="008B61B0"/>
    <w:rsid w:val="008B6289"/>
    <w:rsid w:val="008B6418"/>
    <w:rsid w:val="008B64E9"/>
    <w:rsid w:val="008B6774"/>
    <w:rsid w:val="008B692A"/>
    <w:rsid w:val="008B69D8"/>
    <w:rsid w:val="008B6A77"/>
    <w:rsid w:val="008B6D77"/>
    <w:rsid w:val="008B7073"/>
    <w:rsid w:val="008B722A"/>
    <w:rsid w:val="008B73D5"/>
    <w:rsid w:val="008B746D"/>
    <w:rsid w:val="008B7706"/>
    <w:rsid w:val="008B77BE"/>
    <w:rsid w:val="008B7870"/>
    <w:rsid w:val="008B7A22"/>
    <w:rsid w:val="008B7A58"/>
    <w:rsid w:val="008B7BFB"/>
    <w:rsid w:val="008B7E62"/>
    <w:rsid w:val="008B7E7D"/>
    <w:rsid w:val="008C00FC"/>
    <w:rsid w:val="008C033D"/>
    <w:rsid w:val="008C0370"/>
    <w:rsid w:val="008C07D8"/>
    <w:rsid w:val="008C0820"/>
    <w:rsid w:val="008C0910"/>
    <w:rsid w:val="008C0E12"/>
    <w:rsid w:val="008C0FD5"/>
    <w:rsid w:val="008C1131"/>
    <w:rsid w:val="008C15A9"/>
    <w:rsid w:val="008C17B5"/>
    <w:rsid w:val="008C1951"/>
    <w:rsid w:val="008C19B8"/>
    <w:rsid w:val="008C1A32"/>
    <w:rsid w:val="008C1CD4"/>
    <w:rsid w:val="008C1D1F"/>
    <w:rsid w:val="008C1E1B"/>
    <w:rsid w:val="008C2443"/>
    <w:rsid w:val="008C2491"/>
    <w:rsid w:val="008C24F1"/>
    <w:rsid w:val="008C2514"/>
    <w:rsid w:val="008C27F0"/>
    <w:rsid w:val="008C2A27"/>
    <w:rsid w:val="008C2A45"/>
    <w:rsid w:val="008C2B21"/>
    <w:rsid w:val="008C2CBA"/>
    <w:rsid w:val="008C2CCA"/>
    <w:rsid w:val="008C2D4E"/>
    <w:rsid w:val="008C2E40"/>
    <w:rsid w:val="008C2EF2"/>
    <w:rsid w:val="008C353F"/>
    <w:rsid w:val="008C36F3"/>
    <w:rsid w:val="008C3E01"/>
    <w:rsid w:val="008C3F9C"/>
    <w:rsid w:val="008C41CC"/>
    <w:rsid w:val="008C430E"/>
    <w:rsid w:val="008C438B"/>
    <w:rsid w:val="008C443B"/>
    <w:rsid w:val="008C4628"/>
    <w:rsid w:val="008C4808"/>
    <w:rsid w:val="008C4839"/>
    <w:rsid w:val="008C4840"/>
    <w:rsid w:val="008C4899"/>
    <w:rsid w:val="008C4911"/>
    <w:rsid w:val="008C49FE"/>
    <w:rsid w:val="008C4D2A"/>
    <w:rsid w:val="008C4E8B"/>
    <w:rsid w:val="008C4FD2"/>
    <w:rsid w:val="008C4FFD"/>
    <w:rsid w:val="008C535B"/>
    <w:rsid w:val="008C5414"/>
    <w:rsid w:val="008C547B"/>
    <w:rsid w:val="008C5553"/>
    <w:rsid w:val="008C564F"/>
    <w:rsid w:val="008C56D8"/>
    <w:rsid w:val="008C5801"/>
    <w:rsid w:val="008C5872"/>
    <w:rsid w:val="008C5CB1"/>
    <w:rsid w:val="008C5D04"/>
    <w:rsid w:val="008C5E0F"/>
    <w:rsid w:val="008C6084"/>
    <w:rsid w:val="008C6163"/>
    <w:rsid w:val="008C62B7"/>
    <w:rsid w:val="008C6592"/>
    <w:rsid w:val="008C65DF"/>
    <w:rsid w:val="008C697D"/>
    <w:rsid w:val="008C6BFF"/>
    <w:rsid w:val="008C6F6C"/>
    <w:rsid w:val="008C70DB"/>
    <w:rsid w:val="008C70EF"/>
    <w:rsid w:val="008C7165"/>
    <w:rsid w:val="008C7459"/>
    <w:rsid w:val="008C745F"/>
    <w:rsid w:val="008C7590"/>
    <w:rsid w:val="008C75F9"/>
    <w:rsid w:val="008C76C5"/>
    <w:rsid w:val="008C76ED"/>
    <w:rsid w:val="008C78A2"/>
    <w:rsid w:val="008C78D7"/>
    <w:rsid w:val="008C793F"/>
    <w:rsid w:val="008C79AE"/>
    <w:rsid w:val="008C7CCE"/>
    <w:rsid w:val="008C7DF7"/>
    <w:rsid w:val="008D0054"/>
    <w:rsid w:val="008D01DB"/>
    <w:rsid w:val="008D01E3"/>
    <w:rsid w:val="008D020D"/>
    <w:rsid w:val="008D0242"/>
    <w:rsid w:val="008D0363"/>
    <w:rsid w:val="008D03B7"/>
    <w:rsid w:val="008D04FD"/>
    <w:rsid w:val="008D056C"/>
    <w:rsid w:val="008D0787"/>
    <w:rsid w:val="008D0964"/>
    <w:rsid w:val="008D0A38"/>
    <w:rsid w:val="008D0B8D"/>
    <w:rsid w:val="008D0CB9"/>
    <w:rsid w:val="008D0F75"/>
    <w:rsid w:val="008D1065"/>
    <w:rsid w:val="008D1206"/>
    <w:rsid w:val="008D125C"/>
    <w:rsid w:val="008D14F6"/>
    <w:rsid w:val="008D1648"/>
    <w:rsid w:val="008D1889"/>
    <w:rsid w:val="008D19D0"/>
    <w:rsid w:val="008D1B11"/>
    <w:rsid w:val="008D1BFE"/>
    <w:rsid w:val="008D1E5B"/>
    <w:rsid w:val="008D1FC3"/>
    <w:rsid w:val="008D2286"/>
    <w:rsid w:val="008D2324"/>
    <w:rsid w:val="008D249F"/>
    <w:rsid w:val="008D2720"/>
    <w:rsid w:val="008D275D"/>
    <w:rsid w:val="008D30B6"/>
    <w:rsid w:val="008D31E6"/>
    <w:rsid w:val="008D3536"/>
    <w:rsid w:val="008D3561"/>
    <w:rsid w:val="008D374B"/>
    <w:rsid w:val="008D3A0F"/>
    <w:rsid w:val="008D3FC9"/>
    <w:rsid w:val="008D3FD8"/>
    <w:rsid w:val="008D400E"/>
    <w:rsid w:val="008D410C"/>
    <w:rsid w:val="008D42AA"/>
    <w:rsid w:val="008D4637"/>
    <w:rsid w:val="008D4667"/>
    <w:rsid w:val="008D489C"/>
    <w:rsid w:val="008D4B4B"/>
    <w:rsid w:val="008D4CC3"/>
    <w:rsid w:val="008D536B"/>
    <w:rsid w:val="008D582A"/>
    <w:rsid w:val="008D5971"/>
    <w:rsid w:val="008D5A4B"/>
    <w:rsid w:val="008D5B43"/>
    <w:rsid w:val="008D5B62"/>
    <w:rsid w:val="008D5B99"/>
    <w:rsid w:val="008D5DAA"/>
    <w:rsid w:val="008D5E5C"/>
    <w:rsid w:val="008D6351"/>
    <w:rsid w:val="008D635C"/>
    <w:rsid w:val="008D6508"/>
    <w:rsid w:val="008D66BE"/>
    <w:rsid w:val="008D691D"/>
    <w:rsid w:val="008D6D51"/>
    <w:rsid w:val="008D6F18"/>
    <w:rsid w:val="008D710F"/>
    <w:rsid w:val="008D733D"/>
    <w:rsid w:val="008D760F"/>
    <w:rsid w:val="008D7864"/>
    <w:rsid w:val="008D7CDC"/>
    <w:rsid w:val="008D7DC9"/>
    <w:rsid w:val="008D7E2B"/>
    <w:rsid w:val="008D7EED"/>
    <w:rsid w:val="008E02A4"/>
    <w:rsid w:val="008E0659"/>
    <w:rsid w:val="008E08B9"/>
    <w:rsid w:val="008E09CC"/>
    <w:rsid w:val="008E09F9"/>
    <w:rsid w:val="008E0EA8"/>
    <w:rsid w:val="008E0ECD"/>
    <w:rsid w:val="008E1527"/>
    <w:rsid w:val="008E198B"/>
    <w:rsid w:val="008E1D8B"/>
    <w:rsid w:val="008E1F26"/>
    <w:rsid w:val="008E212C"/>
    <w:rsid w:val="008E2401"/>
    <w:rsid w:val="008E2515"/>
    <w:rsid w:val="008E25C2"/>
    <w:rsid w:val="008E278C"/>
    <w:rsid w:val="008E29E5"/>
    <w:rsid w:val="008E2D0B"/>
    <w:rsid w:val="008E2E7C"/>
    <w:rsid w:val="008E301B"/>
    <w:rsid w:val="008E30A2"/>
    <w:rsid w:val="008E3337"/>
    <w:rsid w:val="008E354D"/>
    <w:rsid w:val="008E356C"/>
    <w:rsid w:val="008E375A"/>
    <w:rsid w:val="008E4055"/>
    <w:rsid w:val="008E40A7"/>
    <w:rsid w:val="008E414B"/>
    <w:rsid w:val="008E41D3"/>
    <w:rsid w:val="008E43DB"/>
    <w:rsid w:val="008E48BA"/>
    <w:rsid w:val="008E49A2"/>
    <w:rsid w:val="008E4A0F"/>
    <w:rsid w:val="008E4BDB"/>
    <w:rsid w:val="008E4C65"/>
    <w:rsid w:val="008E4DA1"/>
    <w:rsid w:val="008E4FE6"/>
    <w:rsid w:val="008E501C"/>
    <w:rsid w:val="008E5078"/>
    <w:rsid w:val="008E50A8"/>
    <w:rsid w:val="008E5900"/>
    <w:rsid w:val="008E5A83"/>
    <w:rsid w:val="008E5B20"/>
    <w:rsid w:val="008E5B29"/>
    <w:rsid w:val="008E5C39"/>
    <w:rsid w:val="008E5D00"/>
    <w:rsid w:val="008E5FF0"/>
    <w:rsid w:val="008E6310"/>
    <w:rsid w:val="008E6349"/>
    <w:rsid w:val="008E6492"/>
    <w:rsid w:val="008E6634"/>
    <w:rsid w:val="008E66D0"/>
    <w:rsid w:val="008E6791"/>
    <w:rsid w:val="008E6D14"/>
    <w:rsid w:val="008E7023"/>
    <w:rsid w:val="008E7165"/>
    <w:rsid w:val="008E717D"/>
    <w:rsid w:val="008E71AE"/>
    <w:rsid w:val="008E7345"/>
    <w:rsid w:val="008E7393"/>
    <w:rsid w:val="008E74AF"/>
    <w:rsid w:val="008E7869"/>
    <w:rsid w:val="008E7B86"/>
    <w:rsid w:val="008F050E"/>
    <w:rsid w:val="008F077E"/>
    <w:rsid w:val="008F0D4B"/>
    <w:rsid w:val="008F0E01"/>
    <w:rsid w:val="008F0E55"/>
    <w:rsid w:val="008F0E9C"/>
    <w:rsid w:val="008F11BE"/>
    <w:rsid w:val="008F144B"/>
    <w:rsid w:val="008F1462"/>
    <w:rsid w:val="008F15FD"/>
    <w:rsid w:val="008F170D"/>
    <w:rsid w:val="008F17A6"/>
    <w:rsid w:val="008F1DBE"/>
    <w:rsid w:val="008F244B"/>
    <w:rsid w:val="008F2647"/>
    <w:rsid w:val="008F26AD"/>
    <w:rsid w:val="008F274B"/>
    <w:rsid w:val="008F285F"/>
    <w:rsid w:val="008F2E8A"/>
    <w:rsid w:val="008F31E1"/>
    <w:rsid w:val="008F3336"/>
    <w:rsid w:val="008F3462"/>
    <w:rsid w:val="008F361F"/>
    <w:rsid w:val="008F3804"/>
    <w:rsid w:val="008F3831"/>
    <w:rsid w:val="008F3950"/>
    <w:rsid w:val="008F3AAA"/>
    <w:rsid w:val="008F3C97"/>
    <w:rsid w:val="008F3D7D"/>
    <w:rsid w:val="008F3FE0"/>
    <w:rsid w:val="008F4307"/>
    <w:rsid w:val="008F4337"/>
    <w:rsid w:val="008F470E"/>
    <w:rsid w:val="008F4788"/>
    <w:rsid w:val="008F4975"/>
    <w:rsid w:val="008F49AE"/>
    <w:rsid w:val="008F4C60"/>
    <w:rsid w:val="008F4E56"/>
    <w:rsid w:val="008F5055"/>
    <w:rsid w:val="008F5137"/>
    <w:rsid w:val="008F525C"/>
    <w:rsid w:val="008F5325"/>
    <w:rsid w:val="008F53F7"/>
    <w:rsid w:val="008F5499"/>
    <w:rsid w:val="008F5783"/>
    <w:rsid w:val="008F5CB4"/>
    <w:rsid w:val="008F5D41"/>
    <w:rsid w:val="008F5DD1"/>
    <w:rsid w:val="008F5F8E"/>
    <w:rsid w:val="008F60BA"/>
    <w:rsid w:val="008F67DD"/>
    <w:rsid w:val="008F68A4"/>
    <w:rsid w:val="008F692E"/>
    <w:rsid w:val="008F6A0C"/>
    <w:rsid w:val="008F6ACC"/>
    <w:rsid w:val="008F6B78"/>
    <w:rsid w:val="008F6E23"/>
    <w:rsid w:val="008F6F9A"/>
    <w:rsid w:val="008F7845"/>
    <w:rsid w:val="008F78F5"/>
    <w:rsid w:val="008F7A3B"/>
    <w:rsid w:val="008F7D59"/>
    <w:rsid w:val="008F7D79"/>
    <w:rsid w:val="00900194"/>
    <w:rsid w:val="009002A6"/>
    <w:rsid w:val="00900ABD"/>
    <w:rsid w:val="00900E8E"/>
    <w:rsid w:val="00901205"/>
    <w:rsid w:val="00901427"/>
    <w:rsid w:val="00901495"/>
    <w:rsid w:val="00901503"/>
    <w:rsid w:val="009015CD"/>
    <w:rsid w:val="0090172A"/>
    <w:rsid w:val="009018B5"/>
    <w:rsid w:val="00901A26"/>
    <w:rsid w:val="00901B14"/>
    <w:rsid w:val="00901B21"/>
    <w:rsid w:val="00901EFA"/>
    <w:rsid w:val="00901F4B"/>
    <w:rsid w:val="00901F9E"/>
    <w:rsid w:val="00902009"/>
    <w:rsid w:val="00902045"/>
    <w:rsid w:val="009021D9"/>
    <w:rsid w:val="009025B6"/>
    <w:rsid w:val="00902767"/>
    <w:rsid w:val="009029E2"/>
    <w:rsid w:val="00902D0F"/>
    <w:rsid w:val="00902DDD"/>
    <w:rsid w:val="00902E23"/>
    <w:rsid w:val="00902E71"/>
    <w:rsid w:val="009032CD"/>
    <w:rsid w:val="0090352D"/>
    <w:rsid w:val="009035E7"/>
    <w:rsid w:val="009038F9"/>
    <w:rsid w:val="00903DF9"/>
    <w:rsid w:val="0090406B"/>
    <w:rsid w:val="009040C5"/>
    <w:rsid w:val="00904280"/>
    <w:rsid w:val="0090466B"/>
    <w:rsid w:val="009048FF"/>
    <w:rsid w:val="00904AF1"/>
    <w:rsid w:val="00904B0A"/>
    <w:rsid w:val="00904B5F"/>
    <w:rsid w:val="00904CBE"/>
    <w:rsid w:val="00904FA1"/>
    <w:rsid w:val="00905011"/>
    <w:rsid w:val="0090517D"/>
    <w:rsid w:val="0090522F"/>
    <w:rsid w:val="009053E0"/>
    <w:rsid w:val="0090556C"/>
    <w:rsid w:val="0090563E"/>
    <w:rsid w:val="009058BF"/>
    <w:rsid w:val="00905932"/>
    <w:rsid w:val="009059AC"/>
    <w:rsid w:val="00905A9E"/>
    <w:rsid w:val="00905AEE"/>
    <w:rsid w:val="00905C0B"/>
    <w:rsid w:val="00905C10"/>
    <w:rsid w:val="00905C31"/>
    <w:rsid w:val="00905FA6"/>
    <w:rsid w:val="009063AC"/>
    <w:rsid w:val="0090646B"/>
    <w:rsid w:val="009064CF"/>
    <w:rsid w:val="00906C77"/>
    <w:rsid w:val="00906CF1"/>
    <w:rsid w:val="00906F1A"/>
    <w:rsid w:val="009073D6"/>
    <w:rsid w:val="00907699"/>
    <w:rsid w:val="009076C5"/>
    <w:rsid w:val="0090771A"/>
    <w:rsid w:val="00907764"/>
    <w:rsid w:val="0090778F"/>
    <w:rsid w:val="00907965"/>
    <w:rsid w:val="00907A78"/>
    <w:rsid w:val="00907B39"/>
    <w:rsid w:val="00907DB7"/>
    <w:rsid w:val="00907DDB"/>
    <w:rsid w:val="00907E00"/>
    <w:rsid w:val="00907E5A"/>
    <w:rsid w:val="00910239"/>
    <w:rsid w:val="00910330"/>
    <w:rsid w:val="0091052F"/>
    <w:rsid w:val="0091088E"/>
    <w:rsid w:val="00910A77"/>
    <w:rsid w:val="00910BAD"/>
    <w:rsid w:val="00910E67"/>
    <w:rsid w:val="00910F08"/>
    <w:rsid w:val="00910F10"/>
    <w:rsid w:val="00910FF4"/>
    <w:rsid w:val="00911143"/>
    <w:rsid w:val="009113D0"/>
    <w:rsid w:val="00911552"/>
    <w:rsid w:val="00911578"/>
    <w:rsid w:val="00911A78"/>
    <w:rsid w:val="00912054"/>
    <w:rsid w:val="0091208E"/>
    <w:rsid w:val="0091209F"/>
    <w:rsid w:val="009121B0"/>
    <w:rsid w:val="0091273D"/>
    <w:rsid w:val="009128AE"/>
    <w:rsid w:val="00912AFC"/>
    <w:rsid w:val="00912C76"/>
    <w:rsid w:val="00912E51"/>
    <w:rsid w:val="009130B8"/>
    <w:rsid w:val="00913738"/>
    <w:rsid w:val="009138CC"/>
    <w:rsid w:val="00914059"/>
    <w:rsid w:val="00914166"/>
    <w:rsid w:val="009146E7"/>
    <w:rsid w:val="009148CC"/>
    <w:rsid w:val="009148E4"/>
    <w:rsid w:val="009149D4"/>
    <w:rsid w:val="00914A45"/>
    <w:rsid w:val="00914D04"/>
    <w:rsid w:val="00914DA5"/>
    <w:rsid w:val="00914E4E"/>
    <w:rsid w:val="00915131"/>
    <w:rsid w:val="00915302"/>
    <w:rsid w:val="00915308"/>
    <w:rsid w:val="00915463"/>
    <w:rsid w:val="009154C1"/>
    <w:rsid w:val="009157DE"/>
    <w:rsid w:val="009159C3"/>
    <w:rsid w:val="00915A7D"/>
    <w:rsid w:val="00915F55"/>
    <w:rsid w:val="009160BD"/>
    <w:rsid w:val="0091611C"/>
    <w:rsid w:val="009162F8"/>
    <w:rsid w:val="00916395"/>
    <w:rsid w:val="009163AE"/>
    <w:rsid w:val="009164A7"/>
    <w:rsid w:val="00916509"/>
    <w:rsid w:val="00916580"/>
    <w:rsid w:val="0091671B"/>
    <w:rsid w:val="00916805"/>
    <w:rsid w:val="009169A4"/>
    <w:rsid w:val="00916C05"/>
    <w:rsid w:val="0091705B"/>
    <w:rsid w:val="0091730B"/>
    <w:rsid w:val="009174A8"/>
    <w:rsid w:val="009176CC"/>
    <w:rsid w:val="009177D6"/>
    <w:rsid w:val="0091798A"/>
    <w:rsid w:val="009179D7"/>
    <w:rsid w:val="00917D8D"/>
    <w:rsid w:val="00917E6B"/>
    <w:rsid w:val="009200B2"/>
    <w:rsid w:val="009200BD"/>
    <w:rsid w:val="0092026B"/>
    <w:rsid w:val="00920965"/>
    <w:rsid w:val="00920BB0"/>
    <w:rsid w:val="00920E7B"/>
    <w:rsid w:val="00921073"/>
    <w:rsid w:val="00921109"/>
    <w:rsid w:val="0092112F"/>
    <w:rsid w:val="009211AF"/>
    <w:rsid w:val="009211FB"/>
    <w:rsid w:val="0092131D"/>
    <w:rsid w:val="00921347"/>
    <w:rsid w:val="00921792"/>
    <w:rsid w:val="00921935"/>
    <w:rsid w:val="00921A12"/>
    <w:rsid w:val="0092250B"/>
    <w:rsid w:val="0092261D"/>
    <w:rsid w:val="00922D2C"/>
    <w:rsid w:val="00923011"/>
    <w:rsid w:val="00923026"/>
    <w:rsid w:val="009230DD"/>
    <w:rsid w:val="0092324C"/>
    <w:rsid w:val="00923343"/>
    <w:rsid w:val="009235C0"/>
    <w:rsid w:val="0092360D"/>
    <w:rsid w:val="00923B62"/>
    <w:rsid w:val="00923B87"/>
    <w:rsid w:val="00923C18"/>
    <w:rsid w:val="00923C4C"/>
    <w:rsid w:val="00923F38"/>
    <w:rsid w:val="00924015"/>
    <w:rsid w:val="0092429E"/>
    <w:rsid w:val="009242D8"/>
    <w:rsid w:val="009245ED"/>
    <w:rsid w:val="00924809"/>
    <w:rsid w:val="009248F3"/>
    <w:rsid w:val="0092492B"/>
    <w:rsid w:val="00924B6D"/>
    <w:rsid w:val="00924C44"/>
    <w:rsid w:val="00924F82"/>
    <w:rsid w:val="009250BF"/>
    <w:rsid w:val="0092533C"/>
    <w:rsid w:val="009255CA"/>
    <w:rsid w:val="009257DF"/>
    <w:rsid w:val="009258D7"/>
    <w:rsid w:val="00925B2B"/>
    <w:rsid w:val="00925BD7"/>
    <w:rsid w:val="00925BE4"/>
    <w:rsid w:val="00925C06"/>
    <w:rsid w:val="00925D44"/>
    <w:rsid w:val="00925DBE"/>
    <w:rsid w:val="00925E24"/>
    <w:rsid w:val="00925E34"/>
    <w:rsid w:val="00926174"/>
    <w:rsid w:val="00926431"/>
    <w:rsid w:val="00926524"/>
    <w:rsid w:val="009265DB"/>
    <w:rsid w:val="00926C81"/>
    <w:rsid w:val="00926E1C"/>
    <w:rsid w:val="00926E8A"/>
    <w:rsid w:val="00926EC7"/>
    <w:rsid w:val="0092715B"/>
    <w:rsid w:val="00927162"/>
    <w:rsid w:val="009274EC"/>
    <w:rsid w:val="00927598"/>
    <w:rsid w:val="00927A91"/>
    <w:rsid w:val="00927B20"/>
    <w:rsid w:val="00927CB5"/>
    <w:rsid w:val="00927CBA"/>
    <w:rsid w:val="00927CC6"/>
    <w:rsid w:val="00927EBF"/>
    <w:rsid w:val="00927F6B"/>
    <w:rsid w:val="00927FCE"/>
    <w:rsid w:val="009301A5"/>
    <w:rsid w:val="009301C6"/>
    <w:rsid w:val="009301F6"/>
    <w:rsid w:val="00930402"/>
    <w:rsid w:val="00930404"/>
    <w:rsid w:val="00930491"/>
    <w:rsid w:val="00930648"/>
    <w:rsid w:val="009306EA"/>
    <w:rsid w:val="00930C7C"/>
    <w:rsid w:val="00930C87"/>
    <w:rsid w:val="00930D2D"/>
    <w:rsid w:val="00930D7A"/>
    <w:rsid w:val="00930D87"/>
    <w:rsid w:val="00930ED4"/>
    <w:rsid w:val="00930FEA"/>
    <w:rsid w:val="00931001"/>
    <w:rsid w:val="009310B3"/>
    <w:rsid w:val="009313DE"/>
    <w:rsid w:val="009316F2"/>
    <w:rsid w:val="00931798"/>
    <w:rsid w:val="009319D9"/>
    <w:rsid w:val="00931CD2"/>
    <w:rsid w:val="00931D22"/>
    <w:rsid w:val="00931E1C"/>
    <w:rsid w:val="00931F7C"/>
    <w:rsid w:val="00932021"/>
    <w:rsid w:val="009321B9"/>
    <w:rsid w:val="00932DB1"/>
    <w:rsid w:val="00933212"/>
    <w:rsid w:val="00933230"/>
    <w:rsid w:val="0093335C"/>
    <w:rsid w:val="009333AB"/>
    <w:rsid w:val="009336B2"/>
    <w:rsid w:val="00933759"/>
    <w:rsid w:val="009337D4"/>
    <w:rsid w:val="00933988"/>
    <w:rsid w:val="00933B16"/>
    <w:rsid w:val="00933E2B"/>
    <w:rsid w:val="00933FA4"/>
    <w:rsid w:val="00933FC8"/>
    <w:rsid w:val="009340AD"/>
    <w:rsid w:val="00934216"/>
    <w:rsid w:val="009344CB"/>
    <w:rsid w:val="009346EB"/>
    <w:rsid w:val="00934C02"/>
    <w:rsid w:val="00935233"/>
    <w:rsid w:val="0093539A"/>
    <w:rsid w:val="0093588B"/>
    <w:rsid w:val="00935D5C"/>
    <w:rsid w:val="00935F54"/>
    <w:rsid w:val="0093634B"/>
    <w:rsid w:val="0093665C"/>
    <w:rsid w:val="00936709"/>
    <w:rsid w:val="00936AF1"/>
    <w:rsid w:val="00936D4D"/>
    <w:rsid w:val="00936F5B"/>
    <w:rsid w:val="00936F66"/>
    <w:rsid w:val="0093727F"/>
    <w:rsid w:val="0093758D"/>
    <w:rsid w:val="00937662"/>
    <w:rsid w:val="0093777A"/>
    <w:rsid w:val="0093781A"/>
    <w:rsid w:val="0093783B"/>
    <w:rsid w:val="00937952"/>
    <w:rsid w:val="00940209"/>
    <w:rsid w:val="009402B6"/>
    <w:rsid w:val="009402C6"/>
    <w:rsid w:val="00940395"/>
    <w:rsid w:val="00940921"/>
    <w:rsid w:val="00940A26"/>
    <w:rsid w:val="00940DE7"/>
    <w:rsid w:val="0094126C"/>
    <w:rsid w:val="00941342"/>
    <w:rsid w:val="00941516"/>
    <w:rsid w:val="00941616"/>
    <w:rsid w:val="009417F2"/>
    <w:rsid w:val="00941824"/>
    <w:rsid w:val="00941CF4"/>
    <w:rsid w:val="0094214C"/>
    <w:rsid w:val="009423DE"/>
    <w:rsid w:val="0094259B"/>
    <w:rsid w:val="00942683"/>
    <w:rsid w:val="009426C9"/>
    <w:rsid w:val="00942761"/>
    <w:rsid w:val="0094276F"/>
    <w:rsid w:val="009427C8"/>
    <w:rsid w:val="009427F9"/>
    <w:rsid w:val="00942E92"/>
    <w:rsid w:val="00943583"/>
    <w:rsid w:val="00943A20"/>
    <w:rsid w:val="00943D49"/>
    <w:rsid w:val="00943EF6"/>
    <w:rsid w:val="00944446"/>
    <w:rsid w:val="0094497E"/>
    <w:rsid w:val="00944A99"/>
    <w:rsid w:val="00944D2A"/>
    <w:rsid w:val="0094571D"/>
    <w:rsid w:val="009457E6"/>
    <w:rsid w:val="00945A4B"/>
    <w:rsid w:val="00945AED"/>
    <w:rsid w:val="00945D24"/>
    <w:rsid w:val="009461ED"/>
    <w:rsid w:val="00946218"/>
    <w:rsid w:val="0094647A"/>
    <w:rsid w:val="00946591"/>
    <w:rsid w:val="00946748"/>
    <w:rsid w:val="009468F9"/>
    <w:rsid w:val="00946962"/>
    <w:rsid w:val="0094696B"/>
    <w:rsid w:val="00946BE2"/>
    <w:rsid w:val="00946DBC"/>
    <w:rsid w:val="00946DC4"/>
    <w:rsid w:val="00946F48"/>
    <w:rsid w:val="00946F60"/>
    <w:rsid w:val="00947080"/>
    <w:rsid w:val="009470AB"/>
    <w:rsid w:val="00947386"/>
    <w:rsid w:val="0094745A"/>
    <w:rsid w:val="009475BB"/>
    <w:rsid w:val="0094761A"/>
    <w:rsid w:val="0094764B"/>
    <w:rsid w:val="00947681"/>
    <w:rsid w:val="009477C0"/>
    <w:rsid w:val="00947F7E"/>
    <w:rsid w:val="009500F0"/>
    <w:rsid w:val="009500F9"/>
    <w:rsid w:val="00950593"/>
    <w:rsid w:val="00950923"/>
    <w:rsid w:val="00950D65"/>
    <w:rsid w:val="00950E77"/>
    <w:rsid w:val="00950FD6"/>
    <w:rsid w:val="00951083"/>
    <w:rsid w:val="009510FD"/>
    <w:rsid w:val="009512EF"/>
    <w:rsid w:val="00951528"/>
    <w:rsid w:val="00951684"/>
    <w:rsid w:val="0095179B"/>
    <w:rsid w:val="00951844"/>
    <w:rsid w:val="00951ABF"/>
    <w:rsid w:val="00951BE7"/>
    <w:rsid w:val="00951E7E"/>
    <w:rsid w:val="0095201C"/>
    <w:rsid w:val="0095202F"/>
    <w:rsid w:val="0095203C"/>
    <w:rsid w:val="0095207F"/>
    <w:rsid w:val="009521A0"/>
    <w:rsid w:val="00952541"/>
    <w:rsid w:val="0095258F"/>
    <w:rsid w:val="00952636"/>
    <w:rsid w:val="009526C2"/>
    <w:rsid w:val="0095279A"/>
    <w:rsid w:val="00952A5D"/>
    <w:rsid w:val="00952E27"/>
    <w:rsid w:val="0095333E"/>
    <w:rsid w:val="00953759"/>
    <w:rsid w:val="00953B25"/>
    <w:rsid w:val="00953C2F"/>
    <w:rsid w:val="00953D34"/>
    <w:rsid w:val="00953D7F"/>
    <w:rsid w:val="00953DF2"/>
    <w:rsid w:val="00953E27"/>
    <w:rsid w:val="00953F0D"/>
    <w:rsid w:val="009540C6"/>
    <w:rsid w:val="009540E4"/>
    <w:rsid w:val="00954201"/>
    <w:rsid w:val="0095433C"/>
    <w:rsid w:val="009543ED"/>
    <w:rsid w:val="0095454D"/>
    <w:rsid w:val="00954981"/>
    <w:rsid w:val="009549F7"/>
    <w:rsid w:val="00954A43"/>
    <w:rsid w:val="00954C3C"/>
    <w:rsid w:val="00954C5C"/>
    <w:rsid w:val="00954DDC"/>
    <w:rsid w:val="00954E0C"/>
    <w:rsid w:val="00955973"/>
    <w:rsid w:val="00955A6B"/>
    <w:rsid w:val="00955E15"/>
    <w:rsid w:val="00955E9E"/>
    <w:rsid w:val="00955EFA"/>
    <w:rsid w:val="009561A2"/>
    <w:rsid w:val="00956455"/>
    <w:rsid w:val="00956475"/>
    <w:rsid w:val="009565A2"/>
    <w:rsid w:val="009565D1"/>
    <w:rsid w:val="00956651"/>
    <w:rsid w:val="00956A7D"/>
    <w:rsid w:val="00956DF5"/>
    <w:rsid w:val="00956F68"/>
    <w:rsid w:val="009572CD"/>
    <w:rsid w:val="00957380"/>
    <w:rsid w:val="00957528"/>
    <w:rsid w:val="00957768"/>
    <w:rsid w:val="00957870"/>
    <w:rsid w:val="009600FA"/>
    <w:rsid w:val="009602E0"/>
    <w:rsid w:val="00960437"/>
    <w:rsid w:val="0096045D"/>
    <w:rsid w:val="00960460"/>
    <w:rsid w:val="009606B9"/>
    <w:rsid w:val="00960944"/>
    <w:rsid w:val="00960965"/>
    <w:rsid w:val="00960B97"/>
    <w:rsid w:val="00960BE3"/>
    <w:rsid w:val="00960CC8"/>
    <w:rsid w:val="00960CDA"/>
    <w:rsid w:val="00960E31"/>
    <w:rsid w:val="00960F8C"/>
    <w:rsid w:val="00961172"/>
    <w:rsid w:val="0096126A"/>
    <w:rsid w:val="009615E3"/>
    <w:rsid w:val="009616FC"/>
    <w:rsid w:val="00961791"/>
    <w:rsid w:val="00961866"/>
    <w:rsid w:val="00961BEA"/>
    <w:rsid w:val="00961C6F"/>
    <w:rsid w:val="00961C8E"/>
    <w:rsid w:val="00961CCD"/>
    <w:rsid w:val="00961F65"/>
    <w:rsid w:val="00961FBF"/>
    <w:rsid w:val="00962203"/>
    <w:rsid w:val="0096224D"/>
    <w:rsid w:val="00962323"/>
    <w:rsid w:val="0096236F"/>
    <w:rsid w:val="0096249F"/>
    <w:rsid w:val="009627DE"/>
    <w:rsid w:val="00962A15"/>
    <w:rsid w:val="00962AFE"/>
    <w:rsid w:val="00962BCD"/>
    <w:rsid w:val="00962D81"/>
    <w:rsid w:val="00962E33"/>
    <w:rsid w:val="00962E95"/>
    <w:rsid w:val="00962F55"/>
    <w:rsid w:val="009630FE"/>
    <w:rsid w:val="00963168"/>
    <w:rsid w:val="0096327F"/>
    <w:rsid w:val="009632C1"/>
    <w:rsid w:val="0096330C"/>
    <w:rsid w:val="00963A4E"/>
    <w:rsid w:val="00963B98"/>
    <w:rsid w:val="00963C30"/>
    <w:rsid w:val="00963DB7"/>
    <w:rsid w:val="00963E18"/>
    <w:rsid w:val="00963EBE"/>
    <w:rsid w:val="00963FC6"/>
    <w:rsid w:val="009641F8"/>
    <w:rsid w:val="00964357"/>
    <w:rsid w:val="00964698"/>
    <w:rsid w:val="009646A8"/>
    <w:rsid w:val="009647C2"/>
    <w:rsid w:val="00964CCA"/>
    <w:rsid w:val="00964E8B"/>
    <w:rsid w:val="009650E8"/>
    <w:rsid w:val="009653DA"/>
    <w:rsid w:val="009654C6"/>
    <w:rsid w:val="00965634"/>
    <w:rsid w:val="0096568F"/>
    <w:rsid w:val="0096584A"/>
    <w:rsid w:val="00965A40"/>
    <w:rsid w:val="00965BF9"/>
    <w:rsid w:val="00965CA2"/>
    <w:rsid w:val="00965E43"/>
    <w:rsid w:val="009663A4"/>
    <w:rsid w:val="00966492"/>
    <w:rsid w:val="009665BF"/>
    <w:rsid w:val="00966604"/>
    <w:rsid w:val="0096696B"/>
    <w:rsid w:val="00966BBF"/>
    <w:rsid w:val="00966EBD"/>
    <w:rsid w:val="00966FAC"/>
    <w:rsid w:val="00967361"/>
    <w:rsid w:val="00967705"/>
    <w:rsid w:val="009677FC"/>
    <w:rsid w:val="00967CC3"/>
    <w:rsid w:val="00967DB4"/>
    <w:rsid w:val="00967DF9"/>
    <w:rsid w:val="00967E25"/>
    <w:rsid w:val="00970314"/>
    <w:rsid w:val="009703D7"/>
    <w:rsid w:val="009703EA"/>
    <w:rsid w:val="0097056D"/>
    <w:rsid w:val="00970612"/>
    <w:rsid w:val="00970641"/>
    <w:rsid w:val="009706B0"/>
    <w:rsid w:val="00970BAF"/>
    <w:rsid w:val="00970C9D"/>
    <w:rsid w:val="00971088"/>
    <w:rsid w:val="00971341"/>
    <w:rsid w:val="009713DA"/>
    <w:rsid w:val="009714F4"/>
    <w:rsid w:val="009715C2"/>
    <w:rsid w:val="00971926"/>
    <w:rsid w:val="009719A5"/>
    <w:rsid w:val="00971F0A"/>
    <w:rsid w:val="0097205C"/>
    <w:rsid w:val="0097292D"/>
    <w:rsid w:val="009729A2"/>
    <w:rsid w:val="00972C8C"/>
    <w:rsid w:val="00973334"/>
    <w:rsid w:val="009734F2"/>
    <w:rsid w:val="00973509"/>
    <w:rsid w:val="00973673"/>
    <w:rsid w:val="00973941"/>
    <w:rsid w:val="00973A34"/>
    <w:rsid w:val="00973D79"/>
    <w:rsid w:val="00973E14"/>
    <w:rsid w:val="00973E62"/>
    <w:rsid w:val="00973ED2"/>
    <w:rsid w:val="0097421E"/>
    <w:rsid w:val="009742D8"/>
    <w:rsid w:val="009744B0"/>
    <w:rsid w:val="00974721"/>
    <w:rsid w:val="00974898"/>
    <w:rsid w:val="00974AAB"/>
    <w:rsid w:val="00974AFA"/>
    <w:rsid w:val="00975061"/>
    <w:rsid w:val="00975200"/>
    <w:rsid w:val="00975281"/>
    <w:rsid w:val="00975787"/>
    <w:rsid w:val="009757A1"/>
    <w:rsid w:val="009757EE"/>
    <w:rsid w:val="009758D8"/>
    <w:rsid w:val="0097598D"/>
    <w:rsid w:val="009759D1"/>
    <w:rsid w:val="00975C2A"/>
    <w:rsid w:val="00975F92"/>
    <w:rsid w:val="0097608F"/>
    <w:rsid w:val="0097624D"/>
    <w:rsid w:val="00976298"/>
    <w:rsid w:val="009762FE"/>
    <w:rsid w:val="00976485"/>
    <w:rsid w:val="00976624"/>
    <w:rsid w:val="0097670B"/>
    <w:rsid w:val="009768FB"/>
    <w:rsid w:val="00976A09"/>
    <w:rsid w:val="00976EA0"/>
    <w:rsid w:val="009770D0"/>
    <w:rsid w:val="009770D3"/>
    <w:rsid w:val="00977501"/>
    <w:rsid w:val="00977806"/>
    <w:rsid w:val="00977A7B"/>
    <w:rsid w:val="00977AAC"/>
    <w:rsid w:val="00977CA4"/>
    <w:rsid w:val="00977DB7"/>
    <w:rsid w:val="00977E83"/>
    <w:rsid w:val="00980144"/>
    <w:rsid w:val="009802E0"/>
    <w:rsid w:val="00980594"/>
    <w:rsid w:val="009807D0"/>
    <w:rsid w:val="00980912"/>
    <w:rsid w:val="00980F35"/>
    <w:rsid w:val="009810BA"/>
    <w:rsid w:val="00981483"/>
    <w:rsid w:val="0098163B"/>
    <w:rsid w:val="00981712"/>
    <w:rsid w:val="0098196A"/>
    <w:rsid w:val="00981A70"/>
    <w:rsid w:val="00981A95"/>
    <w:rsid w:val="00981B8B"/>
    <w:rsid w:val="00981F72"/>
    <w:rsid w:val="00981FAF"/>
    <w:rsid w:val="009820E5"/>
    <w:rsid w:val="00982132"/>
    <w:rsid w:val="00982235"/>
    <w:rsid w:val="0098295A"/>
    <w:rsid w:val="009829A9"/>
    <w:rsid w:val="00982B43"/>
    <w:rsid w:val="00982C51"/>
    <w:rsid w:val="00982DD6"/>
    <w:rsid w:val="00982F86"/>
    <w:rsid w:val="0098347F"/>
    <w:rsid w:val="009834A7"/>
    <w:rsid w:val="0098362E"/>
    <w:rsid w:val="00983A0C"/>
    <w:rsid w:val="00983A8A"/>
    <w:rsid w:val="00983D24"/>
    <w:rsid w:val="00983F0B"/>
    <w:rsid w:val="00984171"/>
    <w:rsid w:val="00984244"/>
    <w:rsid w:val="00984258"/>
    <w:rsid w:val="00984297"/>
    <w:rsid w:val="0098433E"/>
    <w:rsid w:val="009843ED"/>
    <w:rsid w:val="0098465C"/>
    <w:rsid w:val="009847CD"/>
    <w:rsid w:val="00984AFA"/>
    <w:rsid w:val="00984BC6"/>
    <w:rsid w:val="00984E5D"/>
    <w:rsid w:val="00984EA9"/>
    <w:rsid w:val="00984FFC"/>
    <w:rsid w:val="00985056"/>
    <w:rsid w:val="009850FD"/>
    <w:rsid w:val="00985253"/>
    <w:rsid w:val="00985619"/>
    <w:rsid w:val="0098592E"/>
    <w:rsid w:val="009859B8"/>
    <w:rsid w:val="00986470"/>
    <w:rsid w:val="009865D5"/>
    <w:rsid w:val="00986656"/>
    <w:rsid w:val="009867E8"/>
    <w:rsid w:val="009868FA"/>
    <w:rsid w:val="00986E28"/>
    <w:rsid w:val="00986F70"/>
    <w:rsid w:val="009870A0"/>
    <w:rsid w:val="00987532"/>
    <w:rsid w:val="00987C0B"/>
    <w:rsid w:val="00987E8F"/>
    <w:rsid w:val="009901CE"/>
    <w:rsid w:val="00990346"/>
    <w:rsid w:val="009903D0"/>
    <w:rsid w:val="0099051E"/>
    <w:rsid w:val="009907FF"/>
    <w:rsid w:val="0099091F"/>
    <w:rsid w:val="0099096E"/>
    <w:rsid w:val="00990BE0"/>
    <w:rsid w:val="00990BEF"/>
    <w:rsid w:val="00990DC1"/>
    <w:rsid w:val="00990E0A"/>
    <w:rsid w:val="0099103D"/>
    <w:rsid w:val="0099115A"/>
    <w:rsid w:val="009913CD"/>
    <w:rsid w:val="0099178B"/>
    <w:rsid w:val="009917AC"/>
    <w:rsid w:val="00991B70"/>
    <w:rsid w:val="00991BA9"/>
    <w:rsid w:val="00991C17"/>
    <w:rsid w:val="00991CAF"/>
    <w:rsid w:val="00991E66"/>
    <w:rsid w:val="00991F39"/>
    <w:rsid w:val="00992072"/>
    <w:rsid w:val="009922C4"/>
    <w:rsid w:val="00992417"/>
    <w:rsid w:val="00992486"/>
    <w:rsid w:val="00992655"/>
    <w:rsid w:val="009929AF"/>
    <w:rsid w:val="00992A9D"/>
    <w:rsid w:val="00992B01"/>
    <w:rsid w:val="00992B3F"/>
    <w:rsid w:val="00993262"/>
    <w:rsid w:val="00993692"/>
    <w:rsid w:val="0099369F"/>
    <w:rsid w:val="0099379B"/>
    <w:rsid w:val="00993805"/>
    <w:rsid w:val="00993933"/>
    <w:rsid w:val="00993A50"/>
    <w:rsid w:val="00993AB9"/>
    <w:rsid w:val="00993AFB"/>
    <w:rsid w:val="00993D50"/>
    <w:rsid w:val="00994211"/>
    <w:rsid w:val="0099429E"/>
    <w:rsid w:val="009942A6"/>
    <w:rsid w:val="009943EE"/>
    <w:rsid w:val="0099458A"/>
    <w:rsid w:val="0099471B"/>
    <w:rsid w:val="009947EE"/>
    <w:rsid w:val="00994B38"/>
    <w:rsid w:val="00994E9F"/>
    <w:rsid w:val="00994EC1"/>
    <w:rsid w:val="00995050"/>
    <w:rsid w:val="00995159"/>
    <w:rsid w:val="00995251"/>
    <w:rsid w:val="009952CA"/>
    <w:rsid w:val="009954D5"/>
    <w:rsid w:val="00995511"/>
    <w:rsid w:val="00995523"/>
    <w:rsid w:val="009959A2"/>
    <w:rsid w:val="00995C2C"/>
    <w:rsid w:val="00995E0F"/>
    <w:rsid w:val="009963F7"/>
    <w:rsid w:val="009963FD"/>
    <w:rsid w:val="009965F2"/>
    <w:rsid w:val="00996714"/>
    <w:rsid w:val="00996738"/>
    <w:rsid w:val="00996745"/>
    <w:rsid w:val="00996E79"/>
    <w:rsid w:val="0099709D"/>
    <w:rsid w:val="00997120"/>
    <w:rsid w:val="009972CA"/>
    <w:rsid w:val="00997391"/>
    <w:rsid w:val="0099740B"/>
    <w:rsid w:val="00997458"/>
    <w:rsid w:val="009974E9"/>
    <w:rsid w:val="0099750B"/>
    <w:rsid w:val="00997E98"/>
    <w:rsid w:val="009A0506"/>
    <w:rsid w:val="009A0916"/>
    <w:rsid w:val="009A0A21"/>
    <w:rsid w:val="009A0ABB"/>
    <w:rsid w:val="009A0B52"/>
    <w:rsid w:val="009A0D54"/>
    <w:rsid w:val="009A0E0D"/>
    <w:rsid w:val="009A0E5B"/>
    <w:rsid w:val="009A10F0"/>
    <w:rsid w:val="009A1206"/>
    <w:rsid w:val="009A14A5"/>
    <w:rsid w:val="009A15E3"/>
    <w:rsid w:val="009A187C"/>
    <w:rsid w:val="009A1D36"/>
    <w:rsid w:val="009A1E7C"/>
    <w:rsid w:val="009A23B5"/>
    <w:rsid w:val="009A254D"/>
    <w:rsid w:val="009A25AF"/>
    <w:rsid w:val="009A2601"/>
    <w:rsid w:val="009A2643"/>
    <w:rsid w:val="009A28A5"/>
    <w:rsid w:val="009A29C4"/>
    <w:rsid w:val="009A2F00"/>
    <w:rsid w:val="009A303E"/>
    <w:rsid w:val="009A3436"/>
    <w:rsid w:val="009A3656"/>
    <w:rsid w:val="009A36F5"/>
    <w:rsid w:val="009A3A60"/>
    <w:rsid w:val="009A3AA7"/>
    <w:rsid w:val="009A3DB3"/>
    <w:rsid w:val="009A3DE4"/>
    <w:rsid w:val="009A4047"/>
    <w:rsid w:val="009A43DD"/>
    <w:rsid w:val="009A451E"/>
    <w:rsid w:val="009A4585"/>
    <w:rsid w:val="009A4637"/>
    <w:rsid w:val="009A4723"/>
    <w:rsid w:val="009A47B4"/>
    <w:rsid w:val="009A4B3D"/>
    <w:rsid w:val="009A4C76"/>
    <w:rsid w:val="009A4DF9"/>
    <w:rsid w:val="009A4FE6"/>
    <w:rsid w:val="009A518C"/>
    <w:rsid w:val="009A52D3"/>
    <w:rsid w:val="009A532C"/>
    <w:rsid w:val="009A54CC"/>
    <w:rsid w:val="009A55B4"/>
    <w:rsid w:val="009A5605"/>
    <w:rsid w:val="009A56D4"/>
    <w:rsid w:val="009A5DF2"/>
    <w:rsid w:val="009A5E87"/>
    <w:rsid w:val="009A5F31"/>
    <w:rsid w:val="009A61D3"/>
    <w:rsid w:val="009A621A"/>
    <w:rsid w:val="009A6410"/>
    <w:rsid w:val="009A66CF"/>
    <w:rsid w:val="009A6A9B"/>
    <w:rsid w:val="009A6B6A"/>
    <w:rsid w:val="009A6BBE"/>
    <w:rsid w:val="009A6BC4"/>
    <w:rsid w:val="009A6CAB"/>
    <w:rsid w:val="009A6D76"/>
    <w:rsid w:val="009A6E73"/>
    <w:rsid w:val="009A6EC3"/>
    <w:rsid w:val="009A70DE"/>
    <w:rsid w:val="009A7340"/>
    <w:rsid w:val="009A7343"/>
    <w:rsid w:val="009A75F6"/>
    <w:rsid w:val="009A781F"/>
    <w:rsid w:val="009A7958"/>
    <w:rsid w:val="009A7982"/>
    <w:rsid w:val="009A7AA8"/>
    <w:rsid w:val="009A7BCC"/>
    <w:rsid w:val="009A7D44"/>
    <w:rsid w:val="009A7D7F"/>
    <w:rsid w:val="009A7EB1"/>
    <w:rsid w:val="009A7F7A"/>
    <w:rsid w:val="009A7F93"/>
    <w:rsid w:val="009B011D"/>
    <w:rsid w:val="009B0491"/>
    <w:rsid w:val="009B05D4"/>
    <w:rsid w:val="009B05F1"/>
    <w:rsid w:val="009B061F"/>
    <w:rsid w:val="009B0690"/>
    <w:rsid w:val="009B06C2"/>
    <w:rsid w:val="009B079E"/>
    <w:rsid w:val="009B0AD1"/>
    <w:rsid w:val="009B0D3B"/>
    <w:rsid w:val="009B0DAE"/>
    <w:rsid w:val="009B0F03"/>
    <w:rsid w:val="009B1145"/>
    <w:rsid w:val="009B147D"/>
    <w:rsid w:val="009B1490"/>
    <w:rsid w:val="009B15E0"/>
    <w:rsid w:val="009B1620"/>
    <w:rsid w:val="009B17A2"/>
    <w:rsid w:val="009B18B2"/>
    <w:rsid w:val="009B1B79"/>
    <w:rsid w:val="009B1C7D"/>
    <w:rsid w:val="009B2249"/>
    <w:rsid w:val="009B27DA"/>
    <w:rsid w:val="009B2B2A"/>
    <w:rsid w:val="009B2DE0"/>
    <w:rsid w:val="009B2E2F"/>
    <w:rsid w:val="009B3175"/>
    <w:rsid w:val="009B35EB"/>
    <w:rsid w:val="009B37D4"/>
    <w:rsid w:val="009B37FA"/>
    <w:rsid w:val="009B388F"/>
    <w:rsid w:val="009B3988"/>
    <w:rsid w:val="009B39FB"/>
    <w:rsid w:val="009B3B61"/>
    <w:rsid w:val="009B3C44"/>
    <w:rsid w:val="009B3CD8"/>
    <w:rsid w:val="009B3F80"/>
    <w:rsid w:val="009B4047"/>
    <w:rsid w:val="009B408A"/>
    <w:rsid w:val="009B416B"/>
    <w:rsid w:val="009B4281"/>
    <w:rsid w:val="009B42EC"/>
    <w:rsid w:val="009B436D"/>
    <w:rsid w:val="009B43C2"/>
    <w:rsid w:val="009B46E0"/>
    <w:rsid w:val="009B46E6"/>
    <w:rsid w:val="009B4AA6"/>
    <w:rsid w:val="009B4ACA"/>
    <w:rsid w:val="009B4B86"/>
    <w:rsid w:val="009B4D60"/>
    <w:rsid w:val="009B5176"/>
    <w:rsid w:val="009B563F"/>
    <w:rsid w:val="009B5706"/>
    <w:rsid w:val="009B57EB"/>
    <w:rsid w:val="009B58ED"/>
    <w:rsid w:val="009B5B15"/>
    <w:rsid w:val="009B5DDF"/>
    <w:rsid w:val="009B5F96"/>
    <w:rsid w:val="009B6518"/>
    <w:rsid w:val="009B6526"/>
    <w:rsid w:val="009B68C3"/>
    <w:rsid w:val="009B7398"/>
    <w:rsid w:val="009B7807"/>
    <w:rsid w:val="009B795D"/>
    <w:rsid w:val="009B7998"/>
    <w:rsid w:val="009B7E2E"/>
    <w:rsid w:val="009B7F39"/>
    <w:rsid w:val="009C004A"/>
    <w:rsid w:val="009C084C"/>
    <w:rsid w:val="009C0B40"/>
    <w:rsid w:val="009C0BA4"/>
    <w:rsid w:val="009C0D04"/>
    <w:rsid w:val="009C0F26"/>
    <w:rsid w:val="009C1007"/>
    <w:rsid w:val="009C10B6"/>
    <w:rsid w:val="009C1657"/>
    <w:rsid w:val="009C1871"/>
    <w:rsid w:val="009C1A5E"/>
    <w:rsid w:val="009C1C4D"/>
    <w:rsid w:val="009C1CB7"/>
    <w:rsid w:val="009C1D1C"/>
    <w:rsid w:val="009C2866"/>
    <w:rsid w:val="009C28FD"/>
    <w:rsid w:val="009C29D6"/>
    <w:rsid w:val="009C2D58"/>
    <w:rsid w:val="009C2E2B"/>
    <w:rsid w:val="009C314E"/>
    <w:rsid w:val="009C31CC"/>
    <w:rsid w:val="009C3908"/>
    <w:rsid w:val="009C39E5"/>
    <w:rsid w:val="009C3A3D"/>
    <w:rsid w:val="009C3A6D"/>
    <w:rsid w:val="009C3ADE"/>
    <w:rsid w:val="009C3B40"/>
    <w:rsid w:val="009C43DC"/>
    <w:rsid w:val="009C4488"/>
    <w:rsid w:val="009C4624"/>
    <w:rsid w:val="009C510D"/>
    <w:rsid w:val="009C5243"/>
    <w:rsid w:val="009C540D"/>
    <w:rsid w:val="009C5574"/>
    <w:rsid w:val="009C5E9A"/>
    <w:rsid w:val="009C609F"/>
    <w:rsid w:val="009C60C9"/>
    <w:rsid w:val="009C60D3"/>
    <w:rsid w:val="009C6266"/>
    <w:rsid w:val="009C6385"/>
    <w:rsid w:val="009C63A5"/>
    <w:rsid w:val="009C67EB"/>
    <w:rsid w:val="009C68FD"/>
    <w:rsid w:val="009C6984"/>
    <w:rsid w:val="009C699A"/>
    <w:rsid w:val="009C6C92"/>
    <w:rsid w:val="009C6C93"/>
    <w:rsid w:val="009C70DE"/>
    <w:rsid w:val="009C7409"/>
    <w:rsid w:val="009C76A5"/>
    <w:rsid w:val="009C7B3A"/>
    <w:rsid w:val="009C7C37"/>
    <w:rsid w:val="009D006F"/>
    <w:rsid w:val="009D01ED"/>
    <w:rsid w:val="009D0264"/>
    <w:rsid w:val="009D0509"/>
    <w:rsid w:val="009D0789"/>
    <w:rsid w:val="009D0D75"/>
    <w:rsid w:val="009D0E04"/>
    <w:rsid w:val="009D0E84"/>
    <w:rsid w:val="009D10C6"/>
    <w:rsid w:val="009D148B"/>
    <w:rsid w:val="009D1587"/>
    <w:rsid w:val="009D1689"/>
    <w:rsid w:val="009D1881"/>
    <w:rsid w:val="009D18E0"/>
    <w:rsid w:val="009D195D"/>
    <w:rsid w:val="009D1A2B"/>
    <w:rsid w:val="009D1AC2"/>
    <w:rsid w:val="009D1E4D"/>
    <w:rsid w:val="009D1FC6"/>
    <w:rsid w:val="009D207D"/>
    <w:rsid w:val="009D20F5"/>
    <w:rsid w:val="009D21AD"/>
    <w:rsid w:val="009D22EC"/>
    <w:rsid w:val="009D258E"/>
    <w:rsid w:val="009D2668"/>
    <w:rsid w:val="009D27C4"/>
    <w:rsid w:val="009D2C62"/>
    <w:rsid w:val="009D2D8E"/>
    <w:rsid w:val="009D2E47"/>
    <w:rsid w:val="009D2F4E"/>
    <w:rsid w:val="009D347D"/>
    <w:rsid w:val="009D3632"/>
    <w:rsid w:val="009D3A54"/>
    <w:rsid w:val="009D3A9B"/>
    <w:rsid w:val="009D3BCC"/>
    <w:rsid w:val="009D400E"/>
    <w:rsid w:val="009D41C8"/>
    <w:rsid w:val="009D43CB"/>
    <w:rsid w:val="009D43FC"/>
    <w:rsid w:val="009D4527"/>
    <w:rsid w:val="009D4541"/>
    <w:rsid w:val="009D4994"/>
    <w:rsid w:val="009D4A40"/>
    <w:rsid w:val="009D4C16"/>
    <w:rsid w:val="009D4CB7"/>
    <w:rsid w:val="009D4D5E"/>
    <w:rsid w:val="009D513C"/>
    <w:rsid w:val="009D5195"/>
    <w:rsid w:val="009D54C9"/>
    <w:rsid w:val="009D55DB"/>
    <w:rsid w:val="009D59A2"/>
    <w:rsid w:val="009D5BD4"/>
    <w:rsid w:val="009D5D0E"/>
    <w:rsid w:val="009D5DB0"/>
    <w:rsid w:val="009D5E44"/>
    <w:rsid w:val="009D6016"/>
    <w:rsid w:val="009D6452"/>
    <w:rsid w:val="009D6513"/>
    <w:rsid w:val="009D65BA"/>
    <w:rsid w:val="009D65BC"/>
    <w:rsid w:val="009D6C31"/>
    <w:rsid w:val="009D6C38"/>
    <w:rsid w:val="009D6CC3"/>
    <w:rsid w:val="009D6E2C"/>
    <w:rsid w:val="009D6E3E"/>
    <w:rsid w:val="009D6E93"/>
    <w:rsid w:val="009D6FFE"/>
    <w:rsid w:val="009D7005"/>
    <w:rsid w:val="009D7195"/>
    <w:rsid w:val="009D78B1"/>
    <w:rsid w:val="009D78F2"/>
    <w:rsid w:val="009D7BE5"/>
    <w:rsid w:val="009D7BFC"/>
    <w:rsid w:val="009D7C18"/>
    <w:rsid w:val="009D7EAA"/>
    <w:rsid w:val="009D7EEA"/>
    <w:rsid w:val="009E037A"/>
    <w:rsid w:val="009E05DF"/>
    <w:rsid w:val="009E0646"/>
    <w:rsid w:val="009E0D58"/>
    <w:rsid w:val="009E0E0C"/>
    <w:rsid w:val="009E0F3D"/>
    <w:rsid w:val="009E1144"/>
    <w:rsid w:val="009E122D"/>
    <w:rsid w:val="009E191C"/>
    <w:rsid w:val="009E1AED"/>
    <w:rsid w:val="009E1B1E"/>
    <w:rsid w:val="009E2265"/>
    <w:rsid w:val="009E2313"/>
    <w:rsid w:val="009E23FD"/>
    <w:rsid w:val="009E2573"/>
    <w:rsid w:val="009E27C7"/>
    <w:rsid w:val="009E29E8"/>
    <w:rsid w:val="009E2A2A"/>
    <w:rsid w:val="009E2B29"/>
    <w:rsid w:val="009E2C67"/>
    <w:rsid w:val="009E2E33"/>
    <w:rsid w:val="009E2FA4"/>
    <w:rsid w:val="009E3340"/>
    <w:rsid w:val="009E35F2"/>
    <w:rsid w:val="009E3630"/>
    <w:rsid w:val="009E3734"/>
    <w:rsid w:val="009E39FE"/>
    <w:rsid w:val="009E3ADA"/>
    <w:rsid w:val="009E3B1F"/>
    <w:rsid w:val="009E3C88"/>
    <w:rsid w:val="009E41B2"/>
    <w:rsid w:val="009E41F7"/>
    <w:rsid w:val="009E446B"/>
    <w:rsid w:val="009E45AE"/>
    <w:rsid w:val="009E4A1C"/>
    <w:rsid w:val="009E4A9E"/>
    <w:rsid w:val="009E4B0D"/>
    <w:rsid w:val="009E4BA0"/>
    <w:rsid w:val="009E4BFD"/>
    <w:rsid w:val="009E4EE1"/>
    <w:rsid w:val="009E4F09"/>
    <w:rsid w:val="009E5770"/>
    <w:rsid w:val="009E58B3"/>
    <w:rsid w:val="009E5A71"/>
    <w:rsid w:val="009E5BA3"/>
    <w:rsid w:val="009E6249"/>
    <w:rsid w:val="009E63E6"/>
    <w:rsid w:val="009E65DF"/>
    <w:rsid w:val="009E6924"/>
    <w:rsid w:val="009E6A08"/>
    <w:rsid w:val="009E6BCD"/>
    <w:rsid w:val="009E6CD2"/>
    <w:rsid w:val="009E6D10"/>
    <w:rsid w:val="009E6EA6"/>
    <w:rsid w:val="009E6F86"/>
    <w:rsid w:val="009E714F"/>
    <w:rsid w:val="009E74E7"/>
    <w:rsid w:val="009E77E1"/>
    <w:rsid w:val="009E7960"/>
    <w:rsid w:val="009E7ABC"/>
    <w:rsid w:val="009E7C2E"/>
    <w:rsid w:val="009E7D3E"/>
    <w:rsid w:val="009E7E2F"/>
    <w:rsid w:val="009E7E8A"/>
    <w:rsid w:val="009E7EAF"/>
    <w:rsid w:val="009F0097"/>
    <w:rsid w:val="009F0175"/>
    <w:rsid w:val="009F019A"/>
    <w:rsid w:val="009F055D"/>
    <w:rsid w:val="009F0708"/>
    <w:rsid w:val="009F09BF"/>
    <w:rsid w:val="009F0B1F"/>
    <w:rsid w:val="009F0E97"/>
    <w:rsid w:val="009F1266"/>
    <w:rsid w:val="009F138D"/>
    <w:rsid w:val="009F13D5"/>
    <w:rsid w:val="009F1683"/>
    <w:rsid w:val="009F175A"/>
    <w:rsid w:val="009F17A6"/>
    <w:rsid w:val="009F1A01"/>
    <w:rsid w:val="009F1A82"/>
    <w:rsid w:val="009F1CC6"/>
    <w:rsid w:val="009F2015"/>
    <w:rsid w:val="009F204F"/>
    <w:rsid w:val="009F215C"/>
    <w:rsid w:val="009F21F1"/>
    <w:rsid w:val="009F2579"/>
    <w:rsid w:val="009F27FF"/>
    <w:rsid w:val="009F2B8F"/>
    <w:rsid w:val="009F2DA7"/>
    <w:rsid w:val="009F2DB9"/>
    <w:rsid w:val="009F2EFF"/>
    <w:rsid w:val="009F2F65"/>
    <w:rsid w:val="009F340E"/>
    <w:rsid w:val="009F3555"/>
    <w:rsid w:val="009F3AC9"/>
    <w:rsid w:val="009F3C52"/>
    <w:rsid w:val="009F3F34"/>
    <w:rsid w:val="009F3FE4"/>
    <w:rsid w:val="009F4261"/>
    <w:rsid w:val="009F4306"/>
    <w:rsid w:val="009F4351"/>
    <w:rsid w:val="009F43A1"/>
    <w:rsid w:val="009F491D"/>
    <w:rsid w:val="009F497A"/>
    <w:rsid w:val="009F49CA"/>
    <w:rsid w:val="009F4B8A"/>
    <w:rsid w:val="009F4CC7"/>
    <w:rsid w:val="009F4F7A"/>
    <w:rsid w:val="009F52BF"/>
    <w:rsid w:val="009F53B4"/>
    <w:rsid w:val="009F553D"/>
    <w:rsid w:val="009F56F2"/>
    <w:rsid w:val="009F5A91"/>
    <w:rsid w:val="009F5C97"/>
    <w:rsid w:val="009F5FE7"/>
    <w:rsid w:val="009F61B6"/>
    <w:rsid w:val="009F6225"/>
    <w:rsid w:val="009F6658"/>
    <w:rsid w:val="009F665B"/>
    <w:rsid w:val="009F6820"/>
    <w:rsid w:val="009F6ABC"/>
    <w:rsid w:val="009F6BAF"/>
    <w:rsid w:val="009F6BCC"/>
    <w:rsid w:val="009F6C07"/>
    <w:rsid w:val="009F6CE7"/>
    <w:rsid w:val="009F7187"/>
    <w:rsid w:val="009F7361"/>
    <w:rsid w:val="009F751F"/>
    <w:rsid w:val="009F7565"/>
    <w:rsid w:val="009F7750"/>
    <w:rsid w:val="009F7898"/>
    <w:rsid w:val="009F79FD"/>
    <w:rsid w:val="009F7A6A"/>
    <w:rsid w:val="009F7E6E"/>
    <w:rsid w:val="009F7E78"/>
    <w:rsid w:val="009F7F17"/>
    <w:rsid w:val="00A001D4"/>
    <w:rsid w:val="00A006AE"/>
    <w:rsid w:val="00A0083E"/>
    <w:rsid w:val="00A00BFC"/>
    <w:rsid w:val="00A00C18"/>
    <w:rsid w:val="00A00E58"/>
    <w:rsid w:val="00A00EAB"/>
    <w:rsid w:val="00A01252"/>
    <w:rsid w:val="00A01341"/>
    <w:rsid w:val="00A014C4"/>
    <w:rsid w:val="00A01510"/>
    <w:rsid w:val="00A0152A"/>
    <w:rsid w:val="00A01632"/>
    <w:rsid w:val="00A0168D"/>
    <w:rsid w:val="00A01983"/>
    <w:rsid w:val="00A01B1B"/>
    <w:rsid w:val="00A01B90"/>
    <w:rsid w:val="00A01C46"/>
    <w:rsid w:val="00A01C4E"/>
    <w:rsid w:val="00A01C59"/>
    <w:rsid w:val="00A01D46"/>
    <w:rsid w:val="00A01D4D"/>
    <w:rsid w:val="00A020AF"/>
    <w:rsid w:val="00A02350"/>
    <w:rsid w:val="00A023B7"/>
    <w:rsid w:val="00A0246D"/>
    <w:rsid w:val="00A024BC"/>
    <w:rsid w:val="00A02553"/>
    <w:rsid w:val="00A027D1"/>
    <w:rsid w:val="00A0282C"/>
    <w:rsid w:val="00A02908"/>
    <w:rsid w:val="00A02947"/>
    <w:rsid w:val="00A02AC5"/>
    <w:rsid w:val="00A02C40"/>
    <w:rsid w:val="00A02C64"/>
    <w:rsid w:val="00A030A4"/>
    <w:rsid w:val="00A030D1"/>
    <w:rsid w:val="00A032F8"/>
    <w:rsid w:val="00A03330"/>
    <w:rsid w:val="00A03497"/>
    <w:rsid w:val="00A034E4"/>
    <w:rsid w:val="00A03549"/>
    <w:rsid w:val="00A03C54"/>
    <w:rsid w:val="00A0409F"/>
    <w:rsid w:val="00A04269"/>
    <w:rsid w:val="00A042B1"/>
    <w:rsid w:val="00A0432F"/>
    <w:rsid w:val="00A04578"/>
    <w:rsid w:val="00A046AE"/>
    <w:rsid w:val="00A047E4"/>
    <w:rsid w:val="00A04800"/>
    <w:rsid w:val="00A0480E"/>
    <w:rsid w:val="00A049DF"/>
    <w:rsid w:val="00A04CC4"/>
    <w:rsid w:val="00A050AA"/>
    <w:rsid w:val="00A055BC"/>
    <w:rsid w:val="00A056BF"/>
    <w:rsid w:val="00A05B8A"/>
    <w:rsid w:val="00A05C81"/>
    <w:rsid w:val="00A05D98"/>
    <w:rsid w:val="00A06070"/>
    <w:rsid w:val="00A060BA"/>
    <w:rsid w:val="00A06254"/>
    <w:rsid w:val="00A06608"/>
    <w:rsid w:val="00A067DB"/>
    <w:rsid w:val="00A06C15"/>
    <w:rsid w:val="00A06FC4"/>
    <w:rsid w:val="00A0703C"/>
    <w:rsid w:val="00A07335"/>
    <w:rsid w:val="00A073A7"/>
    <w:rsid w:val="00A07490"/>
    <w:rsid w:val="00A07585"/>
    <w:rsid w:val="00A075FB"/>
    <w:rsid w:val="00A0765F"/>
    <w:rsid w:val="00A07684"/>
    <w:rsid w:val="00A0776E"/>
    <w:rsid w:val="00A1017F"/>
    <w:rsid w:val="00A101A3"/>
    <w:rsid w:val="00A106FF"/>
    <w:rsid w:val="00A10C5C"/>
    <w:rsid w:val="00A10E28"/>
    <w:rsid w:val="00A11060"/>
    <w:rsid w:val="00A11151"/>
    <w:rsid w:val="00A1132A"/>
    <w:rsid w:val="00A1171A"/>
    <w:rsid w:val="00A11C87"/>
    <w:rsid w:val="00A11CC6"/>
    <w:rsid w:val="00A11D49"/>
    <w:rsid w:val="00A1218E"/>
    <w:rsid w:val="00A126D5"/>
    <w:rsid w:val="00A12866"/>
    <w:rsid w:val="00A12C52"/>
    <w:rsid w:val="00A12CCF"/>
    <w:rsid w:val="00A12D07"/>
    <w:rsid w:val="00A130E5"/>
    <w:rsid w:val="00A13149"/>
    <w:rsid w:val="00A13409"/>
    <w:rsid w:val="00A13564"/>
    <w:rsid w:val="00A13602"/>
    <w:rsid w:val="00A136A6"/>
    <w:rsid w:val="00A13DD8"/>
    <w:rsid w:val="00A14092"/>
    <w:rsid w:val="00A141B0"/>
    <w:rsid w:val="00A141CB"/>
    <w:rsid w:val="00A144CE"/>
    <w:rsid w:val="00A145F2"/>
    <w:rsid w:val="00A147D4"/>
    <w:rsid w:val="00A147E5"/>
    <w:rsid w:val="00A1486A"/>
    <w:rsid w:val="00A14C82"/>
    <w:rsid w:val="00A14D3C"/>
    <w:rsid w:val="00A14D5D"/>
    <w:rsid w:val="00A14D94"/>
    <w:rsid w:val="00A14F90"/>
    <w:rsid w:val="00A15178"/>
    <w:rsid w:val="00A153C7"/>
    <w:rsid w:val="00A15424"/>
    <w:rsid w:val="00A1542B"/>
    <w:rsid w:val="00A157E0"/>
    <w:rsid w:val="00A159B0"/>
    <w:rsid w:val="00A15B84"/>
    <w:rsid w:val="00A15D6F"/>
    <w:rsid w:val="00A15DD0"/>
    <w:rsid w:val="00A15FD3"/>
    <w:rsid w:val="00A160E5"/>
    <w:rsid w:val="00A16141"/>
    <w:rsid w:val="00A161AC"/>
    <w:rsid w:val="00A161E0"/>
    <w:rsid w:val="00A16475"/>
    <w:rsid w:val="00A16A82"/>
    <w:rsid w:val="00A16A9E"/>
    <w:rsid w:val="00A16C80"/>
    <w:rsid w:val="00A16E22"/>
    <w:rsid w:val="00A17164"/>
    <w:rsid w:val="00A173A0"/>
    <w:rsid w:val="00A1753E"/>
    <w:rsid w:val="00A177B1"/>
    <w:rsid w:val="00A177C5"/>
    <w:rsid w:val="00A177E0"/>
    <w:rsid w:val="00A17833"/>
    <w:rsid w:val="00A1789E"/>
    <w:rsid w:val="00A17A80"/>
    <w:rsid w:val="00A17B03"/>
    <w:rsid w:val="00A17C48"/>
    <w:rsid w:val="00A17FE9"/>
    <w:rsid w:val="00A20553"/>
    <w:rsid w:val="00A205B6"/>
    <w:rsid w:val="00A20979"/>
    <w:rsid w:val="00A209AB"/>
    <w:rsid w:val="00A20EB0"/>
    <w:rsid w:val="00A20F99"/>
    <w:rsid w:val="00A21081"/>
    <w:rsid w:val="00A21098"/>
    <w:rsid w:val="00A2139C"/>
    <w:rsid w:val="00A2149E"/>
    <w:rsid w:val="00A21518"/>
    <w:rsid w:val="00A21723"/>
    <w:rsid w:val="00A2178E"/>
    <w:rsid w:val="00A21A99"/>
    <w:rsid w:val="00A22060"/>
    <w:rsid w:val="00A224D7"/>
    <w:rsid w:val="00A2269E"/>
    <w:rsid w:val="00A227DB"/>
    <w:rsid w:val="00A22BE0"/>
    <w:rsid w:val="00A22F7D"/>
    <w:rsid w:val="00A23023"/>
    <w:rsid w:val="00A235F8"/>
    <w:rsid w:val="00A236B3"/>
    <w:rsid w:val="00A2389B"/>
    <w:rsid w:val="00A238F8"/>
    <w:rsid w:val="00A23F7F"/>
    <w:rsid w:val="00A2401B"/>
    <w:rsid w:val="00A242ED"/>
    <w:rsid w:val="00A24316"/>
    <w:rsid w:val="00A24480"/>
    <w:rsid w:val="00A24524"/>
    <w:rsid w:val="00A2467B"/>
    <w:rsid w:val="00A2485E"/>
    <w:rsid w:val="00A248AA"/>
    <w:rsid w:val="00A248AB"/>
    <w:rsid w:val="00A2499A"/>
    <w:rsid w:val="00A24B4E"/>
    <w:rsid w:val="00A24BFC"/>
    <w:rsid w:val="00A24E17"/>
    <w:rsid w:val="00A24FEF"/>
    <w:rsid w:val="00A25307"/>
    <w:rsid w:val="00A254E5"/>
    <w:rsid w:val="00A25521"/>
    <w:rsid w:val="00A2562C"/>
    <w:rsid w:val="00A2568E"/>
    <w:rsid w:val="00A259C2"/>
    <w:rsid w:val="00A25D0E"/>
    <w:rsid w:val="00A25D2D"/>
    <w:rsid w:val="00A25D4B"/>
    <w:rsid w:val="00A25EDD"/>
    <w:rsid w:val="00A25F97"/>
    <w:rsid w:val="00A261B9"/>
    <w:rsid w:val="00A265E7"/>
    <w:rsid w:val="00A26A55"/>
    <w:rsid w:val="00A26DD2"/>
    <w:rsid w:val="00A26F6B"/>
    <w:rsid w:val="00A27074"/>
    <w:rsid w:val="00A273B6"/>
    <w:rsid w:val="00A2762D"/>
    <w:rsid w:val="00A2792D"/>
    <w:rsid w:val="00A27A45"/>
    <w:rsid w:val="00A27A97"/>
    <w:rsid w:val="00A27C43"/>
    <w:rsid w:val="00A27E43"/>
    <w:rsid w:val="00A27FDB"/>
    <w:rsid w:val="00A30026"/>
    <w:rsid w:val="00A3017E"/>
    <w:rsid w:val="00A301FF"/>
    <w:rsid w:val="00A30260"/>
    <w:rsid w:val="00A30324"/>
    <w:rsid w:val="00A30333"/>
    <w:rsid w:val="00A30568"/>
    <w:rsid w:val="00A3076F"/>
    <w:rsid w:val="00A309E0"/>
    <w:rsid w:val="00A30AED"/>
    <w:rsid w:val="00A30DF1"/>
    <w:rsid w:val="00A30E6A"/>
    <w:rsid w:val="00A30FD9"/>
    <w:rsid w:val="00A3145E"/>
    <w:rsid w:val="00A317DF"/>
    <w:rsid w:val="00A31868"/>
    <w:rsid w:val="00A318B9"/>
    <w:rsid w:val="00A31A4B"/>
    <w:rsid w:val="00A31A5F"/>
    <w:rsid w:val="00A31AD1"/>
    <w:rsid w:val="00A31CB0"/>
    <w:rsid w:val="00A320D2"/>
    <w:rsid w:val="00A327B8"/>
    <w:rsid w:val="00A32AF8"/>
    <w:rsid w:val="00A32DCF"/>
    <w:rsid w:val="00A32E2D"/>
    <w:rsid w:val="00A32F3A"/>
    <w:rsid w:val="00A332A7"/>
    <w:rsid w:val="00A3349D"/>
    <w:rsid w:val="00A3360F"/>
    <w:rsid w:val="00A33785"/>
    <w:rsid w:val="00A337EF"/>
    <w:rsid w:val="00A338B9"/>
    <w:rsid w:val="00A33ACA"/>
    <w:rsid w:val="00A33AEB"/>
    <w:rsid w:val="00A33C00"/>
    <w:rsid w:val="00A33D27"/>
    <w:rsid w:val="00A33DE1"/>
    <w:rsid w:val="00A33E8A"/>
    <w:rsid w:val="00A33F58"/>
    <w:rsid w:val="00A33F5A"/>
    <w:rsid w:val="00A34170"/>
    <w:rsid w:val="00A34310"/>
    <w:rsid w:val="00A3454D"/>
    <w:rsid w:val="00A34599"/>
    <w:rsid w:val="00A3471A"/>
    <w:rsid w:val="00A34782"/>
    <w:rsid w:val="00A347D1"/>
    <w:rsid w:val="00A34818"/>
    <w:rsid w:val="00A34966"/>
    <w:rsid w:val="00A34A4C"/>
    <w:rsid w:val="00A34BC1"/>
    <w:rsid w:val="00A34C1B"/>
    <w:rsid w:val="00A34CFD"/>
    <w:rsid w:val="00A34DA0"/>
    <w:rsid w:val="00A350E7"/>
    <w:rsid w:val="00A35405"/>
    <w:rsid w:val="00A3559D"/>
    <w:rsid w:val="00A358DF"/>
    <w:rsid w:val="00A35A21"/>
    <w:rsid w:val="00A35DD3"/>
    <w:rsid w:val="00A35DED"/>
    <w:rsid w:val="00A35E96"/>
    <w:rsid w:val="00A3605D"/>
    <w:rsid w:val="00A36201"/>
    <w:rsid w:val="00A36377"/>
    <w:rsid w:val="00A36437"/>
    <w:rsid w:val="00A364B6"/>
    <w:rsid w:val="00A365D8"/>
    <w:rsid w:val="00A36797"/>
    <w:rsid w:val="00A36A51"/>
    <w:rsid w:val="00A36B84"/>
    <w:rsid w:val="00A36DC7"/>
    <w:rsid w:val="00A36E5F"/>
    <w:rsid w:val="00A36EE8"/>
    <w:rsid w:val="00A36F81"/>
    <w:rsid w:val="00A37067"/>
    <w:rsid w:val="00A375F1"/>
    <w:rsid w:val="00A376F3"/>
    <w:rsid w:val="00A377ED"/>
    <w:rsid w:val="00A37FAA"/>
    <w:rsid w:val="00A400D8"/>
    <w:rsid w:val="00A4010D"/>
    <w:rsid w:val="00A401D4"/>
    <w:rsid w:val="00A401E1"/>
    <w:rsid w:val="00A4020B"/>
    <w:rsid w:val="00A4027A"/>
    <w:rsid w:val="00A404FA"/>
    <w:rsid w:val="00A40506"/>
    <w:rsid w:val="00A405FA"/>
    <w:rsid w:val="00A4097E"/>
    <w:rsid w:val="00A40B6A"/>
    <w:rsid w:val="00A40CBE"/>
    <w:rsid w:val="00A40CF4"/>
    <w:rsid w:val="00A40D4C"/>
    <w:rsid w:val="00A40DE3"/>
    <w:rsid w:val="00A40F02"/>
    <w:rsid w:val="00A410EE"/>
    <w:rsid w:val="00A41307"/>
    <w:rsid w:val="00A41536"/>
    <w:rsid w:val="00A415B0"/>
    <w:rsid w:val="00A41921"/>
    <w:rsid w:val="00A41EFB"/>
    <w:rsid w:val="00A41F4D"/>
    <w:rsid w:val="00A41F93"/>
    <w:rsid w:val="00A420D3"/>
    <w:rsid w:val="00A421C2"/>
    <w:rsid w:val="00A42258"/>
    <w:rsid w:val="00A4237B"/>
    <w:rsid w:val="00A424FA"/>
    <w:rsid w:val="00A42B10"/>
    <w:rsid w:val="00A42B59"/>
    <w:rsid w:val="00A42BB0"/>
    <w:rsid w:val="00A42E1A"/>
    <w:rsid w:val="00A42E23"/>
    <w:rsid w:val="00A42E9E"/>
    <w:rsid w:val="00A4313F"/>
    <w:rsid w:val="00A431FB"/>
    <w:rsid w:val="00A43238"/>
    <w:rsid w:val="00A43552"/>
    <w:rsid w:val="00A43854"/>
    <w:rsid w:val="00A43B53"/>
    <w:rsid w:val="00A43CA0"/>
    <w:rsid w:val="00A43E71"/>
    <w:rsid w:val="00A43F29"/>
    <w:rsid w:val="00A43F7D"/>
    <w:rsid w:val="00A444D1"/>
    <w:rsid w:val="00A4455B"/>
    <w:rsid w:val="00A445C8"/>
    <w:rsid w:val="00A445E6"/>
    <w:rsid w:val="00A446CA"/>
    <w:rsid w:val="00A44731"/>
    <w:rsid w:val="00A44A1E"/>
    <w:rsid w:val="00A44B2B"/>
    <w:rsid w:val="00A44BF2"/>
    <w:rsid w:val="00A44D0C"/>
    <w:rsid w:val="00A450AB"/>
    <w:rsid w:val="00A45195"/>
    <w:rsid w:val="00A45250"/>
    <w:rsid w:val="00A4525D"/>
    <w:rsid w:val="00A4535D"/>
    <w:rsid w:val="00A4557B"/>
    <w:rsid w:val="00A4580A"/>
    <w:rsid w:val="00A458B3"/>
    <w:rsid w:val="00A45AA6"/>
    <w:rsid w:val="00A45C39"/>
    <w:rsid w:val="00A45C51"/>
    <w:rsid w:val="00A4610A"/>
    <w:rsid w:val="00A464AE"/>
    <w:rsid w:val="00A46591"/>
    <w:rsid w:val="00A46C64"/>
    <w:rsid w:val="00A46D2F"/>
    <w:rsid w:val="00A46EE4"/>
    <w:rsid w:val="00A46FC4"/>
    <w:rsid w:val="00A47017"/>
    <w:rsid w:val="00A470A6"/>
    <w:rsid w:val="00A470F3"/>
    <w:rsid w:val="00A47736"/>
    <w:rsid w:val="00A478B9"/>
    <w:rsid w:val="00A47A04"/>
    <w:rsid w:val="00A47A28"/>
    <w:rsid w:val="00A500A6"/>
    <w:rsid w:val="00A5013B"/>
    <w:rsid w:val="00A50550"/>
    <w:rsid w:val="00A50588"/>
    <w:rsid w:val="00A50CAD"/>
    <w:rsid w:val="00A5126C"/>
    <w:rsid w:val="00A51406"/>
    <w:rsid w:val="00A516C1"/>
    <w:rsid w:val="00A51706"/>
    <w:rsid w:val="00A51A7A"/>
    <w:rsid w:val="00A51ADE"/>
    <w:rsid w:val="00A51B10"/>
    <w:rsid w:val="00A51B39"/>
    <w:rsid w:val="00A51B57"/>
    <w:rsid w:val="00A51CCC"/>
    <w:rsid w:val="00A51D67"/>
    <w:rsid w:val="00A51E75"/>
    <w:rsid w:val="00A52041"/>
    <w:rsid w:val="00A520CD"/>
    <w:rsid w:val="00A520E1"/>
    <w:rsid w:val="00A5243D"/>
    <w:rsid w:val="00A525EF"/>
    <w:rsid w:val="00A5263E"/>
    <w:rsid w:val="00A52911"/>
    <w:rsid w:val="00A5291E"/>
    <w:rsid w:val="00A52B46"/>
    <w:rsid w:val="00A52BB6"/>
    <w:rsid w:val="00A52D9E"/>
    <w:rsid w:val="00A52DCC"/>
    <w:rsid w:val="00A53293"/>
    <w:rsid w:val="00A53336"/>
    <w:rsid w:val="00A534C0"/>
    <w:rsid w:val="00A534CA"/>
    <w:rsid w:val="00A5388E"/>
    <w:rsid w:val="00A53918"/>
    <w:rsid w:val="00A53956"/>
    <w:rsid w:val="00A53CD4"/>
    <w:rsid w:val="00A53D15"/>
    <w:rsid w:val="00A54044"/>
    <w:rsid w:val="00A54134"/>
    <w:rsid w:val="00A541F6"/>
    <w:rsid w:val="00A543BA"/>
    <w:rsid w:val="00A544AF"/>
    <w:rsid w:val="00A547AD"/>
    <w:rsid w:val="00A548C4"/>
    <w:rsid w:val="00A54E9F"/>
    <w:rsid w:val="00A5500A"/>
    <w:rsid w:val="00A55053"/>
    <w:rsid w:val="00A554EA"/>
    <w:rsid w:val="00A55598"/>
    <w:rsid w:val="00A5572D"/>
    <w:rsid w:val="00A55782"/>
    <w:rsid w:val="00A55806"/>
    <w:rsid w:val="00A55AA3"/>
    <w:rsid w:val="00A55D73"/>
    <w:rsid w:val="00A56549"/>
    <w:rsid w:val="00A56733"/>
    <w:rsid w:val="00A5682E"/>
    <w:rsid w:val="00A568D6"/>
    <w:rsid w:val="00A56A33"/>
    <w:rsid w:val="00A56D04"/>
    <w:rsid w:val="00A56E0F"/>
    <w:rsid w:val="00A56F00"/>
    <w:rsid w:val="00A572AE"/>
    <w:rsid w:val="00A575B0"/>
    <w:rsid w:val="00A5779B"/>
    <w:rsid w:val="00A578FD"/>
    <w:rsid w:val="00A57989"/>
    <w:rsid w:val="00A57B84"/>
    <w:rsid w:val="00A57DED"/>
    <w:rsid w:val="00A601CF"/>
    <w:rsid w:val="00A60A8D"/>
    <w:rsid w:val="00A60E9A"/>
    <w:rsid w:val="00A60F33"/>
    <w:rsid w:val="00A61270"/>
    <w:rsid w:val="00A612CB"/>
    <w:rsid w:val="00A61562"/>
    <w:rsid w:val="00A61677"/>
    <w:rsid w:val="00A61797"/>
    <w:rsid w:val="00A617C2"/>
    <w:rsid w:val="00A61A4D"/>
    <w:rsid w:val="00A61C88"/>
    <w:rsid w:val="00A61E62"/>
    <w:rsid w:val="00A61ED5"/>
    <w:rsid w:val="00A61F51"/>
    <w:rsid w:val="00A61F9B"/>
    <w:rsid w:val="00A62014"/>
    <w:rsid w:val="00A621EC"/>
    <w:rsid w:val="00A621FE"/>
    <w:rsid w:val="00A62445"/>
    <w:rsid w:val="00A624D4"/>
    <w:rsid w:val="00A62907"/>
    <w:rsid w:val="00A62AD2"/>
    <w:rsid w:val="00A62E8A"/>
    <w:rsid w:val="00A62E92"/>
    <w:rsid w:val="00A62F92"/>
    <w:rsid w:val="00A630B0"/>
    <w:rsid w:val="00A63287"/>
    <w:rsid w:val="00A6336E"/>
    <w:rsid w:val="00A6344A"/>
    <w:rsid w:val="00A635A7"/>
    <w:rsid w:val="00A6390A"/>
    <w:rsid w:val="00A63B40"/>
    <w:rsid w:val="00A63B81"/>
    <w:rsid w:val="00A63BFA"/>
    <w:rsid w:val="00A63C7A"/>
    <w:rsid w:val="00A63D13"/>
    <w:rsid w:val="00A63D2F"/>
    <w:rsid w:val="00A63E7E"/>
    <w:rsid w:val="00A63F54"/>
    <w:rsid w:val="00A6420F"/>
    <w:rsid w:val="00A6444A"/>
    <w:rsid w:val="00A6456B"/>
    <w:rsid w:val="00A649CF"/>
    <w:rsid w:val="00A64A60"/>
    <w:rsid w:val="00A64E24"/>
    <w:rsid w:val="00A64E2E"/>
    <w:rsid w:val="00A64F82"/>
    <w:rsid w:val="00A650CE"/>
    <w:rsid w:val="00A65101"/>
    <w:rsid w:val="00A6523A"/>
    <w:rsid w:val="00A65369"/>
    <w:rsid w:val="00A65566"/>
    <w:rsid w:val="00A657CB"/>
    <w:rsid w:val="00A65A05"/>
    <w:rsid w:val="00A65B61"/>
    <w:rsid w:val="00A6602A"/>
    <w:rsid w:val="00A6612A"/>
    <w:rsid w:val="00A6654C"/>
    <w:rsid w:val="00A66D30"/>
    <w:rsid w:val="00A66E39"/>
    <w:rsid w:val="00A6705D"/>
    <w:rsid w:val="00A67281"/>
    <w:rsid w:val="00A674A3"/>
    <w:rsid w:val="00A674A4"/>
    <w:rsid w:val="00A6764A"/>
    <w:rsid w:val="00A677D4"/>
    <w:rsid w:val="00A6791E"/>
    <w:rsid w:val="00A67951"/>
    <w:rsid w:val="00A67AFF"/>
    <w:rsid w:val="00A67C8E"/>
    <w:rsid w:val="00A67D30"/>
    <w:rsid w:val="00A67EFB"/>
    <w:rsid w:val="00A704E0"/>
    <w:rsid w:val="00A70C54"/>
    <w:rsid w:val="00A70DD9"/>
    <w:rsid w:val="00A70EA5"/>
    <w:rsid w:val="00A70EB3"/>
    <w:rsid w:val="00A710BA"/>
    <w:rsid w:val="00A7115C"/>
    <w:rsid w:val="00A71288"/>
    <w:rsid w:val="00A713D7"/>
    <w:rsid w:val="00A7145A"/>
    <w:rsid w:val="00A715E6"/>
    <w:rsid w:val="00A716B0"/>
    <w:rsid w:val="00A71704"/>
    <w:rsid w:val="00A718F0"/>
    <w:rsid w:val="00A719C6"/>
    <w:rsid w:val="00A71A6B"/>
    <w:rsid w:val="00A71AA6"/>
    <w:rsid w:val="00A71C34"/>
    <w:rsid w:val="00A71F25"/>
    <w:rsid w:val="00A721C2"/>
    <w:rsid w:val="00A725C6"/>
    <w:rsid w:val="00A727A5"/>
    <w:rsid w:val="00A7290F"/>
    <w:rsid w:val="00A732F5"/>
    <w:rsid w:val="00A734F6"/>
    <w:rsid w:val="00A739FA"/>
    <w:rsid w:val="00A73C06"/>
    <w:rsid w:val="00A73CC4"/>
    <w:rsid w:val="00A74008"/>
    <w:rsid w:val="00A74D16"/>
    <w:rsid w:val="00A7510F"/>
    <w:rsid w:val="00A75184"/>
    <w:rsid w:val="00A75682"/>
    <w:rsid w:val="00A75710"/>
    <w:rsid w:val="00A75862"/>
    <w:rsid w:val="00A75BA9"/>
    <w:rsid w:val="00A75C8E"/>
    <w:rsid w:val="00A75D4F"/>
    <w:rsid w:val="00A75E6A"/>
    <w:rsid w:val="00A761AB"/>
    <w:rsid w:val="00A76A31"/>
    <w:rsid w:val="00A76FA8"/>
    <w:rsid w:val="00A77160"/>
    <w:rsid w:val="00A77397"/>
    <w:rsid w:val="00A777C1"/>
    <w:rsid w:val="00A778A2"/>
    <w:rsid w:val="00A77A95"/>
    <w:rsid w:val="00A77AF9"/>
    <w:rsid w:val="00A77BAF"/>
    <w:rsid w:val="00A77C93"/>
    <w:rsid w:val="00A77CCF"/>
    <w:rsid w:val="00A77FD9"/>
    <w:rsid w:val="00A80125"/>
    <w:rsid w:val="00A80315"/>
    <w:rsid w:val="00A804C4"/>
    <w:rsid w:val="00A804C5"/>
    <w:rsid w:val="00A80745"/>
    <w:rsid w:val="00A807EE"/>
    <w:rsid w:val="00A80869"/>
    <w:rsid w:val="00A808C3"/>
    <w:rsid w:val="00A80A7B"/>
    <w:rsid w:val="00A81049"/>
    <w:rsid w:val="00A813F6"/>
    <w:rsid w:val="00A81452"/>
    <w:rsid w:val="00A817DA"/>
    <w:rsid w:val="00A817FE"/>
    <w:rsid w:val="00A8195D"/>
    <w:rsid w:val="00A81AAD"/>
    <w:rsid w:val="00A8216C"/>
    <w:rsid w:val="00A822EB"/>
    <w:rsid w:val="00A825E8"/>
    <w:rsid w:val="00A82C3D"/>
    <w:rsid w:val="00A82F3B"/>
    <w:rsid w:val="00A830B1"/>
    <w:rsid w:val="00A83319"/>
    <w:rsid w:val="00A834AB"/>
    <w:rsid w:val="00A834C0"/>
    <w:rsid w:val="00A83A72"/>
    <w:rsid w:val="00A83DBB"/>
    <w:rsid w:val="00A8420D"/>
    <w:rsid w:val="00A84616"/>
    <w:rsid w:val="00A84681"/>
    <w:rsid w:val="00A84972"/>
    <w:rsid w:val="00A84C83"/>
    <w:rsid w:val="00A84E84"/>
    <w:rsid w:val="00A8503E"/>
    <w:rsid w:val="00A851BA"/>
    <w:rsid w:val="00A8547D"/>
    <w:rsid w:val="00A8551A"/>
    <w:rsid w:val="00A857F6"/>
    <w:rsid w:val="00A8580B"/>
    <w:rsid w:val="00A858BC"/>
    <w:rsid w:val="00A859E6"/>
    <w:rsid w:val="00A85C3A"/>
    <w:rsid w:val="00A85ED1"/>
    <w:rsid w:val="00A860CE"/>
    <w:rsid w:val="00A8622B"/>
    <w:rsid w:val="00A8657F"/>
    <w:rsid w:val="00A865A7"/>
    <w:rsid w:val="00A86A41"/>
    <w:rsid w:val="00A86AE3"/>
    <w:rsid w:val="00A86B1B"/>
    <w:rsid w:val="00A86B33"/>
    <w:rsid w:val="00A86B38"/>
    <w:rsid w:val="00A86E6E"/>
    <w:rsid w:val="00A86F24"/>
    <w:rsid w:val="00A87158"/>
    <w:rsid w:val="00A871BC"/>
    <w:rsid w:val="00A8739D"/>
    <w:rsid w:val="00A87494"/>
    <w:rsid w:val="00A87B45"/>
    <w:rsid w:val="00A87BFC"/>
    <w:rsid w:val="00A87D5F"/>
    <w:rsid w:val="00A87DE5"/>
    <w:rsid w:val="00A87E03"/>
    <w:rsid w:val="00A87E18"/>
    <w:rsid w:val="00A902AD"/>
    <w:rsid w:val="00A903E3"/>
    <w:rsid w:val="00A90412"/>
    <w:rsid w:val="00A904DB"/>
    <w:rsid w:val="00A9051D"/>
    <w:rsid w:val="00A90A08"/>
    <w:rsid w:val="00A91325"/>
    <w:rsid w:val="00A913A0"/>
    <w:rsid w:val="00A917DB"/>
    <w:rsid w:val="00A917DC"/>
    <w:rsid w:val="00A919AC"/>
    <w:rsid w:val="00A919E1"/>
    <w:rsid w:val="00A91BB3"/>
    <w:rsid w:val="00A91E75"/>
    <w:rsid w:val="00A9200A"/>
    <w:rsid w:val="00A9218E"/>
    <w:rsid w:val="00A92200"/>
    <w:rsid w:val="00A9231B"/>
    <w:rsid w:val="00A9285A"/>
    <w:rsid w:val="00A9292E"/>
    <w:rsid w:val="00A92B1A"/>
    <w:rsid w:val="00A92CE2"/>
    <w:rsid w:val="00A92E5E"/>
    <w:rsid w:val="00A93105"/>
    <w:rsid w:val="00A93462"/>
    <w:rsid w:val="00A93552"/>
    <w:rsid w:val="00A93BE1"/>
    <w:rsid w:val="00A93BE5"/>
    <w:rsid w:val="00A93E39"/>
    <w:rsid w:val="00A9403B"/>
    <w:rsid w:val="00A9465F"/>
    <w:rsid w:val="00A948D0"/>
    <w:rsid w:val="00A948E6"/>
    <w:rsid w:val="00A94B0A"/>
    <w:rsid w:val="00A94BA2"/>
    <w:rsid w:val="00A94D2A"/>
    <w:rsid w:val="00A94E9F"/>
    <w:rsid w:val="00A94F5A"/>
    <w:rsid w:val="00A94FF0"/>
    <w:rsid w:val="00A9514D"/>
    <w:rsid w:val="00A951B1"/>
    <w:rsid w:val="00A952BD"/>
    <w:rsid w:val="00A95401"/>
    <w:rsid w:val="00A9542F"/>
    <w:rsid w:val="00A955A5"/>
    <w:rsid w:val="00A955A8"/>
    <w:rsid w:val="00A95B10"/>
    <w:rsid w:val="00A95B41"/>
    <w:rsid w:val="00A95E85"/>
    <w:rsid w:val="00A9600D"/>
    <w:rsid w:val="00A96010"/>
    <w:rsid w:val="00A96053"/>
    <w:rsid w:val="00A964D6"/>
    <w:rsid w:val="00A965C8"/>
    <w:rsid w:val="00A965CE"/>
    <w:rsid w:val="00A966ED"/>
    <w:rsid w:val="00A96A08"/>
    <w:rsid w:val="00A96A66"/>
    <w:rsid w:val="00A96BBB"/>
    <w:rsid w:val="00A96C55"/>
    <w:rsid w:val="00A96CC2"/>
    <w:rsid w:val="00A96EB0"/>
    <w:rsid w:val="00A96F2D"/>
    <w:rsid w:val="00A971D7"/>
    <w:rsid w:val="00A9744F"/>
    <w:rsid w:val="00A9746E"/>
    <w:rsid w:val="00A97503"/>
    <w:rsid w:val="00A97AB9"/>
    <w:rsid w:val="00A97BC7"/>
    <w:rsid w:val="00A97DC2"/>
    <w:rsid w:val="00A97FE0"/>
    <w:rsid w:val="00AA0026"/>
    <w:rsid w:val="00AA00F1"/>
    <w:rsid w:val="00AA0201"/>
    <w:rsid w:val="00AA0972"/>
    <w:rsid w:val="00AA0BD3"/>
    <w:rsid w:val="00AA0EBA"/>
    <w:rsid w:val="00AA0EC8"/>
    <w:rsid w:val="00AA1232"/>
    <w:rsid w:val="00AA1360"/>
    <w:rsid w:val="00AA15A8"/>
    <w:rsid w:val="00AA1881"/>
    <w:rsid w:val="00AA1D4D"/>
    <w:rsid w:val="00AA1EE1"/>
    <w:rsid w:val="00AA2065"/>
    <w:rsid w:val="00AA20C4"/>
    <w:rsid w:val="00AA226D"/>
    <w:rsid w:val="00AA23F7"/>
    <w:rsid w:val="00AA259C"/>
    <w:rsid w:val="00AA2838"/>
    <w:rsid w:val="00AA2A2D"/>
    <w:rsid w:val="00AA2BDC"/>
    <w:rsid w:val="00AA2BE5"/>
    <w:rsid w:val="00AA2D59"/>
    <w:rsid w:val="00AA2EDB"/>
    <w:rsid w:val="00AA3094"/>
    <w:rsid w:val="00AA339A"/>
    <w:rsid w:val="00AA360E"/>
    <w:rsid w:val="00AA371F"/>
    <w:rsid w:val="00AA37F7"/>
    <w:rsid w:val="00AA3979"/>
    <w:rsid w:val="00AA3BFF"/>
    <w:rsid w:val="00AA3DB9"/>
    <w:rsid w:val="00AA3F6D"/>
    <w:rsid w:val="00AA4057"/>
    <w:rsid w:val="00AA4090"/>
    <w:rsid w:val="00AA4142"/>
    <w:rsid w:val="00AA42EB"/>
    <w:rsid w:val="00AA459F"/>
    <w:rsid w:val="00AA4611"/>
    <w:rsid w:val="00AA4842"/>
    <w:rsid w:val="00AA4A60"/>
    <w:rsid w:val="00AA4B69"/>
    <w:rsid w:val="00AA4CF8"/>
    <w:rsid w:val="00AA4F2C"/>
    <w:rsid w:val="00AA5089"/>
    <w:rsid w:val="00AA51EE"/>
    <w:rsid w:val="00AA534E"/>
    <w:rsid w:val="00AA543D"/>
    <w:rsid w:val="00AA6129"/>
    <w:rsid w:val="00AA6505"/>
    <w:rsid w:val="00AA658F"/>
    <w:rsid w:val="00AA6683"/>
    <w:rsid w:val="00AA6695"/>
    <w:rsid w:val="00AA67B8"/>
    <w:rsid w:val="00AA6A86"/>
    <w:rsid w:val="00AA6BA5"/>
    <w:rsid w:val="00AA6D75"/>
    <w:rsid w:val="00AA6E63"/>
    <w:rsid w:val="00AA72FE"/>
    <w:rsid w:val="00AA73C4"/>
    <w:rsid w:val="00AA7590"/>
    <w:rsid w:val="00AA763B"/>
    <w:rsid w:val="00AA77C2"/>
    <w:rsid w:val="00AA7AC0"/>
    <w:rsid w:val="00AA7CB0"/>
    <w:rsid w:val="00AA7D39"/>
    <w:rsid w:val="00AA7EDC"/>
    <w:rsid w:val="00AB006E"/>
    <w:rsid w:val="00AB010C"/>
    <w:rsid w:val="00AB015E"/>
    <w:rsid w:val="00AB02E0"/>
    <w:rsid w:val="00AB047F"/>
    <w:rsid w:val="00AB04E2"/>
    <w:rsid w:val="00AB0506"/>
    <w:rsid w:val="00AB08E8"/>
    <w:rsid w:val="00AB0BDC"/>
    <w:rsid w:val="00AB0D38"/>
    <w:rsid w:val="00AB0FBC"/>
    <w:rsid w:val="00AB12C0"/>
    <w:rsid w:val="00AB1479"/>
    <w:rsid w:val="00AB14B1"/>
    <w:rsid w:val="00AB14BA"/>
    <w:rsid w:val="00AB1668"/>
    <w:rsid w:val="00AB1698"/>
    <w:rsid w:val="00AB174F"/>
    <w:rsid w:val="00AB1AF0"/>
    <w:rsid w:val="00AB1AF5"/>
    <w:rsid w:val="00AB1C07"/>
    <w:rsid w:val="00AB1C1E"/>
    <w:rsid w:val="00AB1DBB"/>
    <w:rsid w:val="00AB1EBA"/>
    <w:rsid w:val="00AB2293"/>
    <w:rsid w:val="00AB22DF"/>
    <w:rsid w:val="00AB22EE"/>
    <w:rsid w:val="00AB240A"/>
    <w:rsid w:val="00AB260B"/>
    <w:rsid w:val="00AB2B9B"/>
    <w:rsid w:val="00AB2C06"/>
    <w:rsid w:val="00AB2D70"/>
    <w:rsid w:val="00AB2E77"/>
    <w:rsid w:val="00AB2F4B"/>
    <w:rsid w:val="00AB306B"/>
    <w:rsid w:val="00AB352B"/>
    <w:rsid w:val="00AB386B"/>
    <w:rsid w:val="00AB39A8"/>
    <w:rsid w:val="00AB3B8C"/>
    <w:rsid w:val="00AB3C1C"/>
    <w:rsid w:val="00AB3C38"/>
    <w:rsid w:val="00AB3D16"/>
    <w:rsid w:val="00AB3F23"/>
    <w:rsid w:val="00AB45BF"/>
    <w:rsid w:val="00AB45CB"/>
    <w:rsid w:val="00AB47D7"/>
    <w:rsid w:val="00AB4813"/>
    <w:rsid w:val="00AB4978"/>
    <w:rsid w:val="00AB4B6B"/>
    <w:rsid w:val="00AB4BD6"/>
    <w:rsid w:val="00AB4BE7"/>
    <w:rsid w:val="00AB4C5B"/>
    <w:rsid w:val="00AB4CDE"/>
    <w:rsid w:val="00AB4D4F"/>
    <w:rsid w:val="00AB500C"/>
    <w:rsid w:val="00AB554E"/>
    <w:rsid w:val="00AB556A"/>
    <w:rsid w:val="00AB5706"/>
    <w:rsid w:val="00AB578B"/>
    <w:rsid w:val="00AB59BC"/>
    <w:rsid w:val="00AB5D29"/>
    <w:rsid w:val="00AB5D8B"/>
    <w:rsid w:val="00AB6299"/>
    <w:rsid w:val="00AB65C7"/>
    <w:rsid w:val="00AB682A"/>
    <w:rsid w:val="00AB6D61"/>
    <w:rsid w:val="00AB704D"/>
    <w:rsid w:val="00AB7140"/>
    <w:rsid w:val="00AB73C4"/>
    <w:rsid w:val="00AB7561"/>
    <w:rsid w:val="00AB78DC"/>
    <w:rsid w:val="00AB7922"/>
    <w:rsid w:val="00AB797B"/>
    <w:rsid w:val="00AB7B56"/>
    <w:rsid w:val="00AB7B5C"/>
    <w:rsid w:val="00AB7B81"/>
    <w:rsid w:val="00AB7F3D"/>
    <w:rsid w:val="00AC0044"/>
    <w:rsid w:val="00AC04FC"/>
    <w:rsid w:val="00AC0618"/>
    <w:rsid w:val="00AC072D"/>
    <w:rsid w:val="00AC08CB"/>
    <w:rsid w:val="00AC0FCF"/>
    <w:rsid w:val="00AC10D8"/>
    <w:rsid w:val="00AC110A"/>
    <w:rsid w:val="00AC13AC"/>
    <w:rsid w:val="00AC17E1"/>
    <w:rsid w:val="00AC1B9A"/>
    <w:rsid w:val="00AC1BDD"/>
    <w:rsid w:val="00AC1DD0"/>
    <w:rsid w:val="00AC1EC6"/>
    <w:rsid w:val="00AC1F1D"/>
    <w:rsid w:val="00AC1FEF"/>
    <w:rsid w:val="00AC2220"/>
    <w:rsid w:val="00AC225A"/>
    <w:rsid w:val="00AC23D2"/>
    <w:rsid w:val="00AC2410"/>
    <w:rsid w:val="00AC25A9"/>
    <w:rsid w:val="00AC2A81"/>
    <w:rsid w:val="00AC2BBC"/>
    <w:rsid w:val="00AC2C1C"/>
    <w:rsid w:val="00AC3374"/>
    <w:rsid w:val="00AC3413"/>
    <w:rsid w:val="00AC34E8"/>
    <w:rsid w:val="00AC38D3"/>
    <w:rsid w:val="00AC3A0F"/>
    <w:rsid w:val="00AC3FF6"/>
    <w:rsid w:val="00AC40EB"/>
    <w:rsid w:val="00AC4825"/>
    <w:rsid w:val="00AC4B38"/>
    <w:rsid w:val="00AC4C17"/>
    <w:rsid w:val="00AC4C4E"/>
    <w:rsid w:val="00AC4FB8"/>
    <w:rsid w:val="00AC523F"/>
    <w:rsid w:val="00AC5A0B"/>
    <w:rsid w:val="00AC5C2A"/>
    <w:rsid w:val="00AC5E87"/>
    <w:rsid w:val="00AC6131"/>
    <w:rsid w:val="00AC61DA"/>
    <w:rsid w:val="00AC6225"/>
    <w:rsid w:val="00AC640A"/>
    <w:rsid w:val="00AC643C"/>
    <w:rsid w:val="00AC659D"/>
    <w:rsid w:val="00AC6BFB"/>
    <w:rsid w:val="00AC6D7C"/>
    <w:rsid w:val="00AC6F8B"/>
    <w:rsid w:val="00AC702C"/>
    <w:rsid w:val="00AC70BE"/>
    <w:rsid w:val="00AC732B"/>
    <w:rsid w:val="00AC73FA"/>
    <w:rsid w:val="00AC7419"/>
    <w:rsid w:val="00AC74C1"/>
    <w:rsid w:val="00AC7568"/>
    <w:rsid w:val="00AC79BD"/>
    <w:rsid w:val="00AC7C12"/>
    <w:rsid w:val="00AC7D16"/>
    <w:rsid w:val="00AC7E64"/>
    <w:rsid w:val="00AC7FB4"/>
    <w:rsid w:val="00AD0098"/>
    <w:rsid w:val="00AD043B"/>
    <w:rsid w:val="00AD05A1"/>
    <w:rsid w:val="00AD072D"/>
    <w:rsid w:val="00AD0BE5"/>
    <w:rsid w:val="00AD0BF3"/>
    <w:rsid w:val="00AD0CFE"/>
    <w:rsid w:val="00AD1084"/>
    <w:rsid w:val="00AD11BB"/>
    <w:rsid w:val="00AD11E2"/>
    <w:rsid w:val="00AD13B5"/>
    <w:rsid w:val="00AD13E1"/>
    <w:rsid w:val="00AD146E"/>
    <w:rsid w:val="00AD15CC"/>
    <w:rsid w:val="00AD1C24"/>
    <w:rsid w:val="00AD2309"/>
    <w:rsid w:val="00AD2537"/>
    <w:rsid w:val="00AD2655"/>
    <w:rsid w:val="00AD271B"/>
    <w:rsid w:val="00AD27DF"/>
    <w:rsid w:val="00AD2B4F"/>
    <w:rsid w:val="00AD2CCC"/>
    <w:rsid w:val="00AD2D5F"/>
    <w:rsid w:val="00AD2DFE"/>
    <w:rsid w:val="00AD2E48"/>
    <w:rsid w:val="00AD3639"/>
    <w:rsid w:val="00AD3650"/>
    <w:rsid w:val="00AD3780"/>
    <w:rsid w:val="00AD39B6"/>
    <w:rsid w:val="00AD3ABC"/>
    <w:rsid w:val="00AD3AD3"/>
    <w:rsid w:val="00AD3C51"/>
    <w:rsid w:val="00AD3C5B"/>
    <w:rsid w:val="00AD3F93"/>
    <w:rsid w:val="00AD4392"/>
    <w:rsid w:val="00AD43B1"/>
    <w:rsid w:val="00AD4443"/>
    <w:rsid w:val="00AD451D"/>
    <w:rsid w:val="00AD4603"/>
    <w:rsid w:val="00AD4A13"/>
    <w:rsid w:val="00AD4AB2"/>
    <w:rsid w:val="00AD4AE8"/>
    <w:rsid w:val="00AD4B2C"/>
    <w:rsid w:val="00AD4C86"/>
    <w:rsid w:val="00AD4D3A"/>
    <w:rsid w:val="00AD4F60"/>
    <w:rsid w:val="00AD500C"/>
    <w:rsid w:val="00AD50F2"/>
    <w:rsid w:val="00AD51EC"/>
    <w:rsid w:val="00AD526F"/>
    <w:rsid w:val="00AD53E5"/>
    <w:rsid w:val="00AD59D4"/>
    <w:rsid w:val="00AD5A25"/>
    <w:rsid w:val="00AD5D13"/>
    <w:rsid w:val="00AD5DAA"/>
    <w:rsid w:val="00AD6053"/>
    <w:rsid w:val="00AD6435"/>
    <w:rsid w:val="00AD693D"/>
    <w:rsid w:val="00AD698D"/>
    <w:rsid w:val="00AD6ABF"/>
    <w:rsid w:val="00AD6E95"/>
    <w:rsid w:val="00AD7104"/>
    <w:rsid w:val="00AD72C4"/>
    <w:rsid w:val="00AD7638"/>
    <w:rsid w:val="00AD79A7"/>
    <w:rsid w:val="00AD79E0"/>
    <w:rsid w:val="00AD7B55"/>
    <w:rsid w:val="00AE0568"/>
    <w:rsid w:val="00AE05B2"/>
    <w:rsid w:val="00AE067B"/>
    <w:rsid w:val="00AE0A77"/>
    <w:rsid w:val="00AE0AB2"/>
    <w:rsid w:val="00AE0ABD"/>
    <w:rsid w:val="00AE0B0B"/>
    <w:rsid w:val="00AE0B0E"/>
    <w:rsid w:val="00AE0B7F"/>
    <w:rsid w:val="00AE0C8F"/>
    <w:rsid w:val="00AE11EB"/>
    <w:rsid w:val="00AE13D6"/>
    <w:rsid w:val="00AE1647"/>
    <w:rsid w:val="00AE1670"/>
    <w:rsid w:val="00AE16AF"/>
    <w:rsid w:val="00AE184E"/>
    <w:rsid w:val="00AE185E"/>
    <w:rsid w:val="00AE1CA5"/>
    <w:rsid w:val="00AE1F80"/>
    <w:rsid w:val="00AE2589"/>
    <w:rsid w:val="00AE2597"/>
    <w:rsid w:val="00AE25E3"/>
    <w:rsid w:val="00AE2690"/>
    <w:rsid w:val="00AE2AC5"/>
    <w:rsid w:val="00AE2B2C"/>
    <w:rsid w:val="00AE2C77"/>
    <w:rsid w:val="00AE2E28"/>
    <w:rsid w:val="00AE2E4A"/>
    <w:rsid w:val="00AE2E9E"/>
    <w:rsid w:val="00AE2F42"/>
    <w:rsid w:val="00AE32C6"/>
    <w:rsid w:val="00AE37E0"/>
    <w:rsid w:val="00AE388E"/>
    <w:rsid w:val="00AE3B12"/>
    <w:rsid w:val="00AE3C63"/>
    <w:rsid w:val="00AE3DD7"/>
    <w:rsid w:val="00AE3DEA"/>
    <w:rsid w:val="00AE3E8B"/>
    <w:rsid w:val="00AE3F26"/>
    <w:rsid w:val="00AE44CC"/>
    <w:rsid w:val="00AE49F8"/>
    <w:rsid w:val="00AE4A1B"/>
    <w:rsid w:val="00AE4B13"/>
    <w:rsid w:val="00AE4D45"/>
    <w:rsid w:val="00AE4D89"/>
    <w:rsid w:val="00AE5011"/>
    <w:rsid w:val="00AE55E1"/>
    <w:rsid w:val="00AE5871"/>
    <w:rsid w:val="00AE5872"/>
    <w:rsid w:val="00AE58F1"/>
    <w:rsid w:val="00AE59F7"/>
    <w:rsid w:val="00AE5B92"/>
    <w:rsid w:val="00AE5D91"/>
    <w:rsid w:val="00AE5E87"/>
    <w:rsid w:val="00AE6160"/>
    <w:rsid w:val="00AE6239"/>
    <w:rsid w:val="00AE6261"/>
    <w:rsid w:val="00AE62B4"/>
    <w:rsid w:val="00AE66C5"/>
    <w:rsid w:val="00AE6743"/>
    <w:rsid w:val="00AE67DE"/>
    <w:rsid w:val="00AE68E6"/>
    <w:rsid w:val="00AE69F0"/>
    <w:rsid w:val="00AE6C7C"/>
    <w:rsid w:val="00AE70F8"/>
    <w:rsid w:val="00AE729D"/>
    <w:rsid w:val="00AE747C"/>
    <w:rsid w:val="00AE7610"/>
    <w:rsid w:val="00AE76E4"/>
    <w:rsid w:val="00AE7835"/>
    <w:rsid w:val="00AE7895"/>
    <w:rsid w:val="00AE78C3"/>
    <w:rsid w:val="00AE7973"/>
    <w:rsid w:val="00AE7A22"/>
    <w:rsid w:val="00AE7B94"/>
    <w:rsid w:val="00AE7BAB"/>
    <w:rsid w:val="00AE7BF5"/>
    <w:rsid w:val="00AE7C9B"/>
    <w:rsid w:val="00AE7CF8"/>
    <w:rsid w:val="00AE7F5B"/>
    <w:rsid w:val="00AF0227"/>
    <w:rsid w:val="00AF025F"/>
    <w:rsid w:val="00AF03BF"/>
    <w:rsid w:val="00AF04C7"/>
    <w:rsid w:val="00AF05E6"/>
    <w:rsid w:val="00AF0673"/>
    <w:rsid w:val="00AF06A1"/>
    <w:rsid w:val="00AF0738"/>
    <w:rsid w:val="00AF0750"/>
    <w:rsid w:val="00AF08A0"/>
    <w:rsid w:val="00AF0B1A"/>
    <w:rsid w:val="00AF0CBD"/>
    <w:rsid w:val="00AF0D3A"/>
    <w:rsid w:val="00AF0EB5"/>
    <w:rsid w:val="00AF0EE8"/>
    <w:rsid w:val="00AF11C8"/>
    <w:rsid w:val="00AF127B"/>
    <w:rsid w:val="00AF12E9"/>
    <w:rsid w:val="00AF13E5"/>
    <w:rsid w:val="00AF1629"/>
    <w:rsid w:val="00AF16BE"/>
    <w:rsid w:val="00AF1775"/>
    <w:rsid w:val="00AF17CB"/>
    <w:rsid w:val="00AF1E58"/>
    <w:rsid w:val="00AF203D"/>
    <w:rsid w:val="00AF2053"/>
    <w:rsid w:val="00AF23CB"/>
    <w:rsid w:val="00AF2659"/>
    <w:rsid w:val="00AF2C08"/>
    <w:rsid w:val="00AF32FC"/>
    <w:rsid w:val="00AF35CF"/>
    <w:rsid w:val="00AF3652"/>
    <w:rsid w:val="00AF36FA"/>
    <w:rsid w:val="00AF3A95"/>
    <w:rsid w:val="00AF3C6E"/>
    <w:rsid w:val="00AF3E0D"/>
    <w:rsid w:val="00AF3E0F"/>
    <w:rsid w:val="00AF3F6B"/>
    <w:rsid w:val="00AF41BA"/>
    <w:rsid w:val="00AF41EB"/>
    <w:rsid w:val="00AF434D"/>
    <w:rsid w:val="00AF44B3"/>
    <w:rsid w:val="00AF44DF"/>
    <w:rsid w:val="00AF45DB"/>
    <w:rsid w:val="00AF4ABC"/>
    <w:rsid w:val="00AF4BAE"/>
    <w:rsid w:val="00AF4F54"/>
    <w:rsid w:val="00AF5161"/>
    <w:rsid w:val="00AF5413"/>
    <w:rsid w:val="00AF551E"/>
    <w:rsid w:val="00AF5725"/>
    <w:rsid w:val="00AF59BF"/>
    <w:rsid w:val="00AF5CB1"/>
    <w:rsid w:val="00AF5D85"/>
    <w:rsid w:val="00AF5F1E"/>
    <w:rsid w:val="00AF5F2E"/>
    <w:rsid w:val="00AF5FA0"/>
    <w:rsid w:val="00AF606D"/>
    <w:rsid w:val="00AF60D3"/>
    <w:rsid w:val="00AF6791"/>
    <w:rsid w:val="00AF68DA"/>
    <w:rsid w:val="00AF6998"/>
    <w:rsid w:val="00AF6A50"/>
    <w:rsid w:val="00AF6E7B"/>
    <w:rsid w:val="00AF6F00"/>
    <w:rsid w:val="00AF6F7D"/>
    <w:rsid w:val="00AF6F94"/>
    <w:rsid w:val="00AF70A7"/>
    <w:rsid w:val="00AF742C"/>
    <w:rsid w:val="00AF749D"/>
    <w:rsid w:val="00AF7542"/>
    <w:rsid w:val="00AF75C0"/>
    <w:rsid w:val="00AF7602"/>
    <w:rsid w:val="00AF7605"/>
    <w:rsid w:val="00AF7916"/>
    <w:rsid w:val="00AF7C2C"/>
    <w:rsid w:val="00AF7D54"/>
    <w:rsid w:val="00AF7E81"/>
    <w:rsid w:val="00AF7EEC"/>
    <w:rsid w:val="00B00028"/>
    <w:rsid w:val="00B00041"/>
    <w:rsid w:val="00B001A8"/>
    <w:rsid w:val="00B003F7"/>
    <w:rsid w:val="00B00514"/>
    <w:rsid w:val="00B0097C"/>
    <w:rsid w:val="00B01121"/>
    <w:rsid w:val="00B01275"/>
    <w:rsid w:val="00B012EF"/>
    <w:rsid w:val="00B01328"/>
    <w:rsid w:val="00B015BE"/>
    <w:rsid w:val="00B0163C"/>
    <w:rsid w:val="00B017B9"/>
    <w:rsid w:val="00B0183D"/>
    <w:rsid w:val="00B01ACA"/>
    <w:rsid w:val="00B01B15"/>
    <w:rsid w:val="00B01CBA"/>
    <w:rsid w:val="00B02295"/>
    <w:rsid w:val="00B02476"/>
    <w:rsid w:val="00B0300A"/>
    <w:rsid w:val="00B0303F"/>
    <w:rsid w:val="00B03509"/>
    <w:rsid w:val="00B03729"/>
    <w:rsid w:val="00B03903"/>
    <w:rsid w:val="00B03908"/>
    <w:rsid w:val="00B03CF2"/>
    <w:rsid w:val="00B03E3C"/>
    <w:rsid w:val="00B03F77"/>
    <w:rsid w:val="00B040E5"/>
    <w:rsid w:val="00B04118"/>
    <w:rsid w:val="00B04218"/>
    <w:rsid w:val="00B04360"/>
    <w:rsid w:val="00B043CB"/>
    <w:rsid w:val="00B0460D"/>
    <w:rsid w:val="00B046B6"/>
    <w:rsid w:val="00B0482D"/>
    <w:rsid w:val="00B048CA"/>
    <w:rsid w:val="00B04B9F"/>
    <w:rsid w:val="00B04EC8"/>
    <w:rsid w:val="00B0512A"/>
    <w:rsid w:val="00B05399"/>
    <w:rsid w:val="00B0569F"/>
    <w:rsid w:val="00B0575F"/>
    <w:rsid w:val="00B057EC"/>
    <w:rsid w:val="00B05A84"/>
    <w:rsid w:val="00B05ABD"/>
    <w:rsid w:val="00B05B48"/>
    <w:rsid w:val="00B05D1E"/>
    <w:rsid w:val="00B05FBB"/>
    <w:rsid w:val="00B060AC"/>
    <w:rsid w:val="00B060BE"/>
    <w:rsid w:val="00B0616E"/>
    <w:rsid w:val="00B0646A"/>
    <w:rsid w:val="00B066CA"/>
    <w:rsid w:val="00B06A19"/>
    <w:rsid w:val="00B06AE8"/>
    <w:rsid w:val="00B06CCC"/>
    <w:rsid w:val="00B0717B"/>
    <w:rsid w:val="00B071EC"/>
    <w:rsid w:val="00B072B5"/>
    <w:rsid w:val="00B072ED"/>
    <w:rsid w:val="00B07519"/>
    <w:rsid w:val="00B07525"/>
    <w:rsid w:val="00B07956"/>
    <w:rsid w:val="00B0799F"/>
    <w:rsid w:val="00B07A08"/>
    <w:rsid w:val="00B07AB6"/>
    <w:rsid w:val="00B07AEE"/>
    <w:rsid w:val="00B07D7F"/>
    <w:rsid w:val="00B07E57"/>
    <w:rsid w:val="00B1000F"/>
    <w:rsid w:val="00B10165"/>
    <w:rsid w:val="00B10171"/>
    <w:rsid w:val="00B10189"/>
    <w:rsid w:val="00B1020B"/>
    <w:rsid w:val="00B10384"/>
    <w:rsid w:val="00B10496"/>
    <w:rsid w:val="00B106EA"/>
    <w:rsid w:val="00B10767"/>
    <w:rsid w:val="00B10955"/>
    <w:rsid w:val="00B10AF8"/>
    <w:rsid w:val="00B10E3F"/>
    <w:rsid w:val="00B10F3C"/>
    <w:rsid w:val="00B110F1"/>
    <w:rsid w:val="00B11219"/>
    <w:rsid w:val="00B1128E"/>
    <w:rsid w:val="00B112D0"/>
    <w:rsid w:val="00B11507"/>
    <w:rsid w:val="00B11716"/>
    <w:rsid w:val="00B117A6"/>
    <w:rsid w:val="00B11952"/>
    <w:rsid w:val="00B11B24"/>
    <w:rsid w:val="00B11C44"/>
    <w:rsid w:val="00B11E7E"/>
    <w:rsid w:val="00B11F56"/>
    <w:rsid w:val="00B12115"/>
    <w:rsid w:val="00B121AB"/>
    <w:rsid w:val="00B12499"/>
    <w:rsid w:val="00B1253E"/>
    <w:rsid w:val="00B12581"/>
    <w:rsid w:val="00B127CE"/>
    <w:rsid w:val="00B12811"/>
    <w:rsid w:val="00B1298D"/>
    <w:rsid w:val="00B12AEB"/>
    <w:rsid w:val="00B12E16"/>
    <w:rsid w:val="00B12E55"/>
    <w:rsid w:val="00B12FFC"/>
    <w:rsid w:val="00B1304F"/>
    <w:rsid w:val="00B1317E"/>
    <w:rsid w:val="00B132E9"/>
    <w:rsid w:val="00B134F4"/>
    <w:rsid w:val="00B13689"/>
    <w:rsid w:val="00B13707"/>
    <w:rsid w:val="00B13736"/>
    <w:rsid w:val="00B138BA"/>
    <w:rsid w:val="00B13A34"/>
    <w:rsid w:val="00B13D19"/>
    <w:rsid w:val="00B140F9"/>
    <w:rsid w:val="00B14123"/>
    <w:rsid w:val="00B14140"/>
    <w:rsid w:val="00B141FA"/>
    <w:rsid w:val="00B14451"/>
    <w:rsid w:val="00B14529"/>
    <w:rsid w:val="00B145A4"/>
    <w:rsid w:val="00B1465C"/>
    <w:rsid w:val="00B14A1F"/>
    <w:rsid w:val="00B14AE8"/>
    <w:rsid w:val="00B14DC7"/>
    <w:rsid w:val="00B14EBC"/>
    <w:rsid w:val="00B15110"/>
    <w:rsid w:val="00B15282"/>
    <w:rsid w:val="00B1531A"/>
    <w:rsid w:val="00B15647"/>
    <w:rsid w:val="00B15F4E"/>
    <w:rsid w:val="00B162C9"/>
    <w:rsid w:val="00B163FC"/>
    <w:rsid w:val="00B1640B"/>
    <w:rsid w:val="00B1666D"/>
    <w:rsid w:val="00B168EC"/>
    <w:rsid w:val="00B16BE6"/>
    <w:rsid w:val="00B16C2F"/>
    <w:rsid w:val="00B16D7C"/>
    <w:rsid w:val="00B16E02"/>
    <w:rsid w:val="00B1701D"/>
    <w:rsid w:val="00B170BA"/>
    <w:rsid w:val="00B170CE"/>
    <w:rsid w:val="00B1731A"/>
    <w:rsid w:val="00B1736A"/>
    <w:rsid w:val="00B1741E"/>
    <w:rsid w:val="00B17551"/>
    <w:rsid w:val="00B179F4"/>
    <w:rsid w:val="00B17A1F"/>
    <w:rsid w:val="00B17C46"/>
    <w:rsid w:val="00B17DD2"/>
    <w:rsid w:val="00B17E15"/>
    <w:rsid w:val="00B17F22"/>
    <w:rsid w:val="00B17F26"/>
    <w:rsid w:val="00B17F67"/>
    <w:rsid w:val="00B201F1"/>
    <w:rsid w:val="00B203E9"/>
    <w:rsid w:val="00B2055E"/>
    <w:rsid w:val="00B20746"/>
    <w:rsid w:val="00B20941"/>
    <w:rsid w:val="00B2097D"/>
    <w:rsid w:val="00B211DD"/>
    <w:rsid w:val="00B212C2"/>
    <w:rsid w:val="00B216A1"/>
    <w:rsid w:val="00B21760"/>
    <w:rsid w:val="00B2187E"/>
    <w:rsid w:val="00B21885"/>
    <w:rsid w:val="00B21B39"/>
    <w:rsid w:val="00B21D47"/>
    <w:rsid w:val="00B22170"/>
    <w:rsid w:val="00B22372"/>
    <w:rsid w:val="00B22508"/>
    <w:rsid w:val="00B2273A"/>
    <w:rsid w:val="00B229B3"/>
    <w:rsid w:val="00B229C6"/>
    <w:rsid w:val="00B22A4B"/>
    <w:rsid w:val="00B22BB8"/>
    <w:rsid w:val="00B2306E"/>
    <w:rsid w:val="00B2308E"/>
    <w:rsid w:val="00B233BB"/>
    <w:rsid w:val="00B234F8"/>
    <w:rsid w:val="00B2372E"/>
    <w:rsid w:val="00B2397D"/>
    <w:rsid w:val="00B2410F"/>
    <w:rsid w:val="00B24149"/>
    <w:rsid w:val="00B242CF"/>
    <w:rsid w:val="00B242DE"/>
    <w:rsid w:val="00B244BA"/>
    <w:rsid w:val="00B24884"/>
    <w:rsid w:val="00B2492F"/>
    <w:rsid w:val="00B24C74"/>
    <w:rsid w:val="00B24E9E"/>
    <w:rsid w:val="00B24F0E"/>
    <w:rsid w:val="00B251CA"/>
    <w:rsid w:val="00B252FD"/>
    <w:rsid w:val="00B25562"/>
    <w:rsid w:val="00B25BC1"/>
    <w:rsid w:val="00B25F44"/>
    <w:rsid w:val="00B2623B"/>
    <w:rsid w:val="00B26521"/>
    <w:rsid w:val="00B26585"/>
    <w:rsid w:val="00B26704"/>
    <w:rsid w:val="00B26964"/>
    <w:rsid w:val="00B26A6B"/>
    <w:rsid w:val="00B26D2A"/>
    <w:rsid w:val="00B26EC1"/>
    <w:rsid w:val="00B2742E"/>
    <w:rsid w:val="00B27520"/>
    <w:rsid w:val="00B27582"/>
    <w:rsid w:val="00B27706"/>
    <w:rsid w:val="00B27720"/>
    <w:rsid w:val="00B2779B"/>
    <w:rsid w:val="00B278C5"/>
    <w:rsid w:val="00B27A3D"/>
    <w:rsid w:val="00B27BA9"/>
    <w:rsid w:val="00B30261"/>
    <w:rsid w:val="00B305F8"/>
    <w:rsid w:val="00B30821"/>
    <w:rsid w:val="00B3094D"/>
    <w:rsid w:val="00B309AF"/>
    <w:rsid w:val="00B3101C"/>
    <w:rsid w:val="00B313DC"/>
    <w:rsid w:val="00B316AE"/>
    <w:rsid w:val="00B31976"/>
    <w:rsid w:val="00B31AE8"/>
    <w:rsid w:val="00B31B18"/>
    <w:rsid w:val="00B31B56"/>
    <w:rsid w:val="00B31EFF"/>
    <w:rsid w:val="00B31F1A"/>
    <w:rsid w:val="00B3269D"/>
    <w:rsid w:val="00B328E4"/>
    <w:rsid w:val="00B3296F"/>
    <w:rsid w:val="00B32A16"/>
    <w:rsid w:val="00B32A18"/>
    <w:rsid w:val="00B32D6C"/>
    <w:rsid w:val="00B332DF"/>
    <w:rsid w:val="00B3351F"/>
    <w:rsid w:val="00B3368A"/>
    <w:rsid w:val="00B336E7"/>
    <w:rsid w:val="00B33774"/>
    <w:rsid w:val="00B3382E"/>
    <w:rsid w:val="00B33995"/>
    <w:rsid w:val="00B33A9E"/>
    <w:rsid w:val="00B33C7B"/>
    <w:rsid w:val="00B33E8B"/>
    <w:rsid w:val="00B34111"/>
    <w:rsid w:val="00B34411"/>
    <w:rsid w:val="00B3445D"/>
    <w:rsid w:val="00B345A6"/>
    <w:rsid w:val="00B3479D"/>
    <w:rsid w:val="00B34BF4"/>
    <w:rsid w:val="00B34C08"/>
    <w:rsid w:val="00B350BB"/>
    <w:rsid w:val="00B35288"/>
    <w:rsid w:val="00B354FA"/>
    <w:rsid w:val="00B354FD"/>
    <w:rsid w:val="00B35534"/>
    <w:rsid w:val="00B35809"/>
    <w:rsid w:val="00B35898"/>
    <w:rsid w:val="00B35A1A"/>
    <w:rsid w:val="00B35D86"/>
    <w:rsid w:val="00B35E34"/>
    <w:rsid w:val="00B35EB0"/>
    <w:rsid w:val="00B3600B"/>
    <w:rsid w:val="00B3613B"/>
    <w:rsid w:val="00B361F0"/>
    <w:rsid w:val="00B36305"/>
    <w:rsid w:val="00B36577"/>
    <w:rsid w:val="00B36673"/>
    <w:rsid w:val="00B367C5"/>
    <w:rsid w:val="00B36A76"/>
    <w:rsid w:val="00B36E21"/>
    <w:rsid w:val="00B370F4"/>
    <w:rsid w:val="00B370F7"/>
    <w:rsid w:val="00B37430"/>
    <w:rsid w:val="00B374DA"/>
    <w:rsid w:val="00B3755A"/>
    <w:rsid w:val="00B37769"/>
    <w:rsid w:val="00B37A82"/>
    <w:rsid w:val="00B37C15"/>
    <w:rsid w:val="00B37C57"/>
    <w:rsid w:val="00B37C64"/>
    <w:rsid w:val="00B37E77"/>
    <w:rsid w:val="00B4010E"/>
    <w:rsid w:val="00B40292"/>
    <w:rsid w:val="00B40A87"/>
    <w:rsid w:val="00B40AEE"/>
    <w:rsid w:val="00B40BDA"/>
    <w:rsid w:val="00B40DE8"/>
    <w:rsid w:val="00B410E4"/>
    <w:rsid w:val="00B4111D"/>
    <w:rsid w:val="00B41617"/>
    <w:rsid w:val="00B4173B"/>
    <w:rsid w:val="00B418AD"/>
    <w:rsid w:val="00B41A48"/>
    <w:rsid w:val="00B41B77"/>
    <w:rsid w:val="00B41C36"/>
    <w:rsid w:val="00B41D37"/>
    <w:rsid w:val="00B41D8A"/>
    <w:rsid w:val="00B41E74"/>
    <w:rsid w:val="00B41F7C"/>
    <w:rsid w:val="00B4215C"/>
    <w:rsid w:val="00B422A1"/>
    <w:rsid w:val="00B4287F"/>
    <w:rsid w:val="00B428A1"/>
    <w:rsid w:val="00B428ED"/>
    <w:rsid w:val="00B42917"/>
    <w:rsid w:val="00B42A16"/>
    <w:rsid w:val="00B43110"/>
    <w:rsid w:val="00B43472"/>
    <w:rsid w:val="00B434C6"/>
    <w:rsid w:val="00B4398C"/>
    <w:rsid w:val="00B43AC6"/>
    <w:rsid w:val="00B43B09"/>
    <w:rsid w:val="00B444F2"/>
    <w:rsid w:val="00B4466C"/>
    <w:rsid w:val="00B44689"/>
    <w:rsid w:val="00B4477B"/>
    <w:rsid w:val="00B449CD"/>
    <w:rsid w:val="00B44A60"/>
    <w:rsid w:val="00B44E03"/>
    <w:rsid w:val="00B44E28"/>
    <w:rsid w:val="00B4503E"/>
    <w:rsid w:val="00B452C1"/>
    <w:rsid w:val="00B4547E"/>
    <w:rsid w:val="00B454A8"/>
    <w:rsid w:val="00B45618"/>
    <w:rsid w:val="00B45859"/>
    <w:rsid w:val="00B45973"/>
    <w:rsid w:val="00B45BB4"/>
    <w:rsid w:val="00B45D15"/>
    <w:rsid w:val="00B45FCF"/>
    <w:rsid w:val="00B46172"/>
    <w:rsid w:val="00B46395"/>
    <w:rsid w:val="00B46582"/>
    <w:rsid w:val="00B465E3"/>
    <w:rsid w:val="00B466CD"/>
    <w:rsid w:val="00B4676E"/>
    <w:rsid w:val="00B46827"/>
    <w:rsid w:val="00B46875"/>
    <w:rsid w:val="00B468D7"/>
    <w:rsid w:val="00B46B86"/>
    <w:rsid w:val="00B46C52"/>
    <w:rsid w:val="00B46CFF"/>
    <w:rsid w:val="00B46DA9"/>
    <w:rsid w:val="00B46E8C"/>
    <w:rsid w:val="00B46F46"/>
    <w:rsid w:val="00B470CE"/>
    <w:rsid w:val="00B47123"/>
    <w:rsid w:val="00B4741E"/>
    <w:rsid w:val="00B4758B"/>
    <w:rsid w:val="00B47753"/>
    <w:rsid w:val="00B4794F"/>
    <w:rsid w:val="00B47A1E"/>
    <w:rsid w:val="00B47A52"/>
    <w:rsid w:val="00B47CBF"/>
    <w:rsid w:val="00B47CF9"/>
    <w:rsid w:val="00B47F0F"/>
    <w:rsid w:val="00B50120"/>
    <w:rsid w:val="00B501C6"/>
    <w:rsid w:val="00B50293"/>
    <w:rsid w:val="00B5042C"/>
    <w:rsid w:val="00B504B4"/>
    <w:rsid w:val="00B5071B"/>
    <w:rsid w:val="00B5084F"/>
    <w:rsid w:val="00B50ABC"/>
    <w:rsid w:val="00B50C85"/>
    <w:rsid w:val="00B50C8D"/>
    <w:rsid w:val="00B50E67"/>
    <w:rsid w:val="00B51203"/>
    <w:rsid w:val="00B51249"/>
    <w:rsid w:val="00B51386"/>
    <w:rsid w:val="00B51405"/>
    <w:rsid w:val="00B51547"/>
    <w:rsid w:val="00B516B5"/>
    <w:rsid w:val="00B5176A"/>
    <w:rsid w:val="00B51954"/>
    <w:rsid w:val="00B51B58"/>
    <w:rsid w:val="00B51C12"/>
    <w:rsid w:val="00B51C3D"/>
    <w:rsid w:val="00B5200C"/>
    <w:rsid w:val="00B523D6"/>
    <w:rsid w:val="00B52556"/>
    <w:rsid w:val="00B52601"/>
    <w:rsid w:val="00B5269D"/>
    <w:rsid w:val="00B52927"/>
    <w:rsid w:val="00B531CD"/>
    <w:rsid w:val="00B532CB"/>
    <w:rsid w:val="00B5338B"/>
    <w:rsid w:val="00B533F5"/>
    <w:rsid w:val="00B5353C"/>
    <w:rsid w:val="00B537F9"/>
    <w:rsid w:val="00B5382B"/>
    <w:rsid w:val="00B53B35"/>
    <w:rsid w:val="00B53D1C"/>
    <w:rsid w:val="00B53F6C"/>
    <w:rsid w:val="00B5404E"/>
    <w:rsid w:val="00B54159"/>
    <w:rsid w:val="00B543AC"/>
    <w:rsid w:val="00B5481A"/>
    <w:rsid w:val="00B54822"/>
    <w:rsid w:val="00B54BF3"/>
    <w:rsid w:val="00B54E42"/>
    <w:rsid w:val="00B54F1B"/>
    <w:rsid w:val="00B55055"/>
    <w:rsid w:val="00B55115"/>
    <w:rsid w:val="00B5511B"/>
    <w:rsid w:val="00B553D6"/>
    <w:rsid w:val="00B5546F"/>
    <w:rsid w:val="00B5555D"/>
    <w:rsid w:val="00B55760"/>
    <w:rsid w:val="00B5582E"/>
    <w:rsid w:val="00B55B69"/>
    <w:rsid w:val="00B55B85"/>
    <w:rsid w:val="00B55BEC"/>
    <w:rsid w:val="00B55BF6"/>
    <w:rsid w:val="00B55FB7"/>
    <w:rsid w:val="00B5623F"/>
    <w:rsid w:val="00B5624F"/>
    <w:rsid w:val="00B563B0"/>
    <w:rsid w:val="00B563DC"/>
    <w:rsid w:val="00B56802"/>
    <w:rsid w:val="00B56B16"/>
    <w:rsid w:val="00B56B66"/>
    <w:rsid w:val="00B56E4E"/>
    <w:rsid w:val="00B5757E"/>
    <w:rsid w:val="00B5773E"/>
    <w:rsid w:val="00B5778A"/>
    <w:rsid w:val="00B57868"/>
    <w:rsid w:val="00B57991"/>
    <w:rsid w:val="00B57A29"/>
    <w:rsid w:val="00B57FE6"/>
    <w:rsid w:val="00B60031"/>
    <w:rsid w:val="00B6006D"/>
    <w:rsid w:val="00B6015D"/>
    <w:rsid w:val="00B6017C"/>
    <w:rsid w:val="00B601EE"/>
    <w:rsid w:val="00B6027B"/>
    <w:rsid w:val="00B6046D"/>
    <w:rsid w:val="00B60913"/>
    <w:rsid w:val="00B60A4F"/>
    <w:rsid w:val="00B60C94"/>
    <w:rsid w:val="00B60D9A"/>
    <w:rsid w:val="00B60ED2"/>
    <w:rsid w:val="00B610C0"/>
    <w:rsid w:val="00B612B3"/>
    <w:rsid w:val="00B613CB"/>
    <w:rsid w:val="00B6156B"/>
    <w:rsid w:val="00B615D6"/>
    <w:rsid w:val="00B61AB8"/>
    <w:rsid w:val="00B61C8F"/>
    <w:rsid w:val="00B61E07"/>
    <w:rsid w:val="00B62012"/>
    <w:rsid w:val="00B6244F"/>
    <w:rsid w:val="00B62652"/>
    <w:rsid w:val="00B62717"/>
    <w:rsid w:val="00B627CB"/>
    <w:rsid w:val="00B62B15"/>
    <w:rsid w:val="00B62BE7"/>
    <w:rsid w:val="00B62F12"/>
    <w:rsid w:val="00B63125"/>
    <w:rsid w:val="00B6318C"/>
    <w:rsid w:val="00B632AA"/>
    <w:rsid w:val="00B6397E"/>
    <w:rsid w:val="00B63BA7"/>
    <w:rsid w:val="00B63E30"/>
    <w:rsid w:val="00B64304"/>
    <w:rsid w:val="00B64529"/>
    <w:rsid w:val="00B645D1"/>
    <w:rsid w:val="00B6467A"/>
    <w:rsid w:val="00B64936"/>
    <w:rsid w:val="00B64D41"/>
    <w:rsid w:val="00B64F9D"/>
    <w:rsid w:val="00B651B8"/>
    <w:rsid w:val="00B651EA"/>
    <w:rsid w:val="00B65365"/>
    <w:rsid w:val="00B65731"/>
    <w:rsid w:val="00B6576A"/>
    <w:rsid w:val="00B661FF"/>
    <w:rsid w:val="00B663B6"/>
    <w:rsid w:val="00B663C2"/>
    <w:rsid w:val="00B6645C"/>
    <w:rsid w:val="00B666DD"/>
    <w:rsid w:val="00B666F9"/>
    <w:rsid w:val="00B667B4"/>
    <w:rsid w:val="00B6690B"/>
    <w:rsid w:val="00B67261"/>
    <w:rsid w:val="00B67351"/>
    <w:rsid w:val="00B67423"/>
    <w:rsid w:val="00B67462"/>
    <w:rsid w:val="00B674EB"/>
    <w:rsid w:val="00B67531"/>
    <w:rsid w:val="00B67535"/>
    <w:rsid w:val="00B678E4"/>
    <w:rsid w:val="00B67922"/>
    <w:rsid w:val="00B67B76"/>
    <w:rsid w:val="00B67E90"/>
    <w:rsid w:val="00B70117"/>
    <w:rsid w:val="00B702E4"/>
    <w:rsid w:val="00B70307"/>
    <w:rsid w:val="00B7056B"/>
    <w:rsid w:val="00B70B2A"/>
    <w:rsid w:val="00B70F04"/>
    <w:rsid w:val="00B7106E"/>
    <w:rsid w:val="00B714DA"/>
    <w:rsid w:val="00B7153F"/>
    <w:rsid w:val="00B715FA"/>
    <w:rsid w:val="00B716D1"/>
    <w:rsid w:val="00B717DD"/>
    <w:rsid w:val="00B719D6"/>
    <w:rsid w:val="00B71A40"/>
    <w:rsid w:val="00B71ACC"/>
    <w:rsid w:val="00B71CFC"/>
    <w:rsid w:val="00B71D07"/>
    <w:rsid w:val="00B72105"/>
    <w:rsid w:val="00B72276"/>
    <w:rsid w:val="00B72341"/>
    <w:rsid w:val="00B7244B"/>
    <w:rsid w:val="00B72A81"/>
    <w:rsid w:val="00B72A85"/>
    <w:rsid w:val="00B72AC2"/>
    <w:rsid w:val="00B72D69"/>
    <w:rsid w:val="00B72DEC"/>
    <w:rsid w:val="00B730E3"/>
    <w:rsid w:val="00B7311D"/>
    <w:rsid w:val="00B73181"/>
    <w:rsid w:val="00B731C2"/>
    <w:rsid w:val="00B73338"/>
    <w:rsid w:val="00B7355B"/>
    <w:rsid w:val="00B735B9"/>
    <w:rsid w:val="00B7377C"/>
    <w:rsid w:val="00B737C7"/>
    <w:rsid w:val="00B73A47"/>
    <w:rsid w:val="00B73BA5"/>
    <w:rsid w:val="00B73C1E"/>
    <w:rsid w:val="00B73D12"/>
    <w:rsid w:val="00B73D89"/>
    <w:rsid w:val="00B73DB5"/>
    <w:rsid w:val="00B73E62"/>
    <w:rsid w:val="00B73E88"/>
    <w:rsid w:val="00B73FF7"/>
    <w:rsid w:val="00B742FE"/>
    <w:rsid w:val="00B74319"/>
    <w:rsid w:val="00B74399"/>
    <w:rsid w:val="00B7449D"/>
    <w:rsid w:val="00B74867"/>
    <w:rsid w:val="00B74BFB"/>
    <w:rsid w:val="00B74E4A"/>
    <w:rsid w:val="00B74EB3"/>
    <w:rsid w:val="00B754B9"/>
    <w:rsid w:val="00B754E8"/>
    <w:rsid w:val="00B75509"/>
    <w:rsid w:val="00B75567"/>
    <w:rsid w:val="00B755F0"/>
    <w:rsid w:val="00B758C6"/>
    <w:rsid w:val="00B75991"/>
    <w:rsid w:val="00B759B3"/>
    <w:rsid w:val="00B75D4E"/>
    <w:rsid w:val="00B75F03"/>
    <w:rsid w:val="00B763ED"/>
    <w:rsid w:val="00B764D3"/>
    <w:rsid w:val="00B7654C"/>
    <w:rsid w:val="00B76598"/>
    <w:rsid w:val="00B765A8"/>
    <w:rsid w:val="00B76ACF"/>
    <w:rsid w:val="00B76B40"/>
    <w:rsid w:val="00B76D9E"/>
    <w:rsid w:val="00B76DE1"/>
    <w:rsid w:val="00B775D4"/>
    <w:rsid w:val="00B778A8"/>
    <w:rsid w:val="00B778D6"/>
    <w:rsid w:val="00B77CA8"/>
    <w:rsid w:val="00B77EBC"/>
    <w:rsid w:val="00B77F61"/>
    <w:rsid w:val="00B803F7"/>
    <w:rsid w:val="00B8064E"/>
    <w:rsid w:val="00B806AA"/>
    <w:rsid w:val="00B80B93"/>
    <w:rsid w:val="00B80BCF"/>
    <w:rsid w:val="00B80C47"/>
    <w:rsid w:val="00B80D1F"/>
    <w:rsid w:val="00B81241"/>
    <w:rsid w:val="00B813B8"/>
    <w:rsid w:val="00B81401"/>
    <w:rsid w:val="00B814A1"/>
    <w:rsid w:val="00B816AD"/>
    <w:rsid w:val="00B81AF6"/>
    <w:rsid w:val="00B81D85"/>
    <w:rsid w:val="00B81E71"/>
    <w:rsid w:val="00B81E86"/>
    <w:rsid w:val="00B81F26"/>
    <w:rsid w:val="00B8228B"/>
    <w:rsid w:val="00B8229F"/>
    <w:rsid w:val="00B82495"/>
    <w:rsid w:val="00B825EB"/>
    <w:rsid w:val="00B82935"/>
    <w:rsid w:val="00B82A06"/>
    <w:rsid w:val="00B82BB1"/>
    <w:rsid w:val="00B82FB5"/>
    <w:rsid w:val="00B82FEE"/>
    <w:rsid w:val="00B8319F"/>
    <w:rsid w:val="00B83388"/>
    <w:rsid w:val="00B83419"/>
    <w:rsid w:val="00B83462"/>
    <w:rsid w:val="00B834A7"/>
    <w:rsid w:val="00B834F9"/>
    <w:rsid w:val="00B83560"/>
    <w:rsid w:val="00B83634"/>
    <w:rsid w:val="00B8367F"/>
    <w:rsid w:val="00B83FC4"/>
    <w:rsid w:val="00B844D7"/>
    <w:rsid w:val="00B84761"/>
    <w:rsid w:val="00B8499B"/>
    <w:rsid w:val="00B849C2"/>
    <w:rsid w:val="00B84C09"/>
    <w:rsid w:val="00B84C1D"/>
    <w:rsid w:val="00B84D7A"/>
    <w:rsid w:val="00B85058"/>
    <w:rsid w:val="00B851BA"/>
    <w:rsid w:val="00B8524C"/>
    <w:rsid w:val="00B8525D"/>
    <w:rsid w:val="00B85417"/>
    <w:rsid w:val="00B85607"/>
    <w:rsid w:val="00B85ADB"/>
    <w:rsid w:val="00B85B6B"/>
    <w:rsid w:val="00B85BE0"/>
    <w:rsid w:val="00B85C90"/>
    <w:rsid w:val="00B85FE7"/>
    <w:rsid w:val="00B86040"/>
    <w:rsid w:val="00B86077"/>
    <w:rsid w:val="00B8623F"/>
    <w:rsid w:val="00B86385"/>
    <w:rsid w:val="00B864D4"/>
    <w:rsid w:val="00B866B9"/>
    <w:rsid w:val="00B86850"/>
    <w:rsid w:val="00B86A9E"/>
    <w:rsid w:val="00B86DFD"/>
    <w:rsid w:val="00B87206"/>
    <w:rsid w:val="00B8768B"/>
    <w:rsid w:val="00B87691"/>
    <w:rsid w:val="00B87808"/>
    <w:rsid w:val="00B8793D"/>
    <w:rsid w:val="00B87976"/>
    <w:rsid w:val="00B87C4D"/>
    <w:rsid w:val="00B87C80"/>
    <w:rsid w:val="00B87E3B"/>
    <w:rsid w:val="00B90641"/>
    <w:rsid w:val="00B90708"/>
    <w:rsid w:val="00B90A45"/>
    <w:rsid w:val="00B90BBF"/>
    <w:rsid w:val="00B90BEF"/>
    <w:rsid w:val="00B910A6"/>
    <w:rsid w:val="00B91172"/>
    <w:rsid w:val="00B911AF"/>
    <w:rsid w:val="00B912EB"/>
    <w:rsid w:val="00B91517"/>
    <w:rsid w:val="00B91E03"/>
    <w:rsid w:val="00B9203B"/>
    <w:rsid w:val="00B925DB"/>
    <w:rsid w:val="00B92621"/>
    <w:rsid w:val="00B927C9"/>
    <w:rsid w:val="00B92FB8"/>
    <w:rsid w:val="00B9309E"/>
    <w:rsid w:val="00B930A2"/>
    <w:rsid w:val="00B930E2"/>
    <w:rsid w:val="00B93150"/>
    <w:rsid w:val="00B93572"/>
    <w:rsid w:val="00B9378B"/>
    <w:rsid w:val="00B93A74"/>
    <w:rsid w:val="00B93B3A"/>
    <w:rsid w:val="00B93B6D"/>
    <w:rsid w:val="00B93BE9"/>
    <w:rsid w:val="00B93D27"/>
    <w:rsid w:val="00B93E25"/>
    <w:rsid w:val="00B93ECC"/>
    <w:rsid w:val="00B93F7E"/>
    <w:rsid w:val="00B93F8F"/>
    <w:rsid w:val="00B93FCA"/>
    <w:rsid w:val="00B94023"/>
    <w:rsid w:val="00B94247"/>
    <w:rsid w:val="00B942D1"/>
    <w:rsid w:val="00B9436B"/>
    <w:rsid w:val="00B94501"/>
    <w:rsid w:val="00B94623"/>
    <w:rsid w:val="00B946B5"/>
    <w:rsid w:val="00B94B02"/>
    <w:rsid w:val="00B94C9E"/>
    <w:rsid w:val="00B94CE4"/>
    <w:rsid w:val="00B94E5B"/>
    <w:rsid w:val="00B95099"/>
    <w:rsid w:val="00B95107"/>
    <w:rsid w:val="00B9517A"/>
    <w:rsid w:val="00B952F3"/>
    <w:rsid w:val="00B9538D"/>
    <w:rsid w:val="00B953E0"/>
    <w:rsid w:val="00B95448"/>
    <w:rsid w:val="00B95599"/>
    <w:rsid w:val="00B95815"/>
    <w:rsid w:val="00B9593D"/>
    <w:rsid w:val="00B95A95"/>
    <w:rsid w:val="00B95B15"/>
    <w:rsid w:val="00B95B47"/>
    <w:rsid w:val="00B95BE4"/>
    <w:rsid w:val="00B95CEB"/>
    <w:rsid w:val="00B95DE2"/>
    <w:rsid w:val="00B9627D"/>
    <w:rsid w:val="00B96AA6"/>
    <w:rsid w:val="00B972F5"/>
    <w:rsid w:val="00B974A0"/>
    <w:rsid w:val="00B9754E"/>
    <w:rsid w:val="00B975BA"/>
    <w:rsid w:val="00B9779A"/>
    <w:rsid w:val="00B978D7"/>
    <w:rsid w:val="00B97C84"/>
    <w:rsid w:val="00B97E2D"/>
    <w:rsid w:val="00BA0005"/>
    <w:rsid w:val="00BA014E"/>
    <w:rsid w:val="00BA0205"/>
    <w:rsid w:val="00BA0324"/>
    <w:rsid w:val="00BA03EA"/>
    <w:rsid w:val="00BA0CAB"/>
    <w:rsid w:val="00BA0E18"/>
    <w:rsid w:val="00BA0EBE"/>
    <w:rsid w:val="00BA0F6E"/>
    <w:rsid w:val="00BA105A"/>
    <w:rsid w:val="00BA1826"/>
    <w:rsid w:val="00BA182D"/>
    <w:rsid w:val="00BA1943"/>
    <w:rsid w:val="00BA1CA2"/>
    <w:rsid w:val="00BA1D8E"/>
    <w:rsid w:val="00BA1EF3"/>
    <w:rsid w:val="00BA2019"/>
    <w:rsid w:val="00BA201D"/>
    <w:rsid w:val="00BA250A"/>
    <w:rsid w:val="00BA259B"/>
    <w:rsid w:val="00BA27A8"/>
    <w:rsid w:val="00BA28E2"/>
    <w:rsid w:val="00BA295A"/>
    <w:rsid w:val="00BA29D1"/>
    <w:rsid w:val="00BA2A7B"/>
    <w:rsid w:val="00BA2B0A"/>
    <w:rsid w:val="00BA2B12"/>
    <w:rsid w:val="00BA2B4A"/>
    <w:rsid w:val="00BA2B58"/>
    <w:rsid w:val="00BA2DCE"/>
    <w:rsid w:val="00BA2F53"/>
    <w:rsid w:val="00BA359C"/>
    <w:rsid w:val="00BA3948"/>
    <w:rsid w:val="00BA3A3D"/>
    <w:rsid w:val="00BA3BF1"/>
    <w:rsid w:val="00BA3C22"/>
    <w:rsid w:val="00BA3E2B"/>
    <w:rsid w:val="00BA3EEA"/>
    <w:rsid w:val="00BA3FD3"/>
    <w:rsid w:val="00BA41C7"/>
    <w:rsid w:val="00BA42BF"/>
    <w:rsid w:val="00BA4327"/>
    <w:rsid w:val="00BA444E"/>
    <w:rsid w:val="00BA479C"/>
    <w:rsid w:val="00BA4955"/>
    <w:rsid w:val="00BA4A82"/>
    <w:rsid w:val="00BA4CB7"/>
    <w:rsid w:val="00BA5071"/>
    <w:rsid w:val="00BA5147"/>
    <w:rsid w:val="00BA561D"/>
    <w:rsid w:val="00BA5788"/>
    <w:rsid w:val="00BA57D3"/>
    <w:rsid w:val="00BA5959"/>
    <w:rsid w:val="00BA612C"/>
    <w:rsid w:val="00BA6A08"/>
    <w:rsid w:val="00BA6A82"/>
    <w:rsid w:val="00BA6AC6"/>
    <w:rsid w:val="00BA6B3F"/>
    <w:rsid w:val="00BA6C88"/>
    <w:rsid w:val="00BA6FFF"/>
    <w:rsid w:val="00BA7407"/>
    <w:rsid w:val="00BA74E4"/>
    <w:rsid w:val="00BA758C"/>
    <w:rsid w:val="00BA75EE"/>
    <w:rsid w:val="00BA786D"/>
    <w:rsid w:val="00BA7A77"/>
    <w:rsid w:val="00BA7C75"/>
    <w:rsid w:val="00BA7EF5"/>
    <w:rsid w:val="00BB002E"/>
    <w:rsid w:val="00BB0236"/>
    <w:rsid w:val="00BB02B1"/>
    <w:rsid w:val="00BB047B"/>
    <w:rsid w:val="00BB047F"/>
    <w:rsid w:val="00BB056E"/>
    <w:rsid w:val="00BB06EF"/>
    <w:rsid w:val="00BB0872"/>
    <w:rsid w:val="00BB0892"/>
    <w:rsid w:val="00BB0B22"/>
    <w:rsid w:val="00BB0E51"/>
    <w:rsid w:val="00BB0E5B"/>
    <w:rsid w:val="00BB0EC0"/>
    <w:rsid w:val="00BB13CC"/>
    <w:rsid w:val="00BB13D1"/>
    <w:rsid w:val="00BB1534"/>
    <w:rsid w:val="00BB15AB"/>
    <w:rsid w:val="00BB178C"/>
    <w:rsid w:val="00BB1902"/>
    <w:rsid w:val="00BB19EB"/>
    <w:rsid w:val="00BB1A27"/>
    <w:rsid w:val="00BB1AC8"/>
    <w:rsid w:val="00BB1B2E"/>
    <w:rsid w:val="00BB2068"/>
    <w:rsid w:val="00BB20C0"/>
    <w:rsid w:val="00BB24AA"/>
    <w:rsid w:val="00BB2655"/>
    <w:rsid w:val="00BB2EE2"/>
    <w:rsid w:val="00BB2F01"/>
    <w:rsid w:val="00BB31B8"/>
    <w:rsid w:val="00BB326B"/>
    <w:rsid w:val="00BB32BF"/>
    <w:rsid w:val="00BB34D0"/>
    <w:rsid w:val="00BB351C"/>
    <w:rsid w:val="00BB36C7"/>
    <w:rsid w:val="00BB3AE2"/>
    <w:rsid w:val="00BB3B15"/>
    <w:rsid w:val="00BB3B29"/>
    <w:rsid w:val="00BB3FC9"/>
    <w:rsid w:val="00BB400F"/>
    <w:rsid w:val="00BB4294"/>
    <w:rsid w:val="00BB47DD"/>
    <w:rsid w:val="00BB480E"/>
    <w:rsid w:val="00BB4877"/>
    <w:rsid w:val="00BB4D3E"/>
    <w:rsid w:val="00BB54C1"/>
    <w:rsid w:val="00BB6099"/>
    <w:rsid w:val="00BB61F5"/>
    <w:rsid w:val="00BB641E"/>
    <w:rsid w:val="00BB6639"/>
    <w:rsid w:val="00BB6AE4"/>
    <w:rsid w:val="00BB6C35"/>
    <w:rsid w:val="00BB6D1B"/>
    <w:rsid w:val="00BB6EA0"/>
    <w:rsid w:val="00BB7055"/>
    <w:rsid w:val="00BB78F1"/>
    <w:rsid w:val="00BB7B3B"/>
    <w:rsid w:val="00BB7BDF"/>
    <w:rsid w:val="00BB7E08"/>
    <w:rsid w:val="00BC015E"/>
    <w:rsid w:val="00BC0477"/>
    <w:rsid w:val="00BC0695"/>
    <w:rsid w:val="00BC08BA"/>
    <w:rsid w:val="00BC08FA"/>
    <w:rsid w:val="00BC096C"/>
    <w:rsid w:val="00BC097B"/>
    <w:rsid w:val="00BC0A2D"/>
    <w:rsid w:val="00BC0CA7"/>
    <w:rsid w:val="00BC0D81"/>
    <w:rsid w:val="00BC0D9E"/>
    <w:rsid w:val="00BC0E04"/>
    <w:rsid w:val="00BC0EDF"/>
    <w:rsid w:val="00BC119A"/>
    <w:rsid w:val="00BC1268"/>
    <w:rsid w:val="00BC166E"/>
    <w:rsid w:val="00BC1780"/>
    <w:rsid w:val="00BC19A3"/>
    <w:rsid w:val="00BC1A29"/>
    <w:rsid w:val="00BC1DBE"/>
    <w:rsid w:val="00BC2182"/>
    <w:rsid w:val="00BC232E"/>
    <w:rsid w:val="00BC23E3"/>
    <w:rsid w:val="00BC2730"/>
    <w:rsid w:val="00BC29BB"/>
    <w:rsid w:val="00BC2A1E"/>
    <w:rsid w:val="00BC2C32"/>
    <w:rsid w:val="00BC2CAB"/>
    <w:rsid w:val="00BC2E31"/>
    <w:rsid w:val="00BC3005"/>
    <w:rsid w:val="00BC30E8"/>
    <w:rsid w:val="00BC311B"/>
    <w:rsid w:val="00BC348C"/>
    <w:rsid w:val="00BC35B8"/>
    <w:rsid w:val="00BC3684"/>
    <w:rsid w:val="00BC3A89"/>
    <w:rsid w:val="00BC3C87"/>
    <w:rsid w:val="00BC3E1B"/>
    <w:rsid w:val="00BC4063"/>
    <w:rsid w:val="00BC406C"/>
    <w:rsid w:val="00BC4113"/>
    <w:rsid w:val="00BC417F"/>
    <w:rsid w:val="00BC41F4"/>
    <w:rsid w:val="00BC4228"/>
    <w:rsid w:val="00BC4311"/>
    <w:rsid w:val="00BC4BDE"/>
    <w:rsid w:val="00BC4C7E"/>
    <w:rsid w:val="00BC4E50"/>
    <w:rsid w:val="00BC4FF9"/>
    <w:rsid w:val="00BC5214"/>
    <w:rsid w:val="00BC52C8"/>
    <w:rsid w:val="00BC53CA"/>
    <w:rsid w:val="00BC57D9"/>
    <w:rsid w:val="00BC5851"/>
    <w:rsid w:val="00BC5CF9"/>
    <w:rsid w:val="00BC5E7C"/>
    <w:rsid w:val="00BC5F07"/>
    <w:rsid w:val="00BC5FA9"/>
    <w:rsid w:val="00BC6093"/>
    <w:rsid w:val="00BC633F"/>
    <w:rsid w:val="00BC6434"/>
    <w:rsid w:val="00BC688F"/>
    <w:rsid w:val="00BC6B6C"/>
    <w:rsid w:val="00BC6D95"/>
    <w:rsid w:val="00BC6E2E"/>
    <w:rsid w:val="00BC6E31"/>
    <w:rsid w:val="00BC7123"/>
    <w:rsid w:val="00BC757C"/>
    <w:rsid w:val="00BC7AA0"/>
    <w:rsid w:val="00BC7C01"/>
    <w:rsid w:val="00BC7C5D"/>
    <w:rsid w:val="00BC7E3E"/>
    <w:rsid w:val="00BC7F10"/>
    <w:rsid w:val="00BC7F5F"/>
    <w:rsid w:val="00BD00FD"/>
    <w:rsid w:val="00BD01D3"/>
    <w:rsid w:val="00BD060D"/>
    <w:rsid w:val="00BD0672"/>
    <w:rsid w:val="00BD06EC"/>
    <w:rsid w:val="00BD0DB6"/>
    <w:rsid w:val="00BD11D0"/>
    <w:rsid w:val="00BD12BC"/>
    <w:rsid w:val="00BD12E7"/>
    <w:rsid w:val="00BD1403"/>
    <w:rsid w:val="00BD141A"/>
    <w:rsid w:val="00BD14AA"/>
    <w:rsid w:val="00BD163D"/>
    <w:rsid w:val="00BD1B27"/>
    <w:rsid w:val="00BD1CAB"/>
    <w:rsid w:val="00BD1CFE"/>
    <w:rsid w:val="00BD1E68"/>
    <w:rsid w:val="00BD1E8B"/>
    <w:rsid w:val="00BD204E"/>
    <w:rsid w:val="00BD2250"/>
    <w:rsid w:val="00BD23A5"/>
    <w:rsid w:val="00BD2410"/>
    <w:rsid w:val="00BD246F"/>
    <w:rsid w:val="00BD2756"/>
    <w:rsid w:val="00BD28CD"/>
    <w:rsid w:val="00BD2D13"/>
    <w:rsid w:val="00BD2D2A"/>
    <w:rsid w:val="00BD2ECF"/>
    <w:rsid w:val="00BD319E"/>
    <w:rsid w:val="00BD357D"/>
    <w:rsid w:val="00BD3673"/>
    <w:rsid w:val="00BD38ED"/>
    <w:rsid w:val="00BD3A03"/>
    <w:rsid w:val="00BD3AA6"/>
    <w:rsid w:val="00BD3AB3"/>
    <w:rsid w:val="00BD40B5"/>
    <w:rsid w:val="00BD41AF"/>
    <w:rsid w:val="00BD4BB1"/>
    <w:rsid w:val="00BD4FE7"/>
    <w:rsid w:val="00BD5117"/>
    <w:rsid w:val="00BD51A0"/>
    <w:rsid w:val="00BD5228"/>
    <w:rsid w:val="00BD5343"/>
    <w:rsid w:val="00BD53BC"/>
    <w:rsid w:val="00BD53F0"/>
    <w:rsid w:val="00BD56E9"/>
    <w:rsid w:val="00BD57BB"/>
    <w:rsid w:val="00BD5802"/>
    <w:rsid w:val="00BD59F5"/>
    <w:rsid w:val="00BD5A17"/>
    <w:rsid w:val="00BD5B43"/>
    <w:rsid w:val="00BD5C3A"/>
    <w:rsid w:val="00BD5CB2"/>
    <w:rsid w:val="00BD5D96"/>
    <w:rsid w:val="00BD5FD0"/>
    <w:rsid w:val="00BD63FA"/>
    <w:rsid w:val="00BD64B2"/>
    <w:rsid w:val="00BD64D7"/>
    <w:rsid w:val="00BD67D8"/>
    <w:rsid w:val="00BD683D"/>
    <w:rsid w:val="00BD6E39"/>
    <w:rsid w:val="00BD6FE2"/>
    <w:rsid w:val="00BD7199"/>
    <w:rsid w:val="00BD7272"/>
    <w:rsid w:val="00BD7603"/>
    <w:rsid w:val="00BD763B"/>
    <w:rsid w:val="00BD7A4B"/>
    <w:rsid w:val="00BD7A71"/>
    <w:rsid w:val="00BD7D1C"/>
    <w:rsid w:val="00BD7FAB"/>
    <w:rsid w:val="00BE00AD"/>
    <w:rsid w:val="00BE0163"/>
    <w:rsid w:val="00BE01D6"/>
    <w:rsid w:val="00BE07F3"/>
    <w:rsid w:val="00BE0A9C"/>
    <w:rsid w:val="00BE0CFB"/>
    <w:rsid w:val="00BE102D"/>
    <w:rsid w:val="00BE1179"/>
    <w:rsid w:val="00BE160D"/>
    <w:rsid w:val="00BE1668"/>
    <w:rsid w:val="00BE168B"/>
    <w:rsid w:val="00BE16FE"/>
    <w:rsid w:val="00BE1C40"/>
    <w:rsid w:val="00BE211D"/>
    <w:rsid w:val="00BE2211"/>
    <w:rsid w:val="00BE2807"/>
    <w:rsid w:val="00BE28E5"/>
    <w:rsid w:val="00BE2CA7"/>
    <w:rsid w:val="00BE2E2D"/>
    <w:rsid w:val="00BE2ECD"/>
    <w:rsid w:val="00BE2F2D"/>
    <w:rsid w:val="00BE32BA"/>
    <w:rsid w:val="00BE35CF"/>
    <w:rsid w:val="00BE3F79"/>
    <w:rsid w:val="00BE40C0"/>
    <w:rsid w:val="00BE419D"/>
    <w:rsid w:val="00BE444B"/>
    <w:rsid w:val="00BE4489"/>
    <w:rsid w:val="00BE459F"/>
    <w:rsid w:val="00BE4804"/>
    <w:rsid w:val="00BE4B7D"/>
    <w:rsid w:val="00BE4BEC"/>
    <w:rsid w:val="00BE4C1F"/>
    <w:rsid w:val="00BE4F99"/>
    <w:rsid w:val="00BE515A"/>
    <w:rsid w:val="00BE515C"/>
    <w:rsid w:val="00BE5273"/>
    <w:rsid w:val="00BE541E"/>
    <w:rsid w:val="00BE54A6"/>
    <w:rsid w:val="00BE55B1"/>
    <w:rsid w:val="00BE565A"/>
    <w:rsid w:val="00BE5661"/>
    <w:rsid w:val="00BE58F2"/>
    <w:rsid w:val="00BE5C02"/>
    <w:rsid w:val="00BE5C40"/>
    <w:rsid w:val="00BE6001"/>
    <w:rsid w:val="00BE6134"/>
    <w:rsid w:val="00BE61FF"/>
    <w:rsid w:val="00BE6221"/>
    <w:rsid w:val="00BE622A"/>
    <w:rsid w:val="00BE62E6"/>
    <w:rsid w:val="00BE63BA"/>
    <w:rsid w:val="00BE63EA"/>
    <w:rsid w:val="00BE6526"/>
    <w:rsid w:val="00BE68D1"/>
    <w:rsid w:val="00BE69D3"/>
    <w:rsid w:val="00BE6A98"/>
    <w:rsid w:val="00BE6AB4"/>
    <w:rsid w:val="00BE6B31"/>
    <w:rsid w:val="00BE6C03"/>
    <w:rsid w:val="00BE6DF0"/>
    <w:rsid w:val="00BE6E0B"/>
    <w:rsid w:val="00BE6EE0"/>
    <w:rsid w:val="00BE7146"/>
    <w:rsid w:val="00BE7190"/>
    <w:rsid w:val="00BE71F6"/>
    <w:rsid w:val="00BE7415"/>
    <w:rsid w:val="00BE7547"/>
    <w:rsid w:val="00BE779B"/>
    <w:rsid w:val="00BE78DA"/>
    <w:rsid w:val="00BE790C"/>
    <w:rsid w:val="00BE79C4"/>
    <w:rsid w:val="00BE7DCA"/>
    <w:rsid w:val="00BE7E80"/>
    <w:rsid w:val="00BE7EB2"/>
    <w:rsid w:val="00BE7F9C"/>
    <w:rsid w:val="00BF02F7"/>
    <w:rsid w:val="00BF03D9"/>
    <w:rsid w:val="00BF05E2"/>
    <w:rsid w:val="00BF06B0"/>
    <w:rsid w:val="00BF0884"/>
    <w:rsid w:val="00BF0892"/>
    <w:rsid w:val="00BF0AAA"/>
    <w:rsid w:val="00BF0B56"/>
    <w:rsid w:val="00BF10DA"/>
    <w:rsid w:val="00BF1230"/>
    <w:rsid w:val="00BF14C1"/>
    <w:rsid w:val="00BF17B7"/>
    <w:rsid w:val="00BF17BC"/>
    <w:rsid w:val="00BF18AA"/>
    <w:rsid w:val="00BF192E"/>
    <w:rsid w:val="00BF23D5"/>
    <w:rsid w:val="00BF2837"/>
    <w:rsid w:val="00BF2E28"/>
    <w:rsid w:val="00BF2F63"/>
    <w:rsid w:val="00BF320F"/>
    <w:rsid w:val="00BF3677"/>
    <w:rsid w:val="00BF392D"/>
    <w:rsid w:val="00BF3FE7"/>
    <w:rsid w:val="00BF420C"/>
    <w:rsid w:val="00BF437C"/>
    <w:rsid w:val="00BF46C3"/>
    <w:rsid w:val="00BF473F"/>
    <w:rsid w:val="00BF4774"/>
    <w:rsid w:val="00BF4806"/>
    <w:rsid w:val="00BF4954"/>
    <w:rsid w:val="00BF4AD9"/>
    <w:rsid w:val="00BF4D0B"/>
    <w:rsid w:val="00BF4F6C"/>
    <w:rsid w:val="00BF54B9"/>
    <w:rsid w:val="00BF5698"/>
    <w:rsid w:val="00BF57B9"/>
    <w:rsid w:val="00BF58CD"/>
    <w:rsid w:val="00BF5C1C"/>
    <w:rsid w:val="00BF5FA8"/>
    <w:rsid w:val="00BF60F5"/>
    <w:rsid w:val="00BF61D1"/>
    <w:rsid w:val="00BF61DA"/>
    <w:rsid w:val="00BF6224"/>
    <w:rsid w:val="00BF63B9"/>
    <w:rsid w:val="00BF63F6"/>
    <w:rsid w:val="00BF649F"/>
    <w:rsid w:val="00BF64AD"/>
    <w:rsid w:val="00BF673F"/>
    <w:rsid w:val="00BF6D0A"/>
    <w:rsid w:val="00BF6D39"/>
    <w:rsid w:val="00BF6D80"/>
    <w:rsid w:val="00BF6E84"/>
    <w:rsid w:val="00BF6E91"/>
    <w:rsid w:val="00BF6F0D"/>
    <w:rsid w:val="00BF7153"/>
    <w:rsid w:val="00BF7393"/>
    <w:rsid w:val="00BF766F"/>
    <w:rsid w:val="00BF7795"/>
    <w:rsid w:val="00BF7ACC"/>
    <w:rsid w:val="00BF7D0E"/>
    <w:rsid w:val="00C00164"/>
    <w:rsid w:val="00C001CB"/>
    <w:rsid w:val="00C0048C"/>
    <w:rsid w:val="00C00650"/>
    <w:rsid w:val="00C006A8"/>
    <w:rsid w:val="00C006C9"/>
    <w:rsid w:val="00C00833"/>
    <w:rsid w:val="00C0093F"/>
    <w:rsid w:val="00C00A77"/>
    <w:rsid w:val="00C00BC8"/>
    <w:rsid w:val="00C00BDE"/>
    <w:rsid w:val="00C00CD9"/>
    <w:rsid w:val="00C00CE0"/>
    <w:rsid w:val="00C00D5A"/>
    <w:rsid w:val="00C00F1C"/>
    <w:rsid w:val="00C00F93"/>
    <w:rsid w:val="00C00F9E"/>
    <w:rsid w:val="00C010D1"/>
    <w:rsid w:val="00C01342"/>
    <w:rsid w:val="00C0134B"/>
    <w:rsid w:val="00C0149A"/>
    <w:rsid w:val="00C01581"/>
    <w:rsid w:val="00C0170D"/>
    <w:rsid w:val="00C01A27"/>
    <w:rsid w:val="00C01B73"/>
    <w:rsid w:val="00C01CD1"/>
    <w:rsid w:val="00C01D67"/>
    <w:rsid w:val="00C01D90"/>
    <w:rsid w:val="00C01DAC"/>
    <w:rsid w:val="00C01E98"/>
    <w:rsid w:val="00C01F72"/>
    <w:rsid w:val="00C02030"/>
    <w:rsid w:val="00C0203E"/>
    <w:rsid w:val="00C02123"/>
    <w:rsid w:val="00C02156"/>
    <w:rsid w:val="00C02165"/>
    <w:rsid w:val="00C0219E"/>
    <w:rsid w:val="00C0220E"/>
    <w:rsid w:val="00C0236F"/>
    <w:rsid w:val="00C027D3"/>
    <w:rsid w:val="00C029E1"/>
    <w:rsid w:val="00C02AE8"/>
    <w:rsid w:val="00C02BE7"/>
    <w:rsid w:val="00C02C76"/>
    <w:rsid w:val="00C02D10"/>
    <w:rsid w:val="00C02E3A"/>
    <w:rsid w:val="00C02E9E"/>
    <w:rsid w:val="00C0306B"/>
    <w:rsid w:val="00C0324A"/>
    <w:rsid w:val="00C03425"/>
    <w:rsid w:val="00C0352C"/>
    <w:rsid w:val="00C039B4"/>
    <w:rsid w:val="00C03B02"/>
    <w:rsid w:val="00C03B3F"/>
    <w:rsid w:val="00C03F33"/>
    <w:rsid w:val="00C04004"/>
    <w:rsid w:val="00C041AB"/>
    <w:rsid w:val="00C04461"/>
    <w:rsid w:val="00C0447B"/>
    <w:rsid w:val="00C044D3"/>
    <w:rsid w:val="00C04529"/>
    <w:rsid w:val="00C049F4"/>
    <w:rsid w:val="00C04A55"/>
    <w:rsid w:val="00C05221"/>
    <w:rsid w:val="00C0563C"/>
    <w:rsid w:val="00C0598E"/>
    <w:rsid w:val="00C059C2"/>
    <w:rsid w:val="00C05B63"/>
    <w:rsid w:val="00C05BC3"/>
    <w:rsid w:val="00C05C36"/>
    <w:rsid w:val="00C06256"/>
    <w:rsid w:val="00C062B4"/>
    <w:rsid w:val="00C06431"/>
    <w:rsid w:val="00C06537"/>
    <w:rsid w:val="00C0660B"/>
    <w:rsid w:val="00C066A1"/>
    <w:rsid w:val="00C0677A"/>
    <w:rsid w:val="00C06A59"/>
    <w:rsid w:val="00C06BB7"/>
    <w:rsid w:val="00C06D0C"/>
    <w:rsid w:val="00C07168"/>
    <w:rsid w:val="00C0729C"/>
    <w:rsid w:val="00C07355"/>
    <w:rsid w:val="00C07755"/>
    <w:rsid w:val="00C07AAA"/>
    <w:rsid w:val="00C07ABC"/>
    <w:rsid w:val="00C07AE6"/>
    <w:rsid w:val="00C07B04"/>
    <w:rsid w:val="00C07C5C"/>
    <w:rsid w:val="00C07D29"/>
    <w:rsid w:val="00C101A7"/>
    <w:rsid w:val="00C101D2"/>
    <w:rsid w:val="00C10346"/>
    <w:rsid w:val="00C1052F"/>
    <w:rsid w:val="00C10809"/>
    <w:rsid w:val="00C10AE7"/>
    <w:rsid w:val="00C10EAB"/>
    <w:rsid w:val="00C10F7B"/>
    <w:rsid w:val="00C11233"/>
    <w:rsid w:val="00C11249"/>
    <w:rsid w:val="00C11296"/>
    <w:rsid w:val="00C113EB"/>
    <w:rsid w:val="00C11450"/>
    <w:rsid w:val="00C1152A"/>
    <w:rsid w:val="00C117AD"/>
    <w:rsid w:val="00C1189D"/>
    <w:rsid w:val="00C1190A"/>
    <w:rsid w:val="00C119BA"/>
    <w:rsid w:val="00C11B8C"/>
    <w:rsid w:val="00C11D65"/>
    <w:rsid w:val="00C121AF"/>
    <w:rsid w:val="00C1238C"/>
    <w:rsid w:val="00C125AE"/>
    <w:rsid w:val="00C12628"/>
    <w:rsid w:val="00C127FF"/>
    <w:rsid w:val="00C12D3F"/>
    <w:rsid w:val="00C12F9B"/>
    <w:rsid w:val="00C13046"/>
    <w:rsid w:val="00C130E3"/>
    <w:rsid w:val="00C13156"/>
    <w:rsid w:val="00C1320B"/>
    <w:rsid w:val="00C13236"/>
    <w:rsid w:val="00C1340F"/>
    <w:rsid w:val="00C134FD"/>
    <w:rsid w:val="00C1355D"/>
    <w:rsid w:val="00C138D8"/>
    <w:rsid w:val="00C13C2E"/>
    <w:rsid w:val="00C13EB7"/>
    <w:rsid w:val="00C142CB"/>
    <w:rsid w:val="00C14354"/>
    <w:rsid w:val="00C1443F"/>
    <w:rsid w:val="00C1451C"/>
    <w:rsid w:val="00C14561"/>
    <w:rsid w:val="00C14E65"/>
    <w:rsid w:val="00C14F82"/>
    <w:rsid w:val="00C14FB6"/>
    <w:rsid w:val="00C15174"/>
    <w:rsid w:val="00C1521B"/>
    <w:rsid w:val="00C153C6"/>
    <w:rsid w:val="00C153F2"/>
    <w:rsid w:val="00C15489"/>
    <w:rsid w:val="00C15603"/>
    <w:rsid w:val="00C1577A"/>
    <w:rsid w:val="00C15812"/>
    <w:rsid w:val="00C1594E"/>
    <w:rsid w:val="00C15B7E"/>
    <w:rsid w:val="00C15BA9"/>
    <w:rsid w:val="00C15CE9"/>
    <w:rsid w:val="00C15E78"/>
    <w:rsid w:val="00C1619F"/>
    <w:rsid w:val="00C163ED"/>
    <w:rsid w:val="00C1665D"/>
    <w:rsid w:val="00C166C5"/>
    <w:rsid w:val="00C167E7"/>
    <w:rsid w:val="00C16A68"/>
    <w:rsid w:val="00C16A9E"/>
    <w:rsid w:val="00C16C64"/>
    <w:rsid w:val="00C16E56"/>
    <w:rsid w:val="00C16F60"/>
    <w:rsid w:val="00C171AB"/>
    <w:rsid w:val="00C17491"/>
    <w:rsid w:val="00C17914"/>
    <w:rsid w:val="00C17B1D"/>
    <w:rsid w:val="00C201BE"/>
    <w:rsid w:val="00C2033D"/>
    <w:rsid w:val="00C2081C"/>
    <w:rsid w:val="00C20CA9"/>
    <w:rsid w:val="00C20CD4"/>
    <w:rsid w:val="00C20F49"/>
    <w:rsid w:val="00C21449"/>
    <w:rsid w:val="00C217AC"/>
    <w:rsid w:val="00C218BE"/>
    <w:rsid w:val="00C219B0"/>
    <w:rsid w:val="00C21BCA"/>
    <w:rsid w:val="00C2229C"/>
    <w:rsid w:val="00C2237B"/>
    <w:rsid w:val="00C22383"/>
    <w:rsid w:val="00C22437"/>
    <w:rsid w:val="00C22498"/>
    <w:rsid w:val="00C2262D"/>
    <w:rsid w:val="00C2264E"/>
    <w:rsid w:val="00C2268F"/>
    <w:rsid w:val="00C228F8"/>
    <w:rsid w:val="00C22A5F"/>
    <w:rsid w:val="00C22B49"/>
    <w:rsid w:val="00C22D23"/>
    <w:rsid w:val="00C22FA8"/>
    <w:rsid w:val="00C2300A"/>
    <w:rsid w:val="00C2306A"/>
    <w:rsid w:val="00C233C4"/>
    <w:rsid w:val="00C23451"/>
    <w:rsid w:val="00C2346E"/>
    <w:rsid w:val="00C234D2"/>
    <w:rsid w:val="00C23525"/>
    <w:rsid w:val="00C23941"/>
    <w:rsid w:val="00C2396F"/>
    <w:rsid w:val="00C23988"/>
    <w:rsid w:val="00C23C69"/>
    <w:rsid w:val="00C23EBD"/>
    <w:rsid w:val="00C240B0"/>
    <w:rsid w:val="00C2427C"/>
    <w:rsid w:val="00C24356"/>
    <w:rsid w:val="00C2459C"/>
    <w:rsid w:val="00C248CA"/>
    <w:rsid w:val="00C24902"/>
    <w:rsid w:val="00C249A9"/>
    <w:rsid w:val="00C24CA1"/>
    <w:rsid w:val="00C252E1"/>
    <w:rsid w:val="00C25379"/>
    <w:rsid w:val="00C2540D"/>
    <w:rsid w:val="00C259CF"/>
    <w:rsid w:val="00C25BB5"/>
    <w:rsid w:val="00C25C28"/>
    <w:rsid w:val="00C261F0"/>
    <w:rsid w:val="00C261F2"/>
    <w:rsid w:val="00C262FD"/>
    <w:rsid w:val="00C2634C"/>
    <w:rsid w:val="00C263BF"/>
    <w:rsid w:val="00C26541"/>
    <w:rsid w:val="00C267CE"/>
    <w:rsid w:val="00C267ED"/>
    <w:rsid w:val="00C26804"/>
    <w:rsid w:val="00C26908"/>
    <w:rsid w:val="00C2692B"/>
    <w:rsid w:val="00C26B40"/>
    <w:rsid w:val="00C26C5A"/>
    <w:rsid w:val="00C26DAA"/>
    <w:rsid w:val="00C27032"/>
    <w:rsid w:val="00C2711E"/>
    <w:rsid w:val="00C271B3"/>
    <w:rsid w:val="00C275FC"/>
    <w:rsid w:val="00C27620"/>
    <w:rsid w:val="00C276B2"/>
    <w:rsid w:val="00C27725"/>
    <w:rsid w:val="00C27B42"/>
    <w:rsid w:val="00C27C67"/>
    <w:rsid w:val="00C27CBB"/>
    <w:rsid w:val="00C27D4D"/>
    <w:rsid w:val="00C27D7B"/>
    <w:rsid w:val="00C27F77"/>
    <w:rsid w:val="00C27FF7"/>
    <w:rsid w:val="00C3016E"/>
    <w:rsid w:val="00C308AB"/>
    <w:rsid w:val="00C30D26"/>
    <w:rsid w:val="00C30E24"/>
    <w:rsid w:val="00C310C4"/>
    <w:rsid w:val="00C31297"/>
    <w:rsid w:val="00C315D5"/>
    <w:rsid w:val="00C31650"/>
    <w:rsid w:val="00C31734"/>
    <w:rsid w:val="00C317A1"/>
    <w:rsid w:val="00C317E7"/>
    <w:rsid w:val="00C31925"/>
    <w:rsid w:val="00C319FF"/>
    <w:rsid w:val="00C31BFB"/>
    <w:rsid w:val="00C32240"/>
    <w:rsid w:val="00C32247"/>
    <w:rsid w:val="00C324F8"/>
    <w:rsid w:val="00C32529"/>
    <w:rsid w:val="00C328ED"/>
    <w:rsid w:val="00C32A59"/>
    <w:rsid w:val="00C32AE3"/>
    <w:rsid w:val="00C32B4E"/>
    <w:rsid w:val="00C32D26"/>
    <w:rsid w:val="00C32D5A"/>
    <w:rsid w:val="00C3308B"/>
    <w:rsid w:val="00C330F7"/>
    <w:rsid w:val="00C3326D"/>
    <w:rsid w:val="00C335B4"/>
    <w:rsid w:val="00C335DF"/>
    <w:rsid w:val="00C337BD"/>
    <w:rsid w:val="00C337F5"/>
    <w:rsid w:val="00C33BC8"/>
    <w:rsid w:val="00C33EA7"/>
    <w:rsid w:val="00C33EF5"/>
    <w:rsid w:val="00C34135"/>
    <w:rsid w:val="00C3419D"/>
    <w:rsid w:val="00C3455E"/>
    <w:rsid w:val="00C34588"/>
    <w:rsid w:val="00C3489C"/>
    <w:rsid w:val="00C34ACB"/>
    <w:rsid w:val="00C34B52"/>
    <w:rsid w:val="00C34D2B"/>
    <w:rsid w:val="00C34F78"/>
    <w:rsid w:val="00C34F82"/>
    <w:rsid w:val="00C34F88"/>
    <w:rsid w:val="00C34FC6"/>
    <w:rsid w:val="00C352D5"/>
    <w:rsid w:val="00C356E4"/>
    <w:rsid w:val="00C359E1"/>
    <w:rsid w:val="00C361FB"/>
    <w:rsid w:val="00C3690D"/>
    <w:rsid w:val="00C36946"/>
    <w:rsid w:val="00C36AA3"/>
    <w:rsid w:val="00C36AC4"/>
    <w:rsid w:val="00C36BC9"/>
    <w:rsid w:val="00C36C04"/>
    <w:rsid w:val="00C36E0C"/>
    <w:rsid w:val="00C3702A"/>
    <w:rsid w:val="00C370DE"/>
    <w:rsid w:val="00C37446"/>
    <w:rsid w:val="00C374FB"/>
    <w:rsid w:val="00C3755B"/>
    <w:rsid w:val="00C376CF"/>
    <w:rsid w:val="00C3777C"/>
    <w:rsid w:val="00C3778C"/>
    <w:rsid w:val="00C37943"/>
    <w:rsid w:val="00C37955"/>
    <w:rsid w:val="00C401EF"/>
    <w:rsid w:val="00C40396"/>
    <w:rsid w:val="00C405B0"/>
    <w:rsid w:val="00C408E0"/>
    <w:rsid w:val="00C4091E"/>
    <w:rsid w:val="00C40B98"/>
    <w:rsid w:val="00C40C1A"/>
    <w:rsid w:val="00C40F38"/>
    <w:rsid w:val="00C410CB"/>
    <w:rsid w:val="00C4122D"/>
    <w:rsid w:val="00C41467"/>
    <w:rsid w:val="00C41ED7"/>
    <w:rsid w:val="00C41EF7"/>
    <w:rsid w:val="00C42190"/>
    <w:rsid w:val="00C4237B"/>
    <w:rsid w:val="00C4239E"/>
    <w:rsid w:val="00C423AD"/>
    <w:rsid w:val="00C423B5"/>
    <w:rsid w:val="00C4240F"/>
    <w:rsid w:val="00C4257D"/>
    <w:rsid w:val="00C425A2"/>
    <w:rsid w:val="00C42655"/>
    <w:rsid w:val="00C4271A"/>
    <w:rsid w:val="00C427B0"/>
    <w:rsid w:val="00C428B4"/>
    <w:rsid w:val="00C428F1"/>
    <w:rsid w:val="00C42933"/>
    <w:rsid w:val="00C429CB"/>
    <w:rsid w:val="00C42A52"/>
    <w:rsid w:val="00C42B56"/>
    <w:rsid w:val="00C42BA6"/>
    <w:rsid w:val="00C42EB1"/>
    <w:rsid w:val="00C430D3"/>
    <w:rsid w:val="00C43161"/>
    <w:rsid w:val="00C43584"/>
    <w:rsid w:val="00C43638"/>
    <w:rsid w:val="00C43693"/>
    <w:rsid w:val="00C43AA3"/>
    <w:rsid w:val="00C43BA9"/>
    <w:rsid w:val="00C43F98"/>
    <w:rsid w:val="00C44010"/>
    <w:rsid w:val="00C444B5"/>
    <w:rsid w:val="00C445EB"/>
    <w:rsid w:val="00C446AF"/>
    <w:rsid w:val="00C4471C"/>
    <w:rsid w:val="00C44729"/>
    <w:rsid w:val="00C4478F"/>
    <w:rsid w:val="00C44849"/>
    <w:rsid w:val="00C449AF"/>
    <w:rsid w:val="00C44A62"/>
    <w:rsid w:val="00C45136"/>
    <w:rsid w:val="00C453F0"/>
    <w:rsid w:val="00C45425"/>
    <w:rsid w:val="00C45483"/>
    <w:rsid w:val="00C45621"/>
    <w:rsid w:val="00C4577F"/>
    <w:rsid w:val="00C457B9"/>
    <w:rsid w:val="00C4585B"/>
    <w:rsid w:val="00C458A8"/>
    <w:rsid w:val="00C45B92"/>
    <w:rsid w:val="00C45C06"/>
    <w:rsid w:val="00C46550"/>
    <w:rsid w:val="00C466AB"/>
    <w:rsid w:val="00C4677B"/>
    <w:rsid w:val="00C467B8"/>
    <w:rsid w:val="00C469F7"/>
    <w:rsid w:val="00C469FC"/>
    <w:rsid w:val="00C46A49"/>
    <w:rsid w:val="00C46EFA"/>
    <w:rsid w:val="00C47107"/>
    <w:rsid w:val="00C4715B"/>
    <w:rsid w:val="00C475F2"/>
    <w:rsid w:val="00C47905"/>
    <w:rsid w:val="00C47B65"/>
    <w:rsid w:val="00C47C7D"/>
    <w:rsid w:val="00C47E2E"/>
    <w:rsid w:val="00C47E60"/>
    <w:rsid w:val="00C50296"/>
    <w:rsid w:val="00C50669"/>
    <w:rsid w:val="00C506E8"/>
    <w:rsid w:val="00C50AE8"/>
    <w:rsid w:val="00C50CB7"/>
    <w:rsid w:val="00C50EB7"/>
    <w:rsid w:val="00C510E1"/>
    <w:rsid w:val="00C5110A"/>
    <w:rsid w:val="00C511CE"/>
    <w:rsid w:val="00C5162A"/>
    <w:rsid w:val="00C516D8"/>
    <w:rsid w:val="00C51762"/>
    <w:rsid w:val="00C518C0"/>
    <w:rsid w:val="00C51A87"/>
    <w:rsid w:val="00C520DB"/>
    <w:rsid w:val="00C527BE"/>
    <w:rsid w:val="00C528CB"/>
    <w:rsid w:val="00C52903"/>
    <w:rsid w:val="00C52AA0"/>
    <w:rsid w:val="00C52CC7"/>
    <w:rsid w:val="00C52FE4"/>
    <w:rsid w:val="00C53074"/>
    <w:rsid w:val="00C53220"/>
    <w:rsid w:val="00C5328B"/>
    <w:rsid w:val="00C532CF"/>
    <w:rsid w:val="00C534FA"/>
    <w:rsid w:val="00C537AC"/>
    <w:rsid w:val="00C53A2B"/>
    <w:rsid w:val="00C53D20"/>
    <w:rsid w:val="00C53F1E"/>
    <w:rsid w:val="00C54105"/>
    <w:rsid w:val="00C54207"/>
    <w:rsid w:val="00C5427D"/>
    <w:rsid w:val="00C547AB"/>
    <w:rsid w:val="00C5499B"/>
    <w:rsid w:val="00C549FC"/>
    <w:rsid w:val="00C54A62"/>
    <w:rsid w:val="00C54A89"/>
    <w:rsid w:val="00C54CE3"/>
    <w:rsid w:val="00C54E8F"/>
    <w:rsid w:val="00C54FC7"/>
    <w:rsid w:val="00C550E2"/>
    <w:rsid w:val="00C55149"/>
    <w:rsid w:val="00C551AB"/>
    <w:rsid w:val="00C551B4"/>
    <w:rsid w:val="00C555EE"/>
    <w:rsid w:val="00C556DD"/>
    <w:rsid w:val="00C55A76"/>
    <w:rsid w:val="00C55C96"/>
    <w:rsid w:val="00C55DE9"/>
    <w:rsid w:val="00C56067"/>
    <w:rsid w:val="00C5613F"/>
    <w:rsid w:val="00C56189"/>
    <w:rsid w:val="00C565AD"/>
    <w:rsid w:val="00C566C7"/>
    <w:rsid w:val="00C568DA"/>
    <w:rsid w:val="00C5698E"/>
    <w:rsid w:val="00C56A6F"/>
    <w:rsid w:val="00C56C18"/>
    <w:rsid w:val="00C57282"/>
    <w:rsid w:val="00C5743B"/>
    <w:rsid w:val="00C5752C"/>
    <w:rsid w:val="00C575BD"/>
    <w:rsid w:val="00C5761D"/>
    <w:rsid w:val="00C576EE"/>
    <w:rsid w:val="00C57805"/>
    <w:rsid w:val="00C57A36"/>
    <w:rsid w:val="00C57B4A"/>
    <w:rsid w:val="00C57CD9"/>
    <w:rsid w:val="00C57E05"/>
    <w:rsid w:val="00C57F11"/>
    <w:rsid w:val="00C60176"/>
    <w:rsid w:val="00C601A3"/>
    <w:rsid w:val="00C604C5"/>
    <w:rsid w:val="00C6066E"/>
    <w:rsid w:val="00C60C13"/>
    <w:rsid w:val="00C60C29"/>
    <w:rsid w:val="00C60DB5"/>
    <w:rsid w:val="00C60F68"/>
    <w:rsid w:val="00C61040"/>
    <w:rsid w:val="00C61735"/>
    <w:rsid w:val="00C6199A"/>
    <w:rsid w:val="00C61B34"/>
    <w:rsid w:val="00C61CA2"/>
    <w:rsid w:val="00C61E11"/>
    <w:rsid w:val="00C61F94"/>
    <w:rsid w:val="00C621BA"/>
    <w:rsid w:val="00C6222F"/>
    <w:rsid w:val="00C6281B"/>
    <w:rsid w:val="00C629E9"/>
    <w:rsid w:val="00C62AA3"/>
    <w:rsid w:val="00C62D3C"/>
    <w:rsid w:val="00C62EEB"/>
    <w:rsid w:val="00C63111"/>
    <w:rsid w:val="00C63225"/>
    <w:rsid w:val="00C633FD"/>
    <w:rsid w:val="00C63709"/>
    <w:rsid w:val="00C63764"/>
    <w:rsid w:val="00C641F8"/>
    <w:rsid w:val="00C6425C"/>
    <w:rsid w:val="00C64E57"/>
    <w:rsid w:val="00C65139"/>
    <w:rsid w:val="00C65262"/>
    <w:rsid w:val="00C652F5"/>
    <w:rsid w:val="00C653E9"/>
    <w:rsid w:val="00C6541E"/>
    <w:rsid w:val="00C65425"/>
    <w:rsid w:val="00C6559E"/>
    <w:rsid w:val="00C655DF"/>
    <w:rsid w:val="00C6563D"/>
    <w:rsid w:val="00C65794"/>
    <w:rsid w:val="00C657AF"/>
    <w:rsid w:val="00C65B5D"/>
    <w:rsid w:val="00C65D1F"/>
    <w:rsid w:val="00C65D85"/>
    <w:rsid w:val="00C65DC2"/>
    <w:rsid w:val="00C65DF7"/>
    <w:rsid w:val="00C65E4F"/>
    <w:rsid w:val="00C65F61"/>
    <w:rsid w:val="00C663DD"/>
    <w:rsid w:val="00C66914"/>
    <w:rsid w:val="00C66974"/>
    <w:rsid w:val="00C669C9"/>
    <w:rsid w:val="00C66B30"/>
    <w:rsid w:val="00C66BDF"/>
    <w:rsid w:val="00C66DEB"/>
    <w:rsid w:val="00C66E25"/>
    <w:rsid w:val="00C670FC"/>
    <w:rsid w:val="00C6721F"/>
    <w:rsid w:val="00C67468"/>
    <w:rsid w:val="00C675EB"/>
    <w:rsid w:val="00C67645"/>
    <w:rsid w:val="00C676ED"/>
    <w:rsid w:val="00C6781A"/>
    <w:rsid w:val="00C67833"/>
    <w:rsid w:val="00C67AB1"/>
    <w:rsid w:val="00C67FBB"/>
    <w:rsid w:val="00C7006A"/>
    <w:rsid w:val="00C7052F"/>
    <w:rsid w:val="00C705B6"/>
    <w:rsid w:val="00C706B5"/>
    <w:rsid w:val="00C706FA"/>
    <w:rsid w:val="00C70B82"/>
    <w:rsid w:val="00C70D18"/>
    <w:rsid w:val="00C70D8A"/>
    <w:rsid w:val="00C70E63"/>
    <w:rsid w:val="00C710C2"/>
    <w:rsid w:val="00C7117A"/>
    <w:rsid w:val="00C711AA"/>
    <w:rsid w:val="00C711FD"/>
    <w:rsid w:val="00C71216"/>
    <w:rsid w:val="00C71339"/>
    <w:rsid w:val="00C7137B"/>
    <w:rsid w:val="00C7142E"/>
    <w:rsid w:val="00C71606"/>
    <w:rsid w:val="00C71637"/>
    <w:rsid w:val="00C717FC"/>
    <w:rsid w:val="00C71AC1"/>
    <w:rsid w:val="00C71C01"/>
    <w:rsid w:val="00C71F82"/>
    <w:rsid w:val="00C72013"/>
    <w:rsid w:val="00C7216D"/>
    <w:rsid w:val="00C7281F"/>
    <w:rsid w:val="00C72A3E"/>
    <w:rsid w:val="00C72D61"/>
    <w:rsid w:val="00C72DB7"/>
    <w:rsid w:val="00C730A6"/>
    <w:rsid w:val="00C731D8"/>
    <w:rsid w:val="00C7360B"/>
    <w:rsid w:val="00C73670"/>
    <w:rsid w:val="00C736B2"/>
    <w:rsid w:val="00C7393D"/>
    <w:rsid w:val="00C73A7F"/>
    <w:rsid w:val="00C73C04"/>
    <w:rsid w:val="00C73E92"/>
    <w:rsid w:val="00C73FE9"/>
    <w:rsid w:val="00C7465A"/>
    <w:rsid w:val="00C7476F"/>
    <w:rsid w:val="00C749CD"/>
    <w:rsid w:val="00C74A3A"/>
    <w:rsid w:val="00C74C52"/>
    <w:rsid w:val="00C75237"/>
    <w:rsid w:val="00C75454"/>
    <w:rsid w:val="00C754C8"/>
    <w:rsid w:val="00C755A8"/>
    <w:rsid w:val="00C75A68"/>
    <w:rsid w:val="00C75D0D"/>
    <w:rsid w:val="00C75EFE"/>
    <w:rsid w:val="00C76096"/>
    <w:rsid w:val="00C76334"/>
    <w:rsid w:val="00C7671B"/>
    <w:rsid w:val="00C76748"/>
    <w:rsid w:val="00C7684F"/>
    <w:rsid w:val="00C76991"/>
    <w:rsid w:val="00C769CA"/>
    <w:rsid w:val="00C769D1"/>
    <w:rsid w:val="00C76B8E"/>
    <w:rsid w:val="00C76F41"/>
    <w:rsid w:val="00C770CE"/>
    <w:rsid w:val="00C773EF"/>
    <w:rsid w:val="00C77441"/>
    <w:rsid w:val="00C77705"/>
    <w:rsid w:val="00C779ED"/>
    <w:rsid w:val="00C77A4D"/>
    <w:rsid w:val="00C77C6B"/>
    <w:rsid w:val="00C77EBE"/>
    <w:rsid w:val="00C804C1"/>
    <w:rsid w:val="00C808C8"/>
    <w:rsid w:val="00C80948"/>
    <w:rsid w:val="00C80A0B"/>
    <w:rsid w:val="00C80A11"/>
    <w:rsid w:val="00C80A7D"/>
    <w:rsid w:val="00C80B22"/>
    <w:rsid w:val="00C80EC2"/>
    <w:rsid w:val="00C80FCB"/>
    <w:rsid w:val="00C80FFE"/>
    <w:rsid w:val="00C81660"/>
    <w:rsid w:val="00C816A1"/>
    <w:rsid w:val="00C81E23"/>
    <w:rsid w:val="00C81FCB"/>
    <w:rsid w:val="00C822BD"/>
    <w:rsid w:val="00C823EF"/>
    <w:rsid w:val="00C8243A"/>
    <w:rsid w:val="00C82578"/>
    <w:rsid w:val="00C8270D"/>
    <w:rsid w:val="00C827C2"/>
    <w:rsid w:val="00C827E8"/>
    <w:rsid w:val="00C827EA"/>
    <w:rsid w:val="00C82943"/>
    <w:rsid w:val="00C82B21"/>
    <w:rsid w:val="00C82D45"/>
    <w:rsid w:val="00C82D48"/>
    <w:rsid w:val="00C82EE8"/>
    <w:rsid w:val="00C83004"/>
    <w:rsid w:val="00C83164"/>
    <w:rsid w:val="00C832C1"/>
    <w:rsid w:val="00C832E5"/>
    <w:rsid w:val="00C833EE"/>
    <w:rsid w:val="00C83641"/>
    <w:rsid w:val="00C83F00"/>
    <w:rsid w:val="00C84356"/>
    <w:rsid w:val="00C845EA"/>
    <w:rsid w:val="00C847FF"/>
    <w:rsid w:val="00C8484D"/>
    <w:rsid w:val="00C85029"/>
    <w:rsid w:val="00C8511E"/>
    <w:rsid w:val="00C854D4"/>
    <w:rsid w:val="00C8570A"/>
    <w:rsid w:val="00C858D4"/>
    <w:rsid w:val="00C8590E"/>
    <w:rsid w:val="00C859FC"/>
    <w:rsid w:val="00C85A57"/>
    <w:rsid w:val="00C85E1E"/>
    <w:rsid w:val="00C85FDA"/>
    <w:rsid w:val="00C8602B"/>
    <w:rsid w:val="00C860B6"/>
    <w:rsid w:val="00C8669E"/>
    <w:rsid w:val="00C86746"/>
    <w:rsid w:val="00C86825"/>
    <w:rsid w:val="00C8684B"/>
    <w:rsid w:val="00C86857"/>
    <w:rsid w:val="00C868A2"/>
    <w:rsid w:val="00C86AD1"/>
    <w:rsid w:val="00C86EEF"/>
    <w:rsid w:val="00C87203"/>
    <w:rsid w:val="00C873D0"/>
    <w:rsid w:val="00C875CF"/>
    <w:rsid w:val="00C87687"/>
    <w:rsid w:val="00C878CA"/>
    <w:rsid w:val="00C87901"/>
    <w:rsid w:val="00C87927"/>
    <w:rsid w:val="00C87934"/>
    <w:rsid w:val="00C87968"/>
    <w:rsid w:val="00C87C84"/>
    <w:rsid w:val="00C87DEA"/>
    <w:rsid w:val="00C90266"/>
    <w:rsid w:val="00C90824"/>
    <w:rsid w:val="00C90BFC"/>
    <w:rsid w:val="00C913C4"/>
    <w:rsid w:val="00C91423"/>
    <w:rsid w:val="00C9143B"/>
    <w:rsid w:val="00C9164B"/>
    <w:rsid w:val="00C9166E"/>
    <w:rsid w:val="00C91749"/>
    <w:rsid w:val="00C91A38"/>
    <w:rsid w:val="00C91AA3"/>
    <w:rsid w:val="00C91B42"/>
    <w:rsid w:val="00C91CA1"/>
    <w:rsid w:val="00C91E45"/>
    <w:rsid w:val="00C91ECF"/>
    <w:rsid w:val="00C9246A"/>
    <w:rsid w:val="00C925AC"/>
    <w:rsid w:val="00C92648"/>
    <w:rsid w:val="00C92948"/>
    <w:rsid w:val="00C92C46"/>
    <w:rsid w:val="00C92C9D"/>
    <w:rsid w:val="00C92EDA"/>
    <w:rsid w:val="00C9307A"/>
    <w:rsid w:val="00C9315F"/>
    <w:rsid w:val="00C933A0"/>
    <w:rsid w:val="00C93604"/>
    <w:rsid w:val="00C9394B"/>
    <w:rsid w:val="00C93E4C"/>
    <w:rsid w:val="00C94211"/>
    <w:rsid w:val="00C94257"/>
    <w:rsid w:val="00C9439D"/>
    <w:rsid w:val="00C9477E"/>
    <w:rsid w:val="00C947F1"/>
    <w:rsid w:val="00C949F7"/>
    <w:rsid w:val="00C94AC6"/>
    <w:rsid w:val="00C94DC6"/>
    <w:rsid w:val="00C9505C"/>
    <w:rsid w:val="00C95142"/>
    <w:rsid w:val="00C95947"/>
    <w:rsid w:val="00C95B71"/>
    <w:rsid w:val="00C96145"/>
    <w:rsid w:val="00C963AE"/>
    <w:rsid w:val="00C965EE"/>
    <w:rsid w:val="00C9662B"/>
    <w:rsid w:val="00C966DB"/>
    <w:rsid w:val="00C96760"/>
    <w:rsid w:val="00C96A3D"/>
    <w:rsid w:val="00C96B11"/>
    <w:rsid w:val="00C96CCA"/>
    <w:rsid w:val="00C96CF4"/>
    <w:rsid w:val="00C96F91"/>
    <w:rsid w:val="00C9714A"/>
    <w:rsid w:val="00C971C8"/>
    <w:rsid w:val="00C9753C"/>
    <w:rsid w:val="00C97562"/>
    <w:rsid w:val="00C976B8"/>
    <w:rsid w:val="00C9793F"/>
    <w:rsid w:val="00C97A19"/>
    <w:rsid w:val="00C97E60"/>
    <w:rsid w:val="00CA01F0"/>
    <w:rsid w:val="00CA0236"/>
    <w:rsid w:val="00CA06F1"/>
    <w:rsid w:val="00CA07AD"/>
    <w:rsid w:val="00CA0E8A"/>
    <w:rsid w:val="00CA1077"/>
    <w:rsid w:val="00CA10C6"/>
    <w:rsid w:val="00CA10C8"/>
    <w:rsid w:val="00CA116F"/>
    <w:rsid w:val="00CA11A3"/>
    <w:rsid w:val="00CA1218"/>
    <w:rsid w:val="00CA12AB"/>
    <w:rsid w:val="00CA15A0"/>
    <w:rsid w:val="00CA173F"/>
    <w:rsid w:val="00CA18C3"/>
    <w:rsid w:val="00CA1AF5"/>
    <w:rsid w:val="00CA1B1E"/>
    <w:rsid w:val="00CA1BBA"/>
    <w:rsid w:val="00CA1D4E"/>
    <w:rsid w:val="00CA1E64"/>
    <w:rsid w:val="00CA2076"/>
    <w:rsid w:val="00CA2381"/>
    <w:rsid w:val="00CA2473"/>
    <w:rsid w:val="00CA2A58"/>
    <w:rsid w:val="00CA2C2C"/>
    <w:rsid w:val="00CA2FF0"/>
    <w:rsid w:val="00CA3159"/>
    <w:rsid w:val="00CA3215"/>
    <w:rsid w:val="00CA34F4"/>
    <w:rsid w:val="00CA37D9"/>
    <w:rsid w:val="00CA39FE"/>
    <w:rsid w:val="00CA3CD4"/>
    <w:rsid w:val="00CA3CEB"/>
    <w:rsid w:val="00CA4548"/>
    <w:rsid w:val="00CA4741"/>
    <w:rsid w:val="00CA47A9"/>
    <w:rsid w:val="00CA49F7"/>
    <w:rsid w:val="00CA4B1F"/>
    <w:rsid w:val="00CA4BC4"/>
    <w:rsid w:val="00CA4DFE"/>
    <w:rsid w:val="00CA523E"/>
    <w:rsid w:val="00CA52BF"/>
    <w:rsid w:val="00CA54A5"/>
    <w:rsid w:val="00CA571E"/>
    <w:rsid w:val="00CA5793"/>
    <w:rsid w:val="00CA5A81"/>
    <w:rsid w:val="00CA5F9A"/>
    <w:rsid w:val="00CA623D"/>
    <w:rsid w:val="00CA63EE"/>
    <w:rsid w:val="00CA6537"/>
    <w:rsid w:val="00CA6624"/>
    <w:rsid w:val="00CA6783"/>
    <w:rsid w:val="00CA6AD8"/>
    <w:rsid w:val="00CA7062"/>
    <w:rsid w:val="00CA717F"/>
    <w:rsid w:val="00CA71BC"/>
    <w:rsid w:val="00CA71CB"/>
    <w:rsid w:val="00CA723E"/>
    <w:rsid w:val="00CA74C8"/>
    <w:rsid w:val="00CA77B7"/>
    <w:rsid w:val="00CA793E"/>
    <w:rsid w:val="00CA7AB5"/>
    <w:rsid w:val="00CA7C7C"/>
    <w:rsid w:val="00CA7CAF"/>
    <w:rsid w:val="00CA7FBF"/>
    <w:rsid w:val="00CA7FC4"/>
    <w:rsid w:val="00CB00E7"/>
    <w:rsid w:val="00CB01C3"/>
    <w:rsid w:val="00CB0363"/>
    <w:rsid w:val="00CB0828"/>
    <w:rsid w:val="00CB085B"/>
    <w:rsid w:val="00CB0A8B"/>
    <w:rsid w:val="00CB0BC1"/>
    <w:rsid w:val="00CB0D49"/>
    <w:rsid w:val="00CB13F2"/>
    <w:rsid w:val="00CB1458"/>
    <w:rsid w:val="00CB1852"/>
    <w:rsid w:val="00CB1AD1"/>
    <w:rsid w:val="00CB1B3F"/>
    <w:rsid w:val="00CB1E3B"/>
    <w:rsid w:val="00CB1E51"/>
    <w:rsid w:val="00CB1EA3"/>
    <w:rsid w:val="00CB204A"/>
    <w:rsid w:val="00CB20DA"/>
    <w:rsid w:val="00CB221A"/>
    <w:rsid w:val="00CB22ED"/>
    <w:rsid w:val="00CB23EE"/>
    <w:rsid w:val="00CB2D23"/>
    <w:rsid w:val="00CB2DF3"/>
    <w:rsid w:val="00CB2F2E"/>
    <w:rsid w:val="00CB30DC"/>
    <w:rsid w:val="00CB3185"/>
    <w:rsid w:val="00CB339C"/>
    <w:rsid w:val="00CB34C3"/>
    <w:rsid w:val="00CB36EE"/>
    <w:rsid w:val="00CB3846"/>
    <w:rsid w:val="00CB392E"/>
    <w:rsid w:val="00CB397E"/>
    <w:rsid w:val="00CB3CFA"/>
    <w:rsid w:val="00CB3D6D"/>
    <w:rsid w:val="00CB3E6A"/>
    <w:rsid w:val="00CB413D"/>
    <w:rsid w:val="00CB4299"/>
    <w:rsid w:val="00CB4521"/>
    <w:rsid w:val="00CB4649"/>
    <w:rsid w:val="00CB467C"/>
    <w:rsid w:val="00CB484E"/>
    <w:rsid w:val="00CB48A4"/>
    <w:rsid w:val="00CB4C54"/>
    <w:rsid w:val="00CB4E74"/>
    <w:rsid w:val="00CB4EAF"/>
    <w:rsid w:val="00CB51ED"/>
    <w:rsid w:val="00CB5641"/>
    <w:rsid w:val="00CB58EE"/>
    <w:rsid w:val="00CB5A28"/>
    <w:rsid w:val="00CB5BE7"/>
    <w:rsid w:val="00CB5E75"/>
    <w:rsid w:val="00CB5E9C"/>
    <w:rsid w:val="00CB60F7"/>
    <w:rsid w:val="00CB611F"/>
    <w:rsid w:val="00CB614A"/>
    <w:rsid w:val="00CB627C"/>
    <w:rsid w:val="00CB646C"/>
    <w:rsid w:val="00CB684A"/>
    <w:rsid w:val="00CB6933"/>
    <w:rsid w:val="00CB6A0B"/>
    <w:rsid w:val="00CB6BB3"/>
    <w:rsid w:val="00CB6BB7"/>
    <w:rsid w:val="00CB6C4D"/>
    <w:rsid w:val="00CB6E05"/>
    <w:rsid w:val="00CB771B"/>
    <w:rsid w:val="00CB7773"/>
    <w:rsid w:val="00CB7907"/>
    <w:rsid w:val="00CB79C3"/>
    <w:rsid w:val="00CB7B7F"/>
    <w:rsid w:val="00CB7CD0"/>
    <w:rsid w:val="00CB7DA8"/>
    <w:rsid w:val="00CB7E21"/>
    <w:rsid w:val="00CB7EB1"/>
    <w:rsid w:val="00CC022C"/>
    <w:rsid w:val="00CC0306"/>
    <w:rsid w:val="00CC031C"/>
    <w:rsid w:val="00CC0342"/>
    <w:rsid w:val="00CC0751"/>
    <w:rsid w:val="00CC0C69"/>
    <w:rsid w:val="00CC0C7B"/>
    <w:rsid w:val="00CC0E1A"/>
    <w:rsid w:val="00CC0EB1"/>
    <w:rsid w:val="00CC12A8"/>
    <w:rsid w:val="00CC1320"/>
    <w:rsid w:val="00CC13AF"/>
    <w:rsid w:val="00CC1517"/>
    <w:rsid w:val="00CC15F8"/>
    <w:rsid w:val="00CC1A64"/>
    <w:rsid w:val="00CC2026"/>
    <w:rsid w:val="00CC22CC"/>
    <w:rsid w:val="00CC23DB"/>
    <w:rsid w:val="00CC2865"/>
    <w:rsid w:val="00CC29E9"/>
    <w:rsid w:val="00CC2A14"/>
    <w:rsid w:val="00CC2BB6"/>
    <w:rsid w:val="00CC2BD8"/>
    <w:rsid w:val="00CC2D06"/>
    <w:rsid w:val="00CC2DCE"/>
    <w:rsid w:val="00CC30AA"/>
    <w:rsid w:val="00CC30F5"/>
    <w:rsid w:val="00CC3382"/>
    <w:rsid w:val="00CC3C45"/>
    <w:rsid w:val="00CC3D6B"/>
    <w:rsid w:val="00CC3EE4"/>
    <w:rsid w:val="00CC3F5E"/>
    <w:rsid w:val="00CC3FA9"/>
    <w:rsid w:val="00CC3FC4"/>
    <w:rsid w:val="00CC41A7"/>
    <w:rsid w:val="00CC44CB"/>
    <w:rsid w:val="00CC44CC"/>
    <w:rsid w:val="00CC4A1A"/>
    <w:rsid w:val="00CC4F1B"/>
    <w:rsid w:val="00CC4F2A"/>
    <w:rsid w:val="00CC4F2D"/>
    <w:rsid w:val="00CC4F9A"/>
    <w:rsid w:val="00CC52DC"/>
    <w:rsid w:val="00CC5302"/>
    <w:rsid w:val="00CC5494"/>
    <w:rsid w:val="00CC552E"/>
    <w:rsid w:val="00CC5546"/>
    <w:rsid w:val="00CC561B"/>
    <w:rsid w:val="00CC57C2"/>
    <w:rsid w:val="00CC586A"/>
    <w:rsid w:val="00CC5B52"/>
    <w:rsid w:val="00CC5CF7"/>
    <w:rsid w:val="00CC688F"/>
    <w:rsid w:val="00CC6B9F"/>
    <w:rsid w:val="00CC713F"/>
    <w:rsid w:val="00CC714D"/>
    <w:rsid w:val="00CC76B1"/>
    <w:rsid w:val="00CC76E0"/>
    <w:rsid w:val="00CC7970"/>
    <w:rsid w:val="00CC7DC2"/>
    <w:rsid w:val="00CC7EC2"/>
    <w:rsid w:val="00CD00B8"/>
    <w:rsid w:val="00CD06A1"/>
    <w:rsid w:val="00CD0950"/>
    <w:rsid w:val="00CD0A8A"/>
    <w:rsid w:val="00CD0CFC"/>
    <w:rsid w:val="00CD1049"/>
    <w:rsid w:val="00CD11E4"/>
    <w:rsid w:val="00CD1BD2"/>
    <w:rsid w:val="00CD1C39"/>
    <w:rsid w:val="00CD1F8F"/>
    <w:rsid w:val="00CD2100"/>
    <w:rsid w:val="00CD23AF"/>
    <w:rsid w:val="00CD25E0"/>
    <w:rsid w:val="00CD27BE"/>
    <w:rsid w:val="00CD286F"/>
    <w:rsid w:val="00CD29A6"/>
    <w:rsid w:val="00CD2ADB"/>
    <w:rsid w:val="00CD2B8D"/>
    <w:rsid w:val="00CD2C88"/>
    <w:rsid w:val="00CD2CC3"/>
    <w:rsid w:val="00CD2EBB"/>
    <w:rsid w:val="00CD2ED2"/>
    <w:rsid w:val="00CD2F02"/>
    <w:rsid w:val="00CD2F34"/>
    <w:rsid w:val="00CD3119"/>
    <w:rsid w:val="00CD320F"/>
    <w:rsid w:val="00CD3512"/>
    <w:rsid w:val="00CD36A3"/>
    <w:rsid w:val="00CD398C"/>
    <w:rsid w:val="00CD3A2C"/>
    <w:rsid w:val="00CD3A9C"/>
    <w:rsid w:val="00CD3B41"/>
    <w:rsid w:val="00CD3C1D"/>
    <w:rsid w:val="00CD3C41"/>
    <w:rsid w:val="00CD3F4C"/>
    <w:rsid w:val="00CD40AF"/>
    <w:rsid w:val="00CD43A7"/>
    <w:rsid w:val="00CD43D7"/>
    <w:rsid w:val="00CD4559"/>
    <w:rsid w:val="00CD45DA"/>
    <w:rsid w:val="00CD4AAB"/>
    <w:rsid w:val="00CD5100"/>
    <w:rsid w:val="00CD522A"/>
    <w:rsid w:val="00CD52A7"/>
    <w:rsid w:val="00CD5360"/>
    <w:rsid w:val="00CD542F"/>
    <w:rsid w:val="00CD5586"/>
    <w:rsid w:val="00CD566F"/>
    <w:rsid w:val="00CD57AD"/>
    <w:rsid w:val="00CD59E1"/>
    <w:rsid w:val="00CD5A7C"/>
    <w:rsid w:val="00CD621B"/>
    <w:rsid w:val="00CD63A3"/>
    <w:rsid w:val="00CD6416"/>
    <w:rsid w:val="00CD6441"/>
    <w:rsid w:val="00CD6461"/>
    <w:rsid w:val="00CD67D0"/>
    <w:rsid w:val="00CD69A5"/>
    <w:rsid w:val="00CD6C4A"/>
    <w:rsid w:val="00CD70F6"/>
    <w:rsid w:val="00CD7732"/>
    <w:rsid w:val="00CD77D0"/>
    <w:rsid w:val="00CD7879"/>
    <w:rsid w:val="00CD787C"/>
    <w:rsid w:val="00CD7971"/>
    <w:rsid w:val="00CD7A47"/>
    <w:rsid w:val="00CE01A3"/>
    <w:rsid w:val="00CE01DC"/>
    <w:rsid w:val="00CE023B"/>
    <w:rsid w:val="00CE031E"/>
    <w:rsid w:val="00CE0343"/>
    <w:rsid w:val="00CE03B0"/>
    <w:rsid w:val="00CE04F5"/>
    <w:rsid w:val="00CE06AE"/>
    <w:rsid w:val="00CE0804"/>
    <w:rsid w:val="00CE0AC6"/>
    <w:rsid w:val="00CE0C1C"/>
    <w:rsid w:val="00CE0C2C"/>
    <w:rsid w:val="00CE0F91"/>
    <w:rsid w:val="00CE1000"/>
    <w:rsid w:val="00CE1134"/>
    <w:rsid w:val="00CE12C7"/>
    <w:rsid w:val="00CE136E"/>
    <w:rsid w:val="00CE140D"/>
    <w:rsid w:val="00CE17EE"/>
    <w:rsid w:val="00CE1A1C"/>
    <w:rsid w:val="00CE1E4E"/>
    <w:rsid w:val="00CE1E4F"/>
    <w:rsid w:val="00CE1E90"/>
    <w:rsid w:val="00CE1F89"/>
    <w:rsid w:val="00CE209C"/>
    <w:rsid w:val="00CE2211"/>
    <w:rsid w:val="00CE2317"/>
    <w:rsid w:val="00CE25A1"/>
    <w:rsid w:val="00CE2632"/>
    <w:rsid w:val="00CE2A90"/>
    <w:rsid w:val="00CE2D52"/>
    <w:rsid w:val="00CE2F47"/>
    <w:rsid w:val="00CE32E1"/>
    <w:rsid w:val="00CE378E"/>
    <w:rsid w:val="00CE390A"/>
    <w:rsid w:val="00CE394E"/>
    <w:rsid w:val="00CE3B35"/>
    <w:rsid w:val="00CE3BBF"/>
    <w:rsid w:val="00CE3C01"/>
    <w:rsid w:val="00CE3C14"/>
    <w:rsid w:val="00CE3C2F"/>
    <w:rsid w:val="00CE3D6F"/>
    <w:rsid w:val="00CE3E96"/>
    <w:rsid w:val="00CE3F37"/>
    <w:rsid w:val="00CE3FDE"/>
    <w:rsid w:val="00CE3FE5"/>
    <w:rsid w:val="00CE40F0"/>
    <w:rsid w:val="00CE468A"/>
    <w:rsid w:val="00CE46E3"/>
    <w:rsid w:val="00CE4844"/>
    <w:rsid w:val="00CE48AD"/>
    <w:rsid w:val="00CE4CA7"/>
    <w:rsid w:val="00CE4E45"/>
    <w:rsid w:val="00CE4EF5"/>
    <w:rsid w:val="00CE4F84"/>
    <w:rsid w:val="00CE5191"/>
    <w:rsid w:val="00CE5363"/>
    <w:rsid w:val="00CE5393"/>
    <w:rsid w:val="00CE559D"/>
    <w:rsid w:val="00CE55FD"/>
    <w:rsid w:val="00CE5698"/>
    <w:rsid w:val="00CE583A"/>
    <w:rsid w:val="00CE59D9"/>
    <w:rsid w:val="00CE5C00"/>
    <w:rsid w:val="00CE5D26"/>
    <w:rsid w:val="00CE5E2D"/>
    <w:rsid w:val="00CE5E6F"/>
    <w:rsid w:val="00CE6492"/>
    <w:rsid w:val="00CE6508"/>
    <w:rsid w:val="00CE651A"/>
    <w:rsid w:val="00CE6598"/>
    <w:rsid w:val="00CE6750"/>
    <w:rsid w:val="00CE67E9"/>
    <w:rsid w:val="00CE69C8"/>
    <w:rsid w:val="00CE6B24"/>
    <w:rsid w:val="00CE6B94"/>
    <w:rsid w:val="00CE6E16"/>
    <w:rsid w:val="00CE70D7"/>
    <w:rsid w:val="00CE70E6"/>
    <w:rsid w:val="00CE740D"/>
    <w:rsid w:val="00CE783B"/>
    <w:rsid w:val="00CE7A86"/>
    <w:rsid w:val="00CE7BA9"/>
    <w:rsid w:val="00CE7FC1"/>
    <w:rsid w:val="00CF031A"/>
    <w:rsid w:val="00CF0807"/>
    <w:rsid w:val="00CF0AAD"/>
    <w:rsid w:val="00CF0ABD"/>
    <w:rsid w:val="00CF0B42"/>
    <w:rsid w:val="00CF0BF2"/>
    <w:rsid w:val="00CF0C30"/>
    <w:rsid w:val="00CF0C99"/>
    <w:rsid w:val="00CF1204"/>
    <w:rsid w:val="00CF12E4"/>
    <w:rsid w:val="00CF16DC"/>
    <w:rsid w:val="00CF1719"/>
    <w:rsid w:val="00CF1C01"/>
    <w:rsid w:val="00CF1C71"/>
    <w:rsid w:val="00CF1F0A"/>
    <w:rsid w:val="00CF203D"/>
    <w:rsid w:val="00CF2111"/>
    <w:rsid w:val="00CF23D8"/>
    <w:rsid w:val="00CF24B6"/>
    <w:rsid w:val="00CF24E5"/>
    <w:rsid w:val="00CF28EB"/>
    <w:rsid w:val="00CF2CC1"/>
    <w:rsid w:val="00CF2CC4"/>
    <w:rsid w:val="00CF2E1B"/>
    <w:rsid w:val="00CF2E6C"/>
    <w:rsid w:val="00CF2EF0"/>
    <w:rsid w:val="00CF3231"/>
    <w:rsid w:val="00CF34E9"/>
    <w:rsid w:val="00CF37D5"/>
    <w:rsid w:val="00CF3843"/>
    <w:rsid w:val="00CF38D6"/>
    <w:rsid w:val="00CF3A43"/>
    <w:rsid w:val="00CF3AC4"/>
    <w:rsid w:val="00CF3B8D"/>
    <w:rsid w:val="00CF3B93"/>
    <w:rsid w:val="00CF401E"/>
    <w:rsid w:val="00CF41AB"/>
    <w:rsid w:val="00CF432E"/>
    <w:rsid w:val="00CF44BB"/>
    <w:rsid w:val="00CF4597"/>
    <w:rsid w:val="00CF45B1"/>
    <w:rsid w:val="00CF4631"/>
    <w:rsid w:val="00CF46E1"/>
    <w:rsid w:val="00CF47BA"/>
    <w:rsid w:val="00CF489D"/>
    <w:rsid w:val="00CF4956"/>
    <w:rsid w:val="00CF50DB"/>
    <w:rsid w:val="00CF51BA"/>
    <w:rsid w:val="00CF5338"/>
    <w:rsid w:val="00CF568E"/>
    <w:rsid w:val="00CF59E8"/>
    <w:rsid w:val="00CF5B6F"/>
    <w:rsid w:val="00CF5DA9"/>
    <w:rsid w:val="00CF5F18"/>
    <w:rsid w:val="00CF5F80"/>
    <w:rsid w:val="00CF62B8"/>
    <w:rsid w:val="00CF65E9"/>
    <w:rsid w:val="00CF67A3"/>
    <w:rsid w:val="00CF6FBB"/>
    <w:rsid w:val="00CF7024"/>
    <w:rsid w:val="00CF7183"/>
    <w:rsid w:val="00CF7568"/>
    <w:rsid w:val="00CF7783"/>
    <w:rsid w:val="00CF7AF2"/>
    <w:rsid w:val="00CF7CC5"/>
    <w:rsid w:val="00CF7D3D"/>
    <w:rsid w:val="00D0010B"/>
    <w:rsid w:val="00D0012B"/>
    <w:rsid w:val="00D00212"/>
    <w:rsid w:val="00D00235"/>
    <w:rsid w:val="00D002EB"/>
    <w:rsid w:val="00D00337"/>
    <w:rsid w:val="00D00677"/>
    <w:rsid w:val="00D00B0B"/>
    <w:rsid w:val="00D00BD8"/>
    <w:rsid w:val="00D00F3D"/>
    <w:rsid w:val="00D0118C"/>
    <w:rsid w:val="00D0122E"/>
    <w:rsid w:val="00D016A1"/>
    <w:rsid w:val="00D01788"/>
    <w:rsid w:val="00D019C4"/>
    <w:rsid w:val="00D01A4B"/>
    <w:rsid w:val="00D01AF4"/>
    <w:rsid w:val="00D01AFA"/>
    <w:rsid w:val="00D02012"/>
    <w:rsid w:val="00D020F6"/>
    <w:rsid w:val="00D023E3"/>
    <w:rsid w:val="00D02525"/>
    <w:rsid w:val="00D02792"/>
    <w:rsid w:val="00D0291A"/>
    <w:rsid w:val="00D02951"/>
    <w:rsid w:val="00D02A55"/>
    <w:rsid w:val="00D02A60"/>
    <w:rsid w:val="00D02AE4"/>
    <w:rsid w:val="00D02B3E"/>
    <w:rsid w:val="00D02BDC"/>
    <w:rsid w:val="00D02ED7"/>
    <w:rsid w:val="00D02F33"/>
    <w:rsid w:val="00D030F3"/>
    <w:rsid w:val="00D03481"/>
    <w:rsid w:val="00D03547"/>
    <w:rsid w:val="00D03549"/>
    <w:rsid w:val="00D03A03"/>
    <w:rsid w:val="00D03B54"/>
    <w:rsid w:val="00D03DDA"/>
    <w:rsid w:val="00D03F0D"/>
    <w:rsid w:val="00D040A6"/>
    <w:rsid w:val="00D042BF"/>
    <w:rsid w:val="00D04491"/>
    <w:rsid w:val="00D04568"/>
    <w:rsid w:val="00D0487D"/>
    <w:rsid w:val="00D04D4B"/>
    <w:rsid w:val="00D05162"/>
    <w:rsid w:val="00D0520E"/>
    <w:rsid w:val="00D054A4"/>
    <w:rsid w:val="00D054EE"/>
    <w:rsid w:val="00D05760"/>
    <w:rsid w:val="00D05A4E"/>
    <w:rsid w:val="00D05B8D"/>
    <w:rsid w:val="00D065B8"/>
    <w:rsid w:val="00D066E7"/>
    <w:rsid w:val="00D06834"/>
    <w:rsid w:val="00D06A33"/>
    <w:rsid w:val="00D06A35"/>
    <w:rsid w:val="00D06AA5"/>
    <w:rsid w:val="00D06DB4"/>
    <w:rsid w:val="00D06FFB"/>
    <w:rsid w:val="00D0724D"/>
    <w:rsid w:val="00D0733A"/>
    <w:rsid w:val="00D07390"/>
    <w:rsid w:val="00D0767F"/>
    <w:rsid w:val="00D07CFF"/>
    <w:rsid w:val="00D07E76"/>
    <w:rsid w:val="00D07FE8"/>
    <w:rsid w:val="00D102FF"/>
    <w:rsid w:val="00D10308"/>
    <w:rsid w:val="00D10377"/>
    <w:rsid w:val="00D105DF"/>
    <w:rsid w:val="00D107B9"/>
    <w:rsid w:val="00D1086D"/>
    <w:rsid w:val="00D1094B"/>
    <w:rsid w:val="00D1099C"/>
    <w:rsid w:val="00D10B26"/>
    <w:rsid w:val="00D10B30"/>
    <w:rsid w:val="00D10B4A"/>
    <w:rsid w:val="00D10B9B"/>
    <w:rsid w:val="00D10BE9"/>
    <w:rsid w:val="00D10C53"/>
    <w:rsid w:val="00D10CCE"/>
    <w:rsid w:val="00D10CF3"/>
    <w:rsid w:val="00D10EC7"/>
    <w:rsid w:val="00D10F61"/>
    <w:rsid w:val="00D10FA9"/>
    <w:rsid w:val="00D11008"/>
    <w:rsid w:val="00D11182"/>
    <w:rsid w:val="00D111B4"/>
    <w:rsid w:val="00D11338"/>
    <w:rsid w:val="00D117D5"/>
    <w:rsid w:val="00D11870"/>
    <w:rsid w:val="00D11908"/>
    <w:rsid w:val="00D11AE9"/>
    <w:rsid w:val="00D11B5B"/>
    <w:rsid w:val="00D11DE4"/>
    <w:rsid w:val="00D11EA8"/>
    <w:rsid w:val="00D120BE"/>
    <w:rsid w:val="00D1229A"/>
    <w:rsid w:val="00D12510"/>
    <w:rsid w:val="00D126F7"/>
    <w:rsid w:val="00D12885"/>
    <w:rsid w:val="00D12FB6"/>
    <w:rsid w:val="00D132B3"/>
    <w:rsid w:val="00D135C5"/>
    <w:rsid w:val="00D135E3"/>
    <w:rsid w:val="00D137A9"/>
    <w:rsid w:val="00D13CAA"/>
    <w:rsid w:val="00D13D90"/>
    <w:rsid w:val="00D13F54"/>
    <w:rsid w:val="00D14032"/>
    <w:rsid w:val="00D140A0"/>
    <w:rsid w:val="00D143DA"/>
    <w:rsid w:val="00D14412"/>
    <w:rsid w:val="00D146BA"/>
    <w:rsid w:val="00D14C30"/>
    <w:rsid w:val="00D14C9D"/>
    <w:rsid w:val="00D14DFF"/>
    <w:rsid w:val="00D14F5B"/>
    <w:rsid w:val="00D1524B"/>
    <w:rsid w:val="00D156F2"/>
    <w:rsid w:val="00D1573A"/>
    <w:rsid w:val="00D1589E"/>
    <w:rsid w:val="00D158E4"/>
    <w:rsid w:val="00D15AAE"/>
    <w:rsid w:val="00D15B52"/>
    <w:rsid w:val="00D15D58"/>
    <w:rsid w:val="00D15E57"/>
    <w:rsid w:val="00D15FA9"/>
    <w:rsid w:val="00D16066"/>
    <w:rsid w:val="00D160E5"/>
    <w:rsid w:val="00D1645D"/>
    <w:rsid w:val="00D16566"/>
    <w:rsid w:val="00D1658C"/>
    <w:rsid w:val="00D1689A"/>
    <w:rsid w:val="00D16AD0"/>
    <w:rsid w:val="00D16BE4"/>
    <w:rsid w:val="00D16E53"/>
    <w:rsid w:val="00D16F36"/>
    <w:rsid w:val="00D17056"/>
    <w:rsid w:val="00D1705A"/>
    <w:rsid w:val="00D170D7"/>
    <w:rsid w:val="00D172FE"/>
    <w:rsid w:val="00D17326"/>
    <w:rsid w:val="00D176AE"/>
    <w:rsid w:val="00D179E5"/>
    <w:rsid w:val="00D17C8E"/>
    <w:rsid w:val="00D17CB2"/>
    <w:rsid w:val="00D17CFA"/>
    <w:rsid w:val="00D17DC3"/>
    <w:rsid w:val="00D17E84"/>
    <w:rsid w:val="00D17FA1"/>
    <w:rsid w:val="00D2039F"/>
    <w:rsid w:val="00D204ED"/>
    <w:rsid w:val="00D206BE"/>
    <w:rsid w:val="00D20793"/>
    <w:rsid w:val="00D20A30"/>
    <w:rsid w:val="00D20B79"/>
    <w:rsid w:val="00D20CC9"/>
    <w:rsid w:val="00D2100A"/>
    <w:rsid w:val="00D210F7"/>
    <w:rsid w:val="00D212C3"/>
    <w:rsid w:val="00D21ADF"/>
    <w:rsid w:val="00D21E38"/>
    <w:rsid w:val="00D21FAB"/>
    <w:rsid w:val="00D2223B"/>
    <w:rsid w:val="00D22274"/>
    <w:rsid w:val="00D22284"/>
    <w:rsid w:val="00D225A9"/>
    <w:rsid w:val="00D227E7"/>
    <w:rsid w:val="00D2285A"/>
    <w:rsid w:val="00D22C4D"/>
    <w:rsid w:val="00D22CD1"/>
    <w:rsid w:val="00D22D45"/>
    <w:rsid w:val="00D22E8C"/>
    <w:rsid w:val="00D23150"/>
    <w:rsid w:val="00D23159"/>
    <w:rsid w:val="00D23254"/>
    <w:rsid w:val="00D23567"/>
    <w:rsid w:val="00D2382A"/>
    <w:rsid w:val="00D23857"/>
    <w:rsid w:val="00D23985"/>
    <w:rsid w:val="00D23A96"/>
    <w:rsid w:val="00D23DFD"/>
    <w:rsid w:val="00D23F1E"/>
    <w:rsid w:val="00D243F9"/>
    <w:rsid w:val="00D2471E"/>
    <w:rsid w:val="00D24866"/>
    <w:rsid w:val="00D249F9"/>
    <w:rsid w:val="00D24CA0"/>
    <w:rsid w:val="00D24DB8"/>
    <w:rsid w:val="00D24F4D"/>
    <w:rsid w:val="00D25694"/>
    <w:rsid w:val="00D25935"/>
    <w:rsid w:val="00D259F0"/>
    <w:rsid w:val="00D25BD9"/>
    <w:rsid w:val="00D25C75"/>
    <w:rsid w:val="00D2609D"/>
    <w:rsid w:val="00D260BE"/>
    <w:rsid w:val="00D2613D"/>
    <w:rsid w:val="00D262AF"/>
    <w:rsid w:val="00D2630F"/>
    <w:rsid w:val="00D265C5"/>
    <w:rsid w:val="00D26767"/>
    <w:rsid w:val="00D26A4A"/>
    <w:rsid w:val="00D26AC3"/>
    <w:rsid w:val="00D26CB2"/>
    <w:rsid w:val="00D26E8F"/>
    <w:rsid w:val="00D27090"/>
    <w:rsid w:val="00D2711C"/>
    <w:rsid w:val="00D2718F"/>
    <w:rsid w:val="00D271D6"/>
    <w:rsid w:val="00D27495"/>
    <w:rsid w:val="00D274C2"/>
    <w:rsid w:val="00D2750D"/>
    <w:rsid w:val="00D2750E"/>
    <w:rsid w:val="00D27665"/>
    <w:rsid w:val="00D2796F"/>
    <w:rsid w:val="00D27A7D"/>
    <w:rsid w:val="00D27B85"/>
    <w:rsid w:val="00D27C1B"/>
    <w:rsid w:val="00D27C81"/>
    <w:rsid w:val="00D27D83"/>
    <w:rsid w:val="00D27D8E"/>
    <w:rsid w:val="00D27EF7"/>
    <w:rsid w:val="00D300E7"/>
    <w:rsid w:val="00D3021F"/>
    <w:rsid w:val="00D3023C"/>
    <w:rsid w:val="00D30309"/>
    <w:rsid w:val="00D30460"/>
    <w:rsid w:val="00D30E4E"/>
    <w:rsid w:val="00D31186"/>
    <w:rsid w:val="00D3138E"/>
    <w:rsid w:val="00D316A2"/>
    <w:rsid w:val="00D31889"/>
    <w:rsid w:val="00D31E80"/>
    <w:rsid w:val="00D3233C"/>
    <w:rsid w:val="00D323E5"/>
    <w:rsid w:val="00D32484"/>
    <w:rsid w:val="00D32543"/>
    <w:rsid w:val="00D325D2"/>
    <w:rsid w:val="00D325E0"/>
    <w:rsid w:val="00D326F2"/>
    <w:rsid w:val="00D327A9"/>
    <w:rsid w:val="00D3288E"/>
    <w:rsid w:val="00D32AAD"/>
    <w:rsid w:val="00D32F50"/>
    <w:rsid w:val="00D332A4"/>
    <w:rsid w:val="00D339A6"/>
    <w:rsid w:val="00D33A02"/>
    <w:rsid w:val="00D33A52"/>
    <w:rsid w:val="00D33AE2"/>
    <w:rsid w:val="00D341C3"/>
    <w:rsid w:val="00D34A0A"/>
    <w:rsid w:val="00D34E09"/>
    <w:rsid w:val="00D34E22"/>
    <w:rsid w:val="00D350B2"/>
    <w:rsid w:val="00D3546B"/>
    <w:rsid w:val="00D357B9"/>
    <w:rsid w:val="00D358DB"/>
    <w:rsid w:val="00D3594C"/>
    <w:rsid w:val="00D3596B"/>
    <w:rsid w:val="00D35A11"/>
    <w:rsid w:val="00D35C36"/>
    <w:rsid w:val="00D35F13"/>
    <w:rsid w:val="00D36059"/>
    <w:rsid w:val="00D361B4"/>
    <w:rsid w:val="00D362B3"/>
    <w:rsid w:val="00D366C4"/>
    <w:rsid w:val="00D3682A"/>
    <w:rsid w:val="00D36902"/>
    <w:rsid w:val="00D36B54"/>
    <w:rsid w:val="00D36CD2"/>
    <w:rsid w:val="00D36D03"/>
    <w:rsid w:val="00D36E4D"/>
    <w:rsid w:val="00D37181"/>
    <w:rsid w:val="00D373CC"/>
    <w:rsid w:val="00D373F2"/>
    <w:rsid w:val="00D37572"/>
    <w:rsid w:val="00D376A6"/>
    <w:rsid w:val="00D37C77"/>
    <w:rsid w:val="00D37E7F"/>
    <w:rsid w:val="00D37F67"/>
    <w:rsid w:val="00D400E2"/>
    <w:rsid w:val="00D40124"/>
    <w:rsid w:val="00D40597"/>
    <w:rsid w:val="00D407B8"/>
    <w:rsid w:val="00D40BAE"/>
    <w:rsid w:val="00D40E4D"/>
    <w:rsid w:val="00D410D6"/>
    <w:rsid w:val="00D41200"/>
    <w:rsid w:val="00D41243"/>
    <w:rsid w:val="00D414F7"/>
    <w:rsid w:val="00D416A2"/>
    <w:rsid w:val="00D41ABD"/>
    <w:rsid w:val="00D41C11"/>
    <w:rsid w:val="00D41C8C"/>
    <w:rsid w:val="00D41DD3"/>
    <w:rsid w:val="00D41E24"/>
    <w:rsid w:val="00D41FF8"/>
    <w:rsid w:val="00D42018"/>
    <w:rsid w:val="00D420FC"/>
    <w:rsid w:val="00D42471"/>
    <w:rsid w:val="00D42508"/>
    <w:rsid w:val="00D42600"/>
    <w:rsid w:val="00D42788"/>
    <w:rsid w:val="00D42B64"/>
    <w:rsid w:val="00D42C27"/>
    <w:rsid w:val="00D42D50"/>
    <w:rsid w:val="00D42F1E"/>
    <w:rsid w:val="00D43755"/>
    <w:rsid w:val="00D438E7"/>
    <w:rsid w:val="00D439B6"/>
    <w:rsid w:val="00D439FA"/>
    <w:rsid w:val="00D43A47"/>
    <w:rsid w:val="00D43B44"/>
    <w:rsid w:val="00D43DE3"/>
    <w:rsid w:val="00D4462F"/>
    <w:rsid w:val="00D4464A"/>
    <w:rsid w:val="00D44C8C"/>
    <w:rsid w:val="00D44D87"/>
    <w:rsid w:val="00D45269"/>
    <w:rsid w:val="00D45290"/>
    <w:rsid w:val="00D4531E"/>
    <w:rsid w:val="00D4549B"/>
    <w:rsid w:val="00D45857"/>
    <w:rsid w:val="00D4588E"/>
    <w:rsid w:val="00D45985"/>
    <w:rsid w:val="00D459A3"/>
    <w:rsid w:val="00D45CFC"/>
    <w:rsid w:val="00D45DAF"/>
    <w:rsid w:val="00D46037"/>
    <w:rsid w:val="00D465F2"/>
    <w:rsid w:val="00D4686B"/>
    <w:rsid w:val="00D469B0"/>
    <w:rsid w:val="00D46AE8"/>
    <w:rsid w:val="00D46B05"/>
    <w:rsid w:val="00D46DD0"/>
    <w:rsid w:val="00D46F8A"/>
    <w:rsid w:val="00D4705A"/>
    <w:rsid w:val="00D471FA"/>
    <w:rsid w:val="00D4732B"/>
    <w:rsid w:val="00D47A4D"/>
    <w:rsid w:val="00D47FAC"/>
    <w:rsid w:val="00D47FB0"/>
    <w:rsid w:val="00D5069E"/>
    <w:rsid w:val="00D506F8"/>
    <w:rsid w:val="00D50788"/>
    <w:rsid w:val="00D50984"/>
    <w:rsid w:val="00D50BC9"/>
    <w:rsid w:val="00D50CA1"/>
    <w:rsid w:val="00D50F09"/>
    <w:rsid w:val="00D5169C"/>
    <w:rsid w:val="00D516BA"/>
    <w:rsid w:val="00D5180D"/>
    <w:rsid w:val="00D518A1"/>
    <w:rsid w:val="00D518C6"/>
    <w:rsid w:val="00D51945"/>
    <w:rsid w:val="00D519E0"/>
    <w:rsid w:val="00D51A62"/>
    <w:rsid w:val="00D51A69"/>
    <w:rsid w:val="00D51DF2"/>
    <w:rsid w:val="00D51E42"/>
    <w:rsid w:val="00D52164"/>
    <w:rsid w:val="00D521B6"/>
    <w:rsid w:val="00D5232C"/>
    <w:rsid w:val="00D52346"/>
    <w:rsid w:val="00D52977"/>
    <w:rsid w:val="00D535F1"/>
    <w:rsid w:val="00D53CD2"/>
    <w:rsid w:val="00D53EA9"/>
    <w:rsid w:val="00D53EBF"/>
    <w:rsid w:val="00D54006"/>
    <w:rsid w:val="00D54153"/>
    <w:rsid w:val="00D54348"/>
    <w:rsid w:val="00D544C0"/>
    <w:rsid w:val="00D54583"/>
    <w:rsid w:val="00D545AD"/>
    <w:rsid w:val="00D545B7"/>
    <w:rsid w:val="00D54C93"/>
    <w:rsid w:val="00D54EDF"/>
    <w:rsid w:val="00D550B1"/>
    <w:rsid w:val="00D550BD"/>
    <w:rsid w:val="00D5552D"/>
    <w:rsid w:val="00D5574C"/>
    <w:rsid w:val="00D558C4"/>
    <w:rsid w:val="00D55D65"/>
    <w:rsid w:val="00D55EA3"/>
    <w:rsid w:val="00D56015"/>
    <w:rsid w:val="00D560C3"/>
    <w:rsid w:val="00D560FC"/>
    <w:rsid w:val="00D561B8"/>
    <w:rsid w:val="00D563DA"/>
    <w:rsid w:val="00D5654B"/>
    <w:rsid w:val="00D567F8"/>
    <w:rsid w:val="00D56835"/>
    <w:rsid w:val="00D568E1"/>
    <w:rsid w:val="00D56926"/>
    <w:rsid w:val="00D56F9E"/>
    <w:rsid w:val="00D5718E"/>
    <w:rsid w:val="00D5753F"/>
    <w:rsid w:val="00D575EF"/>
    <w:rsid w:val="00D5763B"/>
    <w:rsid w:val="00D57769"/>
    <w:rsid w:val="00D5798B"/>
    <w:rsid w:val="00D579E6"/>
    <w:rsid w:val="00D57A03"/>
    <w:rsid w:val="00D57E41"/>
    <w:rsid w:val="00D60352"/>
    <w:rsid w:val="00D606BF"/>
    <w:rsid w:val="00D6088A"/>
    <w:rsid w:val="00D60939"/>
    <w:rsid w:val="00D60967"/>
    <w:rsid w:val="00D60AD5"/>
    <w:rsid w:val="00D60B08"/>
    <w:rsid w:val="00D60E4E"/>
    <w:rsid w:val="00D6106B"/>
    <w:rsid w:val="00D6149C"/>
    <w:rsid w:val="00D61544"/>
    <w:rsid w:val="00D615EC"/>
    <w:rsid w:val="00D6166A"/>
    <w:rsid w:val="00D617E6"/>
    <w:rsid w:val="00D61C0C"/>
    <w:rsid w:val="00D6205A"/>
    <w:rsid w:val="00D620B8"/>
    <w:rsid w:val="00D6213F"/>
    <w:rsid w:val="00D6218C"/>
    <w:rsid w:val="00D625DD"/>
    <w:rsid w:val="00D626DD"/>
    <w:rsid w:val="00D62919"/>
    <w:rsid w:val="00D629AF"/>
    <w:rsid w:val="00D62BC7"/>
    <w:rsid w:val="00D62CE8"/>
    <w:rsid w:val="00D62D0F"/>
    <w:rsid w:val="00D62D5D"/>
    <w:rsid w:val="00D62DBA"/>
    <w:rsid w:val="00D63125"/>
    <w:rsid w:val="00D6345F"/>
    <w:rsid w:val="00D635C4"/>
    <w:rsid w:val="00D63CF8"/>
    <w:rsid w:val="00D63F22"/>
    <w:rsid w:val="00D63FCD"/>
    <w:rsid w:val="00D64075"/>
    <w:rsid w:val="00D6448C"/>
    <w:rsid w:val="00D64928"/>
    <w:rsid w:val="00D64ACF"/>
    <w:rsid w:val="00D64BB5"/>
    <w:rsid w:val="00D64C32"/>
    <w:rsid w:val="00D64CCC"/>
    <w:rsid w:val="00D64CEA"/>
    <w:rsid w:val="00D64F18"/>
    <w:rsid w:val="00D6509B"/>
    <w:rsid w:val="00D650C6"/>
    <w:rsid w:val="00D6514F"/>
    <w:rsid w:val="00D65263"/>
    <w:rsid w:val="00D6542A"/>
    <w:rsid w:val="00D654A8"/>
    <w:rsid w:val="00D65526"/>
    <w:rsid w:val="00D658D8"/>
    <w:rsid w:val="00D659FE"/>
    <w:rsid w:val="00D65A62"/>
    <w:rsid w:val="00D65A8B"/>
    <w:rsid w:val="00D65A9D"/>
    <w:rsid w:val="00D65E02"/>
    <w:rsid w:val="00D65F10"/>
    <w:rsid w:val="00D65F1C"/>
    <w:rsid w:val="00D66073"/>
    <w:rsid w:val="00D66152"/>
    <w:rsid w:val="00D66432"/>
    <w:rsid w:val="00D66633"/>
    <w:rsid w:val="00D668F8"/>
    <w:rsid w:val="00D66DDF"/>
    <w:rsid w:val="00D6707D"/>
    <w:rsid w:val="00D6710F"/>
    <w:rsid w:val="00D671ED"/>
    <w:rsid w:val="00D67404"/>
    <w:rsid w:val="00D67658"/>
    <w:rsid w:val="00D676F0"/>
    <w:rsid w:val="00D677A2"/>
    <w:rsid w:val="00D678C4"/>
    <w:rsid w:val="00D67A28"/>
    <w:rsid w:val="00D67A49"/>
    <w:rsid w:val="00D67CD4"/>
    <w:rsid w:val="00D67DE0"/>
    <w:rsid w:val="00D67E0E"/>
    <w:rsid w:val="00D67E18"/>
    <w:rsid w:val="00D67E7D"/>
    <w:rsid w:val="00D67E9C"/>
    <w:rsid w:val="00D67FFC"/>
    <w:rsid w:val="00D7005E"/>
    <w:rsid w:val="00D7023C"/>
    <w:rsid w:val="00D7070C"/>
    <w:rsid w:val="00D70906"/>
    <w:rsid w:val="00D70934"/>
    <w:rsid w:val="00D70969"/>
    <w:rsid w:val="00D7098C"/>
    <w:rsid w:val="00D70ABF"/>
    <w:rsid w:val="00D70CC2"/>
    <w:rsid w:val="00D70D70"/>
    <w:rsid w:val="00D70E28"/>
    <w:rsid w:val="00D70E9E"/>
    <w:rsid w:val="00D71490"/>
    <w:rsid w:val="00D714B5"/>
    <w:rsid w:val="00D71672"/>
    <w:rsid w:val="00D717E7"/>
    <w:rsid w:val="00D71B42"/>
    <w:rsid w:val="00D71BC9"/>
    <w:rsid w:val="00D71E78"/>
    <w:rsid w:val="00D71E85"/>
    <w:rsid w:val="00D71F0B"/>
    <w:rsid w:val="00D7219F"/>
    <w:rsid w:val="00D72258"/>
    <w:rsid w:val="00D724A2"/>
    <w:rsid w:val="00D7270B"/>
    <w:rsid w:val="00D72777"/>
    <w:rsid w:val="00D72A5B"/>
    <w:rsid w:val="00D72B48"/>
    <w:rsid w:val="00D72BC3"/>
    <w:rsid w:val="00D7311F"/>
    <w:rsid w:val="00D731B4"/>
    <w:rsid w:val="00D73280"/>
    <w:rsid w:val="00D733CE"/>
    <w:rsid w:val="00D735E1"/>
    <w:rsid w:val="00D7366C"/>
    <w:rsid w:val="00D73AEF"/>
    <w:rsid w:val="00D73BD1"/>
    <w:rsid w:val="00D73D67"/>
    <w:rsid w:val="00D73EDD"/>
    <w:rsid w:val="00D73F27"/>
    <w:rsid w:val="00D73F4E"/>
    <w:rsid w:val="00D7403E"/>
    <w:rsid w:val="00D741D1"/>
    <w:rsid w:val="00D743CE"/>
    <w:rsid w:val="00D747E5"/>
    <w:rsid w:val="00D74EF9"/>
    <w:rsid w:val="00D758E3"/>
    <w:rsid w:val="00D75A22"/>
    <w:rsid w:val="00D75B49"/>
    <w:rsid w:val="00D75BFE"/>
    <w:rsid w:val="00D75C06"/>
    <w:rsid w:val="00D75EB9"/>
    <w:rsid w:val="00D76049"/>
    <w:rsid w:val="00D763B9"/>
    <w:rsid w:val="00D76563"/>
    <w:rsid w:val="00D7663C"/>
    <w:rsid w:val="00D767A1"/>
    <w:rsid w:val="00D768CF"/>
    <w:rsid w:val="00D76C43"/>
    <w:rsid w:val="00D76DC6"/>
    <w:rsid w:val="00D76F8D"/>
    <w:rsid w:val="00D76FBF"/>
    <w:rsid w:val="00D76FDD"/>
    <w:rsid w:val="00D77021"/>
    <w:rsid w:val="00D77148"/>
    <w:rsid w:val="00D771B9"/>
    <w:rsid w:val="00D77488"/>
    <w:rsid w:val="00D77926"/>
    <w:rsid w:val="00D77ABE"/>
    <w:rsid w:val="00D77BD4"/>
    <w:rsid w:val="00D77C36"/>
    <w:rsid w:val="00D8015C"/>
    <w:rsid w:val="00D801AC"/>
    <w:rsid w:val="00D8032C"/>
    <w:rsid w:val="00D803EB"/>
    <w:rsid w:val="00D80602"/>
    <w:rsid w:val="00D80714"/>
    <w:rsid w:val="00D80770"/>
    <w:rsid w:val="00D80896"/>
    <w:rsid w:val="00D80B98"/>
    <w:rsid w:val="00D80CC3"/>
    <w:rsid w:val="00D80D02"/>
    <w:rsid w:val="00D80E07"/>
    <w:rsid w:val="00D80EB7"/>
    <w:rsid w:val="00D81019"/>
    <w:rsid w:val="00D812AB"/>
    <w:rsid w:val="00D81644"/>
    <w:rsid w:val="00D8172F"/>
    <w:rsid w:val="00D81763"/>
    <w:rsid w:val="00D81864"/>
    <w:rsid w:val="00D8188B"/>
    <w:rsid w:val="00D81DBC"/>
    <w:rsid w:val="00D81EB6"/>
    <w:rsid w:val="00D81FF0"/>
    <w:rsid w:val="00D8202A"/>
    <w:rsid w:val="00D820CA"/>
    <w:rsid w:val="00D8225E"/>
    <w:rsid w:val="00D824B6"/>
    <w:rsid w:val="00D82741"/>
    <w:rsid w:val="00D82744"/>
    <w:rsid w:val="00D82900"/>
    <w:rsid w:val="00D82A4B"/>
    <w:rsid w:val="00D82AED"/>
    <w:rsid w:val="00D830A9"/>
    <w:rsid w:val="00D83165"/>
    <w:rsid w:val="00D83464"/>
    <w:rsid w:val="00D83509"/>
    <w:rsid w:val="00D83712"/>
    <w:rsid w:val="00D8375C"/>
    <w:rsid w:val="00D837F5"/>
    <w:rsid w:val="00D83839"/>
    <w:rsid w:val="00D8385E"/>
    <w:rsid w:val="00D83A26"/>
    <w:rsid w:val="00D83D38"/>
    <w:rsid w:val="00D83D75"/>
    <w:rsid w:val="00D84090"/>
    <w:rsid w:val="00D84518"/>
    <w:rsid w:val="00D846BD"/>
    <w:rsid w:val="00D84A97"/>
    <w:rsid w:val="00D84B00"/>
    <w:rsid w:val="00D84B1A"/>
    <w:rsid w:val="00D84C03"/>
    <w:rsid w:val="00D84D53"/>
    <w:rsid w:val="00D84E86"/>
    <w:rsid w:val="00D85770"/>
    <w:rsid w:val="00D857E2"/>
    <w:rsid w:val="00D85B1A"/>
    <w:rsid w:val="00D8610B"/>
    <w:rsid w:val="00D86110"/>
    <w:rsid w:val="00D86307"/>
    <w:rsid w:val="00D86333"/>
    <w:rsid w:val="00D863AE"/>
    <w:rsid w:val="00D864FA"/>
    <w:rsid w:val="00D865B9"/>
    <w:rsid w:val="00D8696C"/>
    <w:rsid w:val="00D86AB2"/>
    <w:rsid w:val="00D86B84"/>
    <w:rsid w:val="00D86D2F"/>
    <w:rsid w:val="00D86DB8"/>
    <w:rsid w:val="00D86DC3"/>
    <w:rsid w:val="00D86E84"/>
    <w:rsid w:val="00D86FD8"/>
    <w:rsid w:val="00D86FF5"/>
    <w:rsid w:val="00D87012"/>
    <w:rsid w:val="00D87046"/>
    <w:rsid w:val="00D87183"/>
    <w:rsid w:val="00D871D6"/>
    <w:rsid w:val="00D87364"/>
    <w:rsid w:val="00D874D2"/>
    <w:rsid w:val="00D8781F"/>
    <w:rsid w:val="00D878B6"/>
    <w:rsid w:val="00D87902"/>
    <w:rsid w:val="00D87A68"/>
    <w:rsid w:val="00D87AAF"/>
    <w:rsid w:val="00D87B36"/>
    <w:rsid w:val="00D87D62"/>
    <w:rsid w:val="00D901CD"/>
    <w:rsid w:val="00D902A0"/>
    <w:rsid w:val="00D90858"/>
    <w:rsid w:val="00D90A2E"/>
    <w:rsid w:val="00D90ADF"/>
    <w:rsid w:val="00D90E93"/>
    <w:rsid w:val="00D910E2"/>
    <w:rsid w:val="00D91230"/>
    <w:rsid w:val="00D91351"/>
    <w:rsid w:val="00D916B5"/>
    <w:rsid w:val="00D91B89"/>
    <w:rsid w:val="00D9238D"/>
    <w:rsid w:val="00D924A9"/>
    <w:rsid w:val="00D924D1"/>
    <w:rsid w:val="00D926F9"/>
    <w:rsid w:val="00D92710"/>
    <w:rsid w:val="00D92760"/>
    <w:rsid w:val="00D92AF5"/>
    <w:rsid w:val="00D92B4D"/>
    <w:rsid w:val="00D92DE3"/>
    <w:rsid w:val="00D92EF6"/>
    <w:rsid w:val="00D930D8"/>
    <w:rsid w:val="00D9342E"/>
    <w:rsid w:val="00D9356A"/>
    <w:rsid w:val="00D935C8"/>
    <w:rsid w:val="00D936EC"/>
    <w:rsid w:val="00D937B8"/>
    <w:rsid w:val="00D938B4"/>
    <w:rsid w:val="00D93D24"/>
    <w:rsid w:val="00D9432C"/>
    <w:rsid w:val="00D9482B"/>
    <w:rsid w:val="00D94887"/>
    <w:rsid w:val="00D949AA"/>
    <w:rsid w:val="00D94B29"/>
    <w:rsid w:val="00D94C82"/>
    <w:rsid w:val="00D94D2F"/>
    <w:rsid w:val="00D94FA1"/>
    <w:rsid w:val="00D95172"/>
    <w:rsid w:val="00D95188"/>
    <w:rsid w:val="00D9523E"/>
    <w:rsid w:val="00D95258"/>
    <w:rsid w:val="00D95343"/>
    <w:rsid w:val="00D95369"/>
    <w:rsid w:val="00D95508"/>
    <w:rsid w:val="00D9558F"/>
    <w:rsid w:val="00D958DE"/>
    <w:rsid w:val="00D95BF7"/>
    <w:rsid w:val="00D95CD7"/>
    <w:rsid w:val="00D95D68"/>
    <w:rsid w:val="00D95D6F"/>
    <w:rsid w:val="00D95EF9"/>
    <w:rsid w:val="00D96139"/>
    <w:rsid w:val="00D9636E"/>
    <w:rsid w:val="00D963E9"/>
    <w:rsid w:val="00D964D7"/>
    <w:rsid w:val="00D9693C"/>
    <w:rsid w:val="00D969F7"/>
    <w:rsid w:val="00D96C74"/>
    <w:rsid w:val="00D96EB9"/>
    <w:rsid w:val="00D96F6D"/>
    <w:rsid w:val="00D970C9"/>
    <w:rsid w:val="00D972DC"/>
    <w:rsid w:val="00D973B6"/>
    <w:rsid w:val="00D97648"/>
    <w:rsid w:val="00D97B8B"/>
    <w:rsid w:val="00D97C07"/>
    <w:rsid w:val="00D97EAB"/>
    <w:rsid w:val="00DA030D"/>
    <w:rsid w:val="00DA05A5"/>
    <w:rsid w:val="00DA06EA"/>
    <w:rsid w:val="00DA094F"/>
    <w:rsid w:val="00DA0E00"/>
    <w:rsid w:val="00DA0E6D"/>
    <w:rsid w:val="00DA1029"/>
    <w:rsid w:val="00DA1095"/>
    <w:rsid w:val="00DA141A"/>
    <w:rsid w:val="00DA145D"/>
    <w:rsid w:val="00DA1500"/>
    <w:rsid w:val="00DA15F6"/>
    <w:rsid w:val="00DA1612"/>
    <w:rsid w:val="00DA185D"/>
    <w:rsid w:val="00DA1CC1"/>
    <w:rsid w:val="00DA1D6B"/>
    <w:rsid w:val="00DA1DA7"/>
    <w:rsid w:val="00DA1E16"/>
    <w:rsid w:val="00DA1F3A"/>
    <w:rsid w:val="00DA1FCA"/>
    <w:rsid w:val="00DA21C3"/>
    <w:rsid w:val="00DA2786"/>
    <w:rsid w:val="00DA2918"/>
    <w:rsid w:val="00DA2DA3"/>
    <w:rsid w:val="00DA2DEC"/>
    <w:rsid w:val="00DA3147"/>
    <w:rsid w:val="00DA3336"/>
    <w:rsid w:val="00DA334F"/>
    <w:rsid w:val="00DA3407"/>
    <w:rsid w:val="00DA3798"/>
    <w:rsid w:val="00DA389F"/>
    <w:rsid w:val="00DA3994"/>
    <w:rsid w:val="00DA3CF7"/>
    <w:rsid w:val="00DA3D3A"/>
    <w:rsid w:val="00DA3E76"/>
    <w:rsid w:val="00DA3F06"/>
    <w:rsid w:val="00DA4084"/>
    <w:rsid w:val="00DA4193"/>
    <w:rsid w:val="00DA443A"/>
    <w:rsid w:val="00DA45B2"/>
    <w:rsid w:val="00DA46C0"/>
    <w:rsid w:val="00DA49F7"/>
    <w:rsid w:val="00DA4CBC"/>
    <w:rsid w:val="00DA4D2A"/>
    <w:rsid w:val="00DA4EB1"/>
    <w:rsid w:val="00DA5123"/>
    <w:rsid w:val="00DA539B"/>
    <w:rsid w:val="00DA571A"/>
    <w:rsid w:val="00DA5937"/>
    <w:rsid w:val="00DA5EC5"/>
    <w:rsid w:val="00DA5F02"/>
    <w:rsid w:val="00DA6052"/>
    <w:rsid w:val="00DA6068"/>
    <w:rsid w:val="00DA639A"/>
    <w:rsid w:val="00DA6467"/>
    <w:rsid w:val="00DA652E"/>
    <w:rsid w:val="00DA6A26"/>
    <w:rsid w:val="00DA6A4A"/>
    <w:rsid w:val="00DA6B6C"/>
    <w:rsid w:val="00DA6D17"/>
    <w:rsid w:val="00DA6FF5"/>
    <w:rsid w:val="00DA72CC"/>
    <w:rsid w:val="00DA7303"/>
    <w:rsid w:val="00DA774A"/>
    <w:rsid w:val="00DA78E9"/>
    <w:rsid w:val="00DA7AF3"/>
    <w:rsid w:val="00DB0149"/>
    <w:rsid w:val="00DB0184"/>
    <w:rsid w:val="00DB0568"/>
    <w:rsid w:val="00DB0686"/>
    <w:rsid w:val="00DB08EC"/>
    <w:rsid w:val="00DB0EB4"/>
    <w:rsid w:val="00DB13F1"/>
    <w:rsid w:val="00DB1490"/>
    <w:rsid w:val="00DB14B7"/>
    <w:rsid w:val="00DB14BE"/>
    <w:rsid w:val="00DB15CB"/>
    <w:rsid w:val="00DB15E2"/>
    <w:rsid w:val="00DB16B4"/>
    <w:rsid w:val="00DB17A0"/>
    <w:rsid w:val="00DB191A"/>
    <w:rsid w:val="00DB1DE9"/>
    <w:rsid w:val="00DB1E35"/>
    <w:rsid w:val="00DB1EE8"/>
    <w:rsid w:val="00DB2133"/>
    <w:rsid w:val="00DB2877"/>
    <w:rsid w:val="00DB2A30"/>
    <w:rsid w:val="00DB2A60"/>
    <w:rsid w:val="00DB2B16"/>
    <w:rsid w:val="00DB2D56"/>
    <w:rsid w:val="00DB2EEF"/>
    <w:rsid w:val="00DB35EA"/>
    <w:rsid w:val="00DB3B39"/>
    <w:rsid w:val="00DB3B52"/>
    <w:rsid w:val="00DB3BAF"/>
    <w:rsid w:val="00DB3CE0"/>
    <w:rsid w:val="00DB3CE9"/>
    <w:rsid w:val="00DB3D91"/>
    <w:rsid w:val="00DB3E2A"/>
    <w:rsid w:val="00DB3ED3"/>
    <w:rsid w:val="00DB3F96"/>
    <w:rsid w:val="00DB4060"/>
    <w:rsid w:val="00DB4245"/>
    <w:rsid w:val="00DB491D"/>
    <w:rsid w:val="00DB4997"/>
    <w:rsid w:val="00DB4A16"/>
    <w:rsid w:val="00DB4AAF"/>
    <w:rsid w:val="00DB4C0D"/>
    <w:rsid w:val="00DB5380"/>
    <w:rsid w:val="00DB5530"/>
    <w:rsid w:val="00DB575A"/>
    <w:rsid w:val="00DB582B"/>
    <w:rsid w:val="00DB5959"/>
    <w:rsid w:val="00DB59E2"/>
    <w:rsid w:val="00DB5A5D"/>
    <w:rsid w:val="00DB5AE8"/>
    <w:rsid w:val="00DB5C19"/>
    <w:rsid w:val="00DB5D2C"/>
    <w:rsid w:val="00DB5F0D"/>
    <w:rsid w:val="00DB6100"/>
    <w:rsid w:val="00DB62AA"/>
    <w:rsid w:val="00DB62BF"/>
    <w:rsid w:val="00DB6315"/>
    <w:rsid w:val="00DB6469"/>
    <w:rsid w:val="00DB65A6"/>
    <w:rsid w:val="00DB6723"/>
    <w:rsid w:val="00DB67CF"/>
    <w:rsid w:val="00DB67FD"/>
    <w:rsid w:val="00DB67FF"/>
    <w:rsid w:val="00DB69F5"/>
    <w:rsid w:val="00DB6A09"/>
    <w:rsid w:val="00DB6EFD"/>
    <w:rsid w:val="00DB6FDB"/>
    <w:rsid w:val="00DB7083"/>
    <w:rsid w:val="00DB70B5"/>
    <w:rsid w:val="00DB70DA"/>
    <w:rsid w:val="00DB756C"/>
    <w:rsid w:val="00DB7617"/>
    <w:rsid w:val="00DB7CF5"/>
    <w:rsid w:val="00DB7D54"/>
    <w:rsid w:val="00DB7D9A"/>
    <w:rsid w:val="00DB7E25"/>
    <w:rsid w:val="00DB7FDD"/>
    <w:rsid w:val="00DC02D7"/>
    <w:rsid w:val="00DC04AD"/>
    <w:rsid w:val="00DC0691"/>
    <w:rsid w:val="00DC0DD9"/>
    <w:rsid w:val="00DC1625"/>
    <w:rsid w:val="00DC186C"/>
    <w:rsid w:val="00DC19E5"/>
    <w:rsid w:val="00DC1E11"/>
    <w:rsid w:val="00DC24F6"/>
    <w:rsid w:val="00DC25C3"/>
    <w:rsid w:val="00DC282F"/>
    <w:rsid w:val="00DC2A7B"/>
    <w:rsid w:val="00DC2A92"/>
    <w:rsid w:val="00DC2B11"/>
    <w:rsid w:val="00DC2FD0"/>
    <w:rsid w:val="00DC3827"/>
    <w:rsid w:val="00DC3B26"/>
    <w:rsid w:val="00DC3EB7"/>
    <w:rsid w:val="00DC3F60"/>
    <w:rsid w:val="00DC3FE7"/>
    <w:rsid w:val="00DC4325"/>
    <w:rsid w:val="00DC4337"/>
    <w:rsid w:val="00DC43B5"/>
    <w:rsid w:val="00DC43E5"/>
    <w:rsid w:val="00DC442B"/>
    <w:rsid w:val="00DC464D"/>
    <w:rsid w:val="00DC4754"/>
    <w:rsid w:val="00DC47F5"/>
    <w:rsid w:val="00DC48EA"/>
    <w:rsid w:val="00DC4AAE"/>
    <w:rsid w:val="00DC4ABA"/>
    <w:rsid w:val="00DC4AD4"/>
    <w:rsid w:val="00DC4C92"/>
    <w:rsid w:val="00DC4F64"/>
    <w:rsid w:val="00DC5386"/>
    <w:rsid w:val="00DC53AF"/>
    <w:rsid w:val="00DC53D3"/>
    <w:rsid w:val="00DC5464"/>
    <w:rsid w:val="00DC551A"/>
    <w:rsid w:val="00DC5A9A"/>
    <w:rsid w:val="00DC5FCD"/>
    <w:rsid w:val="00DC63D8"/>
    <w:rsid w:val="00DC6595"/>
    <w:rsid w:val="00DC661B"/>
    <w:rsid w:val="00DC6B24"/>
    <w:rsid w:val="00DC6C8B"/>
    <w:rsid w:val="00DC6D8F"/>
    <w:rsid w:val="00DC6EF7"/>
    <w:rsid w:val="00DC6FE3"/>
    <w:rsid w:val="00DC706C"/>
    <w:rsid w:val="00DC71B7"/>
    <w:rsid w:val="00DC733B"/>
    <w:rsid w:val="00DC744A"/>
    <w:rsid w:val="00DC769B"/>
    <w:rsid w:val="00DC77F3"/>
    <w:rsid w:val="00DC7863"/>
    <w:rsid w:val="00DC7BD3"/>
    <w:rsid w:val="00DD00B7"/>
    <w:rsid w:val="00DD02A5"/>
    <w:rsid w:val="00DD033D"/>
    <w:rsid w:val="00DD053F"/>
    <w:rsid w:val="00DD0548"/>
    <w:rsid w:val="00DD0771"/>
    <w:rsid w:val="00DD094F"/>
    <w:rsid w:val="00DD0A27"/>
    <w:rsid w:val="00DD0BCD"/>
    <w:rsid w:val="00DD0E11"/>
    <w:rsid w:val="00DD0EF0"/>
    <w:rsid w:val="00DD1037"/>
    <w:rsid w:val="00DD13C3"/>
    <w:rsid w:val="00DD17F6"/>
    <w:rsid w:val="00DD1805"/>
    <w:rsid w:val="00DD1A70"/>
    <w:rsid w:val="00DD1ABC"/>
    <w:rsid w:val="00DD1AD9"/>
    <w:rsid w:val="00DD1B40"/>
    <w:rsid w:val="00DD23A5"/>
    <w:rsid w:val="00DD2449"/>
    <w:rsid w:val="00DD257B"/>
    <w:rsid w:val="00DD25F9"/>
    <w:rsid w:val="00DD2863"/>
    <w:rsid w:val="00DD3036"/>
    <w:rsid w:val="00DD3104"/>
    <w:rsid w:val="00DD31DC"/>
    <w:rsid w:val="00DD34AE"/>
    <w:rsid w:val="00DD3AE5"/>
    <w:rsid w:val="00DD3DA4"/>
    <w:rsid w:val="00DD3DC5"/>
    <w:rsid w:val="00DD3EB0"/>
    <w:rsid w:val="00DD3F86"/>
    <w:rsid w:val="00DD4083"/>
    <w:rsid w:val="00DD4563"/>
    <w:rsid w:val="00DD47FA"/>
    <w:rsid w:val="00DD4814"/>
    <w:rsid w:val="00DD4A69"/>
    <w:rsid w:val="00DD4EE2"/>
    <w:rsid w:val="00DD5399"/>
    <w:rsid w:val="00DD5512"/>
    <w:rsid w:val="00DD5B30"/>
    <w:rsid w:val="00DD5F83"/>
    <w:rsid w:val="00DD5FD0"/>
    <w:rsid w:val="00DD5FE1"/>
    <w:rsid w:val="00DD606D"/>
    <w:rsid w:val="00DD6085"/>
    <w:rsid w:val="00DD6459"/>
    <w:rsid w:val="00DD6486"/>
    <w:rsid w:val="00DD68A7"/>
    <w:rsid w:val="00DD6BAE"/>
    <w:rsid w:val="00DD6F39"/>
    <w:rsid w:val="00DD6FB1"/>
    <w:rsid w:val="00DD70B0"/>
    <w:rsid w:val="00DD71A3"/>
    <w:rsid w:val="00DD7264"/>
    <w:rsid w:val="00DD74A5"/>
    <w:rsid w:val="00DD756E"/>
    <w:rsid w:val="00DD7696"/>
    <w:rsid w:val="00DD7702"/>
    <w:rsid w:val="00DD7707"/>
    <w:rsid w:val="00DD78E9"/>
    <w:rsid w:val="00DD7E7B"/>
    <w:rsid w:val="00DE015A"/>
    <w:rsid w:val="00DE02D0"/>
    <w:rsid w:val="00DE0421"/>
    <w:rsid w:val="00DE09D6"/>
    <w:rsid w:val="00DE0AA4"/>
    <w:rsid w:val="00DE0B6A"/>
    <w:rsid w:val="00DE0F26"/>
    <w:rsid w:val="00DE0FFF"/>
    <w:rsid w:val="00DE12A4"/>
    <w:rsid w:val="00DE1363"/>
    <w:rsid w:val="00DE146C"/>
    <w:rsid w:val="00DE14E8"/>
    <w:rsid w:val="00DE16BD"/>
    <w:rsid w:val="00DE172B"/>
    <w:rsid w:val="00DE1863"/>
    <w:rsid w:val="00DE19C7"/>
    <w:rsid w:val="00DE1A71"/>
    <w:rsid w:val="00DE1B65"/>
    <w:rsid w:val="00DE1E18"/>
    <w:rsid w:val="00DE2625"/>
    <w:rsid w:val="00DE2784"/>
    <w:rsid w:val="00DE2804"/>
    <w:rsid w:val="00DE2D79"/>
    <w:rsid w:val="00DE2DE4"/>
    <w:rsid w:val="00DE2FB3"/>
    <w:rsid w:val="00DE3464"/>
    <w:rsid w:val="00DE395C"/>
    <w:rsid w:val="00DE3A91"/>
    <w:rsid w:val="00DE3BAF"/>
    <w:rsid w:val="00DE3C83"/>
    <w:rsid w:val="00DE3D67"/>
    <w:rsid w:val="00DE3DAD"/>
    <w:rsid w:val="00DE3F25"/>
    <w:rsid w:val="00DE40BF"/>
    <w:rsid w:val="00DE4222"/>
    <w:rsid w:val="00DE4398"/>
    <w:rsid w:val="00DE4511"/>
    <w:rsid w:val="00DE4945"/>
    <w:rsid w:val="00DE4ACB"/>
    <w:rsid w:val="00DE4C12"/>
    <w:rsid w:val="00DE4F30"/>
    <w:rsid w:val="00DE4F49"/>
    <w:rsid w:val="00DE4F86"/>
    <w:rsid w:val="00DE4F95"/>
    <w:rsid w:val="00DE5479"/>
    <w:rsid w:val="00DE567A"/>
    <w:rsid w:val="00DE56EA"/>
    <w:rsid w:val="00DE5867"/>
    <w:rsid w:val="00DE58B2"/>
    <w:rsid w:val="00DE5995"/>
    <w:rsid w:val="00DE59E1"/>
    <w:rsid w:val="00DE5D23"/>
    <w:rsid w:val="00DE602B"/>
    <w:rsid w:val="00DE6636"/>
    <w:rsid w:val="00DE689C"/>
    <w:rsid w:val="00DE7176"/>
    <w:rsid w:val="00DE75AA"/>
    <w:rsid w:val="00DE75DC"/>
    <w:rsid w:val="00DE7718"/>
    <w:rsid w:val="00DE77DC"/>
    <w:rsid w:val="00DE77F7"/>
    <w:rsid w:val="00DE7888"/>
    <w:rsid w:val="00DE789F"/>
    <w:rsid w:val="00DE7B4B"/>
    <w:rsid w:val="00DE7CA4"/>
    <w:rsid w:val="00DE7DEB"/>
    <w:rsid w:val="00DF0124"/>
    <w:rsid w:val="00DF0465"/>
    <w:rsid w:val="00DF0797"/>
    <w:rsid w:val="00DF07F2"/>
    <w:rsid w:val="00DF088B"/>
    <w:rsid w:val="00DF08B9"/>
    <w:rsid w:val="00DF08D5"/>
    <w:rsid w:val="00DF0A45"/>
    <w:rsid w:val="00DF0B31"/>
    <w:rsid w:val="00DF0FDF"/>
    <w:rsid w:val="00DF11C5"/>
    <w:rsid w:val="00DF1344"/>
    <w:rsid w:val="00DF1615"/>
    <w:rsid w:val="00DF1627"/>
    <w:rsid w:val="00DF178C"/>
    <w:rsid w:val="00DF17E8"/>
    <w:rsid w:val="00DF210D"/>
    <w:rsid w:val="00DF225B"/>
    <w:rsid w:val="00DF22A1"/>
    <w:rsid w:val="00DF2510"/>
    <w:rsid w:val="00DF2633"/>
    <w:rsid w:val="00DF28AD"/>
    <w:rsid w:val="00DF2DCE"/>
    <w:rsid w:val="00DF2DFC"/>
    <w:rsid w:val="00DF314A"/>
    <w:rsid w:val="00DF330E"/>
    <w:rsid w:val="00DF3359"/>
    <w:rsid w:val="00DF33AC"/>
    <w:rsid w:val="00DF36AA"/>
    <w:rsid w:val="00DF3A9B"/>
    <w:rsid w:val="00DF41D8"/>
    <w:rsid w:val="00DF42C5"/>
    <w:rsid w:val="00DF42E1"/>
    <w:rsid w:val="00DF484D"/>
    <w:rsid w:val="00DF4AFA"/>
    <w:rsid w:val="00DF4B78"/>
    <w:rsid w:val="00DF4BAD"/>
    <w:rsid w:val="00DF54A3"/>
    <w:rsid w:val="00DF5A4D"/>
    <w:rsid w:val="00DF5B46"/>
    <w:rsid w:val="00DF5C62"/>
    <w:rsid w:val="00DF5CE3"/>
    <w:rsid w:val="00DF5D28"/>
    <w:rsid w:val="00DF5F9F"/>
    <w:rsid w:val="00DF6200"/>
    <w:rsid w:val="00DF628E"/>
    <w:rsid w:val="00DF6614"/>
    <w:rsid w:val="00DF668A"/>
    <w:rsid w:val="00DF6732"/>
    <w:rsid w:val="00DF679C"/>
    <w:rsid w:val="00DF685C"/>
    <w:rsid w:val="00DF69D8"/>
    <w:rsid w:val="00DF6D8F"/>
    <w:rsid w:val="00DF7151"/>
    <w:rsid w:val="00DF7188"/>
    <w:rsid w:val="00DF72C2"/>
    <w:rsid w:val="00DF7338"/>
    <w:rsid w:val="00DF751F"/>
    <w:rsid w:val="00DF78F6"/>
    <w:rsid w:val="00DF7F0C"/>
    <w:rsid w:val="00DF7F5C"/>
    <w:rsid w:val="00E00054"/>
    <w:rsid w:val="00E0017D"/>
    <w:rsid w:val="00E00209"/>
    <w:rsid w:val="00E004CD"/>
    <w:rsid w:val="00E0054B"/>
    <w:rsid w:val="00E00879"/>
    <w:rsid w:val="00E008DD"/>
    <w:rsid w:val="00E00AFF"/>
    <w:rsid w:val="00E00BF3"/>
    <w:rsid w:val="00E00C1A"/>
    <w:rsid w:val="00E00C74"/>
    <w:rsid w:val="00E00E1E"/>
    <w:rsid w:val="00E00EC9"/>
    <w:rsid w:val="00E00F17"/>
    <w:rsid w:val="00E01361"/>
    <w:rsid w:val="00E015B1"/>
    <w:rsid w:val="00E01686"/>
    <w:rsid w:val="00E01CA6"/>
    <w:rsid w:val="00E01D20"/>
    <w:rsid w:val="00E01F78"/>
    <w:rsid w:val="00E021B1"/>
    <w:rsid w:val="00E023F1"/>
    <w:rsid w:val="00E0243B"/>
    <w:rsid w:val="00E02468"/>
    <w:rsid w:val="00E025FF"/>
    <w:rsid w:val="00E0265F"/>
    <w:rsid w:val="00E02736"/>
    <w:rsid w:val="00E027E2"/>
    <w:rsid w:val="00E02AD0"/>
    <w:rsid w:val="00E02B02"/>
    <w:rsid w:val="00E02BB5"/>
    <w:rsid w:val="00E02BDA"/>
    <w:rsid w:val="00E02CAD"/>
    <w:rsid w:val="00E02D43"/>
    <w:rsid w:val="00E02D6C"/>
    <w:rsid w:val="00E02F7D"/>
    <w:rsid w:val="00E03014"/>
    <w:rsid w:val="00E03213"/>
    <w:rsid w:val="00E032B2"/>
    <w:rsid w:val="00E0332C"/>
    <w:rsid w:val="00E038E3"/>
    <w:rsid w:val="00E03959"/>
    <w:rsid w:val="00E0396E"/>
    <w:rsid w:val="00E039B5"/>
    <w:rsid w:val="00E03EC2"/>
    <w:rsid w:val="00E0438C"/>
    <w:rsid w:val="00E045B6"/>
    <w:rsid w:val="00E04CE8"/>
    <w:rsid w:val="00E05034"/>
    <w:rsid w:val="00E050A7"/>
    <w:rsid w:val="00E05298"/>
    <w:rsid w:val="00E05342"/>
    <w:rsid w:val="00E053A3"/>
    <w:rsid w:val="00E05416"/>
    <w:rsid w:val="00E05636"/>
    <w:rsid w:val="00E05680"/>
    <w:rsid w:val="00E05779"/>
    <w:rsid w:val="00E06074"/>
    <w:rsid w:val="00E06624"/>
    <w:rsid w:val="00E06893"/>
    <w:rsid w:val="00E06DD5"/>
    <w:rsid w:val="00E06EC9"/>
    <w:rsid w:val="00E07315"/>
    <w:rsid w:val="00E07389"/>
    <w:rsid w:val="00E075B8"/>
    <w:rsid w:val="00E0799B"/>
    <w:rsid w:val="00E07A03"/>
    <w:rsid w:val="00E07CEC"/>
    <w:rsid w:val="00E07D12"/>
    <w:rsid w:val="00E07F49"/>
    <w:rsid w:val="00E100BD"/>
    <w:rsid w:val="00E10291"/>
    <w:rsid w:val="00E1076C"/>
    <w:rsid w:val="00E10A82"/>
    <w:rsid w:val="00E10FF1"/>
    <w:rsid w:val="00E11007"/>
    <w:rsid w:val="00E11137"/>
    <w:rsid w:val="00E112ED"/>
    <w:rsid w:val="00E11418"/>
    <w:rsid w:val="00E11448"/>
    <w:rsid w:val="00E116D1"/>
    <w:rsid w:val="00E1177B"/>
    <w:rsid w:val="00E11C35"/>
    <w:rsid w:val="00E11DA0"/>
    <w:rsid w:val="00E120FE"/>
    <w:rsid w:val="00E122A3"/>
    <w:rsid w:val="00E12317"/>
    <w:rsid w:val="00E12536"/>
    <w:rsid w:val="00E12D88"/>
    <w:rsid w:val="00E12E6A"/>
    <w:rsid w:val="00E12FFE"/>
    <w:rsid w:val="00E1326B"/>
    <w:rsid w:val="00E134E7"/>
    <w:rsid w:val="00E136CF"/>
    <w:rsid w:val="00E1377E"/>
    <w:rsid w:val="00E13788"/>
    <w:rsid w:val="00E13B3C"/>
    <w:rsid w:val="00E13C9B"/>
    <w:rsid w:val="00E13F09"/>
    <w:rsid w:val="00E13F63"/>
    <w:rsid w:val="00E13F94"/>
    <w:rsid w:val="00E14353"/>
    <w:rsid w:val="00E144FB"/>
    <w:rsid w:val="00E14583"/>
    <w:rsid w:val="00E146DF"/>
    <w:rsid w:val="00E147A5"/>
    <w:rsid w:val="00E14E56"/>
    <w:rsid w:val="00E14E96"/>
    <w:rsid w:val="00E1500E"/>
    <w:rsid w:val="00E1515F"/>
    <w:rsid w:val="00E151D7"/>
    <w:rsid w:val="00E152FD"/>
    <w:rsid w:val="00E1563E"/>
    <w:rsid w:val="00E15779"/>
    <w:rsid w:val="00E1591F"/>
    <w:rsid w:val="00E159A7"/>
    <w:rsid w:val="00E15C99"/>
    <w:rsid w:val="00E160B8"/>
    <w:rsid w:val="00E163DD"/>
    <w:rsid w:val="00E165FB"/>
    <w:rsid w:val="00E16781"/>
    <w:rsid w:val="00E16B5E"/>
    <w:rsid w:val="00E16F4A"/>
    <w:rsid w:val="00E16FE7"/>
    <w:rsid w:val="00E171C6"/>
    <w:rsid w:val="00E173FB"/>
    <w:rsid w:val="00E174A3"/>
    <w:rsid w:val="00E175B4"/>
    <w:rsid w:val="00E17D7E"/>
    <w:rsid w:val="00E2014E"/>
    <w:rsid w:val="00E202AF"/>
    <w:rsid w:val="00E205D3"/>
    <w:rsid w:val="00E2082D"/>
    <w:rsid w:val="00E2095C"/>
    <w:rsid w:val="00E20BA1"/>
    <w:rsid w:val="00E20C19"/>
    <w:rsid w:val="00E20C93"/>
    <w:rsid w:val="00E20EA0"/>
    <w:rsid w:val="00E212B8"/>
    <w:rsid w:val="00E21627"/>
    <w:rsid w:val="00E216C9"/>
    <w:rsid w:val="00E2190A"/>
    <w:rsid w:val="00E2196C"/>
    <w:rsid w:val="00E21D64"/>
    <w:rsid w:val="00E21D8C"/>
    <w:rsid w:val="00E21F31"/>
    <w:rsid w:val="00E224C7"/>
    <w:rsid w:val="00E2257F"/>
    <w:rsid w:val="00E22CFD"/>
    <w:rsid w:val="00E22D37"/>
    <w:rsid w:val="00E22E93"/>
    <w:rsid w:val="00E22FD4"/>
    <w:rsid w:val="00E23354"/>
    <w:rsid w:val="00E234C2"/>
    <w:rsid w:val="00E23740"/>
    <w:rsid w:val="00E23855"/>
    <w:rsid w:val="00E238EC"/>
    <w:rsid w:val="00E239F1"/>
    <w:rsid w:val="00E23A72"/>
    <w:rsid w:val="00E23CEB"/>
    <w:rsid w:val="00E23D53"/>
    <w:rsid w:val="00E23D67"/>
    <w:rsid w:val="00E23FB1"/>
    <w:rsid w:val="00E2404F"/>
    <w:rsid w:val="00E242DB"/>
    <w:rsid w:val="00E244AC"/>
    <w:rsid w:val="00E24A37"/>
    <w:rsid w:val="00E24A7E"/>
    <w:rsid w:val="00E24B15"/>
    <w:rsid w:val="00E24F21"/>
    <w:rsid w:val="00E24FA2"/>
    <w:rsid w:val="00E25038"/>
    <w:rsid w:val="00E2518C"/>
    <w:rsid w:val="00E2556B"/>
    <w:rsid w:val="00E2565E"/>
    <w:rsid w:val="00E257F3"/>
    <w:rsid w:val="00E25BDF"/>
    <w:rsid w:val="00E25DB6"/>
    <w:rsid w:val="00E25EE9"/>
    <w:rsid w:val="00E25F0A"/>
    <w:rsid w:val="00E260ED"/>
    <w:rsid w:val="00E26640"/>
    <w:rsid w:val="00E26AB0"/>
    <w:rsid w:val="00E26E23"/>
    <w:rsid w:val="00E27014"/>
    <w:rsid w:val="00E27026"/>
    <w:rsid w:val="00E270BD"/>
    <w:rsid w:val="00E27236"/>
    <w:rsid w:val="00E274A5"/>
    <w:rsid w:val="00E2772D"/>
    <w:rsid w:val="00E277FE"/>
    <w:rsid w:val="00E278AC"/>
    <w:rsid w:val="00E27964"/>
    <w:rsid w:val="00E279C2"/>
    <w:rsid w:val="00E27B1B"/>
    <w:rsid w:val="00E27BC6"/>
    <w:rsid w:val="00E27C3C"/>
    <w:rsid w:val="00E27D83"/>
    <w:rsid w:val="00E301F0"/>
    <w:rsid w:val="00E305ED"/>
    <w:rsid w:val="00E306D7"/>
    <w:rsid w:val="00E30725"/>
    <w:rsid w:val="00E30C02"/>
    <w:rsid w:val="00E30C08"/>
    <w:rsid w:val="00E30C78"/>
    <w:rsid w:val="00E30D5C"/>
    <w:rsid w:val="00E30E13"/>
    <w:rsid w:val="00E311AE"/>
    <w:rsid w:val="00E311C4"/>
    <w:rsid w:val="00E31319"/>
    <w:rsid w:val="00E3174B"/>
    <w:rsid w:val="00E31773"/>
    <w:rsid w:val="00E31B89"/>
    <w:rsid w:val="00E3213B"/>
    <w:rsid w:val="00E3229E"/>
    <w:rsid w:val="00E323FE"/>
    <w:rsid w:val="00E32438"/>
    <w:rsid w:val="00E32685"/>
    <w:rsid w:val="00E3285B"/>
    <w:rsid w:val="00E329B0"/>
    <w:rsid w:val="00E32A4E"/>
    <w:rsid w:val="00E32A5D"/>
    <w:rsid w:val="00E32B6F"/>
    <w:rsid w:val="00E32F01"/>
    <w:rsid w:val="00E3306A"/>
    <w:rsid w:val="00E330F3"/>
    <w:rsid w:val="00E3367F"/>
    <w:rsid w:val="00E336DC"/>
    <w:rsid w:val="00E33727"/>
    <w:rsid w:val="00E338A5"/>
    <w:rsid w:val="00E3391F"/>
    <w:rsid w:val="00E33AC7"/>
    <w:rsid w:val="00E33B6B"/>
    <w:rsid w:val="00E33BB3"/>
    <w:rsid w:val="00E33C0F"/>
    <w:rsid w:val="00E33C26"/>
    <w:rsid w:val="00E33C2E"/>
    <w:rsid w:val="00E33C35"/>
    <w:rsid w:val="00E34320"/>
    <w:rsid w:val="00E34411"/>
    <w:rsid w:val="00E3448F"/>
    <w:rsid w:val="00E3452E"/>
    <w:rsid w:val="00E345A9"/>
    <w:rsid w:val="00E345CD"/>
    <w:rsid w:val="00E34645"/>
    <w:rsid w:val="00E349AB"/>
    <w:rsid w:val="00E34B3D"/>
    <w:rsid w:val="00E34E54"/>
    <w:rsid w:val="00E350CE"/>
    <w:rsid w:val="00E35121"/>
    <w:rsid w:val="00E35252"/>
    <w:rsid w:val="00E35637"/>
    <w:rsid w:val="00E3563A"/>
    <w:rsid w:val="00E3564C"/>
    <w:rsid w:val="00E3590C"/>
    <w:rsid w:val="00E35B03"/>
    <w:rsid w:val="00E35E28"/>
    <w:rsid w:val="00E35E3A"/>
    <w:rsid w:val="00E35E55"/>
    <w:rsid w:val="00E35F37"/>
    <w:rsid w:val="00E35FEF"/>
    <w:rsid w:val="00E36041"/>
    <w:rsid w:val="00E36043"/>
    <w:rsid w:val="00E36197"/>
    <w:rsid w:val="00E3651A"/>
    <w:rsid w:val="00E365C4"/>
    <w:rsid w:val="00E36605"/>
    <w:rsid w:val="00E366CD"/>
    <w:rsid w:val="00E366E5"/>
    <w:rsid w:val="00E36735"/>
    <w:rsid w:val="00E36AD6"/>
    <w:rsid w:val="00E36BA3"/>
    <w:rsid w:val="00E36EFD"/>
    <w:rsid w:val="00E36F05"/>
    <w:rsid w:val="00E36F29"/>
    <w:rsid w:val="00E36F4D"/>
    <w:rsid w:val="00E36F9A"/>
    <w:rsid w:val="00E36FC3"/>
    <w:rsid w:val="00E37000"/>
    <w:rsid w:val="00E371A6"/>
    <w:rsid w:val="00E37241"/>
    <w:rsid w:val="00E372DF"/>
    <w:rsid w:val="00E373E4"/>
    <w:rsid w:val="00E37562"/>
    <w:rsid w:val="00E37751"/>
    <w:rsid w:val="00E37C12"/>
    <w:rsid w:val="00E37CC7"/>
    <w:rsid w:val="00E37DFC"/>
    <w:rsid w:val="00E40148"/>
    <w:rsid w:val="00E40368"/>
    <w:rsid w:val="00E40512"/>
    <w:rsid w:val="00E406E5"/>
    <w:rsid w:val="00E4088C"/>
    <w:rsid w:val="00E40DB6"/>
    <w:rsid w:val="00E4133F"/>
    <w:rsid w:val="00E4176C"/>
    <w:rsid w:val="00E418B3"/>
    <w:rsid w:val="00E41ADE"/>
    <w:rsid w:val="00E41D1F"/>
    <w:rsid w:val="00E41D5F"/>
    <w:rsid w:val="00E41E7F"/>
    <w:rsid w:val="00E41FDA"/>
    <w:rsid w:val="00E421CA"/>
    <w:rsid w:val="00E424E9"/>
    <w:rsid w:val="00E42686"/>
    <w:rsid w:val="00E4290E"/>
    <w:rsid w:val="00E42B02"/>
    <w:rsid w:val="00E42BE9"/>
    <w:rsid w:val="00E42E29"/>
    <w:rsid w:val="00E42FA5"/>
    <w:rsid w:val="00E43210"/>
    <w:rsid w:val="00E4332F"/>
    <w:rsid w:val="00E43F39"/>
    <w:rsid w:val="00E43F68"/>
    <w:rsid w:val="00E43FF7"/>
    <w:rsid w:val="00E4442B"/>
    <w:rsid w:val="00E44584"/>
    <w:rsid w:val="00E4463F"/>
    <w:rsid w:val="00E44C06"/>
    <w:rsid w:val="00E44C34"/>
    <w:rsid w:val="00E45026"/>
    <w:rsid w:val="00E45049"/>
    <w:rsid w:val="00E454F0"/>
    <w:rsid w:val="00E455A6"/>
    <w:rsid w:val="00E4567A"/>
    <w:rsid w:val="00E45961"/>
    <w:rsid w:val="00E45CA6"/>
    <w:rsid w:val="00E45D17"/>
    <w:rsid w:val="00E45D7B"/>
    <w:rsid w:val="00E45F3B"/>
    <w:rsid w:val="00E4612B"/>
    <w:rsid w:val="00E4626A"/>
    <w:rsid w:val="00E463CB"/>
    <w:rsid w:val="00E469C6"/>
    <w:rsid w:val="00E46CA7"/>
    <w:rsid w:val="00E470A0"/>
    <w:rsid w:val="00E473B9"/>
    <w:rsid w:val="00E473C5"/>
    <w:rsid w:val="00E47745"/>
    <w:rsid w:val="00E477F0"/>
    <w:rsid w:val="00E47915"/>
    <w:rsid w:val="00E47A2B"/>
    <w:rsid w:val="00E47B6C"/>
    <w:rsid w:val="00E501CC"/>
    <w:rsid w:val="00E50869"/>
    <w:rsid w:val="00E508C7"/>
    <w:rsid w:val="00E508F4"/>
    <w:rsid w:val="00E512B1"/>
    <w:rsid w:val="00E5167D"/>
    <w:rsid w:val="00E516B6"/>
    <w:rsid w:val="00E51B88"/>
    <w:rsid w:val="00E51FAF"/>
    <w:rsid w:val="00E52454"/>
    <w:rsid w:val="00E52478"/>
    <w:rsid w:val="00E52605"/>
    <w:rsid w:val="00E529ED"/>
    <w:rsid w:val="00E52B4E"/>
    <w:rsid w:val="00E52BE9"/>
    <w:rsid w:val="00E52E04"/>
    <w:rsid w:val="00E530A2"/>
    <w:rsid w:val="00E531A0"/>
    <w:rsid w:val="00E53312"/>
    <w:rsid w:val="00E53516"/>
    <w:rsid w:val="00E53536"/>
    <w:rsid w:val="00E53694"/>
    <w:rsid w:val="00E5380F"/>
    <w:rsid w:val="00E538F5"/>
    <w:rsid w:val="00E5390B"/>
    <w:rsid w:val="00E53910"/>
    <w:rsid w:val="00E53A46"/>
    <w:rsid w:val="00E53B21"/>
    <w:rsid w:val="00E53BCB"/>
    <w:rsid w:val="00E543A9"/>
    <w:rsid w:val="00E544B1"/>
    <w:rsid w:val="00E54572"/>
    <w:rsid w:val="00E54BC8"/>
    <w:rsid w:val="00E5542B"/>
    <w:rsid w:val="00E55578"/>
    <w:rsid w:val="00E555B0"/>
    <w:rsid w:val="00E55628"/>
    <w:rsid w:val="00E557A2"/>
    <w:rsid w:val="00E559DB"/>
    <w:rsid w:val="00E55BA9"/>
    <w:rsid w:val="00E55C45"/>
    <w:rsid w:val="00E562E6"/>
    <w:rsid w:val="00E564EB"/>
    <w:rsid w:val="00E56743"/>
    <w:rsid w:val="00E5682F"/>
    <w:rsid w:val="00E569D6"/>
    <w:rsid w:val="00E56C43"/>
    <w:rsid w:val="00E56EFB"/>
    <w:rsid w:val="00E57239"/>
    <w:rsid w:val="00E573BD"/>
    <w:rsid w:val="00E5742B"/>
    <w:rsid w:val="00E576E7"/>
    <w:rsid w:val="00E5795F"/>
    <w:rsid w:val="00E57989"/>
    <w:rsid w:val="00E57ACE"/>
    <w:rsid w:val="00E57E38"/>
    <w:rsid w:val="00E57EC4"/>
    <w:rsid w:val="00E57ED0"/>
    <w:rsid w:val="00E57F84"/>
    <w:rsid w:val="00E57FED"/>
    <w:rsid w:val="00E6002F"/>
    <w:rsid w:val="00E60398"/>
    <w:rsid w:val="00E608A7"/>
    <w:rsid w:val="00E608DE"/>
    <w:rsid w:val="00E60910"/>
    <w:rsid w:val="00E609FF"/>
    <w:rsid w:val="00E60E6E"/>
    <w:rsid w:val="00E6115C"/>
    <w:rsid w:val="00E611BC"/>
    <w:rsid w:val="00E6121E"/>
    <w:rsid w:val="00E61641"/>
    <w:rsid w:val="00E618AC"/>
    <w:rsid w:val="00E61B61"/>
    <w:rsid w:val="00E623A1"/>
    <w:rsid w:val="00E62412"/>
    <w:rsid w:val="00E6248B"/>
    <w:rsid w:val="00E62613"/>
    <w:rsid w:val="00E627F1"/>
    <w:rsid w:val="00E629CC"/>
    <w:rsid w:val="00E62B19"/>
    <w:rsid w:val="00E62B2E"/>
    <w:rsid w:val="00E62B82"/>
    <w:rsid w:val="00E62C51"/>
    <w:rsid w:val="00E62D34"/>
    <w:rsid w:val="00E6383B"/>
    <w:rsid w:val="00E6397F"/>
    <w:rsid w:val="00E639C1"/>
    <w:rsid w:val="00E63AB3"/>
    <w:rsid w:val="00E63B67"/>
    <w:rsid w:val="00E63BD4"/>
    <w:rsid w:val="00E63FDA"/>
    <w:rsid w:val="00E6413C"/>
    <w:rsid w:val="00E64143"/>
    <w:rsid w:val="00E64232"/>
    <w:rsid w:val="00E64358"/>
    <w:rsid w:val="00E643F3"/>
    <w:rsid w:val="00E647EB"/>
    <w:rsid w:val="00E64A19"/>
    <w:rsid w:val="00E64A9F"/>
    <w:rsid w:val="00E64EFC"/>
    <w:rsid w:val="00E6520D"/>
    <w:rsid w:val="00E6531D"/>
    <w:rsid w:val="00E653CE"/>
    <w:rsid w:val="00E6552F"/>
    <w:rsid w:val="00E65726"/>
    <w:rsid w:val="00E65A68"/>
    <w:rsid w:val="00E65BC8"/>
    <w:rsid w:val="00E65C5C"/>
    <w:rsid w:val="00E65D21"/>
    <w:rsid w:val="00E65D31"/>
    <w:rsid w:val="00E65E11"/>
    <w:rsid w:val="00E65F21"/>
    <w:rsid w:val="00E660D7"/>
    <w:rsid w:val="00E661AC"/>
    <w:rsid w:val="00E664E2"/>
    <w:rsid w:val="00E666D5"/>
    <w:rsid w:val="00E666FA"/>
    <w:rsid w:val="00E667AD"/>
    <w:rsid w:val="00E66B60"/>
    <w:rsid w:val="00E66DCA"/>
    <w:rsid w:val="00E676CD"/>
    <w:rsid w:val="00E6798A"/>
    <w:rsid w:val="00E67D83"/>
    <w:rsid w:val="00E67EDF"/>
    <w:rsid w:val="00E67F16"/>
    <w:rsid w:val="00E70046"/>
    <w:rsid w:val="00E701F0"/>
    <w:rsid w:val="00E704F8"/>
    <w:rsid w:val="00E7060D"/>
    <w:rsid w:val="00E70758"/>
    <w:rsid w:val="00E70EB5"/>
    <w:rsid w:val="00E70F1D"/>
    <w:rsid w:val="00E71313"/>
    <w:rsid w:val="00E7177D"/>
    <w:rsid w:val="00E71946"/>
    <w:rsid w:val="00E71B18"/>
    <w:rsid w:val="00E71B4E"/>
    <w:rsid w:val="00E71DF8"/>
    <w:rsid w:val="00E7232F"/>
    <w:rsid w:val="00E7245F"/>
    <w:rsid w:val="00E72472"/>
    <w:rsid w:val="00E72833"/>
    <w:rsid w:val="00E728BB"/>
    <w:rsid w:val="00E72929"/>
    <w:rsid w:val="00E729E5"/>
    <w:rsid w:val="00E72A45"/>
    <w:rsid w:val="00E72B57"/>
    <w:rsid w:val="00E730E7"/>
    <w:rsid w:val="00E7315A"/>
    <w:rsid w:val="00E73340"/>
    <w:rsid w:val="00E733F0"/>
    <w:rsid w:val="00E733F2"/>
    <w:rsid w:val="00E7352E"/>
    <w:rsid w:val="00E7368D"/>
    <w:rsid w:val="00E7372F"/>
    <w:rsid w:val="00E73959"/>
    <w:rsid w:val="00E73BEA"/>
    <w:rsid w:val="00E73C6B"/>
    <w:rsid w:val="00E73CA9"/>
    <w:rsid w:val="00E7415E"/>
    <w:rsid w:val="00E74329"/>
    <w:rsid w:val="00E7443E"/>
    <w:rsid w:val="00E744A9"/>
    <w:rsid w:val="00E74649"/>
    <w:rsid w:val="00E74678"/>
    <w:rsid w:val="00E74742"/>
    <w:rsid w:val="00E74ABC"/>
    <w:rsid w:val="00E74BAE"/>
    <w:rsid w:val="00E75306"/>
    <w:rsid w:val="00E75401"/>
    <w:rsid w:val="00E75430"/>
    <w:rsid w:val="00E755C4"/>
    <w:rsid w:val="00E75A37"/>
    <w:rsid w:val="00E75B92"/>
    <w:rsid w:val="00E76256"/>
    <w:rsid w:val="00E7687C"/>
    <w:rsid w:val="00E76991"/>
    <w:rsid w:val="00E76B79"/>
    <w:rsid w:val="00E76BED"/>
    <w:rsid w:val="00E76BF4"/>
    <w:rsid w:val="00E76F1D"/>
    <w:rsid w:val="00E77178"/>
    <w:rsid w:val="00E773BC"/>
    <w:rsid w:val="00E773C9"/>
    <w:rsid w:val="00E77557"/>
    <w:rsid w:val="00E779E1"/>
    <w:rsid w:val="00E77B47"/>
    <w:rsid w:val="00E77D40"/>
    <w:rsid w:val="00E77DA4"/>
    <w:rsid w:val="00E77E78"/>
    <w:rsid w:val="00E80235"/>
    <w:rsid w:val="00E80627"/>
    <w:rsid w:val="00E80BFE"/>
    <w:rsid w:val="00E80D36"/>
    <w:rsid w:val="00E80E5E"/>
    <w:rsid w:val="00E810E9"/>
    <w:rsid w:val="00E812F6"/>
    <w:rsid w:val="00E81320"/>
    <w:rsid w:val="00E81616"/>
    <w:rsid w:val="00E817DF"/>
    <w:rsid w:val="00E81836"/>
    <w:rsid w:val="00E81DE5"/>
    <w:rsid w:val="00E82149"/>
    <w:rsid w:val="00E8224F"/>
    <w:rsid w:val="00E822B8"/>
    <w:rsid w:val="00E826F0"/>
    <w:rsid w:val="00E827CE"/>
    <w:rsid w:val="00E82A1D"/>
    <w:rsid w:val="00E82CA1"/>
    <w:rsid w:val="00E82DE0"/>
    <w:rsid w:val="00E82E06"/>
    <w:rsid w:val="00E83100"/>
    <w:rsid w:val="00E83302"/>
    <w:rsid w:val="00E83334"/>
    <w:rsid w:val="00E83373"/>
    <w:rsid w:val="00E83572"/>
    <w:rsid w:val="00E83A74"/>
    <w:rsid w:val="00E83D14"/>
    <w:rsid w:val="00E83ED2"/>
    <w:rsid w:val="00E84322"/>
    <w:rsid w:val="00E84425"/>
    <w:rsid w:val="00E844FD"/>
    <w:rsid w:val="00E84546"/>
    <w:rsid w:val="00E847BE"/>
    <w:rsid w:val="00E8482A"/>
    <w:rsid w:val="00E84ADB"/>
    <w:rsid w:val="00E84CB9"/>
    <w:rsid w:val="00E84F6B"/>
    <w:rsid w:val="00E851EF"/>
    <w:rsid w:val="00E8525B"/>
    <w:rsid w:val="00E85325"/>
    <w:rsid w:val="00E853A2"/>
    <w:rsid w:val="00E853F6"/>
    <w:rsid w:val="00E854C2"/>
    <w:rsid w:val="00E854F2"/>
    <w:rsid w:val="00E857B5"/>
    <w:rsid w:val="00E8584D"/>
    <w:rsid w:val="00E85B0E"/>
    <w:rsid w:val="00E85B48"/>
    <w:rsid w:val="00E85D11"/>
    <w:rsid w:val="00E85E47"/>
    <w:rsid w:val="00E8657E"/>
    <w:rsid w:val="00E86699"/>
    <w:rsid w:val="00E867D0"/>
    <w:rsid w:val="00E8692F"/>
    <w:rsid w:val="00E86C4A"/>
    <w:rsid w:val="00E86D45"/>
    <w:rsid w:val="00E86E46"/>
    <w:rsid w:val="00E870D3"/>
    <w:rsid w:val="00E87412"/>
    <w:rsid w:val="00E87514"/>
    <w:rsid w:val="00E8777B"/>
    <w:rsid w:val="00E877F3"/>
    <w:rsid w:val="00E8780B"/>
    <w:rsid w:val="00E87A04"/>
    <w:rsid w:val="00E87C51"/>
    <w:rsid w:val="00E900E0"/>
    <w:rsid w:val="00E90270"/>
    <w:rsid w:val="00E9027B"/>
    <w:rsid w:val="00E906BF"/>
    <w:rsid w:val="00E90ABC"/>
    <w:rsid w:val="00E90B7C"/>
    <w:rsid w:val="00E90BC1"/>
    <w:rsid w:val="00E90C62"/>
    <w:rsid w:val="00E91288"/>
    <w:rsid w:val="00E91505"/>
    <w:rsid w:val="00E9151A"/>
    <w:rsid w:val="00E91568"/>
    <w:rsid w:val="00E915BA"/>
    <w:rsid w:val="00E91655"/>
    <w:rsid w:val="00E916BE"/>
    <w:rsid w:val="00E91959"/>
    <w:rsid w:val="00E9196C"/>
    <w:rsid w:val="00E91B47"/>
    <w:rsid w:val="00E91B9F"/>
    <w:rsid w:val="00E91CA4"/>
    <w:rsid w:val="00E91E5A"/>
    <w:rsid w:val="00E92087"/>
    <w:rsid w:val="00E920A6"/>
    <w:rsid w:val="00E9215B"/>
    <w:rsid w:val="00E92244"/>
    <w:rsid w:val="00E9228A"/>
    <w:rsid w:val="00E923C4"/>
    <w:rsid w:val="00E923E0"/>
    <w:rsid w:val="00E92508"/>
    <w:rsid w:val="00E925DD"/>
    <w:rsid w:val="00E926A2"/>
    <w:rsid w:val="00E9270C"/>
    <w:rsid w:val="00E927E1"/>
    <w:rsid w:val="00E92853"/>
    <w:rsid w:val="00E928AE"/>
    <w:rsid w:val="00E92953"/>
    <w:rsid w:val="00E929EC"/>
    <w:rsid w:val="00E92AAD"/>
    <w:rsid w:val="00E92E84"/>
    <w:rsid w:val="00E92ECA"/>
    <w:rsid w:val="00E92F70"/>
    <w:rsid w:val="00E9323D"/>
    <w:rsid w:val="00E932C2"/>
    <w:rsid w:val="00E9334C"/>
    <w:rsid w:val="00E9338E"/>
    <w:rsid w:val="00E935AA"/>
    <w:rsid w:val="00E936E5"/>
    <w:rsid w:val="00E937E3"/>
    <w:rsid w:val="00E93B8A"/>
    <w:rsid w:val="00E93CCD"/>
    <w:rsid w:val="00E94096"/>
    <w:rsid w:val="00E940F1"/>
    <w:rsid w:val="00E94240"/>
    <w:rsid w:val="00E942C2"/>
    <w:rsid w:val="00E9441B"/>
    <w:rsid w:val="00E94689"/>
    <w:rsid w:val="00E9483A"/>
    <w:rsid w:val="00E948B0"/>
    <w:rsid w:val="00E94B50"/>
    <w:rsid w:val="00E94B8F"/>
    <w:rsid w:val="00E94BD5"/>
    <w:rsid w:val="00E94E84"/>
    <w:rsid w:val="00E95090"/>
    <w:rsid w:val="00E95095"/>
    <w:rsid w:val="00E95242"/>
    <w:rsid w:val="00E954C3"/>
    <w:rsid w:val="00E95846"/>
    <w:rsid w:val="00E9587E"/>
    <w:rsid w:val="00E95A2A"/>
    <w:rsid w:val="00E95E77"/>
    <w:rsid w:val="00E95EC6"/>
    <w:rsid w:val="00E95F1C"/>
    <w:rsid w:val="00E96330"/>
    <w:rsid w:val="00E96635"/>
    <w:rsid w:val="00E96800"/>
    <w:rsid w:val="00E96CD7"/>
    <w:rsid w:val="00E970BA"/>
    <w:rsid w:val="00E97239"/>
    <w:rsid w:val="00E974C2"/>
    <w:rsid w:val="00E97679"/>
    <w:rsid w:val="00E97D66"/>
    <w:rsid w:val="00E97E67"/>
    <w:rsid w:val="00E97F66"/>
    <w:rsid w:val="00EA00C1"/>
    <w:rsid w:val="00EA01F0"/>
    <w:rsid w:val="00EA04CA"/>
    <w:rsid w:val="00EA04F4"/>
    <w:rsid w:val="00EA065F"/>
    <w:rsid w:val="00EA06C0"/>
    <w:rsid w:val="00EA07E2"/>
    <w:rsid w:val="00EA0912"/>
    <w:rsid w:val="00EA0BEB"/>
    <w:rsid w:val="00EA0D29"/>
    <w:rsid w:val="00EA10D7"/>
    <w:rsid w:val="00EA1198"/>
    <w:rsid w:val="00EA13F1"/>
    <w:rsid w:val="00EA148B"/>
    <w:rsid w:val="00EA155D"/>
    <w:rsid w:val="00EA1AEE"/>
    <w:rsid w:val="00EA1C7C"/>
    <w:rsid w:val="00EA1DCE"/>
    <w:rsid w:val="00EA2020"/>
    <w:rsid w:val="00EA208E"/>
    <w:rsid w:val="00EA22FF"/>
    <w:rsid w:val="00EA230E"/>
    <w:rsid w:val="00EA24D8"/>
    <w:rsid w:val="00EA2545"/>
    <w:rsid w:val="00EA2587"/>
    <w:rsid w:val="00EA25C7"/>
    <w:rsid w:val="00EA2D42"/>
    <w:rsid w:val="00EA2D44"/>
    <w:rsid w:val="00EA2D8C"/>
    <w:rsid w:val="00EA2F13"/>
    <w:rsid w:val="00EA30A5"/>
    <w:rsid w:val="00EA3100"/>
    <w:rsid w:val="00EA3183"/>
    <w:rsid w:val="00EA3629"/>
    <w:rsid w:val="00EA3872"/>
    <w:rsid w:val="00EA3A6B"/>
    <w:rsid w:val="00EA3DDC"/>
    <w:rsid w:val="00EA3E35"/>
    <w:rsid w:val="00EA4118"/>
    <w:rsid w:val="00EA4202"/>
    <w:rsid w:val="00EA420C"/>
    <w:rsid w:val="00EA4235"/>
    <w:rsid w:val="00EA436B"/>
    <w:rsid w:val="00EA45E6"/>
    <w:rsid w:val="00EA463B"/>
    <w:rsid w:val="00EA491A"/>
    <w:rsid w:val="00EA4B04"/>
    <w:rsid w:val="00EA4C2A"/>
    <w:rsid w:val="00EA4E21"/>
    <w:rsid w:val="00EA4E70"/>
    <w:rsid w:val="00EA4EE5"/>
    <w:rsid w:val="00EA4F12"/>
    <w:rsid w:val="00EA5105"/>
    <w:rsid w:val="00EA518F"/>
    <w:rsid w:val="00EA52E3"/>
    <w:rsid w:val="00EA552E"/>
    <w:rsid w:val="00EA593C"/>
    <w:rsid w:val="00EA5C99"/>
    <w:rsid w:val="00EA5FE2"/>
    <w:rsid w:val="00EA655D"/>
    <w:rsid w:val="00EA66F7"/>
    <w:rsid w:val="00EA68CD"/>
    <w:rsid w:val="00EA6A31"/>
    <w:rsid w:val="00EA6B70"/>
    <w:rsid w:val="00EA6BD0"/>
    <w:rsid w:val="00EA6CF7"/>
    <w:rsid w:val="00EA6FE7"/>
    <w:rsid w:val="00EA7084"/>
    <w:rsid w:val="00EA7922"/>
    <w:rsid w:val="00EA7A4F"/>
    <w:rsid w:val="00EA7BBB"/>
    <w:rsid w:val="00EA7F2F"/>
    <w:rsid w:val="00EB00EB"/>
    <w:rsid w:val="00EB04EE"/>
    <w:rsid w:val="00EB081D"/>
    <w:rsid w:val="00EB0923"/>
    <w:rsid w:val="00EB09ED"/>
    <w:rsid w:val="00EB0BA4"/>
    <w:rsid w:val="00EB13BD"/>
    <w:rsid w:val="00EB15AE"/>
    <w:rsid w:val="00EB1717"/>
    <w:rsid w:val="00EB1C35"/>
    <w:rsid w:val="00EB1F62"/>
    <w:rsid w:val="00EB2389"/>
    <w:rsid w:val="00EB2530"/>
    <w:rsid w:val="00EB2EE1"/>
    <w:rsid w:val="00EB3131"/>
    <w:rsid w:val="00EB3185"/>
    <w:rsid w:val="00EB32BA"/>
    <w:rsid w:val="00EB3517"/>
    <w:rsid w:val="00EB3599"/>
    <w:rsid w:val="00EB359D"/>
    <w:rsid w:val="00EB35F0"/>
    <w:rsid w:val="00EB3632"/>
    <w:rsid w:val="00EB3782"/>
    <w:rsid w:val="00EB3786"/>
    <w:rsid w:val="00EB37D6"/>
    <w:rsid w:val="00EB3900"/>
    <w:rsid w:val="00EB3C00"/>
    <w:rsid w:val="00EB3CE4"/>
    <w:rsid w:val="00EB3D5D"/>
    <w:rsid w:val="00EB3E14"/>
    <w:rsid w:val="00EB3E4A"/>
    <w:rsid w:val="00EB3ECA"/>
    <w:rsid w:val="00EB429A"/>
    <w:rsid w:val="00EB4640"/>
    <w:rsid w:val="00EB46EC"/>
    <w:rsid w:val="00EB473B"/>
    <w:rsid w:val="00EB4DA6"/>
    <w:rsid w:val="00EB4DB1"/>
    <w:rsid w:val="00EB4E48"/>
    <w:rsid w:val="00EB4ECF"/>
    <w:rsid w:val="00EB508D"/>
    <w:rsid w:val="00EB5292"/>
    <w:rsid w:val="00EB53C7"/>
    <w:rsid w:val="00EB56FC"/>
    <w:rsid w:val="00EB570C"/>
    <w:rsid w:val="00EB5B58"/>
    <w:rsid w:val="00EB5E57"/>
    <w:rsid w:val="00EB5F41"/>
    <w:rsid w:val="00EB6001"/>
    <w:rsid w:val="00EB6019"/>
    <w:rsid w:val="00EB618D"/>
    <w:rsid w:val="00EB62E3"/>
    <w:rsid w:val="00EB6409"/>
    <w:rsid w:val="00EB64F2"/>
    <w:rsid w:val="00EB69EF"/>
    <w:rsid w:val="00EB6B9A"/>
    <w:rsid w:val="00EB6DA4"/>
    <w:rsid w:val="00EB724B"/>
    <w:rsid w:val="00EB744A"/>
    <w:rsid w:val="00EB756A"/>
    <w:rsid w:val="00EB7643"/>
    <w:rsid w:val="00EB769A"/>
    <w:rsid w:val="00EB7D26"/>
    <w:rsid w:val="00EC0122"/>
    <w:rsid w:val="00EC0159"/>
    <w:rsid w:val="00EC016F"/>
    <w:rsid w:val="00EC021C"/>
    <w:rsid w:val="00EC0323"/>
    <w:rsid w:val="00EC03C0"/>
    <w:rsid w:val="00EC03F6"/>
    <w:rsid w:val="00EC04BE"/>
    <w:rsid w:val="00EC0523"/>
    <w:rsid w:val="00EC070A"/>
    <w:rsid w:val="00EC0827"/>
    <w:rsid w:val="00EC0A34"/>
    <w:rsid w:val="00EC0E61"/>
    <w:rsid w:val="00EC0EDA"/>
    <w:rsid w:val="00EC10C3"/>
    <w:rsid w:val="00EC10CB"/>
    <w:rsid w:val="00EC12E2"/>
    <w:rsid w:val="00EC17AA"/>
    <w:rsid w:val="00EC188F"/>
    <w:rsid w:val="00EC1AAC"/>
    <w:rsid w:val="00EC1C0B"/>
    <w:rsid w:val="00EC1C6A"/>
    <w:rsid w:val="00EC1FBD"/>
    <w:rsid w:val="00EC200E"/>
    <w:rsid w:val="00EC226B"/>
    <w:rsid w:val="00EC240F"/>
    <w:rsid w:val="00EC286D"/>
    <w:rsid w:val="00EC2E5E"/>
    <w:rsid w:val="00EC2E6E"/>
    <w:rsid w:val="00EC3387"/>
    <w:rsid w:val="00EC4205"/>
    <w:rsid w:val="00EC43C0"/>
    <w:rsid w:val="00EC43F0"/>
    <w:rsid w:val="00EC4677"/>
    <w:rsid w:val="00EC4705"/>
    <w:rsid w:val="00EC4763"/>
    <w:rsid w:val="00EC4B80"/>
    <w:rsid w:val="00EC4CA1"/>
    <w:rsid w:val="00EC5059"/>
    <w:rsid w:val="00EC5254"/>
    <w:rsid w:val="00EC53CF"/>
    <w:rsid w:val="00EC53F6"/>
    <w:rsid w:val="00EC5522"/>
    <w:rsid w:val="00EC55A3"/>
    <w:rsid w:val="00EC55B9"/>
    <w:rsid w:val="00EC56C7"/>
    <w:rsid w:val="00EC5761"/>
    <w:rsid w:val="00EC5763"/>
    <w:rsid w:val="00EC57A5"/>
    <w:rsid w:val="00EC57CA"/>
    <w:rsid w:val="00EC57E0"/>
    <w:rsid w:val="00EC5BF0"/>
    <w:rsid w:val="00EC5D44"/>
    <w:rsid w:val="00EC5FA1"/>
    <w:rsid w:val="00EC60CC"/>
    <w:rsid w:val="00EC6481"/>
    <w:rsid w:val="00EC6498"/>
    <w:rsid w:val="00EC67B9"/>
    <w:rsid w:val="00EC67E9"/>
    <w:rsid w:val="00EC68E5"/>
    <w:rsid w:val="00EC7581"/>
    <w:rsid w:val="00EC7655"/>
    <w:rsid w:val="00EC7922"/>
    <w:rsid w:val="00EC7971"/>
    <w:rsid w:val="00EC79D7"/>
    <w:rsid w:val="00EC7A94"/>
    <w:rsid w:val="00EC7D65"/>
    <w:rsid w:val="00EC7E7D"/>
    <w:rsid w:val="00EC7E7F"/>
    <w:rsid w:val="00EC7F27"/>
    <w:rsid w:val="00ED0089"/>
    <w:rsid w:val="00ED0155"/>
    <w:rsid w:val="00ED03BB"/>
    <w:rsid w:val="00ED0573"/>
    <w:rsid w:val="00ED0593"/>
    <w:rsid w:val="00ED05FE"/>
    <w:rsid w:val="00ED0667"/>
    <w:rsid w:val="00ED0753"/>
    <w:rsid w:val="00ED0805"/>
    <w:rsid w:val="00ED0961"/>
    <w:rsid w:val="00ED0DB1"/>
    <w:rsid w:val="00ED0F25"/>
    <w:rsid w:val="00ED10DD"/>
    <w:rsid w:val="00ED124D"/>
    <w:rsid w:val="00ED1324"/>
    <w:rsid w:val="00ED13CD"/>
    <w:rsid w:val="00ED173B"/>
    <w:rsid w:val="00ED18D9"/>
    <w:rsid w:val="00ED1AEB"/>
    <w:rsid w:val="00ED1CBE"/>
    <w:rsid w:val="00ED1E21"/>
    <w:rsid w:val="00ED1FD7"/>
    <w:rsid w:val="00ED1FEA"/>
    <w:rsid w:val="00ED2236"/>
    <w:rsid w:val="00ED2269"/>
    <w:rsid w:val="00ED27DE"/>
    <w:rsid w:val="00ED2D14"/>
    <w:rsid w:val="00ED2F72"/>
    <w:rsid w:val="00ED307F"/>
    <w:rsid w:val="00ED3390"/>
    <w:rsid w:val="00ED33CE"/>
    <w:rsid w:val="00ED3443"/>
    <w:rsid w:val="00ED3507"/>
    <w:rsid w:val="00ED358A"/>
    <w:rsid w:val="00ED35AD"/>
    <w:rsid w:val="00ED3671"/>
    <w:rsid w:val="00ED3733"/>
    <w:rsid w:val="00ED3786"/>
    <w:rsid w:val="00ED3936"/>
    <w:rsid w:val="00ED3C73"/>
    <w:rsid w:val="00ED42B9"/>
    <w:rsid w:val="00ED435E"/>
    <w:rsid w:val="00ED43A8"/>
    <w:rsid w:val="00ED45A7"/>
    <w:rsid w:val="00ED4710"/>
    <w:rsid w:val="00ED481F"/>
    <w:rsid w:val="00ED48C5"/>
    <w:rsid w:val="00ED4BDD"/>
    <w:rsid w:val="00ED4E0B"/>
    <w:rsid w:val="00ED4EBA"/>
    <w:rsid w:val="00ED4F32"/>
    <w:rsid w:val="00ED51A9"/>
    <w:rsid w:val="00ED54CB"/>
    <w:rsid w:val="00ED5778"/>
    <w:rsid w:val="00ED59DA"/>
    <w:rsid w:val="00ED59E2"/>
    <w:rsid w:val="00ED5A6D"/>
    <w:rsid w:val="00ED5D7D"/>
    <w:rsid w:val="00ED5F29"/>
    <w:rsid w:val="00ED5F37"/>
    <w:rsid w:val="00ED616A"/>
    <w:rsid w:val="00ED63CE"/>
    <w:rsid w:val="00ED652C"/>
    <w:rsid w:val="00ED6723"/>
    <w:rsid w:val="00ED69EB"/>
    <w:rsid w:val="00ED69F3"/>
    <w:rsid w:val="00ED6B13"/>
    <w:rsid w:val="00ED6CB5"/>
    <w:rsid w:val="00ED7175"/>
    <w:rsid w:val="00ED71DC"/>
    <w:rsid w:val="00ED793D"/>
    <w:rsid w:val="00ED7955"/>
    <w:rsid w:val="00ED7C0F"/>
    <w:rsid w:val="00ED7DBC"/>
    <w:rsid w:val="00ED7F43"/>
    <w:rsid w:val="00EE003C"/>
    <w:rsid w:val="00EE0174"/>
    <w:rsid w:val="00EE04C6"/>
    <w:rsid w:val="00EE0771"/>
    <w:rsid w:val="00EE0790"/>
    <w:rsid w:val="00EE089F"/>
    <w:rsid w:val="00EE08D6"/>
    <w:rsid w:val="00EE0B1D"/>
    <w:rsid w:val="00EE10D5"/>
    <w:rsid w:val="00EE1311"/>
    <w:rsid w:val="00EE1367"/>
    <w:rsid w:val="00EE16E0"/>
    <w:rsid w:val="00EE16E2"/>
    <w:rsid w:val="00EE1864"/>
    <w:rsid w:val="00EE1A6E"/>
    <w:rsid w:val="00EE1CC6"/>
    <w:rsid w:val="00EE1F60"/>
    <w:rsid w:val="00EE23B1"/>
    <w:rsid w:val="00EE2588"/>
    <w:rsid w:val="00EE25FD"/>
    <w:rsid w:val="00EE27F7"/>
    <w:rsid w:val="00EE2948"/>
    <w:rsid w:val="00EE2C1C"/>
    <w:rsid w:val="00EE2FF2"/>
    <w:rsid w:val="00EE3129"/>
    <w:rsid w:val="00EE398E"/>
    <w:rsid w:val="00EE3A2A"/>
    <w:rsid w:val="00EE3B71"/>
    <w:rsid w:val="00EE3DED"/>
    <w:rsid w:val="00EE3E0C"/>
    <w:rsid w:val="00EE411A"/>
    <w:rsid w:val="00EE4389"/>
    <w:rsid w:val="00EE43F4"/>
    <w:rsid w:val="00EE450F"/>
    <w:rsid w:val="00EE47E1"/>
    <w:rsid w:val="00EE4897"/>
    <w:rsid w:val="00EE48AA"/>
    <w:rsid w:val="00EE4998"/>
    <w:rsid w:val="00EE4AEE"/>
    <w:rsid w:val="00EE4BD4"/>
    <w:rsid w:val="00EE5075"/>
    <w:rsid w:val="00EE51DB"/>
    <w:rsid w:val="00EE53A3"/>
    <w:rsid w:val="00EE5408"/>
    <w:rsid w:val="00EE54CD"/>
    <w:rsid w:val="00EE5509"/>
    <w:rsid w:val="00EE5887"/>
    <w:rsid w:val="00EE5994"/>
    <w:rsid w:val="00EE5B3B"/>
    <w:rsid w:val="00EE5C80"/>
    <w:rsid w:val="00EE5CF3"/>
    <w:rsid w:val="00EE5D4D"/>
    <w:rsid w:val="00EE6496"/>
    <w:rsid w:val="00EE64E5"/>
    <w:rsid w:val="00EE6503"/>
    <w:rsid w:val="00EE66BB"/>
    <w:rsid w:val="00EE6BBB"/>
    <w:rsid w:val="00EE6D8A"/>
    <w:rsid w:val="00EE6EAB"/>
    <w:rsid w:val="00EE7377"/>
    <w:rsid w:val="00EE7F6F"/>
    <w:rsid w:val="00EE7F91"/>
    <w:rsid w:val="00EF0027"/>
    <w:rsid w:val="00EF006A"/>
    <w:rsid w:val="00EF081F"/>
    <w:rsid w:val="00EF0A26"/>
    <w:rsid w:val="00EF0B2B"/>
    <w:rsid w:val="00EF0C21"/>
    <w:rsid w:val="00EF0F21"/>
    <w:rsid w:val="00EF0FD2"/>
    <w:rsid w:val="00EF1088"/>
    <w:rsid w:val="00EF10EE"/>
    <w:rsid w:val="00EF12B0"/>
    <w:rsid w:val="00EF134D"/>
    <w:rsid w:val="00EF1384"/>
    <w:rsid w:val="00EF1485"/>
    <w:rsid w:val="00EF14A1"/>
    <w:rsid w:val="00EF152D"/>
    <w:rsid w:val="00EF1697"/>
    <w:rsid w:val="00EF1968"/>
    <w:rsid w:val="00EF19F1"/>
    <w:rsid w:val="00EF1C88"/>
    <w:rsid w:val="00EF1D97"/>
    <w:rsid w:val="00EF1EC0"/>
    <w:rsid w:val="00EF1F65"/>
    <w:rsid w:val="00EF21F0"/>
    <w:rsid w:val="00EF2236"/>
    <w:rsid w:val="00EF24E4"/>
    <w:rsid w:val="00EF25E4"/>
    <w:rsid w:val="00EF26A9"/>
    <w:rsid w:val="00EF27FB"/>
    <w:rsid w:val="00EF2875"/>
    <w:rsid w:val="00EF2A24"/>
    <w:rsid w:val="00EF2D2A"/>
    <w:rsid w:val="00EF2E3F"/>
    <w:rsid w:val="00EF33E7"/>
    <w:rsid w:val="00EF389D"/>
    <w:rsid w:val="00EF3E04"/>
    <w:rsid w:val="00EF3ED2"/>
    <w:rsid w:val="00EF3FAD"/>
    <w:rsid w:val="00EF4017"/>
    <w:rsid w:val="00EF498C"/>
    <w:rsid w:val="00EF4B64"/>
    <w:rsid w:val="00EF4B97"/>
    <w:rsid w:val="00EF4FD6"/>
    <w:rsid w:val="00EF5208"/>
    <w:rsid w:val="00EF54B2"/>
    <w:rsid w:val="00EF55DA"/>
    <w:rsid w:val="00EF5618"/>
    <w:rsid w:val="00EF59D5"/>
    <w:rsid w:val="00EF5A46"/>
    <w:rsid w:val="00EF5B0C"/>
    <w:rsid w:val="00EF5BE5"/>
    <w:rsid w:val="00EF5F3E"/>
    <w:rsid w:val="00EF605D"/>
    <w:rsid w:val="00EF65E4"/>
    <w:rsid w:val="00EF66BA"/>
    <w:rsid w:val="00EF66F9"/>
    <w:rsid w:val="00EF68C7"/>
    <w:rsid w:val="00EF6A82"/>
    <w:rsid w:val="00EF6CC8"/>
    <w:rsid w:val="00EF73AC"/>
    <w:rsid w:val="00EF7459"/>
    <w:rsid w:val="00EF7560"/>
    <w:rsid w:val="00EF7992"/>
    <w:rsid w:val="00EF7B73"/>
    <w:rsid w:val="00EF7B76"/>
    <w:rsid w:val="00EF7D00"/>
    <w:rsid w:val="00EF7D22"/>
    <w:rsid w:val="00F00221"/>
    <w:rsid w:val="00F00453"/>
    <w:rsid w:val="00F0059C"/>
    <w:rsid w:val="00F006A6"/>
    <w:rsid w:val="00F00830"/>
    <w:rsid w:val="00F009A6"/>
    <w:rsid w:val="00F00C2C"/>
    <w:rsid w:val="00F00F71"/>
    <w:rsid w:val="00F00F8F"/>
    <w:rsid w:val="00F01163"/>
    <w:rsid w:val="00F0191B"/>
    <w:rsid w:val="00F01C54"/>
    <w:rsid w:val="00F01D00"/>
    <w:rsid w:val="00F02003"/>
    <w:rsid w:val="00F0236A"/>
    <w:rsid w:val="00F02404"/>
    <w:rsid w:val="00F02412"/>
    <w:rsid w:val="00F0289D"/>
    <w:rsid w:val="00F029DD"/>
    <w:rsid w:val="00F02DAC"/>
    <w:rsid w:val="00F02DB3"/>
    <w:rsid w:val="00F02E57"/>
    <w:rsid w:val="00F02EEE"/>
    <w:rsid w:val="00F032F0"/>
    <w:rsid w:val="00F03300"/>
    <w:rsid w:val="00F03380"/>
    <w:rsid w:val="00F03560"/>
    <w:rsid w:val="00F0397A"/>
    <w:rsid w:val="00F03A3E"/>
    <w:rsid w:val="00F03B58"/>
    <w:rsid w:val="00F03D63"/>
    <w:rsid w:val="00F043CD"/>
    <w:rsid w:val="00F043D2"/>
    <w:rsid w:val="00F04814"/>
    <w:rsid w:val="00F04B6B"/>
    <w:rsid w:val="00F04C45"/>
    <w:rsid w:val="00F050BF"/>
    <w:rsid w:val="00F05756"/>
    <w:rsid w:val="00F0577F"/>
    <w:rsid w:val="00F058A6"/>
    <w:rsid w:val="00F058AF"/>
    <w:rsid w:val="00F05D5A"/>
    <w:rsid w:val="00F05DD1"/>
    <w:rsid w:val="00F05F93"/>
    <w:rsid w:val="00F05FF2"/>
    <w:rsid w:val="00F06175"/>
    <w:rsid w:val="00F062CF"/>
    <w:rsid w:val="00F06351"/>
    <w:rsid w:val="00F06478"/>
    <w:rsid w:val="00F06483"/>
    <w:rsid w:val="00F0648B"/>
    <w:rsid w:val="00F065C4"/>
    <w:rsid w:val="00F06642"/>
    <w:rsid w:val="00F06764"/>
    <w:rsid w:val="00F06ADC"/>
    <w:rsid w:val="00F06BAE"/>
    <w:rsid w:val="00F06C8A"/>
    <w:rsid w:val="00F06E9E"/>
    <w:rsid w:val="00F06F42"/>
    <w:rsid w:val="00F07059"/>
    <w:rsid w:val="00F07155"/>
    <w:rsid w:val="00F0743E"/>
    <w:rsid w:val="00F0749F"/>
    <w:rsid w:val="00F076D5"/>
    <w:rsid w:val="00F076EB"/>
    <w:rsid w:val="00F07884"/>
    <w:rsid w:val="00F07A21"/>
    <w:rsid w:val="00F07D0B"/>
    <w:rsid w:val="00F07F8C"/>
    <w:rsid w:val="00F101E4"/>
    <w:rsid w:val="00F10244"/>
    <w:rsid w:val="00F1025D"/>
    <w:rsid w:val="00F10772"/>
    <w:rsid w:val="00F10878"/>
    <w:rsid w:val="00F10A1A"/>
    <w:rsid w:val="00F10A6A"/>
    <w:rsid w:val="00F10BA9"/>
    <w:rsid w:val="00F10E60"/>
    <w:rsid w:val="00F10EC7"/>
    <w:rsid w:val="00F10FFE"/>
    <w:rsid w:val="00F11038"/>
    <w:rsid w:val="00F11104"/>
    <w:rsid w:val="00F1138D"/>
    <w:rsid w:val="00F11749"/>
    <w:rsid w:val="00F11910"/>
    <w:rsid w:val="00F11BFF"/>
    <w:rsid w:val="00F11CBD"/>
    <w:rsid w:val="00F12159"/>
    <w:rsid w:val="00F12211"/>
    <w:rsid w:val="00F12642"/>
    <w:rsid w:val="00F12B4D"/>
    <w:rsid w:val="00F12EEA"/>
    <w:rsid w:val="00F12FA2"/>
    <w:rsid w:val="00F1320C"/>
    <w:rsid w:val="00F13300"/>
    <w:rsid w:val="00F13630"/>
    <w:rsid w:val="00F1398E"/>
    <w:rsid w:val="00F13C5D"/>
    <w:rsid w:val="00F13D7F"/>
    <w:rsid w:val="00F13F64"/>
    <w:rsid w:val="00F14449"/>
    <w:rsid w:val="00F147CA"/>
    <w:rsid w:val="00F1491F"/>
    <w:rsid w:val="00F14973"/>
    <w:rsid w:val="00F14A8A"/>
    <w:rsid w:val="00F14B47"/>
    <w:rsid w:val="00F14FFF"/>
    <w:rsid w:val="00F1512C"/>
    <w:rsid w:val="00F15161"/>
    <w:rsid w:val="00F1573C"/>
    <w:rsid w:val="00F15B51"/>
    <w:rsid w:val="00F15B9B"/>
    <w:rsid w:val="00F15D53"/>
    <w:rsid w:val="00F15DE3"/>
    <w:rsid w:val="00F15ECC"/>
    <w:rsid w:val="00F16035"/>
    <w:rsid w:val="00F1607B"/>
    <w:rsid w:val="00F1609A"/>
    <w:rsid w:val="00F16171"/>
    <w:rsid w:val="00F16248"/>
    <w:rsid w:val="00F16365"/>
    <w:rsid w:val="00F167FB"/>
    <w:rsid w:val="00F168DF"/>
    <w:rsid w:val="00F16B2B"/>
    <w:rsid w:val="00F16B93"/>
    <w:rsid w:val="00F16FD2"/>
    <w:rsid w:val="00F17193"/>
    <w:rsid w:val="00F17616"/>
    <w:rsid w:val="00F17915"/>
    <w:rsid w:val="00F17E15"/>
    <w:rsid w:val="00F17E58"/>
    <w:rsid w:val="00F20159"/>
    <w:rsid w:val="00F20758"/>
    <w:rsid w:val="00F208C0"/>
    <w:rsid w:val="00F20A41"/>
    <w:rsid w:val="00F20B7D"/>
    <w:rsid w:val="00F20D53"/>
    <w:rsid w:val="00F20E3D"/>
    <w:rsid w:val="00F2102D"/>
    <w:rsid w:val="00F210D0"/>
    <w:rsid w:val="00F21573"/>
    <w:rsid w:val="00F2178F"/>
    <w:rsid w:val="00F217E5"/>
    <w:rsid w:val="00F21E27"/>
    <w:rsid w:val="00F21F86"/>
    <w:rsid w:val="00F22007"/>
    <w:rsid w:val="00F22128"/>
    <w:rsid w:val="00F224A3"/>
    <w:rsid w:val="00F2271E"/>
    <w:rsid w:val="00F22901"/>
    <w:rsid w:val="00F22AB8"/>
    <w:rsid w:val="00F22BE2"/>
    <w:rsid w:val="00F22CA8"/>
    <w:rsid w:val="00F22D89"/>
    <w:rsid w:val="00F23406"/>
    <w:rsid w:val="00F234E2"/>
    <w:rsid w:val="00F23539"/>
    <w:rsid w:val="00F2353C"/>
    <w:rsid w:val="00F235B4"/>
    <w:rsid w:val="00F2369F"/>
    <w:rsid w:val="00F236AA"/>
    <w:rsid w:val="00F236B8"/>
    <w:rsid w:val="00F23730"/>
    <w:rsid w:val="00F238C2"/>
    <w:rsid w:val="00F23AB9"/>
    <w:rsid w:val="00F23B6D"/>
    <w:rsid w:val="00F23BB6"/>
    <w:rsid w:val="00F23EF5"/>
    <w:rsid w:val="00F23FC4"/>
    <w:rsid w:val="00F24069"/>
    <w:rsid w:val="00F24533"/>
    <w:rsid w:val="00F24552"/>
    <w:rsid w:val="00F24563"/>
    <w:rsid w:val="00F24611"/>
    <w:rsid w:val="00F246C4"/>
    <w:rsid w:val="00F24735"/>
    <w:rsid w:val="00F247CC"/>
    <w:rsid w:val="00F24914"/>
    <w:rsid w:val="00F24AF8"/>
    <w:rsid w:val="00F24B74"/>
    <w:rsid w:val="00F24CC2"/>
    <w:rsid w:val="00F253D8"/>
    <w:rsid w:val="00F254EB"/>
    <w:rsid w:val="00F25523"/>
    <w:rsid w:val="00F2571D"/>
    <w:rsid w:val="00F258BE"/>
    <w:rsid w:val="00F25A9D"/>
    <w:rsid w:val="00F25EA6"/>
    <w:rsid w:val="00F25F99"/>
    <w:rsid w:val="00F26172"/>
    <w:rsid w:val="00F26387"/>
    <w:rsid w:val="00F26394"/>
    <w:rsid w:val="00F26411"/>
    <w:rsid w:val="00F26548"/>
    <w:rsid w:val="00F26634"/>
    <w:rsid w:val="00F26647"/>
    <w:rsid w:val="00F266B4"/>
    <w:rsid w:val="00F26924"/>
    <w:rsid w:val="00F26D13"/>
    <w:rsid w:val="00F26E14"/>
    <w:rsid w:val="00F26FB9"/>
    <w:rsid w:val="00F2720A"/>
    <w:rsid w:val="00F2722F"/>
    <w:rsid w:val="00F27407"/>
    <w:rsid w:val="00F278E4"/>
    <w:rsid w:val="00F27907"/>
    <w:rsid w:val="00F27CBE"/>
    <w:rsid w:val="00F27E92"/>
    <w:rsid w:val="00F30024"/>
    <w:rsid w:val="00F3003C"/>
    <w:rsid w:val="00F3010B"/>
    <w:rsid w:val="00F30242"/>
    <w:rsid w:val="00F30269"/>
    <w:rsid w:val="00F302F0"/>
    <w:rsid w:val="00F30721"/>
    <w:rsid w:val="00F307B9"/>
    <w:rsid w:val="00F307D5"/>
    <w:rsid w:val="00F30CCC"/>
    <w:rsid w:val="00F30CE1"/>
    <w:rsid w:val="00F30DC7"/>
    <w:rsid w:val="00F30E55"/>
    <w:rsid w:val="00F30E7D"/>
    <w:rsid w:val="00F30EF7"/>
    <w:rsid w:val="00F310F0"/>
    <w:rsid w:val="00F31497"/>
    <w:rsid w:val="00F31816"/>
    <w:rsid w:val="00F318C6"/>
    <w:rsid w:val="00F31AB6"/>
    <w:rsid w:val="00F320B1"/>
    <w:rsid w:val="00F32640"/>
    <w:rsid w:val="00F32704"/>
    <w:rsid w:val="00F3278F"/>
    <w:rsid w:val="00F327F9"/>
    <w:rsid w:val="00F32A8B"/>
    <w:rsid w:val="00F32B60"/>
    <w:rsid w:val="00F32C0B"/>
    <w:rsid w:val="00F32C5C"/>
    <w:rsid w:val="00F32D38"/>
    <w:rsid w:val="00F33039"/>
    <w:rsid w:val="00F33291"/>
    <w:rsid w:val="00F3383A"/>
    <w:rsid w:val="00F33989"/>
    <w:rsid w:val="00F33DF0"/>
    <w:rsid w:val="00F3455B"/>
    <w:rsid w:val="00F34677"/>
    <w:rsid w:val="00F348CB"/>
    <w:rsid w:val="00F34956"/>
    <w:rsid w:val="00F349F5"/>
    <w:rsid w:val="00F34A85"/>
    <w:rsid w:val="00F34B23"/>
    <w:rsid w:val="00F34B5B"/>
    <w:rsid w:val="00F34D3F"/>
    <w:rsid w:val="00F34D75"/>
    <w:rsid w:val="00F34E2D"/>
    <w:rsid w:val="00F35247"/>
    <w:rsid w:val="00F3544E"/>
    <w:rsid w:val="00F355FD"/>
    <w:rsid w:val="00F356E9"/>
    <w:rsid w:val="00F3593E"/>
    <w:rsid w:val="00F35971"/>
    <w:rsid w:val="00F35982"/>
    <w:rsid w:val="00F35BD8"/>
    <w:rsid w:val="00F35C54"/>
    <w:rsid w:val="00F35D0B"/>
    <w:rsid w:val="00F35DCA"/>
    <w:rsid w:val="00F36001"/>
    <w:rsid w:val="00F36405"/>
    <w:rsid w:val="00F3655C"/>
    <w:rsid w:val="00F3690A"/>
    <w:rsid w:val="00F36A4D"/>
    <w:rsid w:val="00F36C28"/>
    <w:rsid w:val="00F36DD1"/>
    <w:rsid w:val="00F36DF2"/>
    <w:rsid w:val="00F37065"/>
    <w:rsid w:val="00F37092"/>
    <w:rsid w:val="00F3713C"/>
    <w:rsid w:val="00F379F9"/>
    <w:rsid w:val="00F37D63"/>
    <w:rsid w:val="00F405F9"/>
    <w:rsid w:val="00F40790"/>
    <w:rsid w:val="00F40913"/>
    <w:rsid w:val="00F40BEA"/>
    <w:rsid w:val="00F40C4D"/>
    <w:rsid w:val="00F40DC6"/>
    <w:rsid w:val="00F40E24"/>
    <w:rsid w:val="00F40F04"/>
    <w:rsid w:val="00F41103"/>
    <w:rsid w:val="00F41A20"/>
    <w:rsid w:val="00F41C1C"/>
    <w:rsid w:val="00F41CA0"/>
    <w:rsid w:val="00F41EAB"/>
    <w:rsid w:val="00F42245"/>
    <w:rsid w:val="00F424A4"/>
    <w:rsid w:val="00F424BC"/>
    <w:rsid w:val="00F42711"/>
    <w:rsid w:val="00F4282C"/>
    <w:rsid w:val="00F429A0"/>
    <w:rsid w:val="00F429CD"/>
    <w:rsid w:val="00F42C5B"/>
    <w:rsid w:val="00F42DDC"/>
    <w:rsid w:val="00F43149"/>
    <w:rsid w:val="00F431E6"/>
    <w:rsid w:val="00F431E8"/>
    <w:rsid w:val="00F43383"/>
    <w:rsid w:val="00F4352A"/>
    <w:rsid w:val="00F436FB"/>
    <w:rsid w:val="00F43A63"/>
    <w:rsid w:val="00F43CA5"/>
    <w:rsid w:val="00F44043"/>
    <w:rsid w:val="00F440EA"/>
    <w:rsid w:val="00F44225"/>
    <w:rsid w:val="00F445FE"/>
    <w:rsid w:val="00F44720"/>
    <w:rsid w:val="00F4479E"/>
    <w:rsid w:val="00F44877"/>
    <w:rsid w:val="00F44892"/>
    <w:rsid w:val="00F44B4D"/>
    <w:rsid w:val="00F44B6A"/>
    <w:rsid w:val="00F44BE5"/>
    <w:rsid w:val="00F44BF3"/>
    <w:rsid w:val="00F44DBF"/>
    <w:rsid w:val="00F44EF4"/>
    <w:rsid w:val="00F45001"/>
    <w:rsid w:val="00F45159"/>
    <w:rsid w:val="00F451AE"/>
    <w:rsid w:val="00F45361"/>
    <w:rsid w:val="00F45423"/>
    <w:rsid w:val="00F454C9"/>
    <w:rsid w:val="00F4584F"/>
    <w:rsid w:val="00F4598D"/>
    <w:rsid w:val="00F45E74"/>
    <w:rsid w:val="00F4600A"/>
    <w:rsid w:val="00F46073"/>
    <w:rsid w:val="00F460C2"/>
    <w:rsid w:val="00F4621C"/>
    <w:rsid w:val="00F46371"/>
    <w:rsid w:val="00F46652"/>
    <w:rsid w:val="00F46818"/>
    <w:rsid w:val="00F468A6"/>
    <w:rsid w:val="00F46A59"/>
    <w:rsid w:val="00F46A8E"/>
    <w:rsid w:val="00F46C6B"/>
    <w:rsid w:val="00F46D51"/>
    <w:rsid w:val="00F46FDB"/>
    <w:rsid w:val="00F47035"/>
    <w:rsid w:val="00F471B2"/>
    <w:rsid w:val="00F47574"/>
    <w:rsid w:val="00F47693"/>
    <w:rsid w:val="00F47774"/>
    <w:rsid w:val="00F47AE2"/>
    <w:rsid w:val="00F47D17"/>
    <w:rsid w:val="00F4B389"/>
    <w:rsid w:val="00F50708"/>
    <w:rsid w:val="00F5071E"/>
    <w:rsid w:val="00F507F0"/>
    <w:rsid w:val="00F508C9"/>
    <w:rsid w:val="00F509E8"/>
    <w:rsid w:val="00F50B47"/>
    <w:rsid w:val="00F50C64"/>
    <w:rsid w:val="00F50D17"/>
    <w:rsid w:val="00F50DD0"/>
    <w:rsid w:val="00F51442"/>
    <w:rsid w:val="00F51C5C"/>
    <w:rsid w:val="00F51CB3"/>
    <w:rsid w:val="00F521F0"/>
    <w:rsid w:val="00F52358"/>
    <w:rsid w:val="00F5241D"/>
    <w:rsid w:val="00F52950"/>
    <w:rsid w:val="00F52D97"/>
    <w:rsid w:val="00F530DE"/>
    <w:rsid w:val="00F53318"/>
    <w:rsid w:val="00F53528"/>
    <w:rsid w:val="00F53A53"/>
    <w:rsid w:val="00F53AE4"/>
    <w:rsid w:val="00F53B45"/>
    <w:rsid w:val="00F53DF1"/>
    <w:rsid w:val="00F54276"/>
    <w:rsid w:val="00F54418"/>
    <w:rsid w:val="00F54EBE"/>
    <w:rsid w:val="00F54EF5"/>
    <w:rsid w:val="00F55476"/>
    <w:rsid w:val="00F555DF"/>
    <w:rsid w:val="00F5567C"/>
    <w:rsid w:val="00F558BF"/>
    <w:rsid w:val="00F55D4F"/>
    <w:rsid w:val="00F55E6A"/>
    <w:rsid w:val="00F560D4"/>
    <w:rsid w:val="00F561D8"/>
    <w:rsid w:val="00F56390"/>
    <w:rsid w:val="00F565F6"/>
    <w:rsid w:val="00F56797"/>
    <w:rsid w:val="00F56B33"/>
    <w:rsid w:val="00F56BEF"/>
    <w:rsid w:val="00F56C14"/>
    <w:rsid w:val="00F56C26"/>
    <w:rsid w:val="00F56CB9"/>
    <w:rsid w:val="00F573D9"/>
    <w:rsid w:val="00F57556"/>
    <w:rsid w:val="00F575BD"/>
    <w:rsid w:val="00F577FC"/>
    <w:rsid w:val="00F57AE8"/>
    <w:rsid w:val="00F57BC0"/>
    <w:rsid w:val="00F57C16"/>
    <w:rsid w:val="00F57F93"/>
    <w:rsid w:val="00F603AE"/>
    <w:rsid w:val="00F603FD"/>
    <w:rsid w:val="00F60592"/>
    <w:rsid w:val="00F605C0"/>
    <w:rsid w:val="00F6073E"/>
    <w:rsid w:val="00F608EB"/>
    <w:rsid w:val="00F60DA5"/>
    <w:rsid w:val="00F60E2D"/>
    <w:rsid w:val="00F61000"/>
    <w:rsid w:val="00F610ED"/>
    <w:rsid w:val="00F6114D"/>
    <w:rsid w:val="00F61408"/>
    <w:rsid w:val="00F61737"/>
    <w:rsid w:val="00F61EA4"/>
    <w:rsid w:val="00F61F48"/>
    <w:rsid w:val="00F62142"/>
    <w:rsid w:val="00F6223B"/>
    <w:rsid w:val="00F6238D"/>
    <w:rsid w:val="00F62734"/>
    <w:rsid w:val="00F627F4"/>
    <w:rsid w:val="00F62CC0"/>
    <w:rsid w:val="00F62CFA"/>
    <w:rsid w:val="00F6309E"/>
    <w:rsid w:val="00F630DA"/>
    <w:rsid w:val="00F630E6"/>
    <w:rsid w:val="00F630F8"/>
    <w:rsid w:val="00F633F0"/>
    <w:rsid w:val="00F6347A"/>
    <w:rsid w:val="00F634DB"/>
    <w:rsid w:val="00F634EB"/>
    <w:rsid w:val="00F636C1"/>
    <w:rsid w:val="00F6379E"/>
    <w:rsid w:val="00F63801"/>
    <w:rsid w:val="00F6390F"/>
    <w:rsid w:val="00F63BC5"/>
    <w:rsid w:val="00F63EA0"/>
    <w:rsid w:val="00F6460A"/>
    <w:rsid w:val="00F64A67"/>
    <w:rsid w:val="00F64CB0"/>
    <w:rsid w:val="00F64CCA"/>
    <w:rsid w:val="00F650D7"/>
    <w:rsid w:val="00F65399"/>
    <w:rsid w:val="00F658F0"/>
    <w:rsid w:val="00F65AFA"/>
    <w:rsid w:val="00F65D85"/>
    <w:rsid w:val="00F65E34"/>
    <w:rsid w:val="00F6602B"/>
    <w:rsid w:val="00F664FF"/>
    <w:rsid w:val="00F66674"/>
    <w:rsid w:val="00F667D7"/>
    <w:rsid w:val="00F66AF0"/>
    <w:rsid w:val="00F66C5E"/>
    <w:rsid w:val="00F66DE8"/>
    <w:rsid w:val="00F66E8A"/>
    <w:rsid w:val="00F671CC"/>
    <w:rsid w:val="00F676D5"/>
    <w:rsid w:val="00F6794F"/>
    <w:rsid w:val="00F67A5A"/>
    <w:rsid w:val="00F67AFB"/>
    <w:rsid w:val="00F70049"/>
    <w:rsid w:val="00F70374"/>
    <w:rsid w:val="00F70565"/>
    <w:rsid w:val="00F70873"/>
    <w:rsid w:val="00F70BA3"/>
    <w:rsid w:val="00F70D86"/>
    <w:rsid w:val="00F711A7"/>
    <w:rsid w:val="00F7125B"/>
    <w:rsid w:val="00F71563"/>
    <w:rsid w:val="00F7156E"/>
    <w:rsid w:val="00F71597"/>
    <w:rsid w:val="00F71602"/>
    <w:rsid w:val="00F717E3"/>
    <w:rsid w:val="00F71885"/>
    <w:rsid w:val="00F7191A"/>
    <w:rsid w:val="00F71BB8"/>
    <w:rsid w:val="00F71F0F"/>
    <w:rsid w:val="00F721C3"/>
    <w:rsid w:val="00F72733"/>
    <w:rsid w:val="00F727A6"/>
    <w:rsid w:val="00F7284E"/>
    <w:rsid w:val="00F72903"/>
    <w:rsid w:val="00F72DD9"/>
    <w:rsid w:val="00F72EA1"/>
    <w:rsid w:val="00F72F74"/>
    <w:rsid w:val="00F73134"/>
    <w:rsid w:val="00F73615"/>
    <w:rsid w:val="00F73676"/>
    <w:rsid w:val="00F738AB"/>
    <w:rsid w:val="00F73B91"/>
    <w:rsid w:val="00F73BC0"/>
    <w:rsid w:val="00F73C85"/>
    <w:rsid w:val="00F73D08"/>
    <w:rsid w:val="00F73D70"/>
    <w:rsid w:val="00F73E3B"/>
    <w:rsid w:val="00F73E59"/>
    <w:rsid w:val="00F73F34"/>
    <w:rsid w:val="00F74A52"/>
    <w:rsid w:val="00F74A8D"/>
    <w:rsid w:val="00F74FA2"/>
    <w:rsid w:val="00F75445"/>
    <w:rsid w:val="00F75688"/>
    <w:rsid w:val="00F75735"/>
    <w:rsid w:val="00F75B47"/>
    <w:rsid w:val="00F75C0E"/>
    <w:rsid w:val="00F75C32"/>
    <w:rsid w:val="00F75EDF"/>
    <w:rsid w:val="00F76044"/>
    <w:rsid w:val="00F760A6"/>
    <w:rsid w:val="00F76192"/>
    <w:rsid w:val="00F76431"/>
    <w:rsid w:val="00F765C5"/>
    <w:rsid w:val="00F7660B"/>
    <w:rsid w:val="00F76885"/>
    <w:rsid w:val="00F76886"/>
    <w:rsid w:val="00F76C71"/>
    <w:rsid w:val="00F77144"/>
    <w:rsid w:val="00F7715A"/>
    <w:rsid w:val="00F7719D"/>
    <w:rsid w:val="00F7743C"/>
    <w:rsid w:val="00F7744F"/>
    <w:rsid w:val="00F77748"/>
    <w:rsid w:val="00F77802"/>
    <w:rsid w:val="00F7795E"/>
    <w:rsid w:val="00F77AE7"/>
    <w:rsid w:val="00F77BC3"/>
    <w:rsid w:val="00F77C01"/>
    <w:rsid w:val="00F77CFA"/>
    <w:rsid w:val="00F77DE8"/>
    <w:rsid w:val="00F77EE4"/>
    <w:rsid w:val="00F77F00"/>
    <w:rsid w:val="00F800E5"/>
    <w:rsid w:val="00F80282"/>
    <w:rsid w:val="00F8043F"/>
    <w:rsid w:val="00F804D5"/>
    <w:rsid w:val="00F8075E"/>
    <w:rsid w:val="00F80931"/>
    <w:rsid w:val="00F80AB1"/>
    <w:rsid w:val="00F80E2D"/>
    <w:rsid w:val="00F811CC"/>
    <w:rsid w:val="00F81224"/>
    <w:rsid w:val="00F8140C"/>
    <w:rsid w:val="00F81734"/>
    <w:rsid w:val="00F81AE8"/>
    <w:rsid w:val="00F81CDE"/>
    <w:rsid w:val="00F81CE9"/>
    <w:rsid w:val="00F81E58"/>
    <w:rsid w:val="00F81F55"/>
    <w:rsid w:val="00F81F99"/>
    <w:rsid w:val="00F825A3"/>
    <w:rsid w:val="00F82631"/>
    <w:rsid w:val="00F82885"/>
    <w:rsid w:val="00F82902"/>
    <w:rsid w:val="00F829C7"/>
    <w:rsid w:val="00F82BC6"/>
    <w:rsid w:val="00F82DBE"/>
    <w:rsid w:val="00F83152"/>
    <w:rsid w:val="00F83333"/>
    <w:rsid w:val="00F833FF"/>
    <w:rsid w:val="00F8359C"/>
    <w:rsid w:val="00F838E2"/>
    <w:rsid w:val="00F83B35"/>
    <w:rsid w:val="00F83DE4"/>
    <w:rsid w:val="00F83E6F"/>
    <w:rsid w:val="00F83FF8"/>
    <w:rsid w:val="00F840F6"/>
    <w:rsid w:val="00F84565"/>
    <w:rsid w:val="00F84668"/>
    <w:rsid w:val="00F84690"/>
    <w:rsid w:val="00F8481F"/>
    <w:rsid w:val="00F84B55"/>
    <w:rsid w:val="00F84BE4"/>
    <w:rsid w:val="00F84EA9"/>
    <w:rsid w:val="00F84F42"/>
    <w:rsid w:val="00F8500B"/>
    <w:rsid w:val="00F8529A"/>
    <w:rsid w:val="00F8537B"/>
    <w:rsid w:val="00F85399"/>
    <w:rsid w:val="00F853AD"/>
    <w:rsid w:val="00F85420"/>
    <w:rsid w:val="00F854C5"/>
    <w:rsid w:val="00F8551A"/>
    <w:rsid w:val="00F8573F"/>
    <w:rsid w:val="00F85A54"/>
    <w:rsid w:val="00F85AF8"/>
    <w:rsid w:val="00F8625F"/>
    <w:rsid w:val="00F86305"/>
    <w:rsid w:val="00F863F9"/>
    <w:rsid w:val="00F864E5"/>
    <w:rsid w:val="00F865CE"/>
    <w:rsid w:val="00F86800"/>
    <w:rsid w:val="00F868DA"/>
    <w:rsid w:val="00F869B3"/>
    <w:rsid w:val="00F86BD9"/>
    <w:rsid w:val="00F86C09"/>
    <w:rsid w:val="00F86CA7"/>
    <w:rsid w:val="00F86D76"/>
    <w:rsid w:val="00F8705D"/>
    <w:rsid w:val="00F87163"/>
    <w:rsid w:val="00F871CE"/>
    <w:rsid w:val="00F8756B"/>
    <w:rsid w:val="00F87611"/>
    <w:rsid w:val="00F87AC2"/>
    <w:rsid w:val="00F87C77"/>
    <w:rsid w:val="00F87DBB"/>
    <w:rsid w:val="00F87E31"/>
    <w:rsid w:val="00F87E8D"/>
    <w:rsid w:val="00F87F35"/>
    <w:rsid w:val="00F90237"/>
    <w:rsid w:val="00F90314"/>
    <w:rsid w:val="00F9039A"/>
    <w:rsid w:val="00F90622"/>
    <w:rsid w:val="00F90A4F"/>
    <w:rsid w:val="00F90B4E"/>
    <w:rsid w:val="00F91194"/>
    <w:rsid w:val="00F91645"/>
    <w:rsid w:val="00F916F5"/>
    <w:rsid w:val="00F91806"/>
    <w:rsid w:val="00F91A70"/>
    <w:rsid w:val="00F92025"/>
    <w:rsid w:val="00F920AF"/>
    <w:rsid w:val="00F92279"/>
    <w:rsid w:val="00F924CC"/>
    <w:rsid w:val="00F92683"/>
    <w:rsid w:val="00F92731"/>
    <w:rsid w:val="00F927F7"/>
    <w:rsid w:val="00F928AF"/>
    <w:rsid w:val="00F928D8"/>
    <w:rsid w:val="00F92DC5"/>
    <w:rsid w:val="00F92ED3"/>
    <w:rsid w:val="00F92FBB"/>
    <w:rsid w:val="00F92FED"/>
    <w:rsid w:val="00F93309"/>
    <w:rsid w:val="00F933E3"/>
    <w:rsid w:val="00F933F4"/>
    <w:rsid w:val="00F9350B"/>
    <w:rsid w:val="00F936D7"/>
    <w:rsid w:val="00F93766"/>
    <w:rsid w:val="00F93841"/>
    <w:rsid w:val="00F938CD"/>
    <w:rsid w:val="00F93980"/>
    <w:rsid w:val="00F93B9D"/>
    <w:rsid w:val="00F93C33"/>
    <w:rsid w:val="00F93C83"/>
    <w:rsid w:val="00F93DA7"/>
    <w:rsid w:val="00F93EBE"/>
    <w:rsid w:val="00F93F86"/>
    <w:rsid w:val="00F93F90"/>
    <w:rsid w:val="00F93FA8"/>
    <w:rsid w:val="00F9405A"/>
    <w:rsid w:val="00F940EA"/>
    <w:rsid w:val="00F94211"/>
    <w:rsid w:val="00F94238"/>
    <w:rsid w:val="00F9433D"/>
    <w:rsid w:val="00F945D5"/>
    <w:rsid w:val="00F94EB7"/>
    <w:rsid w:val="00F94EE1"/>
    <w:rsid w:val="00F94FA1"/>
    <w:rsid w:val="00F95028"/>
    <w:rsid w:val="00F95087"/>
    <w:rsid w:val="00F952FC"/>
    <w:rsid w:val="00F953E6"/>
    <w:rsid w:val="00F955A2"/>
    <w:rsid w:val="00F95662"/>
    <w:rsid w:val="00F95673"/>
    <w:rsid w:val="00F956C0"/>
    <w:rsid w:val="00F95922"/>
    <w:rsid w:val="00F95C7F"/>
    <w:rsid w:val="00F95CC6"/>
    <w:rsid w:val="00F95CD5"/>
    <w:rsid w:val="00F95D83"/>
    <w:rsid w:val="00F95FEC"/>
    <w:rsid w:val="00F963A6"/>
    <w:rsid w:val="00F96422"/>
    <w:rsid w:val="00F964EF"/>
    <w:rsid w:val="00F965A2"/>
    <w:rsid w:val="00F9686B"/>
    <w:rsid w:val="00F96C6D"/>
    <w:rsid w:val="00F97082"/>
    <w:rsid w:val="00F97518"/>
    <w:rsid w:val="00F97779"/>
    <w:rsid w:val="00F978B2"/>
    <w:rsid w:val="00F979A0"/>
    <w:rsid w:val="00F97D03"/>
    <w:rsid w:val="00F97D9F"/>
    <w:rsid w:val="00F97F54"/>
    <w:rsid w:val="00F97F68"/>
    <w:rsid w:val="00FA00A1"/>
    <w:rsid w:val="00FA05B7"/>
    <w:rsid w:val="00FA0C27"/>
    <w:rsid w:val="00FA0CF9"/>
    <w:rsid w:val="00FA0E3A"/>
    <w:rsid w:val="00FA0EFD"/>
    <w:rsid w:val="00FA0F87"/>
    <w:rsid w:val="00FA11B0"/>
    <w:rsid w:val="00FA13BC"/>
    <w:rsid w:val="00FA144B"/>
    <w:rsid w:val="00FA15AB"/>
    <w:rsid w:val="00FA15EB"/>
    <w:rsid w:val="00FA16E3"/>
    <w:rsid w:val="00FA186A"/>
    <w:rsid w:val="00FA1D3F"/>
    <w:rsid w:val="00FA1D7D"/>
    <w:rsid w:val="00FA1D84"/>
    <w:rsid w:val="00FA1E75"/>
    <w:rsid w:val="00FA1ECE"/>
    <w:rsid w:val="00FA1F67"/>
    <w:rsid w:val="00FA1FAA"/>
    <w:rsid w:val="00FA2042"/>
    <w:rsid w:val="00FA2173"/>
    <w:rsid w:val="00FA249D"/>
    <w:rsid w:val="00FA27D9"/>
    <w:rsid w:val="00FA2854"/>
    <w:rsid w:val="00FA2890"/>
    <w:rsid w:val="00FA28B2"/>
    <w:rsid w:val="00FA2C78"/>
    <w:rsid w:val="00FA2D33"/>
    <w:rsid w:val="00FA331F"/>
    <w:rsid w:val="00FA3667"/>
    <w:rsid w:val="00FA3670"/>
    <w:rsid w:val="00FA37EC"/>
    <w:rsid w:val="00FA38D6"/>
    <w:rsid w:val="00FA3923"/>
    <w:rsid w:val="00FA3B6B"/>
    <w:rsid w:val="00FA3EF3"/>
    <w:rsid w:val="00FA3FFC"/>
    <w:rsid w:val="00FA4275"/>
    <w:rsid w:val="00FA4330"/>
    <w:rsid w:val="00FA43EB"/>
    <w:rsid w:val="00FA462E"/>
    <w:rsid w:val="00FA4DBB"/>
    <w:rsid w:val="00FA4FF5"/>
    <w:rsid w:val="00FA5091"/>
    <w:rsid w:val="00FA50F8"/>
    <w:rsid w:val="00FA5224"/>
    <w:rsid w:val="00FA53C8"/>
    <w:rsid w:val="00FA5402"/>
    <w:rsid w:val="00FA541C"/>
    <w:rsid w:val="00FA55D0"/>
    <w:rsid w:val="00FA5970"/>
    <w:rsid w:val="00FA59CA"/>
    <w:rsid w:val="00FA5A08"/>
    <w:rsid w:val="00FA5A80"/>
    <w:rsid w:val="00FA5C99"/>
    <w:rsid w:val="00FA5DB2"/>
    <w:rsid w:val="00FA5F80"/>
    <w:rsid w:val="00FA60A3"/>
    <w:rsid w:val="00FA629B"/>
    <w:rsid w:val="00FA62CC"/>
    <w:rsid w:val="00FA6463"/>
    <w:rsid w:val="00FA6710"/>
    <w:rsid w:val="00FA6760"/>
    <w:rsid w:val="00FA6776"/>
    <w:rsid w:val="00FA67CC"/>
    <w:rsid w:val="00FA68BB"/>
    <w:rsid w:val="00FA6913"/>
    <w:rsid w:val="00FA6AF5"/>
    <w:rsid w:val="00FA6D2B"/>
    <w:rsid w:val="00FA6E48"/>
    <w:rsid w:val="00FA6EB7"/>
    <w:rsid w:val="00FA714D"/>
    <w:rsid w:val="00FA7355"/>
    <w:rsid w:val="00FA754D"/>
    <w:rsid w:val="00FA757F"/>
    <w:rsid w:val="00FA75C9"/>
    <w:rsid w:val="00FA75CC"/>
    <w:rsid w:val="00FA784A"/>
    <w:rsid w:val="00FA78C3"/>
    <w:rsid w:val="00FA792F"/>
    <w:rsid w:val="00FA7AEF"/>
    <w:rsid w:val="00FA7BA8"/>
    <w:rsid w:val="00FA7FD4"/>
    <w:rsid w:val="00FB0229"/>
    <w:rsid w:val="00FB02E5"/>
    <w:rsid w:val="00FB0A54"/>
    <w:rsid w:val="00FB0AC7"/>
    <w:rsid w:val="00FB0D04"/>
    <w:rsid w:val="00FB11B2"/>
    <w:rsid w:val="00FB18D0"/>
    <w:rsid w:val="00FB1AFA"/>
    <w:rsid w:val="00FB1B8F"/>
    <w:rsid w:val="00FB1BAF"/>
    <w:rsid w:val="00FB1D1C"/>
    <w:rsid w:val="00FB1D3D"/>
    <w:rsid w:val="00FB1D6D"/>
    <w:rsid w:val="00FB1E42"/>
    <w:rsid w:val="00FB25AF"/>
    <w:rsid w:val="00FB269F"/>
    <w:rsid w:val="00FB26BE"/>
    <w:rsid w:val="00FB2958"/>
    <w:rsid w:val="00FB29B3"/>
    <w:rsid w:val="00FB2AFD"/>
    <w:rsid w:val="00FB2C7F"/>
    <w:rsid w:val="00FB2FB1"/>
    <w:rsid w:val="00FB33A9"/>
    <w:rsid w:val="00FB358C"/>
    <w:rsid w:val="00FB3786"/>
    <w:rsid w:val="00FB3AB0"/>
    <w:rsid w:val="00FB3ACA"/>
    <w:rsid w:val="00FB3C04"/>
    <w:rsid w:val="00FB3C3C"/>
    <w:rsid w:val="00FB3C6F"/>
    <w:rsid w:val="00FB3CE1"/>
    <w:rsid w:val="00FB3DB0"/>
    <w:rsid w:val="00FB4590"/>
    <w:rsid w:val="00FB475E"/>
    <w:rsid w:val="00FB4820"/>
    <w:rsid w:val="00FB4942"/>
    <w:rsid w:val="00FB4BDA"/>
    <w:rsid w:val="00FB4E1E"/>
    <w:rsid w:val="00FB4E3F"/>
    <w:rsid w:val="00FB4E6D"/>
    <w:rsid w:val="00FB53F3"/>
    <w:rsid w:val="00FB54F1"/>
    <w:rsid w:val="00FB55A4"/>
    <w:rsid w:val="00FB600F"/>
    <w:rsid w:val="00FB60A8"/>
    <w:rsid w:val="00FB6190"/>
    <w:rsid w:val="00FB61CE"/>
    <w:rsid w:val="00FB667E"/>
    <w:rsid w:val="00FB66F2"/>
    <w:rsid w:val="00FB673A"/>
    <w:rsid w:val="00FB69D6"/>
    <w:rsid w:val="00FB6A0C"/>
    <w:rsid w:val="00FB6ABA"/>
    <w:rsid w:val="00FB6AC1"/>
    <w:rsid w:val="00FB6AD3"/>
    <w:rsid w:val="00FB6B3D"/>
    <w:rsid w:val="00FB6C4C"/>
    <w:rsid w:val="00FB6D11"/>
    <w:rsid w:val="00FB6DAC"/>
    <w:rsid w:val="00FB6E96"/>
    <w:rsid w:val="00FB7076"/>
    <w:rsid w:val="00FB72FA"/>
    <w:rsid w:val="00FB7381"/>
    <w:rsid w:val="00FB7C7D"/>
    <w:rsid w:val="00FB7CC6"/>
    <w:rsid w:val="00FB7D71"/>
    <w:rsid w:val="00FB7F17"/>
    <w:rsid w:val="00FC004E"/>
    <w:rsid w:val="00FC0128"/>
    <w:rsid w:val="00FC04A9"/>
    <w:rsid w:val="00FC05B3"/>
    <w:rsid w:val="00FC0760"/>
    <w:rsid w:val="00FC0E2B"/>
    <w:rsid w:val="00FC0FDA"/>
    <w:rsid w:val="00FC15E6"/>
    <w:rsid w:val="00FC16C7"/>
    <w:rsid w:val="00FC1BD5"/>
    <w:rsid w:val="00FC1EBD"/>
    <w:rsid w:val="00FC205D"/>
    <w:rsid w:val="00FC2192"/>
    <w:rsid w:val="00FC2624"/>
    <w:rsid w:val="00FC273A"/>
    <w:rsid w:val="00FC2AF9"/>
    <w:rsid w:val="00FC2B98"/>
    <w:rsid w:val="00FC2D10"/>
    <w:rsid w:val="00FC2D38"/>
    <w:rsid w:val="00FC30B7"/>
    <w:rsid w:val="00FC318E"/>
    <w:rsid w:val="00FC331B"/>
    <w:rsid w:val="00FC35D9"/>
    <w:rsid w:val="00FC3927"/>
    <w:rsid w:val="00FC3A6E"/>
    <w:rsid w:val="00FC3CA9"/>
    <w:rsid w:val="00FC3D9D"/>
    <w:rsid w:val="00FC3DA1"/>
    <w:rsid w:val="00FC3DCC"/>
    <w:rsid w:val="00FC3F00"/>
    <w:rsid w:val="00FC3F84"/>
    <w:rsid w:val="00FC40E4"/>
    <w:rsid w:val="00FC414E"/>
    <w:rsid w:val="00FC42F4"/>
    <w:rsid w:val="00FC4459"/>
    <w:rsid w:val="00FC446D"/>
    <w:rsid w:val="00FC460D"/>
    <w:rsid w:val="00FC4A62"/>
    <w:rsid w:val="00FC4CE1"/>
    <w:rsid w:val="00FC4E40"/>
    <w:rsid w:val="00FC4E47"/>
    <w:rsid w:val="00FC4EE7"/>
    <w:rsid w:val="00FC534C"/>
    <w:rsid w:val="00FC5405"/>
    <w:rsid w:val="00FC56C4"/>
    <w:rsid w:val="00FC5A77"/>
    <w:rsid w:val="00FC5AED"/>
    <w:rsid w:val="00FC5DEB"/>
    <w:rsid w:val="00FC5E75"/>
    <w:rsid w:val="00FC5E77"/>
    <w:rsid w:val="00FC5EFE"/>
    <w:rsid w:val="00FC5FDD"/>
    <w:rsid w:val="00FC6003"/>
    <w:rsid w:val="00FC613C"/>
    <w:rsid w:val="00FC618C"/>
    <w:rsid w:val="00FC626A"/>
    <w:rsid w:val="00FC631F"/>
    <w:rsid w:val="00FC64C5"/>
    <w:rsid w:val="00FC665B"/>
    <w:rsid w:val="00FC688C"/>
    <w:rsid w:val="00FC68D0"/>
    <w:rsid w:val="00FC690F"/>
    <w:rsid w:val="00FC6AAB"/>
    <w:rsid w:val="00FC73F0"/>
    <w:rsid w:val="00FC74F3"/>
    <w:rsid w:val="00FC7527"/>
    <w:rsid w:val="00FC7541"/>
    <w:rsid w:val="00FC7C34"/>
    <w:rsid w:val="00FC7D76"/>
    <w:rsid w:val="00FD021A"/>
    <w:rsid w:val="00FD0336"/>
    <w:rsid w:val="00FD04DF"/>
    <w:rsid w:val="00FD055E"/>
    <w:rsid w:val="00FD0633"/>
    <w:rsid w:val="00FD09B1"/>
    <w:rsid w:val="00FD0A5C"/>
    <w:rsid w:val="00FD0A70"/>
    <w:rsid w:val="00FD0C35"/>
    <w:rsid w:val="00FD0D5E"/>
    <w:rsid w:val="00FD0F3C"/>
    <w:rsid w:val="00FD1010"/>
    <w:rsid w:val="00FD11F4"/>
    <w:rsid w:val="00FD14A2"/>
    <w:rsid w:val="00FD15FA"/>
    <w:rsid w:val="00FD1654"/>
    <w:rsid w:val="00FD19EA"/>
    <w:rsid w:val="00FD1C60"/>
    <w:rsid w:val="00FD1CC4"/>
    <w:rsid w:val="00FD1D38"/>
    <w:rsid w:val="00FD1F54"/>
    <w:rsid w:val="00FD22A3"/>
    <w:rsid w:val="00FD2310"/>
    <w:rsid w:val="00FD2593"/>
    <w:rsid w:val="00FD259A"/>
    <w:rsid w:val="00FD26F1"/>
    <w:rsid w:val="00FD290E"/>
    <w:rsid w:val="00FD2EB8"/>
    <w:rsid w:val="00FD3072"/>
    <w:rsid w:val="00FD3302"/>
    <w:rsid w:val="00FD3C78"/>
    <w:rsid w:val="00FD3E77"/>
    <w:rsid w:val="00FD3F7B"/>
    <w:rsid w:val="00FD405D"/>
    <w:rsid w:val="00FD412B"/>
    <w:rsid w:val="00FD452C"/>
    <w:rsid w:val="00FD46E5"/>
    <w:rsid w:val="00FD47FA"/>
    <w:rsid w:val="00FD4C27"/>
    <w:rsid w:val="00FD4C62"/>
    <w:rsid w:val="00FD4D9F"/>
    <w:rsid w:val="00FD4E31"/>
    <w:rsid w:val="00FD4FE4"/>
    <w:rsid w:val="00FD5044"/>
    <w:rsid w:val="00FD513E"/>
    <w:rsid w:val="00FD53F1"/>
    <w:rsid w:val="00FD57D0"/>
    <w:rsid w:val="00FD5CB3"/>
    <w:rsid w:val="00FD6107"/>
    <w:rsid w:val="00FD6224"/>
    <w:rsid w:val="00FD6227"/>
    <w:rsid w:val="00FD6538"/>
    <w:rsid w:val="00FD65F4"/>
    <w:rsid w:val="00FD6771"/>
    <w:rsid w:val="00FD67CE"/>
    <w:rsid w:val="00FD6CD3"/>
    <w:rsid w:val="00FD6F41"/>
    <w:rsid w:val="00FD720B"/>
    <w:rsid w:val="00FD7A16"/>
    <w:rsid w:val="00FD7B6D"/>
    <w:rsid w:val="00FD7C53"/>
    <w:rsid w:val="00FD7F88"/>
    <w:rsid w:val="00FE02C6"/>
    <w:rsid w:val="00FE045E"/>
    <w:rsid w:val="00FE0464"/>
    <w:rsid w:val="00FE072E"/>
    <w:rsid w:val="00FE0767"/>
    <w:rsid w:val="00FE0915"/>
    <w:rsid w:val="00FE0A60"/>
    <w:rsid w:val="00FE0A8C"/>
    <w:rsid w:val="00FE0AB8"/>
    <w:rsid w:val="00FE0AF9"/>
    <w:rsid w:val="00FE0B36"/>
    <w:rsid w:val="00FE0B5A"/>
    <w:rsid w:val="00FE0CB3"/>
    <w:rsid w:val="00FE0D29"/>
    <w:rsid w:val="00FE0D2D"/>
    <w:rsid w:val="00FE1140"/>
    <w:rsid w:val="00FE1340"/>
    <w:rsid w:val="00FE1498"/>
    <w:rsid w:val="00FE15DD"/>
    <w:rsid w:val="00FE16ED"/>
    <w:rsid w:val="00FE1795"/>
    <w:rsid w:val="00FE198F"/>
    <w:rsid w:val="00FE1AF8"/>
    <w:rsid w:val="00FE1D92"/>
    <w:rsid w:val="00FE1EE6"/>
    <w:rsid w:val="00FE2162"/>
    <w:rsid w:val="00FE2682"/>
    <w:rsid w:val="00FE2AD4"/>
    <w:rsid w:val="00FE2B58"/>
    <w:rsid w:val="00FE2D59"/>
    <w:rsid w:val="00FE2DD3"/>
    <w:rsid w:val="00FE30E6"/>
    <w:rsid w:val="00FE3355"/>
    <w:rsid w:val="00FE3652"/>
    <w:rsid w:val="00FE36B9"/>
    <w:rsid w:val="00FE36E1"/>
    <w:rsid w:val="00FE372C"/>
    <w:rsid w:val="00FE376F"/>
    <w:rsid w:val="00FE39C5"/>
    <w:rsid w:val="00FE3B6E"/>
    <w:rsid w:val="00FE3C72"/>
    <w:rsid w:val="00FE3D4E"/>
    <w:rsid w:val="00FE3D59"/>
    <w:rsid w:val="00FE3D76"/>
    <w:rsid w:val="00FE3D7C"/>
    <w:rsid w:val="00FE3DC6"/>
    <w:rsid w:val="00FE4102"/>
    <w:rsid w:val="00FE416E"/>
    <w:rsid w:val="00FE4385"/>
    <w:rsid w:val="00FE43FB"/>
    <w:rsid w:val="00FE4A74"/>
    <w:rsid w:val="00FE4B8E"/>
    <w:rsid w:val="00FE4DDD"/>
    <w:rsid w:val="00FE4E1D"/>
    <w:rsid w:val="00FE4F8C"/>
    <w:rsid w:val="00FE5364"/>
    <w:rsid w:val="00FE544B"/>
    <w:rsid w:val="00FE5647"/>
    <w:rsid w:val="00FE5B6E"/>
    <w:rsid w:val="00FE5BBD"/>
    <w:rsid w:val="00FE5E3A"/>
    <w:rsid w:val="00FE5FBA"/>
    <w:rsid w:val="00FE633C"/>
    <w:rsid w:val="00FE653F"/>
    <w:rsid w:val="00FE6C4C"/>
    <w:rsid w:val="00FE6C63"/>
    <w:rsid w:val="00FE6D44"/>
    <w:rsid w:val="00FE6E26"/>
    <w:rsid w:val="00FE7606"/>
    <w:rsid w:val="00FE766A"/>
    <w:rsid w:val="00FE7A83"/>
    <w:rsid w:val="00FE7C51"/>
    <w:rsid w:val="00FE7DF3"/>
    <w:rsid w:val="00FE7F15"/>
    <w:rsid w:val="00FE7FC5"/>
    <w:rsid w:val="00FF02B0"/>
    <w:rsid w:val="00FF05CA"/>
    <w:rsid w:val="00FF06E4"/>
    <w:rsid w:val="00FF0CAC"/>
    <w:rsid w:val="00FF10C4"/>
    <w:rsid w:val="00FF16CD"/>
    <w:rsid w:val="00FF1853"/>
    <w:rsid w:val="00FF1927"/>
    <w:rsid w:val="00FF1A36"/>
    <w:rsid w:val="00FF1BD6"/>
    <w:rsid w:val="00FF1FB8"/>
    <w:rsid w:val="00FF2044"/>
    <w:rsid w:val="00FF21C0"/>
    <w:rsid w:val="00FF23D7"/>
    <w:rsid w:val="00FF24FC"/>
    <w:rsid w:val="00FF27D2"/>
    <w:rsid w:val="00FF280F"/>
    <w:rsid w:val="00FF2B44"/>
    <w:rsid w:val="00FF2C42"/>
    <w:rsid w:val="00FF30C5"/>
    <w:rsid w:val="00FF33C5"/>
    <w:rsid w:val="00FF3A9B"/>
    <w:rsid w:val="00FF3C65"/>
    <w:rsid w:val="00FF3D2E"/>
    <w:rsid w:val="00FF3DFE"/>
    <w:rsid w:val="00FF3ECE"/>
    <w:rsid w:val="00FF47A7"/>
    <w:rsid w:val="00FF4817"/>
    <w:rsid w:val="00FF4B24"/>
    <w:rsid w:val="00FF4D1E"/>
    <w:rsid w:val="00FF4E3A"/>
    <w:rsid w:val="00FF50CD"/>
    <w:rsid w:val="00FF50CF"/>
    <w:rsid w:val="00FF512E"/>
    <w:rsid w:val="00FF5167"/>
    <w:rsid w:val="00FF5204"/>
    <w:rsid w:val="00FF5328"/>
    <w:rsid w:val="00FF5442"/>
    <w:rsid w:val="00FF5454"/>
    <w:rsid w:val="00FF56A2"/>
    <w:rsid w:val="00FF56CA"/>
    <w:rsid w:val="00FF5706"/>
    <w:rsid w:val="00FF57F4"/>
    <w:rsid w:val="00FF5DEE"/>
    <w:rsid w:val="00FF61A7"/>
    <w:rsid w:val="00FF61D8"/>
    <w:rsid w:val="00FF635A"/>
    <w:rsid w:val="00FF63C7"/>
    <w:rsid w:val="00FF63C8"/>
    <w:rsid w:val="00FF665F"/>
    <w:rsid w:val="00FF6949"/>
    <w:rsid w:val="00FF6CCA"/>
    <w:rsid w:val="00FF6D4C"/>
    <w:rsid w:val="00FF6F64"/>
    <w:rsid w:val="00FF6FD2"/>
    <w:rsid w:val="00FF7118"/>
    <w:rsid w:val="00FF7161"/>
    <w:rsid w:val="00FF718D"/>
    <w:rsid w:val="00FF7247"/>
    <w:rsid w:val="00FF73BE"/>
    <w:rsid w:val="00FF74D2"/>
    <w:rsid w:val="00FF74DC"/>
    <w:rsid w:val="00FF7708"/>
    <w:rsid w:val="00FF78EB"/>
    <w:rsid w:val="00FF79FE"/>
    <w:rsid w:val="00FF7BF8"/>
    <w:rsid w:val="00FF7CEE"/>
    <w:rsid w:val="00FF7D55"/>
    <w:rsid w:val="01169E46"/>
    <w:rsid w:val="011AB625"/>
    <w:rsid w:val="014E47AF"/>
    <w:rsid w:val="027A4808"/>
    <w:rsid w:val="0349BB1E"/>
    <w:rsid w:val="03939B1C"/>
    <w:rsid w:val="048BE70B"/>
    <w:rsid w:val="0505F8D6"/>
    <w:rsid w:val="05456BB1"/>
    <w:rsid w:val="06BAD9D7"/>
    <w:rsid w:val="075F0144"/>
    <w:rsid w:val="0783476A"/>
    <w:rsid w:val="084ADA23"/>
    <w:rsid w:val="087D0C73"/>
    <w:rsid w:val="088453B2"/>
    <w:rsid w:val="08E5E2C8"/>
    <w:rsid w:val="094C9EE3"/>
    <w:rsid w:val="095D4FB7"/>
    <w:rsid w:val="0A5C0792"/>
    <w:rsid w:val="0AC36118"/>
    <w:rsid w:val="0B4DEB81"/>
    <w:rsid w:val="0B6A99A5"/>
    <w:rsid w:val="0B79F6E2"/>
    <w:rsid w:val="0BD96B99"/>
    <w:rsid w:val="0C0DAFE0"/>
    <w:rsid w:val="0C20E442"/>
    <w:rsid w:val="0C538308"/>
    <w:rsid w:val="0CD477DD"/>
    <w:rsid w:val="0D75F26B"/>
    <w:rsid w:val="0E53650D"/>
    <w:rsid w:val="0EE75D9F"/>
    <w:rsid w:val="0EF51501"/>
    <w:rsid w:val="0F02619A"/>
    <w:rsid w:val="0FFEE442"/>
    <w:rsid w:val="1000D945"/>
    <w:rsid w:val="1028A702"/>
    <w:rsid w:val="1087BC7C"/>
    <w:rsid w:val="119118D0"/>
    <w:rsid w:val="119E9828"/>
    <w:rsid w:val="11CA2686"/>
    <w:rsid w:val="12238CDD"/>
    <w:rsid w:val="128D312F"/>
    <w:rsid w:val="13429848"/>
    <w:rsid w:val="14F38429"/>
    <w:rsid w:val="1536ACD9"/>
    <w:rsid w:val="159AA155"/>
    <w:rsid w:val="17BDFDEC"/>
    <w:rsid w:val="187793DA"/>
    <w:rsid w:val="1993B5A8"/>
    <w:rsid w:val="19C12BE6"/>
    <w:rsid w:val="1A266B4E"/>
    <w:rsid w:val="1A89BAFF"/>
    <w:rsid w:val="1AAA9D70"/>
    <w:rsid w:val="1B0AE0D5"/>
    <w:rsid w:val="1D4F9884"/>
    <w:rsid w:val="1DC6D170"/>
    <w:rsid w:val="1E1F1E7F"/>
    <w:rsid w:val="1E5B927A"/>
    <w:rsid w:val="1E7F4EA1"/>
    <w:rsid w:val="1EAD36EF"/>
    <w:rsid w:val="1F0DA789"/>
    <w:rsid w:val="1F2EF8DC"/>
    <w:rsid w:val="2048DB33"/>
    <w:rsid w:val="20DC7F06"/>
    <w:rsid w:val="20DDD9DE"/>
    <w:rsid w:val="20E0A898"/>
    <w:rsid w:val="21529166"/>
    <w:rsid w:val="2196B60B"/>
    <w:rsid w:val="242C6CB7"/>
    <w:rsid w:val="249B7888"/>
    <w:rsid w:val="24F140F1"/>
    <w:rsid w:val="259F13ED"/>
    <w:rsid w:val="264976ED"/>
    <w:rsid w:val="269E6745"/>
    <w:rsid w:val="26AD3A8C"/>
    <w:rsid w:val="26E5B05A"/>
    <w:rsid w:val="277696D5"/>
    <w:rsid w:val="28B1CD28"/>
    <w:rsid w:val="2904F441"/>
    <w:rsid w:val="29C56A48"/>
    <w:rsid w:val="2B392223"/>
    <w:rsid w:val="2B6A59FF"/>
    <w:rsid w:val="2B724F88"/>
    <w:rsid w:val="2BAB8793"/>
    <w:rsid w:val="2BE29C86"/>
    <w:rsid w:val="2C3AE23B"/>
    <w:rsid w:val="2C453922"/>
    <w:rsid w:val="2C4660B5"/>
    <w:rsid w:val="2C857662"/>
    <w:rsid w:val="2D720755"/>
    <w:rsid w:val="2DEEF3D6"/>
    <w:rsid w:val="2E0B55CA"/>
    <w:rsid w:val="2F96EDEE"/>
    <w:rsid w:val="2FAEC51C"/>
    <w:rsid w:val="2FB03763"/>
    <w:rsid w:val="2FBAD884"/>
    <w:rsid w:val="3046A35B"/>
    <w:rsid w:val="30A82189"/>
    <w:rsid w:val="30C7FCB2"/>
    <w:rsid w:val="30E744A6"/>
    <w:rsid w:val="3149A374"/>
    <w:rsid w:val="31E732B7"/>
    <w:rsid w:val="32A0EDDD"/>
    <w:rsid w:val="33EAC5C3"/>
    <w:rsid w:val="33EB8E52"/>
    <w:rsid w:val="34CE8ECA"/>
    <w:rsid w:val="35409CB1"/>
    <w:rsid w:val="357F9340"/>
    <w:rsid w:val="36015106"/>
    <w:rsid w:val="370CB6D8"/>
    <w:rsid w:val="374FBCA0"/>
    <w:rsid w:val="37D023B8"/>
    <w:rsid w:val="38335F16"/>
    <w:rsid w:val="39EAA8F9"/>
    <w:rsid w:val="3A06102D"/>
    <w:rsid w:val="3A3A131D"/>
    <w:rsid w:val="3A751DCC"/>
    <w:rsid w:val="3BC68472"/>
    <w:rsid w:val="3BE2051C"/>
    <w:rsid w:val="3C558AFE"/>
    <w:rsid w:val="3C741FC7"/>
    <w:rsid w:val="3CCFFD01"/>
    <w:rsid w:val="3CFB4BD7"/>
    <w:rsid w:val="3D246220"/>
    <w:rsid w:val="3D43CFF3"/>
    <w:rsid w:val="3DA084F3"/>
    <w:rsid w:val="3E2A9C11"/>
    <w:rsid w:val="3EA627E8"/>
    <w:rsid w:val="3EECE56B"/>
    <w:rsid w:val="3F1B7E92"/>
    <w:rsid w:val="3F68DEDF"/>
    <w:rsid w:val="3FABC089"/>
    <w:rsid w:val="3FCA76BF"/>
    <w:rsid w:val="412C55FF"/>
    <w:rsid w:val="41B6237E"/>
    <w:rsid w:val="41D24C8B"/>
    <w:rsid w:val="422AEEDD"/>
    <w:rsid w:val="428885EC"/>
    <w:rsid w:val="43B4C637"/>
    <w:rsid w:val="43D7243E"/>
    <w:rsid w:val="43F0150A"/>
    <w:rsid w:val="44035F7D"/>
    <w:rsid w:val="4407CB9A"/>
    <w:rsid w:val="442C45B6"/>
    <w:rsid w:val="4481914B"/>
    <w:rsid w:val="44FFC6A6"/>
    <w:rsid w:val="451E4027"/>
    <w:rsid w:val="45436594"/>
    <w:rsid w:val="461EBAB7"/>
    <w:rsid w:val="465C3904"/>
    <w:rsid w:val="469FF197"/>
    <w:rsid w:val="483561D8"/>
    <w:rsid w:val="4991E796"/>
    <w:rsid w:val="499C8754"/>
    <w:rsid w:val="49A0E6A2"/>
    <w:rsid w:val="4A026933"/>
    <w:rsid w:val="4B152712"/>
    <w:rsid w:val="4B3B9DC4"/>
    <w:rsid w:val="4C70A564"/>
    <w:rsid w:val="4C7E5CB6"/>
    <w:rsid w:val="4C97FC7B"/>
    <w:rsid w:val="4D88EF0F"/>
    <w:rsid w:val="4E1C1C39"/>
    <w:rsid w:val="4EA9AA01"/>
    <w:rsid w:val="4EC109EF"/>
    <w:rsid w:val="4F2111E2"/>
    <w:rsid w:val="4F4BAA13"/>
    <w:rsid w:val="4F9290E4"/>
    <w:rsid w:val="507BDF2B"/>
    <w:rsid w:val="50843BBC"/>
    <w:rsid w:val="508A8A18"/>
    <w:rsid w:val="50F430C2"/>
    <w:rsid w:val="51B11099"/>
    <w:rsid w:val="51CDC1C7"/>
    <w:rsid w:val="51D5ED64"/>
    <w:rsid w:val="5201C8CD"/>
    <w:rsid w:val="52765854"/>
    <w:rsid w:val="527B279D"/>
    <w:rsid w:val="52F9D3AA"/>
    <w:rsid w:val="532A413D"/>
    <w:rsid w:val="53B81060"/>
    <w:rsid w:val="540A7802"/>
    <w:rsid w:val="54909CA2"/>
    <w:rsid w:val="54ABA593"/>
    <w:rsid w:val="5620AC04"/>
    <w:rsid w:val="56C08F84"/>
    <w:rsid w:val="5714FF22"/>
    <w:rsid w:val="57FF2AA6"/>
    <w:rsid w:val="5877AE79"/>
    <w:rsid w:val="587FE3F0"/>
    <w:rsid w:val="58A9A5CB"/>
    <w:rsid w:val="58C6DD8F"/>
    <w:rsid w:val="59ABE789"/>
    <w:rsid w:val="5A4D86F4"/>
    <w:rsid w:val="5A4EE261"/>
    <w:rsid w:val="5A5CD821"/>
    <w:rsid w:val="5ACA4FD3"/>
    <w:rsid w:val="5ACD8852"/>
    <w:rsid w:val="5AFE1928"/>
    <w:rsid w:val="5BBEC65E"/>
    <w:rsid w:val="5CD12383"/>
    <w:rsid w:val="5CD8B4CD"/>
    <w:rsid w:val="5D088038"/>
    <w:rsid w:val="5DF48A06"/>
    <w:rsid w:val="5E63BE68"/>
    <w:rsid w:val="5E6EC4E4"/>
    <w:rsid w:val="5EE93E96"/>
    <w:rsid w:val="5F72BF08"/>
    <w:rsid w:val="60851A42"/>
    <w:rsid w:val="60B2CAEC"/>
    <w:rsid w:val="618CE928"/>
    <w:rsid w:val="61A494A6"/>
    <w:rsid w:val="6270ACB7"/>
    <w:rsid w:val="62AF2899"/>
    <w:rsid w:val="630BAF8A"/>
    <w:rsid w:val="638F38B6"/>
    <w:rsid w:val="63AA0EEE"/>
    <w:rsid w:val="643427FA"/>
    <w:rsid w:val="64374D75"/>
    <w:rsid w:val="64CA9C92"/>
    <w:rsid w:val="64DE0668"/>
    <w:rsid w:val="64F82CA3"/>
    <w:rsid w:val="6521BE9D"/>
    <w:rsid w:val="66949396"/>
    <w:rsid w:val="66AA835A"/>
    <w:rsid w:val="679EF404"/>
    <w:rsid w:val="67B42E15"/>
    <w:rsid w:val="68BE032D"/>
    <w:rsid w:val="6922CFB3"/>
    <w:rsid w:val="6A9B7C0F"/>
    <w:rsid w:val="6B1F8AEB"/>
    <w:rsid w:val="6B55A7BA"/>
    <w:rsid w:val="6B93E2B4"/>
    <w:rsid w:val="6BD62B58"/>
    <w:rsid w:val="6C1C8FA1"/>
    <w:rsid w:val="6C6EE0AD"/>
    <w:rsid w:val="6C8403D7"/>
    <w:rsid w:val="6D3E37E2"/>
    <w:rsid w:val="6DDB0A40"/>
    <w:rsid w:val="6E46FBB2"/>
    <w:rsid w:val="6E4B77A3"/>
    <w:rsid w:val="6F34E3A2"/>
    <w:rsid w:val="6FA4A175"/>
    <w:rsid w:val="6FD3C1E2"/>
    <w:rsid w:val="6FEFC238"/>
    <w:rsid w:val="700BB418"/>
    <w:rsid w:val="703A3001"/>
    <w:rsid w:val="704B6A85"/>
    <w:rsid w:val="706523EE"/>
    <w:rsid w:val="707D27B3"/>
    <w:rsid w:val="7179BFE2"/>
    <w:rsid w:val="71D53441"/>
    <w:rsid w:val="720D92F1"/>
    <w:rsid w:val="7282D036"/>
    <w:rsid w:val="733576A3"/>
    <w:rsid w:val="7342F2ED"/>
    <w:rsid w:val="74312367"/>
    <w:rsid w:val="74BB6A96"/>
    <w:rsid w:val="757C9531"/>
    <w:rsid w:val="762D547B"/>
    <w:rsid w:val="7653C3D5"/>
    <w:rsid w:val="76CC8FBE"/>
    <w:rsid w:val="76D2BEEC"/>
    <w:rsid w:val="7768C429"/>
    <w:rsid w:val="777251DE"/>
    <w:rsid w:val="77B1AB27"/>
    <w:rsid w:val="77EBB2F9"/>
    <w:rsid w:val="782FD5F4"/>
    <w:rsid w:val="78B2A88B"/>
    <w:rsid w:val="78CBDC40"/>
    <w:rsid w:val="78F7A706"/>
    <w:rsid w:val="7906658A"/>
    <w:rsid w:val="7949806B"/>
    <w:rsid w:val="79539F1E"/>
    <w:rsid w:val="795EDD46"/>
    <w:rsid w:val="797233D8"/>
    <w:rsid w:val="7A669908"/>
    <w:rsid w:val="7AC41096"/>
    <w:rsid w:val="7B3CD3B1"/>
    <w:rsid w:val="7B504C9C"/>
    <w:rsid w:val="7CD702B1"/>
    <w:rsid w:val="7CDC3A6D"/>
    <w:rsid w:val="7CF3C6AF"/>
    <w:rsid w:val="7D4D9303"/>
    <w:rsid w:val="7D9B957B"/>
    <w:rsid w:val="7F4B5601"/>
    <w:rsid w:val="7F644449"/>
    <w:rsid w:val="7FA071A3"/>
    <w:rsid w:val="7FCBE494"/>
    <w:rsid w:val="7FD86584"/>
    <w:rsid w:val="7FE39C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8C960"/>
  <w15:docId w15:val="{030F2A1A-39EC-EE47-9BE4-8A3B802C0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408"/>
    <w:pPr>
      <w:spacing w:after="240"/>
    </w:pPr>
    <w:rPr>
      <w:rFonts w:ascii="Helvetica" w:eastAsia="Times New Roman" w:hAnsi="Helvetica" w:cs="Calibri"/>
      <w:color w:val="212121"/>
      <w:sz w:val="22"/>
      <w:szCs w:val="22"/>
      <w:lang w:eastAsia="zh-CN"/>
    </w:rPr>
  </w:style>
  <w:style w:type="paragraph" w:styleId="Heading1">
    <w:name w:val="heading 1"/>
    <w:basedOn w:val="Title"/>
    <w:next w:val="Normal"/>
    <w:link w:val="Heading1Char"/>
    <w:uiPriority w:val="9"/>
    <w:qFormat/>
    <w:rsid w:val="00F61408"/>
    <w:pPr>
      <w:spacing w:after="360"/>
      <w:outlineLvl w:val="0"/>
    </w:pPr>
  </w:style>
  <w:style w:type="paragraph" w:styleId="Heading2">
    <w:name w:val="heading 2"/>
    <w:basedOn w:val="Heading1"/>
    <w:next w:val="Normal"/>
    <w:link w:val="Heading2Char"/>
    <w:uiPriority w:val="9"/>
    <w:unhideWhenUsed/>
    <w:qFormat/>
    <w:rsid w:val="00B55BEC"/>
    <w:pPr>
      <w:keepNext/>
      <w:numPr>
        <w:numId w:val="4"/>
      </w:numPr>
      <w:spacing w:after="240"/>
      <w:ind w:left="431" w:hanging="431"/>
      <w:outlineLvl w:val="1"/>
    </w:pPr>
    <w:rPr>
      <w:sz w:val="36"/>
    </w:rPr>
  </w:style>
  <w:style w:type="paragraph" w:styleId="Heading3">
    <w:name w:val="heading 3"/>
    <w:basedOn w:val="Heading2-Nonumber"/>
    <w:next w:val="Normal"/>
    <w:link w:val="Heading3Char"/>
    <w:uiPriority w:val="9"/>
    <w:unhideWhenUsed/>
    <w:qFormat/>
    <w:rsid w:val="00B55BEC"/>
    <w:pPr>
      <w:outlineLvl w:val="2"/>
    </w:pPr>
    <w:rPr>
      <w:sz w:val="28"/>
      <w:szCs w:val="32"/>
    </w:rPr>
  </w:style>
  <w:style w:type="paragraph" w:styleId="Heading4">
    <w:name w:val="heading 4"/>
    <w:basedOn w:val="Heading3-Nonumber"/>
    <w:next w:val="Normal"/>
    <w:link w:val="Heading4Char"/>
    <w:uiPriority w:val="9"/>
    <w:unhideWhenUsed/>
    <w:qFormat/>
    <w:rsid w:val="00B55BEC"/>
    <w:pPr>
      <w:outlineLvl w:val="3"/>
    </w:pPr>
  </w:style>
  <w:style w:type="paragraph" w:styleId="Heading5">
    <w:name w:val="heading 5"/>
    <w:basedOn w:val="Normal"/>
    <w:next w:val="Normal"/>
    <w:link w:val="Heading5Char"/>
    <w:uiPriority w:val="9"/>
    <w:semiHidden/>
    <w:unhideWhenUsed/>
    <w:qFormat/>
    <w:rsid w:val="00D544C0"/>
    <w:pPr>
      <w:numPr>
        <w:ilvl w:val="4"/>
        <w:numId w:val="4"/>
      </w:numPr>
      <w:spacing w:line="271" w:lineRule="auto"/>
      <w:outlineLvl w:val="4"/>
    </w:pPr>
    <w:rPr>
      <w:i/>
      <w:iCs/>
    </w:rPr>
  </w:style>
  <w:style w:type="paragraph" w:styleId="Heading6">
    <w:name w:val="heading 6"/>
    <w:basedOn w:val="Normal"/>
    <w:next w:val="Normal"/>
    <w:link w:val="Heading6Char"/>
    <w:uiPriority w:val="9"/>
    <w:semiHidden/>
    <w:unhideWhenUsed/>
    <w:qFormat/>
    <w:rsid w:val="00D544C0"/>
    <w:pPr>
      <w:numPr>
        <w:ilvl w:val="5"/>
        <w:numId w:val="4"/>
      </w:numPr>
      <w:shd w:val="clear" w:color="auto" w:fill="FFFFFF" w:themeFill="background1"/>
      <w:spacing w:line="271" w:lineRule="auto"/>
      <w:outlineLvl w:val="5"/>
    </w:pPr>
    <w:rPr>
      <w:b/>
      <w:bCs/>
      <w:color w:val="6F8595" w:themeColor="text1" w:themeTint="A6"/>
      <w:spacing w:val="5"/>
    </w:rPr>
  </w:style>
  <w:style w:type="paragraph" w:styleId="Heading7">
    <w:name w:val="heading 7"/>
    <w:basedOn w:val="Normal"/>
    <w:next w:val="Normal"/>
    <w:link w:val="Heading7Char"/>
    <w:uiPriority w:val="9"/>
    <w:semiHidden/>
    <w:unhideWhenUsed/>
    <w:qFormat/>
    <w:rsid w:val="00D544C0"/>
    <w:pPr>
      <w:numPr>
        <w:ilvl w:val="6"/>
        <w:numId w:val="4"/>
      </w:numPr>
      <w:outlineLvl w:val="6"/>
    </w:pPr>
    <w:rPr>
      <w:b/>
      <w:bCs/>
      <w:i/>
      <w:iCs/>
      <w:color w:val="708595" w:themeColor="text1" w:themeTint="A5"/>
      <w:sz w:val="20"/>
      <w:szCs w:val="20"/>
    </w:rPr>
  </w:style>
  <w:style w:type="paragraph" w:styleId="Heading8">
    <w:name w:val="heading 8"/>
    <w:basedOn w:val="Normal"/>
    <w:next w:val="Normal"/>
    <w:link w:val="Heading8Char"/>
    <w:uiPriority w:val="9"/>
    <w:semiHidden/>
    <w:unhideWhenUsed/>
    <w:qFormat/>
    <w:rsid w:val="00D544C0"/>
    <w:pPr>
      <w:numPr>
        <w:ilvl w:val="7"/>
        <w:numId w:val="4"/>
      </w:numPr>
      <w:outlineLvl w:val="7"/>
    </w:pPr>
    <w:rPr>
      <w:b/>
      <w:bCs/>
      <w:color w:val="90A1AD" w:themeColor="text1" w:themeTint="80"/>
      <w:sz w:val="20"/>
      <w:szCs w:val="20"/>
    </w:rPr>
  </w:style>
  <w:style w:type="paragraph" w:styleId="Heading9">
    <w:name w:val="heading 9"/>
    <w:basedOn w:val="Normal"/>
    <w:next w:val="Normal"/>
    <w:link w:val="Heading9Char"/>
    <w:uiPriority w:val="9"/>
    <w:semiHidden/>
    <w:unhideWhenUsed/>
    <w:qFormat/>
    <w:rsid w:val="00D544C0"/>
    <w:pPr>
      <w:numPr>
        <w:ilvl w:val="8"/>
        <w:numId w:val="4"/>
      </w:numPr>
      <w:spacing w:line="271" w:lineRule="auto"/>
      <w:outlineLvl w:val="8"/>
    </w:pPr>
    <w:rPr>
      <w:b/>
      <w:bCs/>
      <w:i/>
      <w:iCs/>
      <w:color w:val="90A1AD"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408"/>
    <w:rPr>
      <w:rFonts w:ascii="Helvetica" w:eastAsia="Times New Roman" w:hAnsi="Helvetica" w:cs="Times New Roman"/>
      <w:sz w:val="44"/>
      <w:szCs w:val="44"/>
    </w:rPr>
  </w:style>
  <w:style w:type="table" w:customStyle="1" w:styleId="ListTable4-Accent41">
    <w:name w:val="List Table 4 - Accent 41"/>
    <w:basedOn w:val="TableNormal"/>
    <w:uiPriority w:val="49"/>
    <w:rsid w:val="00FC6AAB"/>
    <w:tblPr>
      <w:tblStyleRowBandSize w:val="1"/>
      <w:tblStyleColBandSize w:val="1"/>
      <w:tblBorders>
        <w:top w:val="single" w:sz="4" w:space="0" w:color="DB637D" w:themeColor="accent4" w:themeTint="99"/>
        <w:left w:val="single" w:sz="4" w:space="0" w:color="DB637D" w:themeColor="accent4" w:themeTint="99"/>
        <w:bottom w:val="single" w:sz="4" w:space="0" w:color="DB637D" w:themeColor="accent4" w:themeTint="99"/>
        <w:right w:val="single" w:sz="4" w:space="0" w:color="DB637D" w:themeColor="accent4" w:themeTint="99"/>
        <w:insideH w:val="single" w:sz="4" w:space="0" w:color="DB637D" w:themeColor="accent4" w:themeTint="99"/>
      </w:tblBorders>
    </w:tblPr>
    <w:tblStylePr w:type="firstRow">
      <w:rPr>
        <w:b/>
        <w:bCs/>
        <w:color w:val="FFFFFF" w:themeColor="background1"/>
      </w:rPr>
      <w:tblPr/>
      <w:tcPr>
        <w:tcBorders>
          <w:top w:val="single" w:sz="4" w:space="0" w:color="9B243E" w:themeColor="accent4"/>
          <w:left w:val="single" w:sz="4" w:space="0" w:color="9B243E" w:themeColor="accent4"/>
          <w:bottom w:val="single" w:sz="4" w:space="0" w:color="9B243E" w:themeColor="accent4"/>
          <w:right w:val="single" w:sz="4" w:space="0" w:color="9B243E" w:themeColor="accent4"/>
          <w:insideH w:val="nil"/>
        </w:tcBorders>
        <w:shd w:val="clear" w:color="auto" w:fill="9B243E" w:themeFill="accent4"/>
      </w:tcPr>
    </w:tblStylePr>
    <w:tblStylePr w:type="lastRow">
      <w:rPr>
        <w:b/>
        <w:bCs/>
      </w:rPr>
      <w:tblPr/>
      <w:tcPr>
        <w:tcBorders>
          <w:top w:val="double" w:sz="4" w:space="0" w:color="DB637D" w:themeColor="accent4" w:themeTint="99"/>
        </w:tcBorders>
      </w:tcPr>
    </w:tblStylePr>
    <w:tblStylePr w:type="firstCol">
      <w:rPr>
        <w:b/>
        <w:bCs/>
      </w:rPr>
    </w:tblStylePr>
    <w:tblStylePr w:type="lastCol">
      <w:rPr>
        <w:b/>
        <w:bCs/>
      </w:rPr>
    </w:tblStylePr>
    <w:tblStylePr w:type="band1Vert">
      <w:tblPr/>
      <w:tcPr>
        <w:shd w:val="clear" w:color="auto" w:fill="F3CBD3" w:themeFill="accent4" w:themeFillTint="33"/>
      </w:tcPr>
    </w:tblStylePr>
    <w:tblStylePr w:type="band1Horz">
      <w:tblPr/>
      <w:tcPr>
        <w:shd w:val="clear" w:color="auto" w:fill="F3CBD3" w:themeFill="accent4" w:themeFillTint="33"/>
      </w:tcPr>
    </w:tblStylePr>
  </w:style>
  <w:style w:type="table" w:customStyle="1" w:styleId="ListTable4-Accent31">
    <w:name w:val="List Table 4 - Accent 31"/>
    <w:basedOn w:val="TableNormal"/>
    <w:uiPriority w:val="49"/>
    <w:rsid w:val="00FC6AAB"/>
    <w:tblPr>
      <w:tblStyleRowBandSize w:val="1"/>
      <w:tblStyleColBandSize w:val="1"/>
      <w:tblBorders>
        <w:top w:val="single" w:sz="4" w:space="0" w:color="E6917E" w:themeColor="accent3" w:themeTint="99"/>
        <w:left w:val="single" w:sz="4" w:space="0" w:color="E6917E" w:themeColor="accent3" w:themeTint="99"/>
        <w:bottom w:val="single" w:sz="4" w:space="0" w:color="E6917E" w:themeColor="accent3" w:themeTint="99"/>
        <w:right w:val="single" w:sz="4" w:space="0" w:color="E6917E" w:themeColor="accent3" w:themeTint="99"/>
        <w:insideH w:val="single" w:sz="4" w:space="0" w:color="E6917E" w:themeColor="accent3" w:themeTint="99"/>
      </w:tblBorders>
    </w:tblPr>
    <w:tblStylePr w:type="firstRow">
      <w:rPr>
        <w:b/>
        <w:bCs/>
        <w:color w:val="FFFFFF" w:themeColor="background1"/>
      </w:rPr>
      <w:tblPr/>
      <w:tcPr>
        <w:tcBorders>
          <w:top w:val="single" w:sz="4" w:space="0" w:color="D6492A" w:themeColor="accent3"/>
          <w:left w:val="single" w:sz="4" w:space="0" w:color="D6492A" w:themeColor="accent3"/>
          <w:bottom w:val="single" w:sz="4" w:space="0" w:color="D6492A" w:themeColor="accent3"/>
          <w:right w:val="single" w:sz="4" w:space="0" w:color="D6492A" w:themeColor="accent3"/>
          <w:insideH w:val="nil"/>
        </w:tcBorders>
        <w:shd w:val="clear" w:color="auto" w:fill="D6492A" w:themeFill="accent3"/>
      </w:tcPr>
    </w:tblStylePr>
    <w:tblStylePr w:type="lastRow">
      <w:rPr>
        <w:b/>
        <w:bCs/>
      </w:rPr>
      <w:tblPr/>
      <w:tcPr>
        <w:tcBorders>
          <w:top w:val="double" w:sz="4" w:space="0" w:color="E6917E" w:themeColor="accent3" w:themeTint="99"/>
        </w:tcBorders>
      </w:tcPr>
    </w:tblStylePr>
    <w:tblStylePr w:type="firstCol">
      <w:rPr>
        <w:b/>
        <w:bCs/>
      </w:rPr>
    </w:tblStylePr>
    <w:tblStylePr w:type="lastCol">
      <w:rPr>
        <w:b/>
        <w:bCs/>
      </w:rPr>
    </w:tblStylePr>
    <w:tblStylePr w:type="band1Vert">
      <w:tblPr/>
      <w:tcPr>
        <w:shd w:val="clear" w:color="auto" w:fill="F6DAD4" w:themeFill="accent3" w:themeFillTint="33"/>
      </w:tcPr>
    </w:tblStylePr>
    <w:tblStylePr w:type="band1Horz">
      <w:tblPr/>
      <w:tcPr>
        <w:shd w:val="clear" w:color="auto" w:fill="F6DAD4" w:themeFill="accent3" w:themeFillTint="33"/>
      </w:tcPr>
    </w:tblStylePr>
  </w:style>
  <w:style w:type="table" w:customStyle="1" w:styleId="GridTable5Dark-Accent11">
    <w:name w:val="Grid Table 5 Dark - Accent 11"/>
    <w:basedOn w:val="TableNormal"/>
    <w:uiPriority w:val="50"/>
    <w:rsid w:val="00FC6AA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F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99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99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99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993" w:themeFill="accent1"/>
      </w:tcPr>
    </w:tblStylePr>
    <w:tblStylePr w:type="band1Vert">
      <w:tblPr/>
      <w:tcPr>
        <w:shd w:val="clear" w:color="auto" w:fill="6DE4FF" w:themeFill="accent1" w:themeFillTint="66"/>
      </w:tcPr>
    </w:tblStylePr>
    <w:tblStylePr w:type="band1Horz">
      <w:tblPr/>
      <w:tcPr>
        <w:shd w:val="clear" w:color="auto" w:fill="6DE4FF" w:themeFill="accent1" w:themeFillTint="66"/>
      </w:tcPr>
    </w:tblStylePr>
  </w:style>
  <w:style w:type="table" w:customStyle="1" w:styleId="GridTable5Dark-Accent21">
    <w:name w:val="Grid Table 5 Dark - Accent 21"/>
    <w:basedOn w:val="TableNormal"/>
    <w:uiPriority w:val="50"/>
    <w:rsid w:val="00FC6AA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D1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32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32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32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3227" w:themeFill="accent2"/>
      </w:tcPr>
    </w:tblStylePr>
    <w:tblStylePr w:type="band1Vert">
      <w:tblPr/>
      <w:tcPr>
        <w:shd w:val="clear" w:color="auto" w:fill="CAA496" w:themeFill="accent2" w:themeFillTint="66"/>
      </w:tcPr>
    </w:tblStylePr>
    <w:tblStylePr w:type="band1Horz">
      <w:tblPr/>
      <w:tcPr>
        <w:shd w:val="clear" w:color="auto" w:fill="CAA496" w:themeFill="accent2" w:themeFillTint="66"/>
      </w:tcPr>
    </w:tblStylePr>
  </w:style>
  <w:style w:type="paragraph" w:styleId="Caption">
    <w:name w:val="caption"/>
    <w:basedOn w:val="Normal"/>
    <w:next w:val="Normal"/>
    <w:uiPriority w:val="35"/>
    <w:unhideWhenUsed/>
    <w:qFormat/>
    <w:rsid w:val="00D544C0"/>
    <w:pPr>
      <w:keepNext/>
    </w:pPr>
    <w:rPr>
      <w:bCs/>
      <w:i/>
      <w:iCs/>
      <w:sz w:val="18"/>
      <w:szCs w:val="18"/>
    </w:rPr>
  </w:style>
  <w:style w:type="character" w:styleId="CommentReference">
    <w:name w:val="annotation reference"/>
    <w:basedOn w:val="DefaultParagraphFont"/>
    <w:uiPriority w:val="99"/>
    <w:unhideWhenUsed/>
    <w:rsid w:val="00D544C0"/>
    <w:rPr>
      <w:sz w:val="16"/>
      <w:szCs w:val="16"/>
    </w:rPr>
  </w:style>
  <w:style w:type="paragraph" w:styleId="CommentText">
    <w:name w:val="annotation text"/>
    <w:basedOn w:val="Normal"/>
    <w:link w:val="CommentTextChar"/>
    <w:unhideWhenUsed/>
    <w:rsid w:val="00D544C0"/>
    <w:rPr>
      <w:sz w:val="20"/>
      <w:szCs w:val="20"/>
    </w:rPr>
  </w:style>
  <w:style w:type="character" w:customStyle="1" w:styleId="CommentTextChar">
    <w:name w:val="Comment Text Char"/>
    <w:basedOn w:val="DefaultParagraphFont"/>
    <w:link w:val="CommentText"/>
    <w:rsid w:val="00D544C0"/>
    <w:rPr>
      <w:rFonts w:ascii="Arial" w:eastAsiaTheme="majorEastAsia" w:hAnsi="Arial" w:cs="Arial"/>
      <w:sz w:val="20"/>
      <w:szCs w:val="20"/>
    </w:rPr>
  </w:style>
  <w:style w:type="paragraph" w:styleId="CommentSubject">
    <w:name w:val="annotation subject"/>
    <w:basedOn w:val="CommentText"/>
    <w:next w:val="CommentText"/>
    <w:link w:val="CommentSubjectChar"/>
    <w:uiPriority w:val="99"/>
    <w:semiHidden/>
    <w:unhideWhenUsed/>
    <w:rsid w:val="00D544C0"/>
    <w:rPr>
      <w:b/>
      <w:bCs/>
    </w:rPr>
  </w:style>
  <w:style w:type="character" w:customStyle="1" w:styleId="CommentSubjectChar">
    <w:name w:val="Comment Subject Char"/>
    <w:basedOn w:val="CommentTextChar"/>
    <w:link w:val="CommentSubject"/>
    <w:uiPriority w:val="99"/>
    <w:semiHidden/>
    <w:rsid w:val="00D544C0"/>
    <w:rPr>
      <w:rFonts w:ascii="Arial" w:eastAsiaTheme="majorEastAsia" w:hAnsi="Arial" w:cs="Arial"/>
      <w:b/>
      <w:bCs/>
      <w:sz w:val="20"/>
      <w:szCs w:val="20"/>
    </w:rPr>
  </w:style>
  <w:style w:type="paragraph" w:styleId="BalloonText">
    <w:name w:val="Balloon Text"/>
    <w:basedOn w:val="Normal"/>
    <w:link w:val="BalloonTextChar"/>
    <w:uiPriority w:val="99"/>
    <w:semiHidden/>
    <w:unhideWhenUsed/>
    <w:rsid w:val="00D544C0"/>
    <w:rPr>
      <w:sz w:val="18"/>
      <w:szCs w:val="18"/>
    </w:rPr>
  </w:style>
  <w:style w:type="character" w:customStyle="1" w:styleId="BalloonTextChar">
    <w:name w:val="Balloon Text Char"/>
    <w:basedOn w:val="DefaultParagraphFont"/>
    <w:link w:val="BalloonText"/>
    <w:uiPriority w:val="99"/>
    <w:semiHidden/>
    <w:rsid w:val="00D544C0"/>
    <w:rPr>
      <w:rFonts w:ascii="Times New Roman" w:eastAsia="Times New Roman" w:hAnsi="Times New Roman" w:cs="Times New Roman"/>
      <w:sz w:val="18"/>
      <w:szCs w:val="18"/>
    </w:rPr>
  </w:style>
  <w:style w:type="paragraph" w:styleId="FootnoteText">
    <w:name w:val="footnote text"/>
    <w:basedOn w:val="p1"/>
    <w:link w:val="FootnoteTextChar"/>
    <w:uiPriority w:val="99"/>
    <w:unhideWhenUsed/>
    <w:rsid w:val="00F77F00"/>
    <w:pPr>
      <w:spacing w:after="0"/>
    </w:pPr>
    <w:rPr>
      <w:rFonts w:ascii="Arial" w:hAnsi="Arial" w:cs="Arial"/>
    </w:rPr>
  </w:style>
  <w:style w:type="character" w:customStyle="1" w:styleId="FootnoteTextChar">
    <w:name w:val="Footnote Text Char"/>
    <w:basedOn w:val="DefaultParagraphFont"/>
    <w:link w:val="FootnoteText"/>
    <w:uiPriority w:val="99"/>
    <w:rsid w:val="00F77F00"/>
    <w:rPr>
      <w:rFonts w:ascii="Arial" w:eastAsia="Times New Roman" w:hAnsi="Arial" w:cs="Arial"/>
      <w:color w:val="212121"/>
      <w:sz w:val="18"/>
      <w:szCs w:val="18"/>
      <w:lang w:eastAsia="zh-CN"/>
    </w:rPr>
  </w:style>
  <w:style w:type="character" w:styleId="FootnoteReference">
    <w:name w:val="footnote reference"/>
    <w:basedOn w:val="DefaultParagraphFont"/>
    <w:uiPriority w:val="99"/>
    <w:unhideWhenUsed/>
    <w:rsid w:val="00D544C0"/>
    <w:rPr>
      <w:sz w:val="22"/>
      <w:vertAlign w:val="superscript"/>
    </w:rPr>
  </w:style>
  <w:style w:type="character" w:styleId="Hyperlink">
    <w:name w:val="Hyperlink"/>
    <w:basedOn w:val="DefaultParagraphFont"/>
    <w:uiPriority w:val="99"/>
    <w:unhideWhenUsed/>
    <w:rsid w:val="00D544C0"/>
    <w:rPr>
      <w:color w:val="0563C1" w:themeColor="hyperlink"/>
      <w:u w:val="single"/>
    </w:rPr>
  </w:style>
  <w:style w:type="paragraph" w:customStyle="1" w:styleId="p1">
    <w:name w:val="p1"/>
    <w:basedOn w:val="Normal"/>
    <w:rsid w:val="00D544C0"/>
    <w:rPr>
      <w:rFonts w:ascii="Times" w:hAnsi="Times"/>
      <w:sz w:val="18"/>
      <w:szCs w:val="18"/>
    </w:rPr>
  </w:style>
  <w:style w:type="paragraph" w:styleId="Header">
    <w:name w:val="header"/>
    <w:basedOn w:val="Normal"/>
    <w:link w:val="HeaderChar"/>
    <w:uiPriority w:val="99"/>
    <w:unhideWhenUsed/>
    <w:rsid w:val="00D544C0"/>
    <w:pPr>
      <w:tabs>
        <w:tab w:val="center" w:pos="4680"/>
        <w:tab w:val="right" w:pos="9360"/>
      </w:tabs>
    </w:pPr>
  </w:style>
  <w:style w:type="character" w:customStyle="1" w:styleId="HeaderChar">
    <w:name w:val="Header Char"/>
    <w:basedOn w:val="DefaultParagraphFont"/>
    <w:link w:val="Header"/>
    <w:uiPriority w:val="99"/>
    <w:rsid w:val="00D544C0"/>
    <w:rPr>
      <w:rFonts w:ascii="Times New Roman" w:eastAsia="Times New Roman" w:hAnsi="Times New Roman" w:cs="Times New Roman"/>
    </w:rPr>
  </w:style>
  <w:style w:type="paragraph" w:styleId="Footer">
    <w:name w:val="footer"/>
    <w:basedOn w:val="Normal"/>
    <w:link w:val="FooterChar"/>
    <w:uiPriority w:val="99"/>
    <w:unhideWhenUsed/>
    <w:rsid w:val="00D544C0"/>
    <w:pPr>
      <w:tabs>
        <w:tab w:val="center" w:pos="4680"/>
        <w:tab w:val="right" w:pos="9360"/>
      </w:tabs>
    </w:pPr>
  </w:style>
  <w:style w:type="character" w:customStyle="1" w:styleId="FooterChar">
    <w:name w:val="Footer Char"/>
    <w:basedOn w:val="DefaultParagraphFont"/>
    <w:link w:val="Footer"/>
    <w:uiPriority w:val="99"/>
    <w:rsid w:val="00D544C0"/>
    <w:rPr>
      <w:rFonts w:ascii="Times New Roman" w:eastAsia="Times New Roman" w:hAnsi="Times New Roman" w:cs="Times New Roman"/>
    </w:rPr>
  </w:style>
  <w:style w:type="character" w:customStyle="1" w:styleId="UnresolvedMention1">
    <w:name w:val="Unresolved Mention1"/>
    <w:basedOn w:val="DefaultParagraphFont"/>
    <w:uiPriority w:val="99"/>
    <w:unhideWhenUsed/>
    <w:rsid w:val="008E356C"/>
    <w:rPr>
      <w:color w:val="808080"/>
      <w:shd w:val="clear" w:color="auto" w:fill="E6E6E6"/>
    </w:rPr>
  </w:style>
  <w:style w:type="character" w:styleId="FollowedHyperlink">
    <w:name w:val="FollowedHyperlink"/>
    <w:basedOn w:val="DefaultParagraphFont"/>
    <w:uiPriority w:val="99"/>
    <w:semiHidden/>
    <w:unhideWhenUsed/>
    <w:rsid w:val="00D544C0"/>
    <w:rPr>
      <w:color w:val="954F72" w:themeColor="followedHyperlink"/>
      <w:u w:val="single"/>
    </w:rPr>
  </w:style>
  <w:style w:type="paragraph" w:styleId="Revision">
    <w:name w:val="Revision"/>
    <w:hidden/>
    <w:uiPriority w:val="99"/>
    <w:semiHidden/>
    <w:rsid w:val="00D544C0"/>
    <w:rPr>
      <w:rFonts w:ascii="Arial" w:eastAsiaTheme="majorEastAsia" w:hAnsi="Arial" w:cs="Arial"/>
      <w:sz w:val="22"/>
      <w:szCs w:val="22"/>
    </w:rPr>
  </w:style>
  <w:style w:type="character" w:styleId="EndnoteReference">
    <w:name w:val="endnote reference"/>
    <w:basedOn w:val="DefaultParagraphFont"/>
    <w:uiPriority w:val="99"/>
    <w:unhideWhenUsed/>
    <w:rsid w:val="00D544C0"/>
    <w:rPr>
      <w:vertAlign w:val="superscript"/>
    </w:rPr>
  </w:style>
  <w:style w:type="paragraph" w:styleId="ListParagraph">
    <w:name w:val="List Paragraph"/>
    <w:basedOn w:val="Normal"/>
    <w:uiPriority w:val="34"/>
    <w:qFormat/>
    <w:rsid w:val="00D544C0"/>
    <w:pPr>
      <w:numPr>
        <w:numId w:val="2"/>
      </w:numPr>
      <w:contextualSpacing/>
    </w:pPr>
  </w:style>
  <w:style w:type="paragraph" w:styleId="EndnoteText">
    <w:name w:val="endnote text"/>
    <w:basedOn w:val="Normal"/>
    <w:link w:val="EndnoteTextChar"/>
    <w:uiPriority w:val="99"/>
    <w:unhideWhenUsed/>
    <w:rsid w:val="00D544C0"/>
  </w:style>
  <w:style w:type="character" w:customStyle="1" w:styleId="EndnoteTextChar">
    <w:name w:val="Endnote Text Char"/>
    <w:basedOn w:val="DefaultParagraphFont"/>
    <w:link w:val="EndnoteText"/>
    <w:uiPriority w:val="99"/>
    <w:rsid w:val="00D544C0"/>
    <w:rPr>
      <w:rFonts w:ascii="Times New Roman" w:eastAsia="Times New Roman" w:hAnsi="Times New Roman" w:cs="Times New Roman"/>
    </w:rPr>
  </w:style>
  <w:style w:type="character" w:customStyle="1" w:styleId="Mention1">
    <w:name w:val="Mention1"/>
    <w:basedOn w:val="DefaultParagraphFont"/>
    <w:uiPriority w:val="99"/>
    <w:unhideWhenUsed/>
    <w:rsid w:val="009663A4"/>
    <w:rPr>
      <w:color w:val="2B579A"/>
      <w:shd w:val="clear" w:color="auto" w:fill="E1DFDD"/>
    </w:rPr>
  </w:style>
  <w:style w:type="table" w:styleId="DarkList-Accent2">
    <w:name w:val="Dark List Accent 2"/>
    <w:basedOn w:val="TableNormal"/>
    <w:uiPriority w:val="70"/>
    <w:rsid w:val="00591B29"/>
    <w:rPr>
      <w:color w:val="FFFFFF" w:themeColor="background1"/>
    </w:rPr>
    <w:tblPr>
      <w:tblStyleRowBandSize w:val="1"/>
      <w:tblStyleColBandSize w:val="1"/>
    </w:tblPr>
    <w:tcPr>
      <w:shd w:val="clear" w:color="auto" w:fill="4E32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4149" w:themeFill="text1"/>
      </w:tcPr>
    </w:tblStylePr>
    <w:tblStylePr w:type="lastRow">
      <w:tblPr/>
      <w:tcPr>
        <w:tcBorders>
          <w:top w:val="single" w:sz="18" w:space="0" w:color="FFFFFF" w:themeColor="background1"/>
          <w:left w:val="nil"/>
          <w:bottom w:val="nil"/>
          <w:right w:val="nil"/>
          <w:insideH w:val="nil"/>
          <w:insideV w:val="nil"/>
        </w:tcBorders>
        <w:shd w:val="clear" w:color="auto" w:fill="2618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A25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A251D" w:themeFill="accent2" w:themeFillShade="BF"/>
      </w:tcPr>
    </w:tblStylePr>
    <w:tblStylePr w:type="band1Vert">
      <w:tblPr/>
      <w:tcPr>
        <w:tcBorders>
          <w:top w:val="nil"/>
          <w:left w:val="nil"/>
          <w:bottom w:val="nil"/>
          <w:right w:val="nil"/>
          <w:insideH w:val="nil"/>
          <w:insideV w:val="nil"/>
        </w:tcBorders>
        <w:shd w:val="clear" w:color="auto" w:fill="3A251D" w:themeFill="accent2" w:themeFillShade="BF"/>
      </w:tcPr>
    </w:tblStylePr>
    <w:tblStylePr w:type="band1Horz">
      <w:tblPr/>
      <w:tcPr>
        <w:tcBorders>
          <w:top w:val="nil"/>
          <w:left w:val="nil"/>
          <w:bottom w:val="nil"/>
          <w:right w:val="nil"/>
          <w:insideH w:val="nil"/>
          <w:insideV w:val="nil"/>
        </w:tcBorders>
        <w:shd w:val="clear" w:color="auto" w:fill="3A251D" w:themeFill="accent2" w:themeFillShade="BF"/>
      </w:tcPr>
    </w:tblStylePr>
  </w:style>
  <w:style w:type="table" w:styleId="MediumGrid3-Accent2">
    <w:name w:val="Medium Grid 3 Accent 2"/>
    <w:basedOn w:val="TableNormal"/>
    <w:uiPriority w:val="69"/>
    <w:rsid w:val="00591B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C7B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32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32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32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32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8E7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8E7C" w:themeFill="accent2" w:themeFillTint="7F"/>
      </w:tcPr>
    </w:tblStylePr>
  </w:style>
  <w:style w:type="table" w:styleId="ColorfulList-Accent2">
    <w:name w:val="Colorful List Accent 2"/>
    <w:basedOn w:val="TableNormal"/>
    <w:uiPriority w:val="72"/>
    <w:rsid w:val="00591B29"/>
    <w:rPr>
      <w:color w:val="364149" w:themeColor="text1"/>
    </w:rPr>
    <w:tblPr>
      <w:tblStyleRowBandSize w:val="1"/>
      <w:tblStyleColBandSize w:val="1"/>
    </w:tblPr>
    <w:tcPr>
      <w:shd w:val="clear" w:color="auto" w:fill="F2E8E5" w:themeFill="accent2" w:themeFillTint="19"/>
    </w:tcPr>
    <w:tblStylePr w:type="firstRow">
      <w:rPr>
        <w:b/>
        <w:bCs/>
        <w:color w:val="FFFFFF" w:themeColor="background1"/>
      </w:rPr>
      <w:tblPr/>
      <w:tcPr>
        <w:tcBorders>
          <w:bottom w:val="single" w:sz="12" w:space="0" w:color="FFFFFF" w:themeColor="background1"/>
        </w:tcBorders>
        <w:shd w:val="clear" w:color="auto" w:fill="3E271F" w:themeFill="accent2" w:themeFillShade="CC"/>
      </w:tcPr>
    </w:tblStylePr>
    <w:tblStylePr w:type="lastRow">
      <w:rPr>
        <w:b/>
        <w:bCs/>
        <w:color w:val="3E271F" w:themeColor="accent2" w:themeShade="CC"/>
      </w:rPr>
      <w:tblPr/>
      <w:tcPr>
        <w:tcBorders>
          <w:top w:val="single" w:sz="12" w:space="0" w:color="36414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C7BE" w:themeFill="accent2" w:themeFillTint="3F"/>
      </w:tcPr>
    </w:tblStylePr>
    <w:tblStylePr w:type="band1Horz">
      <w:tblPr/>
      <w:tcPr>
        <w:shd w:val="clear" w:color="auto" w:fill="E4D1CA" w:themeFill="accent2" w:themeFillTint="33"/>
      </w:tcPr>
    </w:tblStylePr>
  </w:style>
  <w:style w:type="character" w:customStyle="1" w:styleId="Heading2Char">
    <w:name w:val="Heading 2 Char"/>
    <w:basedOn w:val="DefaultParagraphFont"/>
    <w:link w:val="Heading2"/>
    <w:uiPriority w:val="9"/>
    <w:rsid w:val="00B55BEC"/>
    <w:rPr>
      <w:rFonts w:ascii="Helvetica" w:eastAsia="Times New Roman" w:hAnsi="Helvetica" w:cs="Calibri"/>
      <w:color w:val="212121"/>
      <w:sz w:val="36"/>
      <w:szCs w:val="44"/>
      <w:lang w:eastAsia="zh-CN"/>
    </w:rPr>
  </w:style>
  <w:style w:type="character" w:customStyle="1" w:styleId="Heading3Char">
    <w:name w:val="Heading 3 Char"/>
    <w:basedOn w:val="DefaultParagraphFont"/>
    <w:link w:val="Heading3"/>
    <w:uiPriority w:val="9"/>
    <w:rsid w:val="00B55BEC"/>
    <w:rPr>
      <w:rFonts w:ascii="Helvetica" w:eastAsia="Times New Roman" w:hAnsi="Helvetica" w:cs="Calibri"/>
      <w:color w:val="212121"/>
      <w:sz w:val="28"/>
      <w:szCs w:val="32"/>
      <w:lang w:eastAsia="zh-CN"/>
    </w:rPr>
  </w:style>
  <w:style w:type="character" w:customStyle="1" w:styleId="Heading4Char">
    <w:name w:val="Heading 4 Char"/>
    <w:basedOn w:val="DefaultParagraphFont"/>
    <w:link w:val="Heading4"/>
    <w:uiPriority w:val="9"/>
    <w:rsid w:val="00B55BEC"/>
    <w:rPr>
      <w:rFonts w:ascii="Helvetica" w:eastAsia="Times New Roman" w:hAnsi="Helvetica" w:cs="Calibri"/>
      <w:b/>
      <w:color w:val="212121"/>
      <w:sz w:val="22"/>
      <w:szCs w:val="32"/>
      <w:lang w:eastAsia="zh-CN"/>
    </w:rPr>
  </w:style>
  <w:style w:type="character" w:customStyle="1" w:styleId="Heading5Char">
    <w:name w:val="Heading 5 Char"/>
    <w:basedOn w:val="DefaultParagraphFont"/>
    <w:link w:val="Heading5"/>
    <w:uiPriority w:val="9"/>
    <w:semiHidden/>
    <w:rsid w:val="00D544C0"/>
    <w:rPr>
      <w:rFonts w:ascii="Helvetica" w:eastAsia="Times New Roman" w:hAnsi="Helvetica" w:cs="Times New Roman"/>
      <w:i/>
      <w:iCs/>
      <w:sz w:val="22"/>
      <w:szCs w:val="22"/>
    </w:rPr>
  </w:style>
  <w:style w:type="character" w:customStyle="1" w:styleId="Heading6Char">
    <w:name w:val="Heading 6 Char"/>
    <w:basedOn w:val="DefaultParagraphFont"/>
    <w:link w:val="Heading6"/>
    <w:uiPriority w:val="9"/>
    <w:semiHidden/>
    <w:rsid w:val="00D544C0"/>
    <w:rPr>
      <w:rFonts w:ascii="Helvetica" w:eastAsia="Times New Roman" w:hAnsi="Helvetica" w:cs="Times New Roman"/>
      <w:b/>
      <w:bCs/>
      <w:color w:val="6F8595" w:themeColor="text1" w:themeTint="A6"/>
      <w:spacing w:val="5"/>
      <w:sz w:val="22"/>
      <w:szCs w:val="22"/>
      <w:shd w:val="clear" w:color="auto" w:fill="FFFFFF" w:themeFill="background1"/>
    </w:rPr>
  </w:style>
  <w:style w:type="character" w:customStyle="1" w:styleId="Heading7Char">
    <w:name w:val="Heading 7 Char"/>
    <w:basedOn w:val="DefaultParagraphFont"/>
    <w:link w:val="Heading7"/>
    <w:uiPriority w:val="9"/>
    <w:semiHidden/>
    <w:rsid w:val="00D544C0"/>
    <w:rPr>
      <w:rFonts w:ascii="Helvetica" w:eastAsia="Times New Roman" w:hAnsi="Helvetica" w:cs="Times New Roman"/>
      <w:b/>
      <w:bCs/>
      <w:i/>
      <w:iCs/>
      <w:color w:val="708595" w:themeColor="text1" w:themeTint="A5"/>
      <w:sz w:val="20"/>
      <w:szCs w:val="20"/>
    </w:rPr>
  </w:style>
  <w:style w:type="character" w:customStyle="1" w:styleId="Heading8Char">
    <w:name w:val="Heading 8 Char"/>
    <w:basedOn w:val="DefaultParagraphFont"/>
    <w:link w:val="Heading8"/>
    <w:uiPriority w:val="9"/>
    <w:semiHidden/>
    <w:rsid w:val="00D544C0"/>
    <w:rPr>
      <w:rFonts w:ascii="Helvetica" w:eastAsia="Times New Roman" w:hAnsi="Helvetica" w:cs="Times New Roman"/>
      <w:b/>
      <w:bCs/>
      <w:color w:val="90A1AD" w:themeColor="text1" w:themeTint="80"/>
      <w:sz w:val="20"/>
      <w:szCs w:val="20"/>
    </w:rPr>
  </w:style>
  <w:style w:type="character" w:customStyle="1" w:styleId="Heading9Char">
    <w:name w:val="Heading 9 Char"/>
    <w:basedOn w:val="DefaultParagraphFont"/>
    <w:link w:val="Heading9"/>
    <w:uiPriority w:val="9"/>
    <w:semiHidden/>
    <w:rsid w:val="00D544C0"/>
    <w:rPr>
      <w:rFonts w:ascii="Helvetica" w:eastAsia="Times New Roman" w:hAnsi="Helvetica" w:cs="Times New Roman"/>
      <w:b/>
      <w:bCs/>
      <w:i/>
      <w:iCs/>
      <w:color w:val="90A1AD" w:themeColor="text1" w:themeTint="80"/>
      <w:sz w:val="18"/>
      <w:szCs w:val="18"/>
    </w:rPr>
  </w:style>
  <w:style w:type="paragraph" w:styleId="Title">
    <w:name w:val="Title"/>
    <w:basedOn w:val="Normal"/>
    <w:next w:val="Normal"/>
    <w:link w:val="TitleChar"/>
    <w:uiPriority w:val="10"/>
    <w:qFormat/>
    <w:rsid w:val="00D544C0"/>
    <w:pPr>
      <w:spacing w:after="300"/>
      <w:contextualSpacing/>
    </w:pPr>
    <w:rPr>
      <w:sz w:val="44"/>
      <w:szCs w:val="44"/>
    </w:rPr>
  </w:style>
  <w:style w:type="character" w:customStyle="1" w:styleId="TitleChar">
    <w:name w:val="Title Char"/>
    <w:basedOn w:val="DefaultParagraphFont"/>
    <w:link w:val="Title"/>
    <w:uiPriority w:val="10"/>
    <w:rsid w:val="00D544C0"/>
    <w:rPr>
      <w:rFonts w:ascii="Arial" w:eastAsiaTheme="majorEastAsia" w:hAnsi="Arial" w:cs="Arial"/>
      <w:sz w:val="44"/>
      <w:szCs w:val="44"/>
    </w:rPr>
  </w:style>
  <w:style w:type="paragraph" w:styleId="Subtitle">
    <w:name w:val="Subtitle"/>
    <w:basedOn w:val="Normal"/>
    <w:next w:val="Normal"/>
    <w:link w:val="SubtitleChar"/>
    <w:uiPriority w:val="11"/>
    <w:qFormat/>
    <w:rsid w:val="00D544C0"/>
    <w:rPr>
      <w:i/>
      <w:iCs/>
      <w:smallCaps/>
      <w:spacing w:val="10"/>
      <w:sz w:val="28"/>
      <w:szCs w:val="28"/>
    </w:rPr>
  </w:style>
  <w:style w:type="character" w:customStyle="1" w:styleId="SubtitleChar">
    <w:name w:val="Subtitle Char"/>
    <w:basedOn w:val="DefaultParagraphFont"/>
    <w:link w:val="Subtitle"/>
    <w:uiPriority w:val="11"/>
    <w:rsid w:val="00D544C0"/>
    <w:rPr>
      <w:rFonts w:ascii="Arial" w:eastAsiaTheme="majorEastAsia" w:hAnsi="Arial" w:cs="Arial"/>
      <w:i/>
      <w:iCs/>
      <w:smallCaps/>
      <w:spacing w:val="10"/>
      <w:sz w:val="28"/>
      <w:szCs w:val="28"/>
    </w:rPr>
  </w:style>
  <w:style w:type="character" w:styleId="Strong">
    <w:name w:val="Strong"/>
    <w:uiPriority w:val="22"/>
    <w:qFormat/>
    <w:rsid w:val="00D544C0"/>
    <w:rPr>
      <w:b/>
      <w:bCs/>
    </w:rPr>
  </w:style>
  <w:style w:type="character" w:styleId="Emphasis">
    <w:name w:val="Emphasis"/>
    <w:uiPriority w:val="20"/>
    <w:qFormat/>
    <w:rsid w:val="00D544C0"/>
    <w:rPr>
      <w:b/>
      <w:bCs/>
      <w:i/>
      <w:iCs/>
      <w:spacing w:val="10"/>
    </w:rPr>
  </w:style>
  <w:style w:type="paragraph" w:styleId="NoSpacing">
    <w:name w:val="No Spacing"/>
    <w:basedOn w:val="Normal"/>
    <w:link w:val="NoSpacingChar"/>
    <w:uiPriority w:val="1"/>
    <w:qFormat/>
    <w:rsid w:val="00D544C0"/>
  </w:style>
  <w:style w:type="character" w:customStyle="1" w:styleId="NoSpacingChar">
    <w:name w:val="No Spacing Char"/>
    <w:basedOn w:val="DefaultParagraphFont"/>
    <w:link w:val="NoSpacing"/>
    <w:uiPriority w:val="1"/>
    <w:rsid w:val="00D544C0"/>
    <w:rPr>
      <w:rFonts w:ascii="Times New Roman" w:eastAsia="Times New Roman" w:hAnsi="Times New Roman" w:cs="Times New Roman"/>
    </w:rPr>
  </w:style>
  <w:style w:type="paragraph" w:styleId="Quote">
    <w:name w:val="Quote"/>
    <w:basedOn w:val="Normal"/>
    <w:next w:val="Normal"/>
    <w:link w:val="QuoteChar"/>
    <w:uiPriority w:val="29"/>
    <w:qFormat/>
    <w:rsid w:val="00D544C0"/>
    <w:rPr>
      <w:i/>
      <w:iCs/>
    </w:rPr>
  </w:style>
  <w:style w:type="character" w:customStyle="1" w:styleId="QuoteChar">
    <w:name w:val="Quote Char"/>
    <w:basedOn w:val="DefaultParagraphFont"/>
    <w:link w:val="Quote"/>
    <w:uiPriority w:val="29"/>
    <w:rsid w:val="00D544C0"/>
    <w:rPr>
      <w:rFonts w:ascii="Arial" w:eastAsiaTheme="majorEastAsia" w:hAnsi="Arial" w:cs="Arial"/>
      <w:i/>
      <w:iCs/>
      <w:sz w:val="22"/>
      <w:szCs w:val="22"/>
    </w:rPr>
  </w:style>
  <w:style w:type="paragraph" w:styleId="IntenseQuote">
    <w:name w:val="Intense Quote"/>
    <w:basedOn w:val="Normal"/>
    <w:next w:val="Normal"/>
    <w:link w:val="IntenseQuoteChar"/>
    <w:uiPriority w:val="30"/>
    <w:qFormat/>
    <w:rsid w:val="00D544C0"/>
    <w:pPr>
      <w:pBdr>
        <w:top w:val="single" w:sz="4" w:space="10" w:color="auto"/>
        <w:bottom w:val="single" w:sz="4" w:space="10" w:color="auto"/>
      </w:pBdr>
      <w:spacing w:before="240" w:line="300" w:lineRule="auto"/>
      <w:ind w:left="1152" w:right="1152"/>
    </w:pPr>
    <w:rPr>
      <w:i/>
      <w:iCs/>
    </w:rPr>
  </w:style>
  <w:style w:type="character" w:customStyle="1" w:styleId="IntenseQuoteChar">
    <w:name w:val="Intense Quote Char"/>
    <w:basedOn w:val="DefaultParagraphFont"/>
    <w:link w:val="IntenseQuote"/>
    <w:uiPriority w:val="30"/>
    <w:rsid w:val="00D544C0"/>
    <w:rPr>
      <w:rFonts w:ascii="Helvetica" w:eastAsia="Times New Roman" w:hAnsi="Helvetica" w:cs="Times New Roman"/>
      <w:i/>
      <w:iCs/>
      <w:sz w:val="22"/>
      <w:szCs w:val="22"/>
    </w:rPr>
  </w:style>
  <w:style w:type="character" w:styleId="SubtleEmphasis">
    <w:name w:val="Subtle Emphasis"/>
    <w:uiPriority w:val="19"/>
    <w:qFormat/>
    <w:rsid w:val="00D544C0"/>
    <w:rPr>
      <w:i/>
      <w:iCs/>
    </w:rPr>
  </w:style>
  <w:style w:type="character" w:styleId="IntenseEmphasis">
    <w:name w:val="Intense Emphasis"/>
    <w:uiPriority w:val="21"/>
    <w:qFormat/>
    <w:rsid w:val="00D544C0"/>
    <w:rPr>
      <w:b/>
      <w:bCs/>
      <w:i/>
      <w:iCs/>
    </w:rPr>
  </w:style>
  <w:style w:type="character" w:styleId="SubtleReference">
    <w:name w:val="Subtle Reference"/>
    <w:basedOn w:val="DefaultParagraphFont"/>
    <w:uiPriority w:val="31"/>
    <w:qFormat/>
    <w:rsid w:val="00D544C0"/>
    <w:rPr>
      <w:smallCaps/>
    </w:rPr>
  </w:style>
  <w:style w:type="character" w:styleId="IntenseReference">
    <w:name w:val="Intense Reference"/>
    <w:uiPriority w:val="32"/>
    <w:qFormat/>
    <w:rsid w:val="00D544C0"/>
    <w:rPr>
      <w:b/>
      <w:bCs/>
      <w:smallCaps/>
    </w:rPr>
  </w:style>
  <w:style w:type="character" w:styleId="BookTitle">
    <w:name w:val="Book Title"/>
    <w:basedOn w:val="DefaultParagraphFont"/>
    <w:uiPriority w:val="33"/>
    <w:qFormat/>
    <w:rsid w:val="00D544C0"/>
    <w:rPr>
      <w:i/>
      <w:iCs/>
      <w:smallCaps/>
      <w:spacing w:val="5"/>
    </w:rPr>
  </w:style>
  <w:style w:type="paragraph" w:styleId="TOCHeading">
    <w:name w:val="TOC Heading"/>
    <w:basedOn w:val="Heading1"/>
    <w:next w:val="Normal"/>
    <w:uiPriority w:val="39"/>
    <w:unhideWhenUsed/>
    <w:qFormat/>
    <w:rsid w:val="00D544C0"/>
    <w:pPr>
      <w:outlineLvl w:val="9"/>
    </w:pPr>
  </w:style>
  <w:style w:type="paragraph" w:customStyle="1" w:styleId="PersonalName">
    <w:name w:val="Personal Name"/>
    <w:basedOn w:val="Title"/>
    <w:rsid w:val="00D544C0"/>
    <w:rPr>
      <w:b/>
      <w:caps/>
      <w:color w:val="000000"/>
      <w:sz w:val="28"/>
      <w:szCs w:val="28"/>
    </w:rPr>
  </w:style>
  <w:style w:type="paragraph" w:styleId="Bibliography">
    <w:name w:val="Bibliography"/>
    <w:basedOn w:val="Normal"/>
    <w:next w:val="Normal"/>
    <w:uiPriority w:val="37"/>
    <w:unhideWhenUsed/>
    <w:rsid w:val="00003F7B"/>
    <w:pPr>
      <w:spacing w:after="120" w:line="360" w:lineRule="auto"/>
      <w:ind w:left="720" w:hanging="720"/>
    </w:pPr>
  </w:style>
  <w:style w:type="character" w:customStyle="1" w:styleId="s1">
    <w:name w:val="s1"/>
    <w:basedOn w:val="DefaultParagraphFont"/>
    <w:rsid w:val="00D544C0"/>
    <w:rPr>
      <w:rFonts w:ascii="Gotham Bold" w:hAnsi="Gotham Bold" w:hint="default"/>
      <w:sz w:val="18"/>
      <w:szCs w:val="18"/>
    </w:rPr>
  </w:style>
  <w:style w:type="character" w:customStyle="1" w:styleId="s2">
    <w:name w:val="s2"/>
    <w:basedOn w:val="DefaultParagraphFont"/>
    <w:rsid w:val="00D544C0"/>
    <w:rPr>
      <w:u w:val="single"/>
    </w:rPr>
  </w:style>
  <w:style w:type="character" w:customStyle="1" w:styleId="apple-converted-space">
    <w:name w:val="apple-converted-space"/>
    <w:basedOn w:val="DefaultParagraphFont"/>
    <w:rsid w:val="00D544C0"/>
  </w:style>
  <w:style w:type="paragraph" w:styleId="DocumentMap">
    <w:name w:val="Document Map"/>
    <w:basedOn w:val="Normal"/>
    <w:link w:val="DocumentMapChar"/>
    <w:uiPriority w:val="99"/>
    <w:semiHidden/>
    <w:unhideWhenUsed/>
    <w:rsid w:val="00D544C0"/>
  </w:style>
  <w:style w:type="character" w:customStyle="1" w:styleId="DocumentMapChar">
    <w:name w:val="Document Map Char"/>
    <w:basedOn w:val="DefaultParagraphFont"/>
    <w:link w:val="DocumentMap"/>
    <w:uiPriority w:val="99"/>
    <w:semiHidden/>
    <w:rsid w:val="00D544C0"/>
    <w:rPr>
      <w:rFonts w:ascii="Times New Roman" w:eastAsia="Times New Roman" w:hAnsi="Times New Roman" w:cs="Times New Roman"/>
    </w:rPr>
  </w:style>
  <w:style w:type="table" w:styleId="GridTable4-Accent5">
    <w:name w:val="Grid Table 4 Accent 5"/>
    <w:basedOn w:val="TableNormal"/>
    <w:uiPriority w:val="49"/>
    <w:rsid w:val="00D544C0"/>
    <w:rPr>
      <w:rFonts w:eastAsiaTheme="minorHAnsi"/>
    </w:rPr>
    <w:tblPr>
      <w:tblStyleRowBandSize w:val="1"/>
      <w:tblStyleColBandSize w:val="1"/>
      <w:tblBorders>
        <w:top w:val="single" w:sz="4" w:space="0" w:color="7A8E9D" w:themeColor="accent5" w:themeTint="99"/>
        <w:left w:val="single" w:sz="4" w:space="0" w:color="7A8E9D" w:themeColor="accent5" w:themeTint="99"/>
        <w:bottom w:val="single" w:sz="4" w:space="0" w:color="7A8E9D" w:themeColor="accent5" w:themeTint="99"/>
        <w:right w:val="single" w:sz="4" w:space="0" w:color="7A8E9D" w:themeColor="accent5" w:themeTint="99"/>
        <w:insideH w:val="single" w:sz="4" w:space="0" w:color="7A8E9D" w:themeColor="accent5" w:themeTint="99"/>
        <w:insideV w:val="single" w:sz="4" w:space="0" w:color="7A8E9D" w:themeColor="accent5" w:themeTint="99"/>
      </w:tblBorders>
    </w:tblPr>
    <w:tblStylePr w:type="firstRow">
      <w:rPr>
        <w:b/>
        <w:bCs/>
        <w:color w:val="FFFFFF" w:themeColor="background1"/>
      </w:rPr>
      <w:tblPr/>
      <w:tcPr>
        <w:tcBorders>
          <w:top w:val="single" w:sz="4" w:space="0" w:color="364149" w:themeColor="accent5"/>
          <w:left w:val="single" w:sz="4" w:space="0" w:color="364149" w:themeColor="accent5"/>
          <w:bottom w:val="single" w:sz="4" w:space="0" w:color="364149" w:themeColor="accent5"/>
          <w:right w:val="single" w:sz="4" w:space="0" w:color="364149" w:themeColor="accent5"/>
          <w:insideH w:val="nil"/>
          <w:insideV w:val="nil"/>
        </w:tcBorders>
        <w:shd w:val="clear" w:color="auto" w:fill="364149" w:themeFill="accent5"/>
      </w:tcPr>
    </w:tblStylePr>
    <w:tblStylePr w:type="lastRow">
      <w:rPr>
        <w:b/>
        <w:bCs/>
      </w:rPr>
      <w:tblPr/>
      <w:tcPr>
        <w:tcBorders>
          <w:top w:val="double" w:sz="4" w:space="0" w:color="364149" w:themeColor="accent5"/>
        </w:tcBorders>
      </w:tcPr>
    </w:tblStylePr>
    <w:tblStylePr w:type="firstCol">
      <w:rPr>
        <w:b/>
        <w:bCs/>
      </w:rPr>
    </w:tblStylePr>
    <w:tblStylePr w:type="lastCol">
      <w:rPr>
        <w:b/>
        <w:bCs/>
      </w:rPr>
    </w:tblStylePr>
    <w:tblStylePr w:type="band1Vert">
      <w:tblPr/>
      <w:tcPr>
        <w:shd w:val="clear" w:color="auto" w:fill="D2D9DE" w:themeFill="accent5" w:themeFillTint="33"/>
      </w:tcPr>
    </w:tblStylePr>
    <w:tblStylePr w:type="band1Horz">
      <w:tblPr/>
      <w:tcPr>
        <w:shd w:val="clear" w:color="auto" w:fill="D2D9DE" w:themeFill="accent5" w:themeFillTint="33"/>
      </w:tcPr>
    </w:tblStylePr>
  </w:style>
  <w:style w:type="table" w:styleId="GridTable4">
    <w:name w:val="Grid Table 4"/>
    <w:basedOn w:val="TableNormal"/>
    <w:uiPriority w:val="49"/>
    <w:rsid w:val="00D544C0"/>
    <w:rPr>
      <w:rFonts w:asciiTheme="majorHAnsi" w:eastAsiaTheme="majorEastAsia" w:hAnsiTheme="majorHAnsi" w:cstheme="majorBidi"/>
      <w:sz w:val="22"/>
      <w:szCs w:val="22"/>
    </w:rPr>
    <w:tblPr>
      <w:tblStyleRowBandSize w:val="1"/>
      <w:tblStyleColBandSize w:val="1"/>
      <w:tblBorders>
        <w:top w:val="single" w:sz="4" w:space="0" w:color="7A8E9D" w:themeColor="text1" w:themeTint="99"/>
        <w:left w:val="single" w:sz="4" w:space="0" w:color="7A8E9D" w:themeColor="text1" w:themeTint="99"/>
        <w:bottom w:val="single" w:sz="4" w:space="0" w:color="7A8E9D" w:themeColor="text1" w:themeTint="99"/>
        <w:right w:val="single" w:sz="4" w:space="0" w:color="7A8E9D" w:themeColor="text1" w:themeTint="99"/>
        <w:insideH w:val="single" w:sz="4" w:space="0" w:color="7A8E9D" w:themeColor="text1" w:themeTint="99"/>
        <w:insideV w:val="single" w:sz="4" w:space="0" w:color="7A8E9D" w:themeColor="text1" w:themeTint="99"/>
      </w:tblBorders>
    </w:tblPr>
    <w:tblStylePr w:type="firstRow">
      <w:rPr>
        <w:b/>
        <w:bCs/>
        <w:color w:val="FFFFFF" w:themeColor="background1"/>
      </w:rPr>
      <w:tblPr/>
      <w:tcPr>
        <w:tcBorders>
          <w:top w:val="single" w:sz="4" w:space="0" w:color="364149" w:themeColor="text1"/>
          <w:left w:val="single" w:sz="4" w:space="0" w:color="364149" w:themeColor="text1"/>
          <w:bottom w:val="single" w:sz="4" w:space="0" w:color="364149" w:themeColor="text1"/>
          <w:right w:val="single" w:sz="4" w:space="0" w:color="364149" w:themeColor="text1"/>
          <w:insideH w:val="nil"/>
          <w:insideV w:val="nil"/>
        </w:tcBorders>
        <w:shd w:val="clear" w:color="auto" w:fill="364149" w:themeFill="text1"/>
      </w:tcPr>
    </w:tblStylePr>
    <w:tblStylePr w:type="lastRow">
      <w:rPr>
        <w:b/>
        <w:bCs/>
      </w:rPr>
      <w:tblPr/>
      <w:tcPr>
        <w:tcBorders>
          <w:top w:val="double" w:sz="4" w:space="0" w:color="364149" w:themeColor="text1"/>
        </w:tcBorders>
      </w:tcPr>
    </w:tblStylePr>
    <w:tblStylePr w:type="firstCol">
      <w:rPr>
        <w:b/>
        <w:bCs/>
      </w:rPr>
    </w:tblStylePr>
    <w:tblStylePr w:type="lastCol">
      <w:rPr>
        <w:b/>
        <w:bCs/>
      </w:rPr>
    </w:tblStylePr>
    <w:tblStylePr w:type="band1Vert">
      <w:tblPr/>
      <w:tcPr>
        <w:shd w:val="clear" w:color="auto" w:fill="D2D9DE" w:themeFill="text1" w:themeFillTint="33"/>
      </w:tcPr>
    </w:tblStylePr>
    <w:tblStylePr w:type="band1Horz">
      <w:tblPr/>
      <w:tcPr>
        <w:shd w:val="clear" w:color="auto" w:fill="D2D9DE" w:themeFill="text1" w:themeFillTint="33"/>
      </w:tcPr>
    </w:tblStylePr>
  </w:style>
  <w:style w:type="table" w:styleId="PlainTable1">
    <w:name w:val="Plain Table 1"/>
    <w:basedOn w:val="TableNormal"/>
    <w:uiPriority w:val="41"/>
    <w:rsid w:val="00D544C0"/>
    <w:rPr>
      <w:rFonts w:asciiTheme="majorHAnsi" w:eastAsiaTheme="majorEastAsia" w:hAnsiTheme="majorHAnsi" w:cstheme="maj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D544C0"/>
    <w:rPr>
      <w:rFonts w:asciiTheme="majorHAnsi" w:eastAsiaTheme="majorEastAsia" w:hAnsiTheme="majorHAnsi" w:cstheme="majorBidi"/>
      <w:sz w:val="22"/>
      <w:szCs w:val="22"/>
    </w:rPr>
    <w:tblPr>
      <w:tblStyleRowBandSize w:val="1"/>
      <w:tblStyleColBandSize w:val="1"/>
      <w:tblBorders>
        <w:top w:val="single" w:sz="2" w:space="0" w:color="7A8E9D" w:themeColor="text1" w:themeTint="99"/>
        <w:bottom w:val="single" w:sz="2" w:space="0" w:color="7A8E9D" w:themeColor="text1" w:themeTint="99"/>
        <w:insideH w:val="single" w:sz="2" w:space="0" w:color="7A8E9D" w:themeColor="text1" w:themeTint="99"/>
        <w:insideV w:val="single" w:sz="2" w:space="0" w:color="7A8E9D" w:themeColor="text1" w:themeTint="99"/>
      </w:tblBorders>
    </w:tblPr>
    <w:tblStylePr w:type="firstRow">
      <w:rPr>
        <w:b/>
        <w:bCs/>
      </w:rPr>
      <w:tblPr/>
      <w:tcPr>
        <w:tcBorders>
          <w:top w:val="nil"/>
          <w:bottom w:val="single" w:sz="12" w:space="0" w:color="7A8E9D" w:themeColor="text1" w:themeTint="99"/>
          <w:insideH w:val="nil"/>
          <w:insideV w:val="nil"/>
        </w:tcBorders>
        <w:shd w:val="clear" w:color="auto" w:fill="FFFFFF" w:themeFill="background1"/>
      </w:tcPr>
    </w:tblStylePr>
    <w:tblStylePr w:type="lastRow">
      <w:rPr>
        <w:b/>
        <w:bCs/>
      </w:rPr>
      <w:tblPr/>
      <w:tcPr>
        <w:tcBorders>
          <w:top w:val="double" w:sz="2" w:space="0" w:color="7A8E9D"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9DE" w:themeFill="text1" w:themeFillTint="33"/>
      </w:tcPr>
    </w:tblStylePr>
    <w:tblStylePr w:type="band1Horz">
      <w:tblPr/>
      <w:tcPr>
        <w:shd w:val="clear" w:color="auto" w:fill="D2D9DE" w:themeFill="text1" w:themeFillTint="33"/>
      </w:tcPr>
    </w:tblStylePr>
  </w:style>
  <w:style w:type="table" w:styleId="GridTable6Colorful">
    <w:name w:val="Grid Table 6 Colorful"/>
    <w:basedOn w:val="TableNormal"/>
    <w:uiPriority w:val="51"/>
    <w:rsid w:val="00D544C0"/>
    <w:rPr>
      <w:rFonts w:asciiTheme="majorHAnsi" w:eastAsiaTheme="majorEastAsia" w:hAnsiTheme="majorHAnsi" w:cstheme="majorBidi"/>
      <w:color w:val="364149" w:themeColor="text1"/>
      <w:sz w:val="22"/>
      <w:szCs w:val="22"/>
    </w:rPr>
    <w:tblPr>
      <w:tblStyleRowBandSize w:val="1"/>
      <w:tblStyleColBandSize w:val="1"/>
      <w:tblBorders>
        <w:top w:val="single" w:sz="4" w:space="0" w:color="7A8E9D" w:themeColor="text1" w:themeTint="99"/>
        <w:left w:val="single" w:sz="4" w:space="0" w:color="7A8E9D" w:themeColor="text1" w:themeTint="99"/>
        <w:bottom w:val="single" w:sz="4" w:space="0" w:color="7A8E9D" w:themeColor="text1" w:themeTint="99"/>
        <w:right w:val="single" w:sz="4" w:space="0" w:color="7A8E9D" w:themeColor="text1" w:themeTint="99"/>
        <w:insideH w:val="single" w:sz="4" w:space="0" w:color="7A8E9D" w:themeColor="text1" w:themeTint="99"/>
        <w:insideV w:val="single" w:sz="4" w:space="0" w:color="7A8E9D" w:themeColor="text1" w:themeTint="99"/>
      </w:tblBorders>
    </w:tblPr>
    <w:tblStylePr w:type="firstRow">
      <w:rPr>
        <w:b/>
        <w:bCs/>
      </w:rPr>
      <w:tblPr/>
      <w:tcPr>
        <w:tcBorders>
          <w:bottom w:val="single" w:sz="12" w:space="0" w:color="7A8E9D" w:themeColor="text1" w:themeTint="99"/>
        </w:tcBorders>
      </w:tcPr>
    </w:tblStylePr>
    <w:tblStylePr w:type="lastRow">
      <w:rPr>
        <w:b/>
        <w:bCs/>
      </w:rPr>
      <w:tblPr/>
      <w:tcPr>
        <w:tcBorders>
          <w:top w:val="double" w:sz="4" w:space="0" w:color="7A8E9D" w:themeColor="text1" w:themeTint="99"/>
        </w:tcBorders>
      </w:tcPr>
    </w:tblStylePr>
    <w:tblStylePr w:type="firstCol">
      <w:rPr>
        <w:b/>
        <w:bCs/>
      </w:rPr>
    </w:tblStylePr>
    <w:tblStylePr w:type="lastCol">
      <w:rPr>
        <w:b/>
        <w:bCs/>
      </w:rPr>
    </w:tblStylePr>
    <w:tblStylePr w:type="band1Vert">
      <w:tblPr/>
      <w:tcPr>
        <w:shd w:val="clear" w:color="auto" w:fill="D2D9DE" w:themeFill="text1" w:themeFillTint="33"/>
      </w:tcPr>
    </w:tblStylePr>
    <w:tblStylePr w:type="band1Horz">
      <w:tblPr/>
      <w:tcPr>
        <w:shd w:val="clear" w:color="auto" w:fill="D2D9DE" w:themeFill="text1" w:themeFillTint="33"/>
      </w:tcPr>
    </w:tblStylePr>
  </w:style>
  <w:style w:type="table" w:styleId="TableGrid">
    <w:name w:val="Table Grid"/>
    <w:basedOn w:val="TableNormal"/>
    <w:uiPriority w:val="39"/>
    <w:rsid w:val="00D544C0"/>
    <w:rPr>
      <w:rFonts w:ascii="Arial" w:eastAsiaTheme="majorEastAsia" w:hAnsi="Arial" w:cstheme="majorBidi"/>
      <w:sz w:val="1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18"/>
      </w:rPr>
      <w:tblPr/>
      <w:tcPr>
        <w:shd w:val="clear" w:color="auto" w:fill="4E3227" w:themeFill="accent2"/>
      </w:tcPr>
    </w:tblStylePr>
    <w:tblStylePr w:type="firstCol">
      <w:rPr>
        <w:b/>
      </w:rPr>
    </w:tblStylePr>
  </w:style>
  <w:style w:type="table" w:styleId="ListTable3">
    <w:name w:val="List Table 3"/>
    <w:basedOn w:val="TableNormal"/>
    <w:uiPriority w:val="48"/>
    <w:rsid w:val="00D544C0"/>
    <w:rPr>
      <w:rFonts w:asciiTheme="majorHAnsi" w:eastAsiaTheme="majorEastAsia" w:hAnsiTheme="majorHAnsi" w:cstheme="majorBidi"/>
      <w:sz w:val="22"/>
      <w:szCs w:val="22"/>
    </w:rPr>
    <w:tblPr>
      <w:tblStyleRowBandSize w:val="1"/>
      <w:tblStyleColBandSize w:val="1"/>
      <w:tblBorders>
        <w:top w:val="single" w:sz="4" w:space="0" w:color="364149" w:themeColor="text1"/>
        <w:left w:val="single" w:sz="4" w:space="0" w:color="364149" w:themeColor="text1"/>
        <w:bottom w:val="single" w:sz="4" w:space="0" w:color="364149" w:themeColor="text1"/>
        <w:right w:val="single" w:sz="4" w:space="0" w:color="364149" w:themeColor="text1"/>
      </w:tblBorders>
    </w:tblPr>
    <w:tblStylePr w:type="firstRow">
      <w:rPr>
        <w:b/>
        <w:bCs/>
        <w:color w:val="FFFFFF" w:themeColor="background1"/>
      </w:rPr>
      <w:tblPr/>
      <w:tcPr>
        <w:shd w:val="clear" w:color="auto" w:fill="364149" w:themeFill="text1"/>
      </w:tcPr>
    </w:tblStylePr>
    <w:tblStylePr w:type="lastRow">
      <w:rPr>
        <w:b/>
        <w:bCs/>
      </w:rPr>
      <w:tblPr/>
      <w:tcPr>
        <w:tcBorders>
          <w:top w:val="double" w:sz="4" w:space="0" w:color="36414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4149" w:themeColor="text1"/>
          <w:right w:val="single" w:sz="4" w:space="0" w:color="364149" w:themeColor="text1"/>
        </w:tcBorders>
      </w:tcPr>
    </w:tblStylePr>
    <w:tblStylePr w:type="band1Horz">
      <w:tblPr/>
      <w:tcPr>
        <w:tcBorders>
          <w:top w:val="single" w:sz="4" w:space="0" w:color="364149" w:themeColor="text1"/>
          <w:bottom w:val="single" w:sz="4" w:space="0" w:color="36414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4149" w:themeColor="text1"/>
          <w:left w:val="nil"/>
        </w:tcBorders>
      </w:tcPr>
    </w:tblStylePr>
    <w:tblStylePr w:type="swCell">
      <w:tblPr/>
      <w:tcPr>
        <w:tcBorders>
          <w:top w:val="double" w:sz="4" w:space="0" w:color="364149" w:themeColor="text1"/>
          <w:right w:val="nil"/>
        </w:tcBorders>
      </w:tcPr>
    </w:tblStylePr>
  </w:style>
  <w:style w:type="table" w:styleId="GridTable5Dark">
    <w:name w:val="Grid Table 5 Dark"/>
    <w:basedOn w:val="TableNormal"/>
    <w:uiPriority w:val="50"/>
    <w:rsid w:val="00D544C0"/>
    <w:rPr>
      <w:rFonts w:asciiTheme="majorHAnsi" w:eastAsiaTheme="majorEastAsia" w:hAnsiTheme="majorHAnsi" w:cstheme="maj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9D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41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41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41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4149" w:themeFill="text1"/>
      </w:tcPr>
    </w:tblStylePr>
    <w:tblStylePr w:type="band1Vert">
      <w:tblPr/>
      <w:tcPr>
        <w:shd w:val="clear" w:color="auto" w:fill="A6B4BD" w:themeFill="text1" w:themeFillTint="66"/>
      </w:tcPr>
    </w:tblStylePr>
    <w:tblStylePr w:type="band1Horz">
      <w:tblPr/>
      <w:tcPr>
        <w:shd w:val="clear" w:color="auto" w:fill="A6B4BD" w:themeFill="text1" w:themeFillTint="66"/>
      </w:tcPr>
    </w:tblStylePr>
  </w:style>
  <w:style w:type="table" w:styleId="GridTable7Colorful">
    <w:name w:val="Grid Table 7 Colorful"/>
    <w:basedOn w:val="TableNormal"/>
    <w:uiPriority w:val="52"/>
    <w:rsid w:val="00D544C0"/>
    <w:rPr>
      <w:rFonts w:asciiTheme="majorHAnsi" w:eastAsiaTheme="majorEastAsia" w:hAnsiTheme="majorHAnsi" w:cstheme="majorBidi"/>
      <w:color w:val="364149" w:themeColor="text1"/>
      <w:sz w:val="22"/>
      <w:szCs w:val="22"/>
    </w:rPr>
    <w:tblPr>
      <w:tblStyleRowBandSize w:val="1"/>
      <w:tblStyleColBandSize w:val="1"/>
      <w:tblBorders>
        <w:top w:val="single" w:sz="4" w:space="0" w:color="7A8E9D" w:themeColor="text1" w:themeTint="99"/>
        <w:left w:val="single" w:sz="4" w:space="0" w:color="7A8E9D" w:themeColor="text1" w:themeTint="99"/>
        <w:bottom w:val="single" w:sz="4" w:space="0" w:color="7A8E9D" w:themeColor="text1" w:themeTint="99"/>
        <w:right w:val="single" w:sz="4" w:space="0" w:color="7A8E9D" w:themeColor="text1" w:themeTint="99"/>
        <w:insideH w:val="single" w:sz="4" w:space="0" w:color="7A8E9D" w:themeColor="text1" w:themeTint="99"/>
        <w:insideV w:val="single" w:sz="4" w:space="0" w:color="7A8E9D"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9DE" w:themeFill="text1" w:themeFillTint="33"/>
      </w:tcPr>
    </w:tblStylePr>
    <w:tblStylePr w:type="band1Horz">
      <w:tblPr/>
      <w:tcPr>
        <w:shd w:val="clear" w:color="auto" w:fill="D2D9DE" w:themeFill="text1" w:themeFillTint="33"/>
      </w:tcPr>
    </w:tblStylePr>
    <w:tblStylePr w:type="neCell">
      <w:tblPr/>
      <w:tcPr>
        <w:tcBorders>
          <w:bottom w:val="single" w:sz="4" w:space="0" w:color="7A8E9D" w:themeColor="text1" w:themeTint="99"/>
        </w:tcBorders>
      </w:tcPr>
    </w:tblStylePr>
    <w:tblStylePr w:type="nwCell">
      <w:tblPr/>
      <w:tcPr>
        <w:tcBorders>
          <w:bottom w:val="single" w:sz="4" w:space="0" w:color="7A8E9D" w:themeColor="text1" w:themeTint="99"/>
        </w:tcBorders>
      </w:tcPr>
    </w:tblStylePr>
    <w:tblStylePr w:type="seCell">
      <w:tblPr/>
      <w:tcPr>
        <w:tcBorders>
          <w:top w:val="single" w:sz="4" w:space="0" w:color="7A8E9D" w:themeColor="text1" w:themeTint="99"/>
        </w:tcBorders>
      </w:tcPr>
    </w:tblStylePr>
    <w:tblStylePr w:type="swCell">
      <w:tblPr/>
      <w:tcPr>
        <w:tcBorders>
          <w:top w:val="single" w:sz="4" w:space="0" w:color="7A8E9D" w:themeColor="text1" w:themeTint="99"/>
        </w:tcBorders>
      </w:tcPr>
    </w:tblStylePr>
  </w:style>
  <w:style w:type="paragraph" w:customStyle="1" w:styleId="Tabletext">
    <w:name w:val="Table text"/>
    <w:basedOn w:val="Normal"/>
    <w:qFormat/>
    <w:rsid w:val="00D544C0"/>
    <w:rPr>
      <w:color w:val="364149" w:themeColor="text1"/>
      <w:sz w:val="18"/>
    </w:rPr>
  </w:style>
  <w:style w:type="character" w:styleId="PlaceholderText">
    <w:name w:val="Placeholder Text"/>
    <w:basedOn w:val="DefaultParagraphFont"/>
    <w:uiPriority w:val="99"/>
    <w:semiHidden/>
    <w:rsid w:val="00D544C0"/>
    <w:rPr>
      <w:color w:val="808080"/>
    </w:rPr>
  </w:style>
  <w:style w:type="paragraph" w:styleId="TOC1">
    <w:name w:val="toc 1"/>
    <w:basedOn w:val="Normal"/>
    <w:next w:val="Normal"/>
    <w:autoRedefine/>
    <w:uiPriority w:val="39"/>
    <w:unhideWhenUsed/>
    <w:rsid w:val="00D544C0"/>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D544C0"/>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D544C0"/>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D544C0"/>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544C0"/>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544C0"/>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544C0"/>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544C0"/>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544C0"/>
    <w:pPr>
      <w:ind w:left="1760"/>
    </w:pPr>
    <w:rPr>
      <w:rFonts w:asciiTheme="minorHAnsi" w:hAnsiTheme="minorHAnsi" w:cstheme="minorHAnsi"/>
      <w:sz w:val="20"/>
      <w:szCs w:val="20"/>
    </w:rPr>
  </w:style>
  <w:style w:type="paragraph" w:styleId="NormalWeb">
    <w:name w:val="Normal (Web)"/>
    <w:basedOn w:val="Normal"/>
    <w:uiPriority w:val="99"/>
    <w:unhideWhenUsed/>
    <w:rsid w:val="00D544C0"/>
  </w:style>
  <w:style w:type="paragraph" w:customStyle="1" w:styleId="Tableentries">
    <w:name w:val="Table entries"/>
    <w:basedOn w:val="Normal"/>
    <w:qFormat/>
    <w:rsid w:val="00D544C0"/>
    <w:rPr>
      <w:sz w:val="18"/>
    </w:rPr>
  </w:style>
  <w:style w:type="table" w:customStyle="1" w:styleId="ICCTtableNoBands">
    <w:name w:val="ICCT_table_NoBands"/>
    <w:basedOn w:val="TableGrid1"/>
    <w:uiPriority w:val="99"/>
    <w:rsid w:val="00D544C0"/>
    <w:pPr>
      <w:spacing w:after="0" w:line="240" w:lineRule="auto"/>
    </w:pPr>
    <w:rPr>
      <w:rFonts w:ascii="Arial" w:hAnsi="Arial" w:cs="Times New Roman (Headings CS)"/>
      <w:sz w:val="18"/>
      <w:szCs w:val="20"/>
      <w:lang w:val="en-AU" w:eastAsia="en-GB"/>
    </w:rPr>
    <w:tblPr/>
    <w:tblStylePr w:type="firstRow">
      <w:rPr>
        <w:b/>
      </w:rPr>
    </w:tblStylePr>
    <w:tblStylePr w:type="lastRow">
      <w:rPr>
        <w:i/>
        <w:iCs/>
      </w:rPr>
      <w:tblPr/>
      <w:tcPr>
        <w:tcBorders>
          <w:tl2br w:val="none" w:sz="0" w:space="0" w:color="auto"/>
          <w:tr2bl w:val="none" w:sz="0" w:space="0" w:color="auto"/>
        </w:tcBorders>
      </w:tcPr>
    </w:tblStylePr>
    <w:tblStylePr w:type="firstCol">
      <w:rPr>
        <w:b/>
      </w:rPr>
    </w:tblStylePr>
    <w:tblStylePr w:type="lastCol">
      <w:rPr>
        <w:i/>
        <w:iCs/>
      </w:rPr>
      <w:tblPr/>
      <w:tcPr>
        <w:tcBorders>
          <w:tl2br w:val="none" w:sz="0" w:space="0" w:color="auto"/>
          <w:tr2bl w:val="none" w:sz="0" w:space="0" w:color="auto"/>
        </w:tcBorders>
      </w:tcPr>
    </w:tblStylePr>
  </w:style>
  <w:style w:type="paragraph" w:styleId="ListNumber">
    <w:name w:val="List Number"/>
    <w:basedOn w:val="Normal"/>
    <w:uiPriority w:val="99"/>
    <w:unhideWhenUsed/>
    <w:rsid w:val="00D544C0"/>
    <w:pPr>
      <w:numPr>
        <w:numId w:val="1"/>
      </w:numPr>
      <w:contextualSpacing/>
    </w:pPr>
  </w:style>
  <w:style w:type="table" w:styleId="TableGrid1">
    <w:name w:val="Table Grid 1"/>
    <w:basedOn w:val="TableNormal"/>
    <w:uiPriority w:val="99"/>
    <w:semiHidden/>
    <w:unhideWhenUsed/>
    <w:rsid w:val="00D544C0"/>
    <w:pPr>
      <w:spacing w:after="200" w:line="360" w:lineRule="auto"/>
    </w:pPr>
    <w:rPr>
      <w:rFonts w:asciiTheme="majorHAnsi" w:eastAsiaTheme="majorEastAsia" w:hAnsiTheme="majorHAnsi" w:cstheme="maj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ageNumber">
    <w:name w:val="page number"/>
    <w:basedOn w:val="DefaultParagraphFont"/>
    <w:uiPriority w:val="99"/>
    <w:semiHidden/>
    <w:unhideWhenUsed/>
    <w:rsid w:val="00D544C0"/>
  </w:style>
  <w:style w:type="paragraph" w:customStyle="1" w:styleId="Heading1-Nonumber">
    <w:name w:val="Heading 1 - No number"/>
    <w:basedOn w:val="Heading1"/>
    <w:next w:val="Normal"/>
    <w:qFormat/>
    <w:rsid w:val="00D544C0"/>
  </w:style>
  <w:style w:type="table" w:customStyle="1" w:styleId="Standard">
    <w:name w:val="Standard"/>
    <w:basedOn w:val="TableNormal"/>
    <w:uiPriority w:val="99"/>
    <w:rsid w:val="00D544C0"/>
    <w:rPr>
      <w:rFonts w:ascii="Arial" w:eastAsiaTheme="majorEastAsia" w:hAnsi="Arial" w:cstheme="majorBidi"/>
      <w:sz w:val="1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4E3227" w:themeFill="accent2"/>
        <w:vAlign w:val="center"/>
      </w:tcPr>
    </w:tblStylePr>
    <w:tblStylePr w:type="firstCol">
      <w:pPr>
        <w:jc w:val="left"/>
      </w:pPr>
      <w:rPr>
        <w:b/>
      </w:rPr>
      <w:tblPr/>
      <w:tcPr>
        <w:vAlign w:val="center"/>
      </w:tcPr>
    </w:tblStylePr>
  </w:style>
  <w:style w:type="table" w:customStyle="1" w:styleId="ICCTStandard">
    <w:name w:val="ICCT_Standard"/>
    <w:basedOn w:val="TableNormal"/>
    <w:uiPriority w:val="99"/>
    <w:rsid w:val="00D544C0"/>
    <w:rPr>
      <w:rFonts w:ascii="Arial" w:eastAsiaTheme="majorEastAsia" w:hAnsi="Arial" w:cstheme="majorBidi"/>
      <w:sz w:val="1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4E3227" w:themeFill="accent2"/>
        <w:vAlign w:val="center"/>
      </w:tcPr>
    </w:tblStylePr>
    <w:tblStylePr w:type="firstCol">
      <w:pPr>
        <w:jc w:val="left"/>
      </w:pPr>
      <w:rPr>
        <w:b/>
      </w:rPr>
      <w:tblPr/>
      <w:tcPr>
        <w:vAlign w:val="center"/>
      </w:tcPr>
    </w:tblStylePr>
  </w:style>
  <w:style w:type="paragraph" w:customStyle="1" w:styleId="Heading2-Nonumber">
    <w:name w:val="Heading 2 - No number"/>
    <w:basedOn w:val="Heading2"/>
    <w:next w:val="Normal"/>
    <w:link w:val="Heading2-NonumberChar"/>
    <w:qFormat/>
    <w:rsid w:val="00D544C0"/>
    <w:pPr>
      <w:numPr>
        <w:numId w:val="0"/>
      </w:numPr>
    </w:pPr>
  </w:style>
  <w:style w:type="numbering" w:customStyle="1" w:styleId="CurrentList1">
    <w:name w:val="Current List1"/>
    <w:uiPriority w:val="99"/>
    <w:rsid w:val="00D544C0"/>
    <w:pPr>
      <w:numPr>
        <w:numId w:val="3"/>
      </w:numPr>
    </w:pPr>
  </w:style>
  <w:style w:type="character" w:customStyle="1" w:styleId="Heading2-NonumberChar">
    <w:name w:val="Heading 2 - No number Char"/>
    <w:basedOn w:val="Heading2Char"/>
    <w:link w:val="Heading2-Nonumber"/>
    <w:rsid w:val="00D544C0"/>
    <w:rPr>
      <w:rFonts w:ascii="Arial" w:eastAsiaTheme="majorEastAsia" w:hAnsi="Arial" w:cs="Arial"/>
      <w:color w:val="212121"/>
      <w:sz w:val="28"/>
      <w:szCs w:val="28"/>
      <w:lang w:eastAsia="zh-CN"/>
    </w:rPr>
  </w:style>
  <w:style w:type="paragraph" w:customStyle="1" w:styleId="Figurecaption">
    <w:name w:val="Figure caption"/>
    <w:basedOn w:val="Caption"/>
    <w:next w:val="Normal"/>
    <w:qFormat/>
    <w:rsid w:val="00933B16"/>
  </w:style>
  <w:style w:type="paragraph" w:customStyle="1" w:styleId="Tablecaption">
    <w:name w:val="Table caption"/>
    <w:basedOn w:val="Caption"/>
    <w:qFormat/>
    <w:rsid w:val="003A174C"/>
    <w:pPr>
      <w:spacing w:after="0"/>
    </w:pPr>
    <w:rPr>
      <w:sz w:val="20"/>
    </w:rPr>
  </w:style>
  <w:style w:type="table" w:customStyle="1" w:styleId="ICCT1">
    <w:name w:val="ICCT_1"/>
    <w:basedOn w:val="TableNormal"/>
    <w:uiPriority w:val="99"/>
    <w:rsid w:val="002D5C6F"/>
    <w:pPr>
      <w:jc w:val="center"/>
    </w:pPr>
    <w:rPr>
      <w:rFonts w:ascii="Arial" w:hAnsi="Arial" w:cs="Arial (Body CS)"/>
      <w:sz w:val="18"/>
    </w:rPr>
    <w:tblPr>
      <w:tblStyleRowBandSize w:val="1"/>
      <w:tblBorders>
        <w:top w:val="single" w:sz="4" w:space="0" w:color="95B3D7"/>
        <w:left w:val="single" w:sz="4" w:space="0" w:color="95B3D7"/>
        <w:bottom w:val="single" w:sz="4" w:space="0" w:color="95B3D7"/>
        <w:right w:val="single" w:sz="4" w:space="0" w:color="95B3D7"/>
      </w:tblBorders>
      <w:tblCellMar>
        <w:left w:w="57" w:type="dxa"/>
        <w:right w:w="57" w:type="dxa"/>
      </w:tblCellMar>
    </w:tblPr>
    <w:tcPr>
      <w:shd w:val="clear" w:color="auto" w:fill="auto"/>
      <w:vAlign w:val="center"/>
    </w:tcPr>
    <w:tblStylePr w:type="firstRow">
      <w:rPr>
        <w:rFonts w:ascii="Arial" w:hAnsi="Arial"/>
        <w:b/>
        <w:color w:val="FFFFFF" w:themeColor="background1"/>
        <w:sz w:val="18"/>
      </w:rPr>
      <w:tblPr/>
      <w:tcPr>
        <w:shd w:val="clear" w:color="auto" w:fill="364149" w:themeFill="text2"/>
      </w:tcPr>
    </w:tblStylePr>
    <w:tblStylePr w:type="lastRow">
      <w:rPr>
        <w:b/>
      </w:rPr>
    </w:tblStylePr>
    <w:tblStylePr w:type="firstCol">
      <w:pPr>
        <w:jc w:val="left"/>
      </w:pPr>
      <w:rPr>
        <w:b/>
        <w:color w:val="FFFFFF" w:themeColor="background1"/>
      </w:rPr>
      <w:tblPr/>
      <w:tcPr>
        <w:shd w:val="clear" w:color="auto" w:fill="364149" w:themeFill="text2"/>
      </w:tcPr>
    </w:tblStylePr>
    <w:tblStylePr w:type="lastCol">
      <w:rPr>
        <w:b/>
      </w:rPr>
    </w:tblStylePr>
    <w:tblStylePr w:type="band1Horz">
      <w:tblPr/>
      <w:tcPr>
        <w:shd w:val="clear" w:color="auto" w:fill="D4E8ED"/>
      </w:tcPr>
    </w:tblStylePr>
    <w:tblStylePr w:type="band2Horz">
      <w:rPr>
        <w:rFonts w:ascii="Arial" w:hAnsi="Arial"/>
        <w:sz w:val="18"/>
      </w:rPr>
      <w:tblPr/>
      <w:tcPr>
        <w:shd w:val="clear" w:color="auto" w:fill="F1F8FA"/>
      </w:tcPr>
    </w:tblStylePr>
  </w:style>
  <w:style w:type="table" w:styleId="ListTable6Colorful">
    <w:name w:val="List Table 6 Colorful"/>
    <w:aliases w:val="Table ICCT L2R"/>
    <w:basedOn w:val="TableNormal"/>
    <w:uiPriority w:val="51"/>
    <w:rsid w:val="009018B5"/>
    <w:rPr>
      <w:color w:val="364149" w:themeColor="text1"/>
    </w:rPr>
    <w:tblPr>
      <w:tblStyleRowBandSize w:val="1"/>
      <w:tblStyleColBandSize w:val="1"/>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Pr>
    <w:tblStylePr w:type="firstRow">
      <w:pPr>
        <w:jc w:val="center"/>
      </w:pPr>
      <w:rPr>
        <w:b/>
        <w:bCs/>
        <w:color w:val="FFFFFF" w:themeColor="background1"/>
      </w:rPr>
      <w:tblPr/>
      <w:tcPr>
        <w:shd w:val="clear" w:color="auto" w:fill="364149" w:themeFill="text2"/>
        <w:vAlign w:val="bottom"/>
      </w:tcPr>
    </w:tblStylePr>
    <w:tblStylePr w:type="lastRow">
      <w:pPr>
        <w:jc w:val="center"/>
      </w:pPr>
      <w:rPr>
        <w:b/>
        <w:bCs/>
      </w:rPr>
      <w:tblPr/>
      <w:tcPr>
        <w:tcBorders>
          <w:top w:val="double" w:sz="4" w:space="0" w:color="364149" w:themeColor="text1"/>
        </w:tcBorders>
        <w:vAlign w:val="center"/>
      </w:tcPr>
    </w:tblStylePr>
    <w:tblStylePr w:type="firstCol">
      <w:pPr>
        <w:jc w:val="left"/>
      </w:pPr>
      <w:rPr>
        <w:b/>
        <w:bCs/>
      </w:rPr>
      <w:tblPr/>
      <w:tcPr>
        <w:vAlign w:val="center"/>
      </w:tcPr>
    </w:tblStylePr>
    <w:tblStylePr w:type="lastCol">
      <w:pPr>
        <w:jc w:val="center"/>
      </w:pPr>
      <w:rPr>
        <w:b/>
        <w:bCs/>
      </w:rPr>
      <w:tblPr/>
      <w:tcPr>
        <w:vAlign w:val="center"/>
      </w:tcPr>
    </w:tblStylePr>
    <w:tblStylePr w:type="band1Vert">
      <w:pPr>
        <w:jc w:val="center"/>
      </w:pPr>
      <w:tblPr/>
      <w:tcPr>
        <w:shd w:val="clear" w:color="auto" w:fill="D5E8EC"/>
        <w:vAlign w:val="center"/>
      </w:tcPr>
    </w:tblStylePr>
    <w:tblStylePr w:type="band2Vert">
      <w:pPr>
        <w:jc w:val="center"/>
      </w:pPr>
      <w:tblPr/>
      <w:tcPr>
        <w:shd w:val="clear" w:color="auto" w:fill="F1F8FA"/>
        <w:vAlign w:val="center"/>
      </w:tcPr>
    </w:tblStylePr>
    <w:tblStylePr w:type="band1Horz">
      <w:pPr>
        <w:jc w:val="center"/>
      </w:pPr>
      <w:tblPr/>
      <w:tcPr>
        <w:shd w:val="clear" w:color="auto" w:fill="D5E8EC"/>
        <w:vAlign w:val="center"/>
      </w:tcPr>
    </w:tblStylePr>
    <w:tblStylePr w:type="band2Horz">
      <w:pPr>
        <w:jc w:val="center"/>
      </w:pPr>
      <w:tblPr/>
      <w:tcPr>
        <w:shd w:val="clear" w:color="auto" w:fill="F1F8FA"/>
        <w:vAlign w:val="center"/>
      </w:tcPr>
    </w:tblStylePr>
    <w:tblStylePr w:type="swCell">
      <w:pPr>
        <w:jc w:val="left"/>
      </w:pPr>
      <w:tblPr/>
      <w:tcPr>
        <w:vAlign w:val="center"/>
      </w:tcPr>
    </w:tblStylePr>
  </w:style>
  <w:style w:type="table" w:styleId="ListTable6Colorful-Accent1">
    <w:name w:val="List Table 6 Colorful Accent 1"/>
    <w:basedOn w:val="TableNormal"/>
    <w:uiPriority w:val="51"/>
    <w:rsid w:val="007D3F41"/>
    <w:rPr>
      <w:color w:val="005A6E" w:themeColor="accent1" w:themeShade="BF"/>
    </w:rPr>
    <w:tblPr>
      <w:tblStyleRowBandSize w:val="1"/>
      <w:tblStyleColBandSize w:val="1"/>
      <w:tblBorders>
        <w:top w:val="single" w:sz="4" w:space="0" w:color="007993" w:themeColor="accent1"/>
        <w:bottom w:val="single" w:sz="4" w:space="0" w:color="007993" w:themeColor="accent1"/>
      </w:tblBorders>
    </w:tblPr>
    <w:tblStylePr w:type="firstRow">
      <w:rPr>
        <w:b/>
        <w:bCs/>
      </w:rPr>
      <w:tblPr/>
      <w:tcPr>
        <w:tcBorders>
          <w:bottom w:val="single" w:sz="4" w:space="0" w:color="007993" w:themeColor="accent1"/>
        </w:tcBorders>
      </w:tcPr>
    </w:tblStylePr>
    <w:tblStylePr w:type="lastRow">
      <w:rPr>
        <w:b/>
        <w:bCs/>
      </w:rPr>
      <w:tblPr/>
      <w:tcPr>
        <w:tcBorders>
          <w:top w:val="double" w:sz="4" w:space="0" w:color="007993" w:themeColor="accent1"/>
        </w:tcBorders>
      </w:tcPr>
    </w:tblStylePr>
    <w:tblStylePr w:type="firstCol">
      <w:rPr>
        <w:b/>
        <w:bCs/>
      </w:rPr>
    </w:tblStylePr>
    <w:tblStylePr w:type="lastCol">
      <w:rPr>
        <w:b/>
        <w:bCs/>
      </w:rPr>
    </w:tblStylePr>
    <w:tblStylePr w:type="band1Vert">
      <w:tblPr/>
      <w:tcPr>
        <w:shd w:val="clear" w:color="auto" w:fill="B6F1FF" w:themeFill="accent1" w:themeFillTint="33"/>
      </w:tcPr>
    </w:tblStylePr>
    <w:tblStylePr w:type="band1Horz">
      <w:tblPr/>
      <w:tcPr>
        <w:shd w:val="clear" w:color="auto" w:fill="B6F1FF" w:themeFill="accent1" w:themeFillTint="33"/>
      </w:tcPr>
    </w:tblStylePr>
  </w:style>
  <w:style w:type="paragraph" w:customStyle="1" w:styleId="Heading3-Nonumber">
    <w:name w:val="Heading 3 - No number"/>
    <w:basedOn w:val="Heading3"/>
    <w:next w:val="Normal"/>
    <w:link w:val="Heading3-NonumberChar"/>
    <w:qFormat/>
    <w:rsid w:val="00F36C28"/>
    <w:rPr>
      <w:b/>
      <w:sz w:val="22"/>
    </w:rPr>
  </w:style>
  <w:style w:type="numbering" w:customStyle="1" w:styleId="CurrentList2">
    <w:name w:val="Current List2"/>
    <w:uiPriority w:val="99"/>
    <w:rsid w:val="00F36C28"/>
    <w:pPr>
      <w:numPr>
        <w:numId w:val="5"/>
      </w:numPr>
    </w:pPr>
  </w:style>
  <w:style w:type="character" w:customStyle="1" w:styleId="Heading3-NonumberChar">
    <w:name w:val="Heading 3 - No number Char"/>
    <w:basedOn w:val="Heading3Char"/>
    <w:link w:val="Heading3-Nonumber"/>
    <w:rsid w:val="00AF0738"/>
    <w:rPr>
      <w:rFonts w:ascii="Arial" w:eastAsiaTheme="majorEastAsia" w:hAnsi="Arial" w:cs="Arial"/>
      <w:b/>
      <w:color w:val="212121"/>
      <w:sz w:val="22"/>
      <w:szCs w:val="28"/>
      <w:lang w:eastAsia="zh-CN"/>
    </w:rPr>
  </w:style>
  <w:style w:type="character" w:styleId="UnresolvedMention">
    <w:name w:val="Unresolved Mention"/>
    <w:basedOn w:val="DefaultParagraphFont"/>
    <w:uiPriority w:val="99"/>
    <w:semiHidden/>
    <w:unhideWhenUsed/>
    <w:rsid w:val="00DA3798"/>
    <w:rPr>
      <w:color w:val="605E5C"/>
      <w:shd w:val="clear" w:color="auto" w:fill="E1DFDD"/>
    </w:rPr>
  </w:style>
  <w:style w:type="character" w:styleId="Mention">
    <w:name w:val="Mention"/>
    <w:basedOn w:val="DefaultParagraphFont"/>
    <w:uiPriority w:val="99"/>
    <w:unhideWhenUsed/>
    <w:rsid w:val="00095825"/>
    <w:rPr>
      <w:color w:val="2B579A"/>
      <w:shd w:val="clear" w:color="auto" w:fill="E1DFDD"/>
    </w:rPr>
  </w:style>
  <w:style w:type="paragraph" w:styleId="TableofFigures">
    <w:name w:val="table of figures"/>
    <w:basedOn w:val="Normal"/>
    <w:next w:val="Normal"/>
    <w:uiPriority w:val="99"/>
    <w:unhideWhenUsed/>
    <w:rsid w:val="00111264"/>
  </w:style>
  <w:style w:type="table" w:styleId="GridTable1Light">
    <w:name w:val="Grid Table 1 Light"/>
    <w:basedOn w:val="TableNormal"/>
    <w:uiPriority w:val="46"/>
    <w:rsid w:val="006801F6"/>
    <w:tblPr>
      <w:tblStyleRowBandSize w:val="1"/>
      <w:tblStyleColBandSize w:val="1"/>
      <w:tblBorders>
        <w:top w:val="single" w:sz="4" w:space="0" w:color="A6B4BD" w:themeColor="text1" w:themeTint="66"/>
        <w:left w:val="single" w:sz="4" w:space="0" w:color="A6B4BD" w:themeColor="text1" w:themeTint="66"/>
        <w:bottom w:val="single" w:sz="4" w:space="0" w:color="A6B4BD" w:themeColor="text1" w:themeTint="66"/>
        <w:right w:val="single" w:sz="4" w:space="0" w:color="A6B4BD" w:themeColor="text1" w:themeTint="66"/>
        <w:insideH w:val="single" w:sz="4" w:space="0" w:color="A6B4BD" w:themeColor="text1" w:themeTint="66"/>
        <w:insideV w:val="single" w:sz="4" w:space="0" w:color="A6B4BD" w:themeColor="text1" w:themeTint="66"/>
      </w:tblBorders>
    </w:tblPr>
    <w:tblStylePr w:type="firstRow">
      <w:rPr>
        <w:b/>
        <w:bCs/>
      </w:rPr>
      <w:tblPr/>
      <w:tcPr>
        <w:tcBorders>
          <w:bottom w:val="single" w:sz="12" w:space="0" w:color="7A8E9D" w:themeColor="text1" w:themeTint="99"/>
        </w:tcBorders>
      </w:tcPr>
    </w:tblStylePr>
    <w:tblStylePr w:type="lastRow">
      <w:rPr>
        <w:b/>
        <w:bCs/>
      </w:rPr>
      <w:tblPr/>
      <w:tcPr>
        <w:tcBorders>
          <w:top w:val="double" w:sz="2" w:space="0" w:color="7A8E9D"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FF6F6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ingleTxtG">
    <w:name w:val="_ Single Txt_G"/>
    <w:basedOn w:val="Normal"/>
    <w:link w:val="SingleTxtGChar"/>
    <w:qFormat/>
    <w:rsid w:val="007A5D9B"/>
    <w:pPr>
      <w:suppressAutoHyphens/>
      <w:spacing w:line="240" w:lineRule="atLeast"/>
      <w:ind w:left="1134" w:right="1134"/>
    </w:pPr>
    <w:rPr>
      <w:rFonts w:ascii="Times New Roman" w:hAnsi="Times New Roman"/>
      <w:sz w:val="20"/>
      <w:szCs w:val="20"/>
      <w:lang w:val="en-GB"/>
    </w:rPr>
  </w:style>
  <w:style w:type="character" w:customStyle="1" w:styleId="SingleTxtGChar">
    <w:name w:val="_ Single Txt_G Char"/>
    <w:link w:val="SingleTxtG"/>
    <w:qFormat/>
    <w:rsid w:val="007A5D9B"/>
    <w:rPr>
      <w:rFonts w:ascii="Times New Roman" w:eastAsia="Times New Roman" w:hAnsi="Times New Roman" w:cs="Times New Roman"/>
      <w:sz w:val="20"/>
      <w:szCs w:val="20"/>
      <w:lang w:val="en-GB"/>
    </w:rPr>
  </w:style>
  <w:style w:type="paragraph" w:customStyle="1" w:styleId="Listparagraphbullets">
    <w:name w:val="List paragraph—bullets"/>
    <w:basedOn w:val="ListParagraph"/>
    <w:qFormat/>
    <w:rsid w:val="00736F4B"/>
    <w:pPr>
      <w:numPr>
        <w:numId w:val="38"/>
      </w:numPr>
      <w:spacing w:after="160"/>
      <w:ind w:left="567" w:hanging="567"/>
    </w:pPr>
    <w:rPr>
      <w:rFonts w:eastAsiaTheme="minorHAnsi" w:cstheme="minorBidi"/>
      <w:color w:val="auto"/>
      <w:lang w:val="en-AU" w:eastAsia="zh-TW"/>
    </w:rPr>
  </w:style>
  <w:style w:type="paragraph" w:customStyle="1" w:styleId="ListLegal1">
    <w:name w:val="List Legal 1"/>
    <w:basedOn w:val="Normal"/>
    <w:uiPriority w:val="3"/>
    <w:qFormat/>
    <w:rsid w:val="005D4BA8"/>
    <w:pPr>
      <w:numPr>
        <w:numId w:val="39"/>
      </w:numPr>
      <w:suppressAutoHyphens/>
      <w:spacing w:after="160"/>
      <w:ind w:left="567" w:hanging="567"/>
    </w:pPr>
    <w:rPr>
      <w:rFonts w:ascii="Calibri" w:eastAsiaTheme="minorHAnsi" w:hAnsi="Calibri" w:cstheme="minorBidi"/>
      <w:color w:val="000000"/>
      <w:kern w:val="12"/>
      <w:szCs w:val="20"/>
      <w:lang w:val="x-none" w:eastAsia="en-US"/>
    </w:rPr>
  </w:style>
  <w:style w:type="paragraph" w:customStyle="1" w:styleId="ListLegal2">
    <w:name w:val="List Legal 2"/>
    <w:basedOn w:val="ListLegal1"/>
    <w:uiPriority w:val="3"/>
    <w:rsid w:val="005D4BA8"/>
    <w:pPr>
      <w:numPr>
        <w:ilvl w:val="1"/>
      </w:numPr>
      <w:ind w:left="1134" w:hanging="567"/>
    </w:pPr>
  </w:style>
  <w:style w:type="paragraph" w:customStyle="1" w:styleId="ListLegal3">
    <w:name w:val="List Legal 3"/>
    <w:basedOn w:val="ListLegal2"/>
    <w:uiPriority w:val="3"/>
    <w:rsid w:val="005D4BA8"/>
    <w:pPr>
      <w:numPr>
        <w:ilvl w:val="2"/>
      </w:numPr>
      <w:ind w:left="1701" w:hanging="567"/>
    </w:pPr>
  </w:style>
  <w:style w:type="numbering" w:customStyle="1" w:styleId="ListLegal">
    <w:name w:val="List Legal"/>
    <w:uiPriority w:val="99"/>
    <w:rsid w:val="005D4BA8"/>
    <w:pPr>
      <w:numPr>
        <w:numId w:val="39"/>
      </w:numPr>
    </w:pPr>
  </w:style>
  <w:style w:type="paragraph" w:customStyle="1" w:styleId="Tablerowcolumnheading">
    <w:name w:val="Table row/column heading"/>
    <w:basedOn w:val="Normal"/>
    <w:next w:val="Normal"/>
    <w:rsid w:val="008F4307"/>
    <w:pPr>
      <w:shd w:val="clear" w:color="auto" w:fill="081E3E"/>
      <w:spacing w:before="60" w:after="60"/>
    </w:pPr>
    <w:rPr>
      <w:rFonts w:eastAsiaTheme="minorHAnsi" w:cstheme="minorBidi"/>
      <w:b/>
      <w:color w:val="FFFFFF" w:themeColor="background1"/>
      <w:szCs w:val="20"/>
      <w:lang w:val="en-AU" w:eastAsia="en-US"/>
    </w:rPr>
  </w:style>
  <w:style w:type="paragraph" w:customStyle="1" w:styleId="Tabletextcentred">
    <w:name w:val="Table text—centred"/>
    <w:basedOn w:val="Tabletext"/>
    <w:next w:val="NoSpacing"/>
    <w:rsid w:val="00784126"/>
    <w:pPr>
      <w:spacing w:before="40" w:after="40"/>
      <w:jc w:val="center"/>
    </w:pPr>
    <w:rPr>
      <w:rFonts w:ascii="Calibri" w:hAnsi="Calibri" w:cs="Times New Roman"/>
      <w:color w:val="auto"/>
      <w:sz w:val="22"/>
      <w:szCs w:val="20"/>
      <w:lang w:val="en-AU" w:eastAsia="en-US"/>
    </w:rPr>
  </w:style>
  <w:style w:type="paragraph" w:customStyle="1" w:styleId="Tablerowcolumnheadingcentred">
    <w:name w:val="Table row/column heading—centred"/>
    <w:basedOn w:val="Tablerowcolumnheading"/>
    <w:next w:val="Normal"/>
    <w:rsid w:val="00784126"/>
    <w:pPr>
      <w:jc w:val="center"/>
    </w:pPr>
  </w:style>
  <w:style w:type="paragraph" w:customStyle="1" w:styleId="Tabletextbullets">
    <w:name w:val="Table text—bullets"/>
    <w:basedOn w:val="Listparagraphbullets"/>
    <w:qFormat/>
    <w:rsid w:val="00784126"/>
    <w:pPr>
      <w:numPr>
        <w:numId w:val="2"/>
      </w:numPr>
      <w:spacing w:before="60" w:after="60"/>
      <w:ind w:left="284" w:hanging="284"/>
    </w:pPr>
    <w:rPr>
      <w:rFonts w:ascii="Calibri" w:hAnsi="Calibri"/>
      <w:color w:val="364149" w:themeColor="text1"/>
      <w:szCs w:val="20"/>
    </w:rPr>
  </w:style>
  <w:style w:type="table" w:customStyle="1" w:styleId="DefaultTable11">
    <w:name w:val="Default Table 11"/>
    <w:basedOn w:val="TableNormal"/>
    <w:uiPriority w:val="99"/>
    <w:rsid w:val="00784126"/>
    <w:pPr>
      <w:spacing w:before="80" w:after="80"/>
    </w:pPr>
    <w:rPr>
      <w:rFonts w:eastAsiaTheme="minorHAnsi"/>
      <w:color w:val="000000"/>
      <w:sz w:val="20"/>
      <w:szCs w:val="20"/>
      <w:lang w:val="en-AU"/>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5762">
      <w:bodyDiv w:val="1"/>
      <w:marLeft w:val="0"/>
      <w:marRight w:val="0"/>
      <w:marTop w:val="0"/>
      <w:marBottom w:val="0"/>
      <w:divBdr>
        <w:top w:val="none" w:sz="0" w:space="0" w:color="auto"/>
        <w:left w:val="none" w:sz="0" w:space="0" w:color="auto"/>
        <w:bottom w:val="none" w:sz="0" w:space="0" w:color="auto"/>
        <w:right w:val="none" w:sz="0" w:space="0" w:color="auto"/>
      </w:divBdr>
    </w:div>
    <w:div w:id="33507258">
      <w:bodyDiv w:val="1"/>
      <w:marLeft w:val="0"/>
      <w:marRight w:val="0"/>
      <w:marTop w:val="0"/>
      <w:marBottom w:val="0"/>
      <w:divBdr>
        <w:top w:val="none" w:sz="0" w:space="0" w:color="auto"/>
        <w:left w:val="none" w:sz="0" w:space="0" w:color="auto"/>
        <w:bottom w:val="none" w:sz="0" w:space="0" w:color="auto"/>
        <w:right w:val="none" w:sz="0" w:space="0" w:color="auto"/>
      </w:divBdr>
    </w:div>
    <w:div w:id="91708477">
      <w:bodyDiv w:val="1"/>
      <w:marLeft w:val="0"/>
      <w:marRight w:val="0"/>
      <w:marTop w:val="0"/>
      <w:marBottom w:val="0"/>
      <w:divBdr>
        <w:top w:val="none" w:sz="0" w:space="0" w:color="auto"/>
        <w:left w:val="none" w:sz="0" w:space="0" w:color="auto"/>
        <w:bottom w:val="none" w:sz="0" w:space="0" w:color="auto"/>
        <w:right w:val="none" w:sz="0" w:space="0" w:color="auto"/>
      </w:divBdr>
    </w:div>
    <w:div w:id="113447786">
      <w:bodyDiv w:val="1"/>
      <w:marLeft w:val="0"/>
      <w:marRight w:val="0"/>
      <w:marTop w:val="0"/>
      <w:marBottom w:val="0"/>
      <w:divBdr>
        <w:top w:val="none" w:sz="0" w:space="0" w:color="auto"/>
        <w:left w:val="none" w:sz="0" w:space="0" w:color="auto"/>
        <w:bottom w:val="none" w:sz="0" w:space="0" w:color="auto"/>
        <w:right w:val="none" w:sz="0" w:space="0" w:color="auto"/>
      </w:divBdr>
    </w:div>
    <w:div w:id="193423384">
      <w:bodyDiv w:val="1"/>
      <w:marLeft w:val="0"/>
      <w:marRight w:val="0"/>
      <w:marTop w:val="0"/>
      <w:marBottom w:val="0"/>
      <w:divBdr>
        <w:top w:val="none" w:sz="0" w:space="0" w:color="auto"/>
        <w:left w:val="none" w:sz="0" w:space="0" w:color="auto"/>
        <w:bottom w:val="none" w:sz="0" w:space="0" w:color="auto"/>
        <w:right w:val="none" w:sz="0" w:space="0" w:color="auto"/>
      </w:divBdr>
    </w:div>
    <w:div w:id="194971671">
      <w:bodyDiv w:val="1"/>
      <w:marLeft w:val="0"/>
      <w:marRight w:val="0"/>
      <w:marTop w:val="0"/>
      <w:marBottom w:val="0"/>
      <w:divBdr>
        <w:top w:val="none" w:sz="0" w:space="0" w:color="auto"/>
        <w:left w:val="none" w:sz="0" w:space="0" w:color="auto"/>
        <w:bottom w:val="none" w:sz="0" w:space="0" w:color="auto"/>
        <w:right w:val="none" w:sz="0" w:space="0" w:color="auto"/>
      </w:divBdr>
    </w:div>
    <w:div w:id="233591980">
      <w:bodyDiv w:val="1"/>
      <w:marLeft w:val="0"/>
      <w:marRight w:val="0"/>
      <w:marTop w:val="0"/>
      <w:marBottom w:val="0"/>
      <w:divBdr>
        <w:top w:val="none" w:sz="0" w:space="0" w:color="auto"/>
        <w:left w:val="none" w:sz="0" w:space="0" w:color="auto"/>
        <w:bottom w:val="none" w:sz="0" w:space="0" w:color="auto"/>
        <w:right w:val="none" w:sz="0" w:space="0" w:color="auto"/>
      </w:divBdr>
    </w:div>
    <w:div w:id="243760825">
      <w:bodyDiv w:val="1"/>
      <w:marLeft w:val="0"/>
      <w:marRight w:val="0"/>
      <w:marTop w:val="0"/>
      <w:marBottom w:val="0"/>
      <w:divBdr>
        <w:top w:val="none" w:sz="0" w:space="0" w:color="auto"/>
        <w:left w:val="none" w:sz="0" w:space="0" w:color="auto"/>
        <w:bottom w:val="none" w:sz="0" w:space="0" w:color="auto"/>
        <w:right w:val="none" w:sz="0" w:space="0" w:color="auto"/>
      </w:divBdr>
    </w:div>
    <w:div w:id="246766231">
      <w:bodyDiv w:val="1"/>
      <w:marLeft w:val="0"/>
      <w:marRight w:val="0"/>
      <w:marTop w:val="0"/>
      <w:marBottom w:val="0"/>
      <w:divBdr>
        <w:top w:val="none" w:sz="0" w:space="0" w:color="auto"/>
        <w:left w:val="none" w:sz="0" w:space="0" w:color="auto"/>
        <w:bottom w:val="none" w:sz="0" w:space="0" w:color="auto"/>
        <w:right w:val="none" w:sz="0" w:space="0" w:color="auto"/>
      </w:divBdr>
    </w:div>
    <w:div w:id="259021712">
      <w:bodyDiv w:val="1"/>
      <w:marLeft w:val="0"/>
      <w:marRight w:val="0"/>
      <w:marTop w:val="0"/>
      <w:marBottom w:val="0"/>
      <w:divBdr>
        <w:top w:val="none" w:sz="0" w:space="0" w:color="auto"/>
        <w:left w:val="none" w:sz="0" w:space="0" w:color="auto"/>
        <w:bottom w:val="none" w:sz="0" w:space="0" w:color="auto"/>
        <w:right w:val="none" w:sz="0" w:space="0" w:color="auto"/>
      </w:divBdr>
    </w:div>
    <w:div w:id="266622864">
      <w:bodyDiv w:val="1"/>
      <w:marLeft w:val="0"/>
      <w:marRight w:val="0"/>
      <w:marTop w:val="0"/>
      <w:marBottom w:val="0"/>
      <w:divBdr>
        <w:top w:val="none" w:sz="0" w:space="0" w:color="auto"/>
        <w:left w:val="none" w:sz="0" w:space="0" w:color="auto"/>
        <w:bottom w:val="none" w:sz="0" w:space="0" w:color="auto"/>
        <w:right w:val="none" w:sz="0" w:space="0" w:color="auto"/>
      </w:divBdr>
    </w:div>
    <w:div w:id="320699996">
      <w:bodyDiv w:val="1"/>
      <w:marLeft w:val="0"/>
      <w:marRight w:val="0"/>
      <w:marTop w:val="0"/>
      <w:marBottom w:val="0"/>
      <w:divBdr>
        <w:top w:val="none" w:sz="0" w:space="0" w:color="auto"/>
        <w:left w:val="none" w:sz="0" w:space="0" w:color="auto"/>
        <w:bottom w:val="none" w:sz="0" w:space="0" w:color="auto"/>
        <w:right w:val="none" w:sz="0" w:space="0" w:color="auto"/>
      </w:divBdr>
    </w:div>
    <w:div w:id="355733759">
      <w:bodyDiv w:val="1"/>
      <w:marLeft w:val="0"/>
      <w:marRight w:val="0"/>
      <w:marTop w:val="0"/>
      <w:marBottom w:val="0"/>
      <w:divBdr>
        <w:top w:val="none" w:sz="0" w:space="0" w:color="auto"/>
        <w:left w:val="none" w:sz="0" w:space="0" w:color="auto"/>
        <w:bottom w:val="none" w:sz="0" w:space="0" w:color="auto"/>
        <w:right w:val="none" w:sz="0" w:space="0" w:color="auto"/>
      </w:divBdr>
    </w:div>
    <w:div w:id="372000064">
      <w:bodyDiv w:val="1"/>
      <w:marLeft w:val="0"/>
      <w:marRight w:val="0"/>
      <w:marTop w:val="0"/>
      <w:marBottom w:val="0"/>
      <w:divBdr>
        <w:top w:val="none" w:sz="0" w:space="0" w:color="auto"/>
        <w:left w:val="none" w:sz="0" w:space="0" w:color="auto"/>
        <w:bottom w:val="none" w:sz="0" w:space="0" w:color="auto"/>
        <w:right w:val="none" w:sz="0" w:space="0" w:color="auto"/>
      </w:divBdr>
    </w:div>
    <w:div w:id="382875255">
      <w:bodyDiv w:val="1"/>
      <w:marLeft w:val="0"/>
      <w:marRight w:val="0"/>
      <w:marTop w:val="0"/>
      <w:marBottom w:val="0"/>
      <w:divBdr>
        <w:top w:val="none" w:sz="0" w:space="0" w:color="auto"/>
        <w:left w:val="none" w:sz="0" w:space="0" w:color="auto"/>
        <w:bottom w:val="none" w:sz="0" w:space="0" w:color="auto"/>
        <w:right w:val="none" w:sz="0" w:space="0" w:color="auto"/>
      </w:divBdr>
    </w:div>
    <w:div w:id="399524105">
      <w:bodyDiv w:val="1"/>
      <w:marLeft w:val="0"/>
      <w:marRight w:val="0"/>
      <w:marTop w:val="0"/>
      <w:marBottom w:val="0"/>
      <w:divBdr>
        <w:top w:val="none" w:sz="0" w:space="0" w:color="auto"/>
        <w:left w:val="none" w:sz="0" w:space="0" w:color="auto"/>
        <w:bottom w:val="none" w:sz="0" w:space="0" w:color="auto"/>
        <w:right w:val="none" w:sz="0" w:space="0" w:color="auto"/>
      </w:divBdr>
    </w:div>
    <w:div w:id="427892267">
      <w:bodyDiv w:val="1"/>
      <w:marLeft w:val="0"/>
      <w:marRight w:val="0"/>
      <w:marTop w:val="0"/>
      <w:marBottom w:val="0"/>
      <w:divBdr>
        <w:top w:val="none" w:sz="0" w:space="0" w:color="auto"/>
        <w:left w:val="none" w:sz="0" w:space="0" w:color="auto"/>
        <w:bottom w:val="none" w:sz="0" w:space="0" w:color="auto"/>
        <w:right w:val="none" w:sz="0" w:space="0" w:color="auto"/>
      </w:divBdr>
      <w:divsChild>
        <w:div w:id="1614677693">
          <w:marLeft w:val="480"/>
          <w:marRight w:val="0"/>
          <w:marTop w:val="0"/>
          <w:marBottom w:val="0"/>
          <w:divBdr>
            <w:top w:val="none" w:sz="0" w:space="0" w:color="auto"/>
            <w:left w:val="none" w:sz="0" w:space="0" w:color="auto"/>
            <w:bottom w:val="none" w:sz="0" w:space="0" w:color="auto"/>
            <w:right w:val="none" w:sz="0" w:space="0" w:color="auto"/>
          </w:divBdr>
          <w:divsChild>
            <w:div w:id="183425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13364">
      <w:bodyDiv w:val="1"/>
      <w:marLeft w:val="0"/>
      <w:marRight w:val="0"/>
      <w:marTop w:val="0"/>
      <w:marBottom w:val="0"/>
      <w:divBdr>
        <w:top w:val="none" w:sz="0" w:space="0" w:color="auto"/>
        <w:left w:val="none" w:sz="0" w:space="0" w:color="auto"/>
        <w:bottom w:val="none" w:sz="0" w:space="0" w:color="auto"/>
        <w:right w:val="none" w:sz="0" w:space="0" w:color="auto"/>
      </w:divBdr>
    </w:div>
    <w:div w:id="480272821">
      <w:bodyDiv w:val="1"/>
      <w:marLeft w:val="0"/>
      <w:marRight w:val="0"/>
      <w:marTop w:val="0"/>
      <w:marBottom w:val="0"/>
      <w:divBdr>
        <w:top w:val="none" w:sz="0" w:space="0" w:color="auto"/>
        <w:left w:val="none" w:sz="0" w:space="0" w:color="auto"/>
        <w:bottom w:val="none" w:sz="0" w:space="0" w:color="auto"/>
        <w:right w:val="none" w:sz="0" w:space="0" w:color="auto"/>
      </w:divBdr>
      <w:divsChild>
        <w:div w:id="13701375">
          <w:marLeft w:val="0"/>
          <w:marRight w:val="0"/>
          <w:marTop w:val="0"/>
          <w:marBottom w:val="0"/>
          <w:divBdr>
            <w:top w:val="none" w:sz="0" w:space="0" w:color="auto"/>
            <w:left w:val="none" w:sz="0" w:space="0" w:color="auto"/>
            <w:bottom w:val="none" w:sz="0" w:space="0" w:color="auto"/>
            <w:right w:val="none" w:sz="0" w:space="0" w:color="auto"/>
          </w:divBdr>
        </w:div>
        <w:div w:id="15354868">
          <w:marLeft w:val="0"/>
          <w:marRight w:val="0"/>
          <w:marTop w:val="0"/>
          <w:marBottom w:val="0"/>
          <w:divBdr>
            <w:top w:val="none" w:sz="0" w:space="0" w:color="auto"/>
            <w:left w:val="none" w:sz="0" w:space="0" w:color="auto"/>
            <w:bottom w:val="none" w:sz="0" w:space="0" w:color="auto"/>
            <w:right w:val="none" w:sz="0" w:space="0" w:color="auto"/>
          </w:divBdr>
        </w:div>
        <w:div w:id="58675549">
          <w:marLeft w:val="0"/>
          <w:marRight w:val="0"/>
          <w:marTop w:val="0"/>
          <w:marBottom w:val="0"/>
          <w:divBdr>
            <w:top w:val="none" w:sz="0" w:space="0" w:color="auto"/>
            <w:left w:val="none" w:sz="0" w:space="0" w:color="auto"/>
            <w:bottom w:val="none" w:sz="0" w:space="0" w:color="auto"/>
            <w:right w:val="none" w:sz="0" w:space="0" w:color="auto"/>
          </w:divBdr>
        </w:div>
        <w:div w:id="104925873">
          <w:marLeft w:val="0"/>
          <w:marRight w:val="0"/>
          <w:marTop w:val="0"/>
          <w:marBottom w:val="0"/>
          <w:divBdr>
            <w:top w:val="none" w:sz="0" w:space="0" w:color="auto"/>
            <w:left w:val="none" w:sz="0" w:space="0" w:color="auto"/>
            <w:bottom w:val="none" w:sz="0" w:space="0" w:color="auto"/>
            <w:right w:val="none" w:sz="0" w:space="0" w:color="auto"/>
          </w:divBdr>
        </w:div>
        <w:div w:id="116141209">
          <w:marLeft w:val="0"/>
          <w:marRight w:val="0"/>
          <w:marTop w:val="0"/>
          <w:marBottom w:val="0"/>
          <w:divBdr>
            <w:top w:val="none" w:sz="0" w:space="0" w:color="auto"/>
            <w:left w:val="none" w:sz="0" w:space="0" w:color="auto"/>
            <w:bottom w:val="none" w:sz="0" w:space="0" w:color="auto"/>
            <w:right w:val="none" w:sz="0" w:space="0" w:color="auto"/>
          </w:divBdr>
        </w:div>
        <w:div w:id="180508245">
          <w:marLeft w:val="0"/>
          <w:marRight w:val="0"/>
          <w:marTop w:val="0"/>
          <w:marBottom w:val="0"/>
          <w:divBdr>
            <w:top w:val="none" w:sz="0" w:space="0" w:color="auto"/>
            <w:left w:val="none" w:sz="0" w:space="0" w:color="auto"/>
            <w:bottom w:val="none" w:sz="0" w:space="0" w:color="auto"/>
            <w:right w:val="none" w:sz="0" w:space="0" w:color="auto"/>
          </w:divBdr>
        </w:div>
        <w:div w:id="216862056">
          <w:marLeft w:val="0"/>
          <w:marRight w:val="0"/>
          <w:marTop w:val="0"/>
          <w:marBottom w:val="0"/>
          <w:divBdr>
            <w:top w:val="none" w:sz="0" w:space="0" w:color="auto"/>
            <w:left w:val="none" w:sz="0" w:space="0" w:color="auto"/>
            <w:bottom w:val="none" w:sz="0" w:space="0" w:color="auto"/>
            <w:right w:val="none" w:sz="0" w:space="0" w:color="auto"/>
          </w:divBdr>
        </w:div>
        <w:div w:id="297610648">
          <w:marLeft w:val="0"/>
          <w:marRight w:val="0"/>
          <w:marTop w:val="0"/>
          <w:marBottom w:val="0"/>
          <w:divBdr>
            <w:top w:val="none" w:sz="0" w:space="0" w:color="auto"/>
            <w:left w:val="none" w:sz="0" w:space="0" w:color="auto"/>
            <w:bottom w:val="none" w:sz="0" w:space="0" w:color="auto"/>
            <w:right w:val="none" w:sz="0" w:space="0" w:color="auto"/>
          </w:divBdr>
        </w:div>
        <w:div w:id="384837464">
          <w:marLeft w:val="0"/>
          <w:marRight w:val="0"/>
          <w:marTop w:val="0"/>
          <w:marBottom w:val="0"/>
          <w:divBdr>
            <w:top w:val="none" w:sz="0" w:space="0" w:color="auto"/>
            <w:left w:val="none" w:sz="0" w:space="0" w:color="auto"/>
            <w:bottom w:val="none" w:sz="0" w:space="0" w:color="auto"/>
            <w:right w:val="none" w:sz="0" w:space="0" w:color="auto"/>
          </w:divBdr>
        </w:div>
        <w:div w:id="403455844">
          <w:marLeft w:val="0"/>
          <w:marRight w:val="0"/>
          <w:marTop w:val="0"/>
          <w:marBottom w:val="0"/>
          <w:divBdr>
            <w:top w:val="none" w:sz="0" w:space="0" w:color="auto"/>
            <w:left w:val="none" w:sz="0" w:space="0" w:color="auto"/>
            <w:bottom w:val="none" w:sz="0" w:space="0" w:color="auto"/>
            <w:right w:val="none" w:sz="0" w:space="0" w:color="auto"/>
          </w:divBdr>
        </w:div>
        <w:div w:id="578095968">
          <w:marLeft w:val="0"/>
          <w:marRight w:val="0"/>
          <w:marTop w:val="0"/>
          <w:marBottom w:val="0"/>
          <w:divBdr>
            <w:top w:val="none" w:sz="0" w:space="0" w:color="auto"/>
            <w:left w:val="none" w:sz="0" w:space="0" w:color="auto"/>
            <w:bottom w:val="none" w:sz="0" w:space="0" w:color="auto"/>
            <w:right w:val="none" w:sz="0" w:space="0" w:color="auto"/>
          </w:divBdr>
        </w:div>
        <w:div w:id="623731497">
          <w:marLeft w:val="0"/>
          <w:marRight w:val="0"/>
          <w:marTop w:val="0"/>
          <w:marBottom w:val="0"/>
          <w:divBdr>
            <w:top w:val="none" w:sz="0" w:space="0" w:color="auto"/>
            <w:left w:val="none" w:sz="0" w:space="0" w:color="auto"/>
            <w:bottom w:val="none" w:sz="0" w:space="0" w:color="auto"/>
            <w:right w:val="none" w:sz="0" w:space="0" w:color="auto"/>
          </w:divBdr>
        </w:div>
        <w:div w:id="632561291">
          <w:marLeft w:val="0"/>
          <w:marRight w:val="0"/>
          <w:marTop w:val="0"/>
          <w:marBottom w:val="0"/>
          <w:divBdr>
            <w:top w:val="none" w:sz="0" w:space="0" w:color="auto"/>
            <w:left w:val="none" w:sz="0" w:space="0" w:color="auto"/>
            <w:bottom w:val="none" w:sz="0" w:space="0" w:color="auto"/>
            <w:right w:val="none" w:sz="0" w:space="0" w:color="auto"/>
          </w:divBdr>
        </w:div>
        <w:div w:id="645669222">
          <w:marLeft w:val="0"/>
          <w:marRight w:val="0"/>
          <w:marTop w:val="0"/>
          <w:marBottom w:val="0"/>
          <w:divBdr>
            <w:top w:val="none" w:sz="0" w:space="0" w:color="auto"/>
            <w:left w:val="none" w:sz="0" w:space="0" w:color="auto"/>
            <w:bottom w:val="none" w:sz="0" w:space="0" w:color="auto"/>
            <w:right w:val="none" w:sz="0" w:space="0" w:color="auto"/>
          </w:divBdr>
        </w:div>
        <w:div w:id="649209351">
          <w:marLeft w:val="0"/>
          <w:marRight w:val="0"/>
          <w:marTop w:val="0"/>
          <w:marBottom w:val="0"/>
          <w:divBdr>
            <w:top w:val="none" w:sz="0" w:space="0" w:color="auto"/>
            <w:left w:val="none" w:sz="0" w:space="0" w:color="auto"/>
            <w:bottom w:val="none" w:sz="0" w:space="0" w:color="auto"/>
            <w:right w:val="none" w:sz="0" w:space="0" w:color="auto"/>
          </w:divBdr>
        </w:div>
        <w:div w:id="666442310">
          <w:marLeft w:val="0"/>
          <w:marRight w:val="0"/>
          <w:marTop w:val="0"/>
          <w:marBottom w:val="0"/>
          <w:divBdr>
            <w:top w:val="none" w:sz="0" w:space="0" w:color="auto"/>
            <w:left w:val="none" w:sz="0" w:space="0" w:color="auto"/>
            <w:bottom w:val="none" w:sz="0" w:space="0" w:color="auto"/>
            <w:right w:val="none" w:sz="0" w:space="0" w:color="auto"/>
          </w:divBdr>
        </w:div>
        <w:div w:id="777063373">
          <w:marLeft w:val="0"/>
          <w:marRight w:val="0"/>
          <w:marTop w:val="0"/>
          <w:marBottom w:val="0"/>
          <w:divBdr>
            <w:top w:val="none" w:sz="0" w:space="0" w:color="auto"/>
            <w:left w:val="none" w:sz="0" w:space="0" w:color="auto"/>
            <w:bottom w:val="none" w:sz="0" w:space="0" w:color="auto"/>
            <w:right w:val="none" w:sz="0" w:space="0" w:color="auto"/>
          </w:divBdr>
        </w:div>
        <w:div w:id="827405070">
          <w:marLeft w:val="0"/>
          <w:marRight w:val="0"/>
          <w:marTop w:val="0"/>
          <w:marBottom w:val="0"/>
          <w:divBdr>
            <w:top w:val="none" w:sz="0" w:space="0" w:color="auto"/>
            <w:left w:val="none" w:sz="0" w:space="0" w:color="auto"/>
            <w:bottom w:val="none" w:sz="0" w:space="0" w:color="auto"/>
            <w:right w:val="none" w:sz="0" w:space="0" w:color="auto"/>
          </w:divBdr>
        </w:div>
        <w:div w:id="906187970">
          <w:marLeft w:val="0"/>
          <w:marRight w:val="0"/>
          <w:marTop w:val="0"/>
          <w:marBottom w:val="0"/>
          <w:divBdr>
            <w:top w:val="none" w:sz="0" w:space="0" w:color="auto"/>
            <w:left w:val="none" w:sz="0" w:space="0" w:color="auto"/>
            <w:bottom w:val="none" w:sz="0" w:space="0" w:color="auto"/>
            <w:right w:val="none" w:sz="0" w:space="0" w:color="auto"/>
          </w:divBdr>
        </w:div>
        <w:div w:id="910391769">
          <w:marLeft w:val="0"/>
          <w:marRight w:val="0"/>
          <w:marTop w:val="0"/>
          <w:marBottom w:val="0"/>
          <w:divBdr>
            <w:top w:val="none" w:sz="0" w:space="0" w:color="auto"/>
            <w:left w:val="none" w:sz="0" w:space="0" w:color="auto"/>
            <w:bottom w:val="none" w:sz="0" w:space="0" w:color="auto"/>
            <w:right w:val="none" w:sz="0" w:space="0" w:color="auto"/>
          </w:divBdr>
        </w:div>
        <w:div w:id="919288897">
          <w:marLeft w:val="0"/>
          <w:marRight w:val="0"/>
          <w:marTop w:val="0"/>
          <w:marBottom w:val="0"/>
          <w:divBdr>
            <w:top w:val="none" w:sz="0" w:space="0" w:color="auto"/>
            <w:left w:val="none" w:sz="0" w:space="0" w:color="auto"/>
            <w:bottom w:val="none" w:sz="0" w:space="0" w:color="auto"/>
            <w:right w:val="none" w:sz="0" w:space="0" w:color="auto"/>
          </w:divBdr>
        </w:div>
        <w:div w:id="988944112">
          <w:marLeft w:val="0"/>
          <w:marRight w:val="0"/>
          <w:marTop w:val="0"/>
          <w:marBottom w:val="0"/>
          <w:divBdr>
            <w:top w:val="none" w:sz="0" w:space="0" w:color="auto"/>
            <w:left w:val="none" w:sz="0" w:space="0" w:color="auto"/>
            <w:bottom w:val="none" w:sz="0" w:space="0" w:color="auto"/>
            <w:right w:val="none" w:sz="0" w:space="0" w:color="auto"/>
          </w:divBdr>
        </w:div>
        <w:div w:id="995845294">
          <w:marLeft w:val="0"/>
          <w:marRight w:val="0"/>
          <w:marTop w:val="0"/>
          <w:marBottom w:val="0"/>
          <w:divBdr>
            <w:top w:val="none" w:sz="0" w:space="0" w:color="auto"/>
            <w:left w:val="none" w:sz="0" w:space="0" w:color="auto"/>
            <w:bottom w:val="none" w:sz="0" w:space="0" w:color="auto"/>
            <w:right w:val="none" w:sz="0" w:space="0" w:color="auto"/>
          </w:divBdr>
        </w:div>
        <w:div w:id="1100636109">
          <w:marLeft w:val="0"/>
          <w:marRight w:val="0"/>
          <w:marTop w:val="0"/>
          <w:marBottom w:val="0"/>
          <w:divBdr>
            <w:top w:val="none" w:sz="0" w:space="0" w:color="auto"/>
            <w:left w:val="none" w:sz="0" w:space="0" w:color="auto"/>
            <w:bottom w:val="none" w:sz="0" w:space="0" w:color="auto"/>
            <w:right w:val="none" w:sz="0" w:space="0" w:color="auto"/>
          </w:divBdr>
        </w:div>
        <w:div w:id="1128663277">
          <w:marLeft w:val="0"/>
          <w:marRight w:val="0"/>
          <w:marTop w:val="0"/>
          <w:marBottom w:val="0"/>
          <w:divBdr>
            <w:top w:val="none" w:sz="0" w:space="0" w:color="auto"/>
            <w:left w:val="none" w:sz="0" w:space="0" w:color="auto"/>
            <w:bottom w:val="none" w:sz="0" w:space="0" w:color="auto"/>
            <w:right w:val="none" w:sz="0" w:space="0" w:color="auto"/>
          </w:divBdr>
        </w:div>
        <w:div w:id="1164122176">
          <w:marLeft w:val="0"/>
          <w:marRight w:val="0"/>
          <w:marTop w:val="0"/>
          <w:marBottom w:val="0"/>
          <w:divBdr>
            <w:top w:val="none" w:sz="0" w:space="0" w:color="auto"/>
            <w:left w:val="none" w:sz="0" w:space="0" w:color="auto"/>
            <w:bottom w:val="none" w:sz="0" w:space="0" w:color="auto"/>
            <w:right w:val="none" w:sz="0" w:space="0" w:color="auto"/>
          </w:divBdr>
        </w:div>
        <w:div w:id="1195726851">
          <w:marLeft w:val="0"/>
          <w:marRight w:val="0"/>
          <w:marTop w:val="0"/>
          <w:marBottom w:val="0"/>
          <w:divBdr>
            <w:top w:val="none" w:sz="0" w:space="0" w:color="auto"/>
            <w:left w:val="none" w:sz="0" w:space="0" w:color="auto"/>
            <w:bottom w:val="none" w:sz="0" w:space="0" w:color="auto"/>
            <w:right w:val="none" w:sz="0" w:space="0" w:color="auto"/>
          </w:divBdr>
        </w:div>
        <w:div w:id="1267691155">
          <w:marLeft w:val="0"/>
          <w:marRight w:val="0"/>
          <w:marTop w:val="0"/>
          <w:marBottom w:val="0"/>
          <w:divBdr>
            <w:top w:val="none" w:sz="0" w:space="0" w:color="auto"/>
            <w:left w:val="none" w:sz="0" w:space="0" w:color="auto"/>
            <w:bottom w:val="none" w:sz="0" w:space="0" w:color="auto"/>
            <w:right w:val="none" w:sz="0" w:space="0" w:color="auto"/>
          </w:divBdr>
        </w:div>
        <w:div w:id="1294598185">
          <w:marLeft w:val="0"/>
          <w:marRight w:val="0"/>
          <w:marTop w:val="0"/>
          <w:marBottom w:val="0"/>
          <w:divBdr>
            <w:top w:val="none" w:sz="0" w:space="0" w:color="auto"/>
            <w:left w:val="none" w:sz="0" w:space="0" w:color="auto"/>
            <w:bottom w:val="none" w:sz="0" w:space="0" w:color="auto"/>
            <w:right w:val="none" w:sz="0" w:space="0" w:color="auto"/>
          </w:divBdr>
        </w:div>
        <w:div w:id="1376540148">
          <w:marLeft w:val="0"/>
          <w:marRight w:val="0"/>
          <w:marTop w:val="0"/>
          <w:marBottom w:val="0"/>
          <w:divBdr>
            <w:top w:val="none" w:sz="0" w:space="0" w:color="auto"/>
            <w:left w:val="none" w:sz="0" w:space="0" w:color="auto"/>
            <w:bottom w:val="none" w:sz="0" w:space="0" w:color="auto"/>
            <w:right w:val="none" w:sz="0" w:space="0" w:color="auto"/>
          </w:divBdr>
        </w:div>
        <w:div w:id="1379472961">
          <w:marLeft w:val="0"/>
          <w:marRight w:val="0"/>
          <w:marTop w:val="0"/>
          <w:marBottom w:val="0"/>
          <w:divBdr>
            <w:top w:val="none" w:sz="0" w:space="0" w:color="auto"/>
            <w:left w:val="none" w:sz="0" w:space="0" w:color="auto"/>
            <w:bottom w:val="none" w:sz="0" w:space="0" w:color="auto"/>
            <w:right w:val="none" w:sz="0" w:space="0" w:color="auto"/>
          </w:divBdr>
        </w:div>
        <w:div w:id="1406415483">
          <w:marLeft w:val="0"/>
          <w:marRight w:val="0"/>
          <w:marTop w:val="0"/>
          <w:marBottom w:val="0"/>
          <w:divBdr>
            <w:top w:val="none" w:sz="0" w:space="0" w:color="auto"/>
            <w:left w:val="none" w:sz="0" w:space="0" w:color="auto"/>
            <w:bottom w:val="none" w:sz="0" w:space="0" w:color="auto"/>
            <w:right w:val="none" w:sz="0" w:space="0" w:color="auto"/>
          </w:divBdr>
        </w:div>
        <w:div w:id="1409233232">
          <w:marLeft w:val="0"/>
          <w:marRight w:val="0"/>
          <w:marTop w:val="0"/>
          <w:marBottom w:val="0"/>
          <w:divBdr>
            <w:top w:val="none" w:sz="0" w:space="0" w:color="auto"/>
            <w:left w:val="none" w:sz="0" w:space="0" w:color="auto"/>
            <w:bottom w:val="none" w:sz="0" w:space="0" w:color="auto"/>
            <w:right w:val="none" w:sz="0" w:space="0" w:color="auto"/>
          </w:divBdr>
        </w:div>
        <w:div w:id="1421759090">
          <w:marLeft w:val="0"/>
          <w:marRight w:val="0"/>
          <w:marTop w:val="0"/>
          <w:marBottom w:val="0"/>
          <w:divBdr>
            <w:top w:val="none" w:sz="0" w:space="0" w:color="auto"/>
            <w:left w:val="none" w:sz="0" w:space="0" w:color="auto"/>
            <w:bottom w:val="none" w:sz="0" w:space="0" w:color="auto"/>
            <w:right w:val="none" w:sz="0" w:space="0" w:color="auto"/>
          </w:divBdr>
        </w:div>
        <w:div w:id="1455563858">
          <w:marLeft w:val="0"/>
          <w:marRight w:val="0"/>
          <w:marTop w:val="0"/>
          <w:marBottom w:val="0"/>
          <w:divBdr>
            <w:top w:val="none" w:sz="0" w:space="0" w:color="auto"/>
            <w:left w:val="none" w:sz="0" w:space="0" w:color="auto"/>
            <w:bottom w:val="none" w:sz="0" w:space="0" w:color="auto"/>
            <w:right w:val="none" w:sz="0" w:space="0" w:color="auto"/>
          </w:divBdr>
        </w:div>
        <w:div w:id="1501703138">
          <w:marLeft w:val="0"/>
          <w:marRight w:val="0"/>
          <w:marTop w:val="0"/>
          <w:marBottom w:val="0"/>
          <w:divBdr>
            <w:top w:val="none" w:sz="0" w:space="0" w:color="auto"/>
            <w:left w:val="none" w:sz="0" w:space="0" w:color="auto"/>
            <w:bottom w:val="none" w:sz="0" w:space="0" w:color="auto"/>
            <w:right w:val="none" w:sz="0" w:space="0" w:color="auto"/>
          </w:divBdr>
        </w:div>
        <w:div w:id="1620840104">
          <w:marLeft w:val="0"/>
          <w:marRight w:val="0"/>
          <w:marTop w:val="0"/>
          <w:marBottom w:val="0"/>
          <w:divBdr>
            <w:top w:val="none" w:sz="0" w:space="0" w:color="auto"/>
            <w:left w:val="none" w:sz="0" w:space="0" w:color="auto"/>
            <w:bottom w:val="none" w:sz="0" w:space="0" w:color="auto"/>
            <w:right w:val="none" w:sz="0" w:space="0" w:color="auto"/>
          </w:divBdr>
        </w:div>
        <w:div w:id="1645768520">
          <w:marLeft w:val="0"/>
          <w:marRight w:val="0"/>
          <w:marTop w:val="0"/>
          <w:marBottom w:val="0"/>
          <w:divBdr>
            <w:top w:val="none" w:sz="0" w:space="0" w:color="auto"/>
            <w:left w:val="none" w:sz="0" w:space="0" w:color="auto"/>
            <w:bottom w:val="none" w:sz="0" w:space="0" w:color="auto"/>
            <w:right w:val="none" w:sz="0" w:space="0" w:color="auto"/>
          </w:divBdr>
        </w:div>
        <w:div w:id="1651908862">
          <w:marLeft w:val="0"/>
          <w:marRight w:val="0"/>
          <w:marTop w:val="0"/>
          <w:marBottom w:val="0"/>
          <w:divBdr>
            <w:top w:val="none" w:sz="0" w:space="0" w:color="auto"/>
            <w:left w:val="none" w:sz="0" w:space="0" w:color="auto"/>
            <w:bottom w:val="none" w:sz="0" w:space="0" w:color="auto"/>
            <w:right w:val="none" w:sz="0" w:space="0" w:color="auto"/>
          </w:divBdr>
        </w:div>
        <w:div w:id="1664578647">
          <w:marLeft w:val="0"/>
          <w:marRight w:val="0"/>
          <w:marTop w:val="0"/>
          <w:marBottom w:val="0"/>
          <w:divBdr>
            <w:top w:val="none" w:sz="0" w:space="0" w:color="auto"/>
            <w:left w:val="none" w:sz="0" w:space="0" w:color="auto"/>
            <w:bottom w:val="none" w:sz="0" w:space="0" w:color="auto"/>
            <w:right w:val="none" w:sz="0" w:space="0" w:color="auto"/>
          </w:divBdr>
        </w:div>
        <w:div w:id="1753966401">
          <w:marLeft w:val="0"/>
          <w:marRight w:val="0"/>
          <w:marTop w:val="0"/>
          <w:marBottom w:val="0"/>
          <w:divBdr>
            <w:top w:val="none" w:sz="0" w:space="0" w:color="auto"/>
            <w:left w:val="none" w:sz="0" w:space="0" w:color="auto"/>
            <w:bottom w:val="none" w:sz="0" w:space="0" w:color="auto"/>
            <w:right w:val="none" w:sz="0" w:space="0" w:color="auto"/>
          </w:divBdr>
        </w:div>
        <w:div w:id="1869294863">
          <w:marLeft w:val="0"/>
          <w:marRight w:val="0"/>
          <w:marTop w:val="0"/>
          <w:marBottom w:val="0"/>
          <w:divBdr>
            <w:top w:val="none" w:sz="0" w:space="0" w:color="auto"/>
            <w:left w:val="none" w:sz="0" w:space="0" w:color="auto"/>
            <w:bottom w:val="none" w:sz="0" w:space="0" w:color="auto"/>
            <w:right w:val="none" w:sz="0" w:space="0" w:color="auto"/>
          </w:divBdr>
        </w:div>
        <w:div w:id="1919754176">
          <w:marLeft w:val="0"/>
          <w:marRight w:val="0"/>
          <w:marTop w:val="0"/>
          <w:marBottom w:val="0"/>
          <w:divBdr>
            <w:top w:val="none" w:sz="0" w:space="0" w:color="auto"/>
            <w:left w:val="none" w:sz="0" w:space="0" w:color="auto"/>
            <w:bottom w:val="none" w:sz="0" w:space="0" w:color="auto"/>
            <w:right w:val="none" w:sz="0" w:space="0" w:color="auto"/>
          </w:divBdr>
        </w:div>
        <w:div w:id="1932739811">
          <w:marLeft w:val="0"/>
          <w:marRight w:val="0"/>
          <w:marTop w:val="0"/>
          <w:marBottom w:val="0"/>
          <w:divBdr>
            <w:top w:val="none" w:sz="0" w:space="0" w:color="auto"/>
            <w:left w:val="none" w:sz="0" w:space="0" w:color="auto"/>
            <w:bottom w:val="none" w:sz="0" w:space="0" w:color="auto"/>
            <w:right w:val="none" w:sz="0" w:space="0" w:color="auto"/>
          </w:divBdr>
        </w:div>
        <w:div w:id="1941989900">
          <w:marLeft w:val="0"/>
          <w:marRight w:val="0"/>
          <w:marTop w:val="0"/>
          <w:marBottom w:val="0"/>
          <w:divBdr>
            <w:top w:val="none" w:sz="0" w:space="0" w:color="auto"/>
            <w:left w:val="none" w:sz="0" w:space="0" w:color="auto"/>
            <w:bottom w:val="none" w:sz="0" w:space="0" w:color="auto"/>
            <w:right w:val="none" w:sz="0" w:space="0" w:color="auto"/>
          </w:divBdr>
        </w:div>
        <w:div w:id="2005085790">
          <w:marLeft w:val="0"/>
          <w:marRight w:val="0"/>
          <w:marTop w:val="0"/>
          <w:marBottom w:val="0"/>
          <w:divBdr>
            <w:top w:val="none" w:sz="0" w:space="0" w:color="auto"/>
            <w:left w:val="none" w:sz="0" w:space="0" w:color="auto"/>
            <w:bottom w:val="none" w:sz="0" w:space="0" w:color="auto"/>
            <w:right w:val="none" w:sz="0" w:space="0" w:color="auto"/>
          </w:divBdr>
        </w:div>
        <w:div w:id="2015302571">
          <w:marLeft w:val="0"/>
          <w:marRight w:val="0"/>
          <w:marTop w:val="0"/>
          <w:marBottom w:val="0"/>
          <w:divBdr>
            <w:top w:val="none" w:sz="0" w:space="0" w:color="auto"/>
            <w:left w:val="none" w:sz="0" w:space="0" w:color="auto"/>
            <w:bottom w:val="none" w:sz="0" w:space="0" w:color="auto"/>
            <w:right w:val="none" w:sz="0" w:space="0" w:color="auto"/>
          </w:divBdr>
        </w:div>
        <w:div w:id="2041978144">
          <w:marLeft w:val="0"/>
          <w:marRight w:val="0"/>
          <w:marTop w:val="0"/>
          <w:marBottom w:val="0"/>
          <w:divBdr>
            <w:top w:val="none" w:sz="0" w:space="0" w:color="auto"/>
            <w:left w:val="none" w:sz="0" w:space="0" w:color="auto"/>
            <w:bottom w:val="none" w:sz="0" w:space="0" w:color="auto"/>
            <w:right w:val="none" w:sz="0" w:space="0" w:color="auto"/>
          </w:divBdr>
        </w:div>
        <w:div w:id="2130204140">
          <w:marLeft w:val="0"/>
          <w:marRight w:val="0"/>
          <w:marTop w:val="0"/>
          <w:marBottom w:val="0"/>
          <w:divBdr>
            <w:top w:val="none" w:sz="0" w:space="0" w:color="auto"/>
            <w:left w:val="none" w:sz="0" w:space="0" w:color="auto"/>
            <w:bottom w:val="none" w:sz="0" w:space="0" w:color="auto"/>
            <w:right w:val="none" w:sz="0" w:space="0" w:color="auto"/>
          </w:divBdr>
        </w:div>
        <w:div w:id="2146308107">
          <w:marLeft w:val="0"/>
          <w:marRight w:val="0"/>
          <w:marTop w:val="0"/>
          <w:marBottom w:val="0"/>
          <w:divBdr>
            <w:top w:val="none" w:sz="0" w:space="0" w:color="auto"/>
            <w:left w:val="none" w:sz="0" w:space="0" w:color="auto"/>
            <w:bottom w:val="none" w:sz="0" w:space="0" w:color="auto"/>
            <w:right w:val="none" w:sz="0" w:space="0" w:color="auto"/>
          </w:divBdr>
        </w:div>
      </w:divsChild>
    </w:div>
    <w:div w:id="502017957">
      <w:bodyDiv w:val="1"/>
      <w:marLeft w:val="0"/>
      <w:marRight w:val="0"/>
      <w:marTop w:val="0"/>
      <w:marBottom w:val="0"/>
      <w:divBdr>
        <w:top w:val="none" w:sz="0" w:space="0" w:color="auto"/>
        <w:left w:val="none" w:sz="0" w:space="0" w:color="auto"/>
        <w:bottom w:val="none" w:sz="0" w:space="0" w:color="auto"/>
        <w:right w:val="none" w:sz="0" w:space="0" w:color="auto"/>
      </w:divBdr>
    </w:div>
    <w:div w:id="517239267">
      <w:bodyDiv w:val="1"/>
      <w:marLeft w:val="0"/>
      <w:marRight w:val="0"/>
      <w:marTop w:val="0"/>
      <w:marBottom w:val="0"/>
      <w:divBdr>
        <w:top w:val="none" w:sz="0" w:space="0" w:color="auto"/>
        <w:left w:val="none" w:sz="0" w:space="0" w:color="auto"/>
        <w:bottom w:val="none" w:sz="0" w:space="0" w:color="auto"/>
        <w:right w:val="none" w:sz="0" w:space="0" w:color="auto"/>
      </w:divBdr>
    </w:div>
    <w:div w:id="554124734">
      <w:bodyDiv w:val="1"/>
      <w:marLeft w:val="0"/>
      <w:marRight w:val="0"/>
      <w:marTop w:val="0"/>
      <w:marBottom w:val="0"/>
      <w:divBdr>
        <w:top w:val="none" w:sz="0" w:space="0" w:color="auto"/>
        <w:left w:val="none" w:sz="0" w:space="0" w:color="auto"/>
        <w:bottom w:val="none" w:sz="0" w:space="0" w:color="auto"/>
        <w:right w:val="none" w:sz="0" w:space="0" w:color="auto"/>
      </w:divBdr>
      <w:divsChild>
        <w:div w:id="438988081">
          <w:marLeft w:val="274"/>
          <w:marRight w:val="0"/>
          <w:marTop w:val="53"/>
          <w:marBottom w:val="0"/>
          <w:divBdr>
            <w:top w:val="none" w:sz="0" w:space="0" w:color="auto"/>
            <w:left w:val="none" w:sz="0" w:space="0" w:color="auto"/>
            <w:bottom w:val="none" w:sz="0" w:space="0" w:color="auto"/>
            <w:right w:val="none" w:sz="0" w:space="0" w:color="auto"/>
          </w:divBdr>
        </w:div>
      </w:divsChild>
    </w:div>
    <w:div w:id="630095314">
      <w:bodyDiv w:val="1"/>
      <w:marLeft w:val="0"/>
      <w:marRight w:val="0"/>
      <w:marTop w:val="0"/>
      <w:marBottom w:val="0"/>
      <w:divBdr>
        <w:top w:val="none" w:sz="0" w:space="0" w:color="auto"/>
        <w:left w:val="none" w:sz="0" w:space="0" w:color="auto"/>
        <w:bottom w:val="none" w:sz="0" w:space="0" w:color="auto"/>
        <w:right w:val="none" w:sz="0" w:space="0" w:color="auto"/>
      </w:divBdr>
    </w:div>
    <w:div w:id="643782030">
      <w:bodyDiv w:val="1"/>
      <w:marLeft w:val="0"/>
      <w:marRight w:val="0"/>
      <w:marTop w:val="0"/>
      <w:marBottom w:val="0"/>
      <w:divBdr>
        <w:top w:val="none" w:sz="0" w:space="0" w:color="auto"/>
        <w:left w:val="none" w:sz="0" w:space="0" w:color="auto"/>
        <w:bottom w:val="none" w:sz="0" w:space="0" w:color="auto"/>
        <w:right w:val="none" w:sz="0" w:space="0" w:color="auto"/>
      </w:divBdr>
    </w:div>
    <w:div w:id="660230994">
      <w:bodyDiv w:val="1"/>
      <w:marLeft w:val="0"/>
      <w:marRight w:val="0"/>
      <w:marTop w:val="0"/>
      <w:marBottom w:val="0"/>
      <w:divBdr>
        <w:top w:val="none" w:sz="0" w:space="0" w:color="auto"/>
        <w:left w:val="none" w:sz="0" w:space="0" w:color="auto"/>
        <w:bottom w:val="none" w:sz="0" w:space="0" w:color="auto"/>
        <w:right w:val="none" w:sz="0" w:space="0" w:color="auto"/>
      </w:divBdr>
    </w:div>
    <w:div w:id="667950632">
      <w:bodyDiv w:val="1"/>
      <w:marLeft w:val="0"/>
      <w:marRight w:val="0"/>
      <w:marTop w:val="0"/>
      <w:marBottom w:val="0"/>
      <w:divBdr>
        <w:top w:val="none" w:sz="0" w:space="0" w:color="auto"/>
        <w:left w:val="none" w:sz="0" w:space="0" w:color="auto"/>
        <w:bottom w:val="none" w:sz="0" w:space="0" w:color="auto"/>
        <w:right w:val="none" w:sz="0" w:space="0" w:color="auto"/>
      </w:divBdr>
    </w:div>
    <w:div w:id="685448599">
      <w:bodyDiv w:val="1"/>
      <w:marLeft w:val="0"/>
      <w:marRight w:val="0"/>
      <w:marTop w:val="0"/>
      <w:marBottom w:val="0"/>
      <w:divBdr>
        <w:top w:val="none" w:sz="0" w:space="0" w:color="auto"/>
        <w:left w:val="none" w:sz="0" w:space="0" w:color="auto"/>
        <w:bottom w:val="none" w:sz="0" w:space="0" w:color="auto"/>
        <w:right w:val="none" w:sz="0" w:space="0" w:color="auto"/>
      </w:divBdr>
    </w:div>
    <w:div w:id="710610194">
      <w:bodyDiv w:val="1"/>
      <w:marLeft w:val="0"/>
      <w:marRight w:val="0"/>
      <w:marTop w:val="0"/>
      <w:marBottom w:val="0"/>
      <w:divBdr>
        <w:top w:val="none" w:sz="0" w:space="0" w:color="auto"/>
        <w:left w:val="none" w:sz="0" w:space="0" w:color="auto"/>
        <w:bottom w:val="none" w:sz="0" w:space="0" w:color="auto"/>
        <w:right w:val="none" w:sz="0" w:space="0" w:color="auto"/>
      </w:divBdr>
    </w:div>
    <w:div w:id="737945297">
      <w:bodyDiv w:val="1"/>
      <w:marLeft w:val="0"/>
      <w:marRight w:val="0"/>
      <w:marTop w:val="0"/>
      <w:marBottom w:val="0"/>
      <w:divBdr>
        <w:top w:val="none" w:sz="0" w:space="0" w:color="auto"/>
        <w:left w:val="none" w:sz="0" w:space="0" w:color="auto"/>
        <w:bottom w:val="none" w:sz="0" w:space="0" w:color="auto"/>
        <w:right w:val="none" w:sz="0" w:space="0" w:color="auto"/>
      </w:divBdr>
    </w:div>
    <w:div w:id="782504840">
      <w:bodyDiv w:val="1"/>
      <w:marLeft w:val="0"/>
      <w:marRight w:val="0"/>
      <w:marTop w:val="0"/>
      <w:marBottom w:val="0"/>
      <w:divBdr>
        <w:top w:val="none" w:sz="0" w:space="0" w:color="auto"/>
        <w:left w:val="none" w:sz="0" w:space="0" w:color="auto"/>
        <w:bottom w:val="none" w:sz="0" w:space="0" w:color="auto"/>
        <w:right w:val="none" w:sz="0" w:space="0" w:color="auto"/>
      </w:divBdr>
    </w:div>
    <w:div w:id="790561947">
      <w:bodyDiv w:val="1"/>
      <w:marLeft w:val="0"/>
      <w:marRight w:val="0"/>
      <w:marTop w:val="0"/>
      <w:marBottom w:val="0"/>
      <w:divBdr>
        <w:top w:val="none" w:sz="0" w:space="0" w:color="auto"/>
        <w:left w:val="none" w:sz="0" w:space="0" w:color="auto"/>
        <w:bottom w:val="none" w:sz="0" w:space="0" w:color="auto"/>
        <w:right w:val="none" w:sz="0" w:space="0" w:color="auto"/>
      </w:divBdr>
    </w:div>
    <w:div w:id="793133512">
      <w:bodyDiv w:val="1"/>
      <w:marLeft w:val="0"/>
      <w:marRight w:val="0"/>
      <w:marTop w:val="0"/>
      <w:marBottom w:val="0"/>
      <w:divBdr>
        <w:top w:val="none" w:sz="0" w:space="0" w:color="auto"/>
        <w:left w:val="none" w:sz="0" w:space="0" w:color="auto"/>
        <w:bottom w:val="none" w:sz="0" w:space="0" w:color="auto"/>
        <w:right w:val="none" w:sz="0" w:space="0" w:color="auto"/>
      </w:divBdr>
    </w:div>
    <w:div w:id="852258306">
      <w:bodyDiv w:val="1"/>
      <w:marLeft w:val="0"/>
      <w:marRight w:val="0"/>
      <w:marTop w:val="0"/>
      <w:marBottom w:val="0"/>
      <w:divBdr>
        <w:top w:val="none" w:sz="0" w:space="0" w:color="auto"/>
        <w:left w:val="none" w:sz="0" w:space="0" w:color="auto"/>
        <w:bottom w:val="none" w:sz="0" w:space="0" w:color="auto"/>
        <w:right w:val="none" w:sz="0" w:space="0" w:color="auto"/>
      </w:divBdr>
    </w:div>
    <w:div w:id="858734290">
      <w:bodyDiv w:val="1"/>
      <w:marLeft w:val="0"/>
      <w:marRight w:val="0"/>
      <w:marTop w:val="0"/>
      <w:marBottom w:val="0"/>
      <w:divBdr>
        <w:top w:val="none" w:sz="0" w:space="0" w:color="auto"/>
        <w:left w:val="none" w:sz="0" w:space="0" w:color="auto"/>
        <w:bottom w:val="none" w:sz="0" w:space="0" w:color="auto"/>
        <w:right w:val="none" w:sz="0" w:space="0" w:color="auto"/>
      </w:divBdr>
    </w:div>
    <w:div w:id="891043213">
      <w:bodyDiv w:val="1"/>
      <w:marLeft w:val="0"/>
      <w:marRight w:val="0"/>
      <w:marTop w:val="0"/>
      <w:marBottom w:val="0"/>
      <w:divBdr>
        <w:top w:val="none" w:sz="0" w:space="0" w:color="auto"/>
        <w:left w:val="none" w:sz="0" w:space="0" w:color="auto"/>
        <w:bottom w:val="none" w:sz="0" w:space="0" w:color="auto"/>
        <w:right w:val="none" w:sz="0" w:space="0" w:color="auto"/>
      </w:divBdr>
    </w:div>
    <w:div w:id="896816222">
      <w:bodyDiv w:val="1"/>
      <w:marLeft w:val="0"/>
      <w:marRight w:val="0"/>
      <w:marTop w:val="0"/>
      <w:marBottom w:val="0"/>
      <w:divBdr>
        <w:top w:val="none" w:sz="0" w:space="0" w:color="auto"/>
        <w:left w:val="none" w:sz="0" w:space="0" w:color="auto"/>
        <w:bottom w:val="none" w:sz="0" w:space="0" w:color="auto"/>
        <w:right w:val="none" w:sz="0" w:space="0" w:color="auto"/>
      </w:divBdr>
    </w:div>
    <w:div w:id="971596314">
      <w:bodyDiv w:val="1"/>
      <w:marLeft w:val="0"/>
      <w:marRight w:val="0"/>
      <w:marTop w:val="0"/>
      <w:marBottom w:val="0"/>
      <w:divBdr>
        <w:top w:val="none" w:sz="0" w:space="0" w:color="auto"/>
        <w:left w:val="none" w:sz="0" w:space="0" w:color="auto"/>
        <w:bottom w:val="none" w:sz="0" w:space="0" w:color="auto"/>
        <w:right w:val="none" w:sz="0" w:space="0" w:color="auto"/>
      </w:divBdr>
    </w:div>
    <w:div w:id="1005131267">
      <w:bodyDiv w:val="1"/>
      <w:marLeft w:val="0"/>
      <w:marRight w:val="0"/>
      <w:marTop w:val="0"/>
      <w:marBottom w:val="0"/>
      <w:divBdr>
        <w:top w:val="none" w:sz="0" w:space="0" w:color="auto"/>
        <w:left w:val="none" w:sz="0" w:space="0" w:color="auto"/>
        <w:bottom w:val="none" w:sz="0" w:space="0" w:color="auto"/>
        <w:right w:val="none" w:sz="0" w:space="0" w:color="auto"/>
      </w:divBdr>
    </w:div>
    <w:div w:id="1009798108">
      <w:bodyDiv w:val="1"/>
      <w:marLeft w:val="0"/>
      <w:marRight w:val="0"/>
      <w:marTop w:val="0"/>
      <w:marBottom w:val="0"/>
      <w:divBdr>
        <w:top w:val="none" w:sz="0" w:space="0" w:color="auto"/>
        <w:left w:val="none" w:sz="0" w:space="0" w:color="auto"/>
        <w:bottom w:val="none" w:sz="0" w:space="0" w:color="auto"/>
        <w:right w:val="none" w:sz="0" w:space="0" w:color="auto"/>
      </w:divBdr>
    </w:div>
    <w:div w:id="1020357796">
      <w:bodyDiv w:val="1"/>
      <w:marLeft w:val="0"/>
      <w:marRight w:val="0"/>
      <w:marTop w:val="0"/>
      <w:marBottom w:val="0"/>
      <w:divBdr>
        <w:top w:val="none" w:sz="0" w:space="0" w:color="auto"/>
        <w:left w:val="none" w:sz="0" w:space="0" w:color="auto"/>
        <w:bottom w:val="none" w:sz="0" w:space="0" w:color="auto"/>
        <w:right w:val="none" w:sz="0" w:space="0" w:color="auto"/>
      </w:divBdr>
    </w:div>
    <w:div w:id="1027409587">
      <w:bodyDiv w:val="1"/>
      <w:marLeft w:val="0"/>
      <w:marRight w:val="0"/>
      <w:marTop w:val="0"/>
      <w:marBottom w:val="0"/>
      <w:divBdr>
        <w:top w:val="none" w:sz="0" w:space="0" w:color="auto"/>
        <w:left w:val="none" w:sz="0" w:space="0" w:color="auto"/>
        <w:bottom w:val="none" w:sz="0" w:space="0" w:color="auto"/>
        <w:right w:val="none" w:sz="0" w:space="0" w:color="auto"/>
      </w:divBdr>
    </w:div>
    <w:div w:id="1041054391">
      <w:bodyDiv w:val="1"/>
      <w:marLeft w:val="0"/>
      <w:marRight w:val="0"/>
      <w:marTop w:val="0"/>
      <w:marBottom w:val="0"/>
      <w:divBdr>
        <w:top w:val="none" w:sz="0" w:space="0" w:color="auto"/>
        <w:left w:val="none" w:sz="0" w:space="0" w:color="auto"/>
        <w:bottom w:val="none" w:sz="0" w:space="0" w:color="auto"/>
        <w:right w:val="none" w:sz="0" w:space="0" w:color="auto"/>
      </w:divBdr>
    </w:div>
    <w:div w:id="1056663163">
      <w:bodyDiv w:val="1"/>
      <w:marLeft w:val="0"/>
      <w:marRight w:val="0"/>
      <w:marTop w:val="0"/>
      <w:marBottom w:val="0"/>
      <w:divBdr>
        <w:top w:val="none" w:sz="0" w:space="0" w:color="auto"/>
        <w:left w:val="none" w:sz="0" w:space="0" w:color="auto"/>
        <w:bottom w:val="none" w:sz="0" w:space="0" w:color="auto"/>
        <w:right w:val="none" w:sz="0" w:space="0" w:color="auto"/>
      </w:divBdr>
    </w:div>
    <w:div w:id="1074233178">
      <w:bodyDiv w:val="1"/>
      <w:marLeft w:val="0"/>
      <w:marRight w:val="0"/>
      <w:marTop w:val="0"/>
      <w:marBottom w:val="0"/>
      <w:divBdr>
        <w:top w:val="none" w:sz="0" w:space="0" w:color="auto"/>
        <w:left w:val="none" w:sz="0" w:space="0" w:color="auto"/>
        <w:bottom w:val="none" w:sz="0" w:space="0" w:color="auto"/>
        <w:right w:val="none" w:sz="0" w:space="0" w:color="auto"/>
      </w:divBdr>
    </w:div>
    <w:div w:id="1076247669">
      <w:bodyDiv w:val="1"/>
      <w:marLeft w:val="0"/>
      <w:marRight w:val="0"/>
      <w:marTop w:val="0"/>
      <w:marBottom w:val="0"/>
      <w:divBdr>
        <w:top w:val="none" w:sz="0" w:space="0" w:color="auto"/>
        <w:left w:val="none" w:sz="0" w:space="0" w:color="auto"/>
        <w:bottom w:val="none" w:sz="0" w:space="0" w:color="auto"/>
        <w:right w:val="none" w:sz="0" w:space="0" w:color="auto"/>
      </w:divBdr>
    </w:div>
    <w:div w:id="1079984391">
      <w:bodyDiv w:val="1"/>
      <w:marLeft w:val="0"/>
      <w:marRight w:val="0"/>
      <w:marTop w:val="0"/>
      <w:marBottom w:val="0"/>
      <w:divBdr>
        <w:top w:val="none" w:sz="0" w:space="0" w:color="auto"/>
        <w:left w:val="none" w:sz="0" w:space="0" w:color="auto"/>
        <w:bottom w:val="none" w:sz="0" w:space="0" w:color="auto"/>
        <w:right w:val="none" w:sz="0" w:space="0" w:color="auto"/>
      </w:divBdr>
      <w:divsChild>
        <w:div w:id="2040859126">
          <w:blockQuote w:val="1"/>
          <w:marLeft w:val="150"/>
          <w:marRight w:val="150"/>
          <w:marTop w:val="0"/>
          <w:marBottom w:val="0"/>
          <w:divBdr>
            <w:top w:val="none" w:sz="0" w:space="0" w:color="auto"/>
            <w:left w:val="none" w:sz="0" w:space="0" w:color="auto"/>
            <w:bottom w:val="none" w:sz="0" w:space="0" w:color="auto"/>
            <w:right w:val="none" w:sz="0" w:space="0" w:color="auto"/>
          </w:divBdr>
          <w:divsChild>
            <w:div w:id="23528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28812">
      <w:bodyDiv w:val="1"/>
      <w:marLeft w:val="0"/>
      <w:marRight w:val="0"/>
      <w:marTop w:val="0"/>
      <w:marBottom w:val="0"/>
      <w:divBdr>
        <w:top w:val="none" w:sz="0" w:space="0" w:color="auto"/>
        <w:left w:val="none" w:sz="0" w:space="0" w:color="auto"/>
        <w:bottom w:val="none" w:sz="0" w:space="0" w:color="auto"/>
        <w:right w:val="none" w:sz="0" w:space="0" w:color="auto"/>
      </w:divBdr>
    </w:div>
    <w:div w:id="1096830471">
      <w:bodyDiv w:val="1"/>
      <w:marLeft w:val="0"/>
      <w:marRight w:val="0"/>
      <w:marTop w:val="0"/>
      <w:marBottom w:val="0"/>
      <w:divBdr>
        <w:top w:val="none" w:sz="0" w:space="0" w:color="auto"/>
        <w:left w:val="none" w:sz="0" w:space="0" w:color="auto"/>
        <w:bottom w:val="none" w:sz="0" w:space="0" w:color="auto"/>
        <w:right w:val="none" w:sz="0" w:space="0" w:color="auto"/>
      </w:divBdr>
      <w:divsChild>
        <w:div w:id="80882986">
          <w:marLeft w:val="480"/>
          <w:marRight w:val="0"/>
          <w:marTop w:val="0"/>
          <w:marBottom w:val="0"/>
          <w:divBdr>
            <w:top w:val="none" w:sz="0" w:space="0" w:color="auto"/>
            <w:left w:val="none" w:sz="0" w:space="0" w:color="auto"/>
            <w:bottom w:val="none" w:sz="0" w:space="0" w:color="auto"/>
            <w:right w:val="none" w:sz="0" w:space="0" w:color="auto"/>
          </w:divBdr>
          <w:divsChild>
            <w:div w:id="10009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67060">
      <w:bodyDiv w:val="1"/>
      <w:marLeft w:val="0"/>
      <w:marRight w:val="0"/>
      <w:marTop w:val="0"/>
      <w:marBottom w:val="0"/>
      <w:divBdr>
        <w:top w:val="none" w:sz="0" w:space="0" w:color="auto"/>
        <w:left w:val="none" w:sz="0" w:space="0" w:color="auto"/>
        <w:bottom w:val="none" w:sz="0" w:space="0" w:color="auto"/>
        <w:right w:val="none" w:sz="0" w:space="0" w:color="auto"/>
      </w:divBdr>
    </w:div>
    <w:div w:id="1145396805">
      <w:bodyDiv w:val="1"/>
      <w:marLeft w:val="0"/>
      <w:marRight w:val="0"/>
      <w:marTop w:val="0"/>
      <w:marBottom w:val="0"/>
      <w:divBdr>
        <w:top w:val="none" w:sz="0" w:space="0" w:color="auto"/>
        <w:left w:val="none" w:sz="0" w:space="0" w:color="auto"/>
        <w:bottom w:val="none" w:sz="0" w:space="0" w:color="auto"/>
        <w:right w:val="none" w:sz="0" w:space="0" w:color="auto"/>
      </w:divBdr>
    </w:div>
    <w:div w:id="1147551787">
      <w:bodyDiv w:val="1"/>
      <w:marLeft w:val="0"/>
      <w:marRight w:val="0"/>
      <w:marTop w:val="0"/>
      <w:marBottom w:val="0"/>
      <w:divBdr>
        <w:top w:val="none" w:sz="0" w:space="0" w:color="auto"/>
        <w:left w:val="none" w:sz="0" w:space="0" w:color="auto"/>
        <w:bottom w:val="none" w:sz="0" w:space="0" w:color="auto"/>
        <w:right w:val="none" w:sz="0" w:space="0" w:color="auto"/>
      </w:divBdr>
    </w:div>
    <w:div w:id="1153107171">
      <w:bodyDiv w:val="1"/>
      <w:marLeft w:val="0"/>
      <w:marRight w:val="0"/>
      <w:marTop w:val="0"/>
      <w:marBottom w:val="0"/>
      <w:divBdr>
        <w:top w:val="none" w:sz="0" w:space="0" w:color="auto"/>
        <w:left w:val="none" w:sz="0" w:space="0" w:color="auto"/>
        <w:bottom w:val="none" w:sz="0" w:space="0" w:color="auto"/>
        <w:right w:val="none" w:sz="0" w:space="0" w:color="auto"/>
      </w:divBdr>
    </w:div>
    <w:div w:id="1172601164">
      <w:bodyDiv w:val="1"/>
      <w:marLeft w:val="0"/>
      <w:marRight w:val="0"/>
      <w:marTop w:val="0"/>
      <w:marBottom w:val="0"/>
      <w:divBdr>
        <w:top w:val="none" w:sz="0" w:space="0" w:color="auto"/>
        <w:left w:val="none" w:sz="0" w:space="0" w:color="auto"/>
        <w:bottom w:val="none" w:sz="0" w:space="0" w:color="auto"/>
        <w:right w:val="none" w:sz="0" w:space="0" w:color="auto"/>
      </w:divBdr>
      <w:divsChild>
        <w:div w:id="302391455">
          <w:marLeft w:val="274"/>
          <w:marRight w:val="0"/>
          <w:marTop w:val="67"/>
          <w:marBottom w:val="0"/>
          <w:divBdr>
            <w:top w:val="none" w:sz="0" w:space="0" w:color="auto"/>
            <w:left w:val="none" w:sz="0" w:space="0" w:color="auto"/>
            <w:bottom w:val="none" w:sz="0" w:space="0" w:color="auto"/>
            <w:right w:val="none" w:sz="0" w:space="0" w:color="auto"/>
          </w:divBdr>
        </w:div>
        <w:div w:id="615718484">
          <w:marLeft w:val="274"/>
          <w:marRight w:val="0"/>
          <w:marTop w:val="67"/>
          <w:marBottom w:val="0"/>
          <w:divBdr>
            <w:top w:val="none" w:sz="0" w:space="0" w:color="auto"/>
            <w:left w:val="none" w:sz="0" w:space="0" w:color="auto"/>
            <w:bottom w:val="none" w:sz="0" w:space="0" w:color="auto"/>
            <w:right w:val="none" w:sz="0" w:space="0" w:color="auto"/>
          </w:divBdr>
        </w:div>
        <w:div w:id="1135610478">
          <w:marLeft w:val="274"/>
          <w:marRight w:val="0"/>
          <w:marTop w:val="67"/>
          <w:marBottom w:val="0"/>
          <w:divBdr>
            <w:top w:val="none" w:sz="0" w:space="0" w:color="auto"/>
            <w:left w:val="none" w:sz="0" w:space="0" w:color="auto"/>
            <w:bottom w:val="none" w:sz="0" w:space="0" w:color="auto"/>
            <w:right w:val="none" w:sz="0" w:space="0" w:color="auto"/>
          </w:divBdr>
        </w:div>
        <w:div w:id="1231766410">
          <w:marLeft w:val="274"/>
          <w:marRight w:val="0"/>
          <w:marTop w:val="67"/>
          <w:marBottom w:val="0"/>
          <w:divBdr>
            <w:top w:val="none" w:sz="0" w:space="0" w:color="auto"/>
            <w:left w:val="none" w:sz="0" w:space="0" w:color="auto"/>
            <w:bottom w:val="none" w:sz="0" w:space="0" w:color="auto"/>
            <w:right w:val="none" w:sz="0" w:space="0" w:color="auto"/>
          </w:divBdr>
        </w:div>
        <w:div w:id="1962570194">
          <w:marLeft w:val="274"/>
          <w:marRight w:val="0"/>
          <w:marTop w:val="67"/>
          <w:marBottom w:val="0"/>
          <w:divBdr>
            <w:top w:val="none" w:sz="0" w:space="0" w:color="auto"/>
            <w:left w:val="none" w:sz="0" w:space="0" w:color="auto"/>
            <w:bottom w:val="none" w:sz="0" w:space="0" w:color="auto"/>
            <w:right w:val="none" w:sz="0" w:space="0" w:color="auto"/>
          </w:divBdr>
        </w:div>
      </w:divsChild>
    </w:div>
    <w:div w:id="1189298875">
      <w:bodyDiv w:val="1"/>
      <w:marLeft w:val="0"/>
      <w:marRight w:val="0"/>
      <w:marTop w:val="0"/>
      <w:marBottom w:val="0"/>
      <w:divBdr>
        <w:top w:val="none" w:sz="0" w:space="0" w:color="auto"/>
        <w:left w:val="none" w:sz="0" w:space="0" w:color="auto"/>
        <w:bottom w:val="none" w:sz="0" w:space="0" w:color="auto"/>
        <w:right w:val="none" w:sz="0" w:space="0" w:color="auto"/>
      </w:divBdr>
    </w:div>
    <w:div w:id="1189488346">
      <w:bodyDiv w:val="1"/>
      <w:marLeft w:val="0"/>
      <w:marRight w:val="0"/>
      <w:marTop w:val="0"/>
      <w:marBottom w:val="0"/>
      <w:divBdr>
        <w:top w:val="none" w:sz="0" w:space="0" w:color="auto"/>
        <w:left w:val="none" w:sz="0" w:space="0" w:color="auto"/>
        <w:bottom w:val="none" w:sz="0" w:space="0" w:color="auto"/>
        <w:right w:val="none" w:sz="0" w:space="0" w:color="auto"/>
      </w:divBdr>
    </w:div>
    <w:div w:id="1214193309">
      <w:bodyDiv w:val="1"/>
      <w:marLeft w:val="0"/>
      <w:marRight w:val="0"/>
      <w:marTop w:val="0"/>
      <w:marBottom w:val="0"/>
      <w:divBdr>
        <w:top w:val="none" w:sz="0" w:space="0" w:color="auto"/>
        <w:left w:val="none" w:sz="0" w:space="0" w:color="auto"/>
        <w:bottom w:val="none" w:sz="0" w:space="0" w:color="auto"/>
        <w:right w:val="none" w:sz="0" w:space="0" w:color="auto"/>
      </w:divBdr>
    </w:div>
    <w:div w:id="1271356048">
      <w:bodyDiv w:val="1"/>
      <w:marLeft w:val="0"/>
      <w:marRight w:val="0"/>
      <w:marTop w:val="0"/>
      <w:marBottom w:val="0"/>
      <w:divBdr>
        <w:top w:val="none" w:sz="0" w:space="0" w:color="auto"/>
        <w:left w:val="none" w:sz="0" w:space="0" w:color="auto"/>
        <w:bottom w:val="none" w:sz="0" w:space="0" w:color="auto"/>
        <w:right w:val="none" w:sz="0" w:space="0" w:color="auto"/>
      </w:divBdr>
      <w:divsChild>
        <w:div w:id="72554160">
          <w:marLeft w:val="446"/>
          <w:marRight w:val="0"/>
          <w:marTop w:val="72"/>
          <w:marBottom w:val="0"/>
          <w:divBdr>
            <w:top w:val="none" w:sz="0" w:space="0" w:color="auto"/>
            <w:left w:val="none" w:sz="0" w:space="0" w:color="auto"/>
            <w:bottom w:val="none" w:sz="0" w:space="0" w:color="auto"/>
            <w:right w:val="none" w:sz="0" w:space="0" w:color="auto"/>
          </w:divBdr>
        </w:div>
        <w:div w:id="766003331">
          <w:marLeft w:val="446"/>
          <w:marRight w:val="0"/>
          <w:marTop w:val="72"/>
          <w:marBottom w:val="0"/>
          <w:divBdr>
            <w:top w:val="none" w:sz="0" w:space="0" w:color="auto"/>
            <w:left w:val="none" w:sz="0" w:space="0" w:color="auto"/>
            <w:bottom w:val="none" w:sz="0" w:space="0" w:color="auto"/>
            <w:right w:val="none" w:sz="0" w:space="0" w:color="auto"/>
          </w:divBdr>
        </w:div>
        <w:div w:id="965084740">
          <w:marLeft w:val="446"/>
          <w:marRight w:val="0"/>
          <w:marTop w:val="72"/>
          <w:marBottom w:val="0"/>
          <w:divBdr>
            <w:top w:val="none" w:sz="0" w:space="0" w:color="auto"/>
            <w:left w:val="none" w:sz="0" w:space="0" w:color="auto"/>
            <w:bottom w:val="none" w:sz="0" w:space="0" w:color="auto"/>
            <w:right w:val="none" w:sz="0" w:space="0" w:color="auto"/>
          </w:divBdr>
        </w:div>
        <w:div w:id="1199245317">
          <w:marLeft w:val="446"/>
          <w:marRight w:val="0"/>
          <w:marTop w:val="72"/>
          <w:marBottom w:val="0"/>
          <w:divBdr>
            <w:top w:val="none" w:sz="0" w:space="0" w:color="auto"/>
            <w:left w:val="none" w:sz="0" w:space="0" w:color="auto"/>
            <w:bottom w:val="none" w:sz="0" w:space="0" w:color="auto"/>
            <w:right w:val="none" w:sz="0" w:space="0" w:color="auto"/>
          </w:divBdr>
        </w:div>
        <w:div w:id="1778523070">
          <w:marLeft w:val="446"/>
          <w:marRight w:val="0"/>
          <w:marTop w:val="72"/>
          <w:marBottom w:val="0"/>
          <w:divBdr>
            <w:top w:val="none" w:sz="0" w:space="0" w:color="auto"/>
            <w:left w:val="none" w:sz="0" w:space="0" w:color="auto"/>
            <w:bottom w:val="none" w:sz="0" w:space="0" w:color="auto"/>
            <w:right w:val="none" w:sz="0" w:space="0" w:color="auto"/>
          </w:divBdr>
        </w:div>
      </w:divsChild>
    </w:div>
    <w:div w:id="1272320622">
      <w:bodyDiv w:val="1"/>
      <w:marLeft w:val="0"/>
      <w:marRight w:val="0"/>
      <w:marTop w:val="0"/>
      <w:marBottom w:val="0"/>
      <w:divBdr>
        <w:top w:val="none" w:sz="0" w:space="0" w:color="auto"/>
        <w:left w:val="none" w:sz="0" w:space="0" w:color="auto"/>
        <w:bottom w:val="none" w:sz="0" w:space="0" w:color="auto"/>
        <w:right w:val="none" w:sz="0" w:space="0" w:color="auto"/>
      </w:divBdr>
      <w:divsChild>
        <w:div w:id="107085918">
          <w:marLeft w:val="634"/>
          <w:marRight w:val="0"/>
          <w:marTop w:val="67"/>
          <w:marBottom w:val="0"/>
          <w:divBdr>
            <w:top w:val="none" w:sz="0" w:space="0" w:color="auto"/>
            <w:left w:val="none" w:sz="0" w:space="0" w:color="auto"/>
            <w:bottom w:val="none" w:sz="0" w:space="0" w:color="auto"/>
            <w:right w:val="none" w:sz="0" w:space="0" w:color="auto"/>
          </w:divBdr>
        </w:div>
        <w:div w:id="290747094">
          <w:marLeft w:val="274"/>
          <w:marRight w:val="0"/>
          <w:marTop w:val="67"/>
          <w:marBottom w:val="0"/>
          <w:divBdr>
            <w:top w:val="none" w:sz="0" w:space="0" w:color="auto"/>
            <w:left w:val="none" w:sz="0" w:space="0" w:color="auto"/>
            <w:bottom w:val="none" w:sz="0" w:space="0" w:color="auto"/>
            <w:right w:val="none" w:sz="0" w:space="0" w:color="auto"/>
          </w:divBdr>
        </w:div>
        <w:div w:id="1283413966">
          <w:marLeft w:val="274"/>
          <w:marRight w:val="0"/>
          <w:marTop w:val="67"/>
          <w:marBottom w:val="0"/>
          <w:divBdr>
            <w:top w:val="none" w:sz="0" w:space="0" w:color="auto"/>
            <w:left w:val="none" w:sz="0" w:space="0" w:color="auto"/>
            <w:bottom w:val="none" w:sz="0" w:space="0" w:color="auto"/>
            <w:right w:val="none" w:sz="0" w:space="0" w:color="auto"/>
          </w:divBdr>
        </w:div>
        <w:div w:id="1984237495">
          <w:marLeft w:val="274"/>
          <w:marRight w:val="0"/>
          <w:marTop w:val="67"/>
          <w:marBottom w:val="0"/>
          <w:divBdr>
            <w:top w:val="none" w:sz="0" w:space="0" w:color="auto"/>
            <w:left w:val="none" w:sz="0" w:space="0" w:color="auto"/>
            <w:bottom w:val="none" w:sz="0" w:space="0" w:color="auto"/>
            <w:right w:val="none" w:sz="0" w:space="0" w:color="auto"/>
          </w:divBdr>
        </w:div>
        <w:div w:id="2041276642">
          <w:marLeft w:val="634"/>
          <w:marRight w:val="0"/>
          <w:marTop w:val="67"/>
          <w:marBottom w:val="0"/>
          <w:divBdr>
            <w:top w:val="none" w:sz="0" w:space="0" w:color="auto"/>
            <w:left w:val="none" w:sz="0" w:space="0" w:color="auto"/>
            <w:bottom w:val="none" w:sz="0" w:space="0" w:color="auto"/>
            <w:right w:val="none" w:sz="0" w:space="0" w:color="auto"/>
          </w:divBdr>
        </w:div>
      </w:divsChild>
    </w:div>
    <w:div w:id="1345784228">
      <w:bodyDiv w:val="1"/>
      <w:marLeft w:val="0"/>
      <w:marRight w:val="0"/>
      <w:marTop w:val="0"/>
      <w:marBottom w:val="0"/>
      <w:divBdr>
        <w:top w:val="none" w:sz="0" w:space="0" w:color="auto"/>
        <w:left w:val="none" w:sz="0" w:space="0" w:color="auto"/>
        <w:bottom w:val="none" w:sz="0" w:space="0" w:color="auto"/>
        <w:right w:val="none" w:sz="0" w:space="0" w:color="auto"/>
      </w:divBdr>
    </w:div>
    <w:div w:id="1384938145">
      <w:bodyDiv w:val="1"/>
      <w:marLeft w:val="0"/>
      <w:marRight w:val="0"/>
      <w:marTop w:val="0"/>
      <w:marBottom w:val="0"/>
      <w:divBdr>
        <w:top w:val="none" w:sz="0" w:space="0" w:color="auto"/>
        <w:left w:val="none" w:sz="0" w:space="0" w:color="auto"/>
        <w:bottom w:val="none" w:sz="0" w:space="0" w:color="auto"/>
        <w:right w:val="none" w:sz="0" w:space="0" w:color="auto"/>
      </w:divBdr>
    </w:div>
    <w:div w:id="1396857270">
      <w:bodyDiv w:val="1"/>
      <w:marLeft w:val="0"/>
      <w:marRight w:val="0"/>
      <w:marTop w:val="0"/>
      <w:marBottom w:val="0"/>
      <w:divBdr>
        <w:top w:val="none" w:sz="0" w:space="0" w:color="auto"/>
        <w:left w:val="none" w:sz="0" w:space="0" w:color="auto"/>
        <w:bottom w:val="none" w:sz="0" w:space="0" w:color="auto"/>
        <w:right w:val="none" w:sz="0" w:space="0" w:color="auto"/>
      </w:divBdr>
    </w:div>
    <w:div w:id="1498418279">
      <w:bodyDiv w:val="1"/>
      <w:marLeft w:val="0"/>
      <w:marRight w:val="0"/>
      <w:marTop w:val="0"/>
      <w:marBottom w:val="0"/>
      <w:divBdr>
        <w:top w:val="none" w:sz="0" w:space="0" w:color="auto"/>
        <w:left w:val="none" w:sz="0" w:space="0" w:color="auto"/>
        <w:bottom w:val="none" w:sz="0" w:space="0" w:color="auto"/>
        <w:right w:val="none" w:sz="0" w:space="0" w:color="auto"/>
      </w:divBdr>
    </w:div>
    <w:div w:id="1521814744">
      <w:bodyDiv w:val="1"/>
      <w:marLeft w:val="0"/>
      <w:marRight w:val="0"/>
      <w:marTop w:val="0"/>
      <w:marBottom w:val="0"/>
      <w:divBdr>
        <w:top w:val="none" w:sz="0" w:space="0" w:color="auto"/>
        <w:left w:val="none" w:sz="0" w:space="0" w:color="auto"/>
        <w:bottom w:val="none" w:sz="0" w:space="0" w:color="auto"/>
        <w:right w:val="none" w:sz="0" w:space="0" w:color="auto"/>
      </w:divBdr>
    </w:div>
    <w:div w:id="1526745279">
      <w:bodyDiv w:val="1"/>
      <w:marLeft w:val="0"/>
      <w:marRight w:val="0"/>
      <w:marTop w:val="0"/>
      <w:marBottom w:val="0"/>
      <w:divBdr>
        <w:top w:val="none" w:sz="0" w:space="0" w:color="auto"/>
        <w:left w:val="none" w:sz="0" w:space="0" w:color="auto"/>
        <w:bottom w:val="none" w:sz="0" w:space="0" w:color="auto"/>
        <w:right w:val="none" w:sz="0" w:space="0" w:color="auto"/>
      </w:divBdr>
    </w:div>
    <w:div w:id="1535922905">
      <w:bodyDiv w:val="1"/>
      <w:marLeft w:val="0"/>
      <w:marRight w:val="0"/>
      <w:marTop w:val="0"/>
      <w:marBottom w:val="0"/>
      <w:divBdr>
        <w:top w:val="none" w:sz="0" w:space="0" w:color="auto"/>
        <w:left w:val="none" w:sz="0" w:space="0" w:color="auto"/>
        <w:bottom w:val="none" w:sz="0" w:space="0" w:color="auto"/>
        <w:right w:val="none" w:sz="0" w:space="0" w:color="auto"/>
      </w:divBdr>
    </w:div>
    <w:div w:id="1536192606">
      <w:bodyDiv w:val="1"/>
      <w:marLeft w:val="0"/>
      <w:marRight w:val="0"/>
      <w:marTop w:val="0"/>
      <w:marBottom w:val="0"/>
      <w:divBdr>
        <w:top w:val="none" w:sz="0" w:space="0" w:color="auto"/>
        <w:left w:val="none" w:sz="0" w:space="0" w:color="auto"/>
        <w:bottom w:val="none" w:sz="0" w:space="0" w:color="auto"/>
        <w:right w:val="none" w:sz="0" w:space="0" w:color="auto"/>
      </w:divBdr>
    </w:div>
    <w:div w:id="1597326562">
      <w:bodyDiv w:val="1"/>
      <w:marLeft w:val="0"/>
      <w:marRight w:val="0"/>
      <w:marTop w:val="0"/>
      <w:marBottom w:val="0"/>
      <w:divBdr>
        <w:top w:val="none" w:sz="0" w:space="0" w:color="auto"/>
        <w:left w:val="none" w:sz="0" w:space="0" w:color="auto"/>
        <w:bottom w:val="none" w:sz="0" w:space="0" w:color="auto"/>
        <w:right w:val="none" w:sz="0" w:space="0" w:color="auto"/>
      </w:divBdr>
    </w:div>
    <w:div w:id="1644768799">
      <w:bodyDiv w:val="1"/>
      <w:marLeft w:val="0"/>
      <w:marRight w:val="0"/>
      <w:marTop w:val="0"/>
      <w:marBottom w:val="0"/>
      <w:divBdr>
        <w:top w:val="none" w:sz="0" w:space="0" w:color="auto"/>
        <w:left w:val="none" w:sz="0" w:space="0" w:color="auto"/>
        <w:bottom w:val="none" w:sz="0" w:space="0" w:color="auto"/>
        <w:right w:val="none" w:sz="0" w:space="0" w:color="auto"/>
      </w:divBdr>
    </w:div>
    <w:div w:id="1665162461">
      <w:bodyDiv w:val="1"/>
      <w:marLeft w:val="0"/>
      <w:marRight w:val="0"/>
      <w:marTop w:val="0"/>
      <w:marBottom w:val="0"/>
      <w:divBdr>
        <w:top w:val="none" w:sz="0" w:space="0" w:color="auto"/>
        <w:left w:val="none" w:sz="0" w:space="0" w:color="auto"/>
        <w:bottom w:val="none" w:sz="0" w:space="0" w:color="auto"/>
        <w:right w:val="none" w:sz="0" w:space="0" w:color="auto"/>
      </w:divBdr>
    </w:div>
    <w:div w:id="1676685922">
      <w:bodyDiv w:val="1"/>
      <w:marLeft w:val="0"/>
      <w:marRight w:val="0"/>
      <w:marTop w:val="0"/>
      <w:marBottom w:val="0"/>
      <w:divBdr>
        <w:top w:val="none" w:sz="0" w:space="0" w:color="auto"/>
        <w:left w:val="none" w:sz="0" w:space="0" w:color="auto"/>
        <w:bottom w:val="none" w:sz="0" w:space="0" w:color="auto"/>
        <w:right w:val="none" w:sz="0" w:space="0" w:color="auto"/>
      </w:divBdr>
    </w:div>
    <w:div w:id="1685135695">
      <w:bodyDiv w:val="1"/>
      <w:marLeft w:val="0"/>
      <w:marRight w:val="0"/>
      <w:marTop w:val="0"/>
      <w:marBottom w:val="0"/>
      <w:divBdr>
        <w:top w:val="none" w:sz="0" w:space="0" w:color="auto"/>
        <w:left w:val="none" w:sz="0" w:space="0" w:color="auto"/>
        <w:bottom w:val="none" w:sz="0" w:space="0" w:color="auto"/>
        <w:right w:val="none" w:sz="0" w:space="0" w:color="auto"/>
      </w:divBdr>
    </w:div>
    <w:div w:id="1688942025">
      <w:bodyDiv w:val="1"/>
      <w:marLeft w:val="0"/>
      <w:marRight w:val="0"/>
      <w:marTop w:val="0"/>
      <w:marBottom w:val="0"/>
      <w:divBdr>
        <w:top w:val="none" w:sz="0" w:space="0" w:color="auto"/>
        <w:left w:val="none" w:sz="0" w:space="0" w:color="auto"/>
        <w:bottom w:val="none" w:sz="0" w:space="0" w:color="auto"/>
        <w:right w:val="none" w:sz="0" w:space="0" w:color="auto"/>
      </w:divBdr>
    </w:div>
    <w:div w:id="1693258589">
      <w:bodyDiv w:val="1"/>
      <w:marLeft w:val="0"/>
      <w:marRight w:val="0"/>
      <w:marTop w:val="0"/>
      <w:marBottom w:val="0"/>
      <w:divBdr>
        <w:top w:val="none" w:sz="0" w:space="0" w:color="auto"/>
        <w:left w:val="none" w:sz="0" w:space="0" w:color="auto"/>
        <w:bottom w:val="none" w:sz="0" w:space="0" w:color="auto"/>
        <w:right w:val="none" w:sz="0" w:space="0" w:color="auto"/>
      </w:divBdr>
    </w:div>
    <w:div w:id="1715732614">
      <w:bodyDiv w:val="1"/>
      <w:marLeft w:val="0"/>
      <w:marRight w:val="0"/>
      <w:marTop w:val="0"/>
      <w:marBottom w:val="0"/>
      <w:divBdr>
        <w:top w:val="none" w:sz="0" w:space="0" w:color="auto"/>
        <w:left w:val="none" w:sz="0" w:space="0" w:color="auto"/>
        <w:bottom w:val="none" w:sz="0" w:space="0" w:color="auto"/>
        <w:right w:val="none" w:sz="0" w:space="0" w:color="auto"/>
      </w:divBdr>
    </w:div>
    <w:div w:id="1744066277">
      <w:bodyDiv w:val="1"/>
      <w:marLeft w:val="0"/>
      <w:marRight w:val="0"/>
      <w:marTop w:val="0"/>
      <w:marBottom w:val="0"/>
      <w:divBdr>
        <w:top w:val="none" w:sz="0" w:space="0" w:color="auto"/>
        <w:left w:val="none" w:sz="0" w:space="0" w:color="auto"/>
        <w:bottom w:val="none" w:sz="0" w:space="0" w:color="auto"/>
        <w:right w:val="none" w:sz="0" w:space="0" w:color="auto"/>
      </w:divBdr>
    </w:div>
    <w:div w:id="1745444399">
      <w:bodyDiv w:val="1"/>
      <w:marLeft w:val="0"/>
      <w:marRight w:val="0"/>
      <w:marTop w:val="0"/>
      <w:marBottom w:val="0"/>
      <w:divBdr>
        <w:top w:val="none" w:sz="0" w:space="0" w:color="auto"/>
        <w:left w:val="none" w:sz="0" w:space="0" w:color="auto"/>
        <w:bottom w:val="none" w:sz="0" w:space="0" w:color="auto"/>
        <w:right w:val="none" w:sz="0" w:space="0" w:color="auto"/>
      </w:divBdr>
    </w:div>
    <w:div w:id="1816681697">
      <w:bodyDiv w:val="1"/>
      <w:marLeft w:val="0"/>
      <w:marRight w:val="0"/>
      <w:marTop w:val="0"/>
      <w:marBottom w:val="0"/>
      <w:divBdr>
        <w:top w:val="none" w:sz="0" w:space="0" w:color="auto"/>
        <w:left w:val="none" w:sz="0" w:space="0" w:color="auto"/>
        <w:bottom w:val="none" w:sz="0" w:space="0" w:color="auto"/>
        <w:right w:val="none" w:sz="0" w:space="0" w:color="auto"/>
      </w:divBdr>
    </w:div>
    <w:div w:id="1823351069">
      <w:bodyDiv w:val="1"/>
      <w:marLeft w:val="0"/>
      <w:marRight w:val="0"/>
      <w:marTop w:val="0"/>
      <w:marBottom w:val="0"/>
      <w:divBdr>
        <w:top w:val="none" w:sz="0" w:space="0" w:color="auto"/>
        <w:left w:val="none" w:sz="0" w:space="0" w:color="auto"/>
        <w:bottom w:val="none" w:sz="0" w:space="0" w:color="auto"/>
        <w:right w:val="none" w:sz="0" w:space="0" w:color="auto"/>
      </w:divBdr>
    </w:div>
    <w:div w:id="1849756837">
      <w:bodyDiv w:val="1"/>
      <w:marLeft w:val="0"/>
      <w:marRight w:val="0"/>
      <w:marTop w:val="0"/>
      <w:marBottom w:val="0"/>
      <w:divBdr>
        <w:top w:val="none" w:sz="0" w:space="0" w:color="auto"/>
        <w:left w:val="none" w:sz="0" w:space="0" w:color="auto"/>
        <w:bottom w:val="none" w:sz="0" w:space="0" w:color="auto"/>
        <w:right w:val="none" w:sz="0" w:space="0" w:color="auto"/>
      </w:divBdr>
    </w:div>
    <w:div w:id="1864980938">
      <w:bodyDiv w:val="1"/>
      <w:marLeft w:val="0"/>
      <w:marRight w:val="0"/>
      <w:marTop w:val="0"/>
      <w:marBottom w:val="0"/>
      <w:divBdr>
        <w:top w:val="none" w:sz="0" w:space="0" w:color="auto"/>
        <w:left w:val="none" w:sz="0" w:space="0" w:color="auto"/>
        <w:bottom w:val="none" w:sz="0" w:space="0" w:color="auto"/>
        <w:right w:val="none" w:sz="0" w:space="0" w:color="auto"/>
      </w:divBdr>
      <w:divsChild>
        <w:div w:id="95102458">
          <w:marLeft w:val="446"/>
          <w:marRight w:val="0"/>
          <w:marTop w:val="65"/>
          <w:marBottom w:val="0"/>
          <w:divBdr>
            <w:top w:val="none" w:sz="0" w:space="0" w:color="auto"/>
            <w:left w:val="none" w:sz="0" w:space="0" w:color="auto"/>
            <w:bottom w:val="none" w:sz="0" w:space="0" w:color="auto"/>
            <w:right w:val="none" w:sz="0" w:space="0" w:color="auto"/>
          </w:divBdr>
        </w:div>
        <w:div w:id="251083403">
          <w:marLeft w:val="446"/>
          <w:marRight w:val="0"/>
          <w:marTop w:val="65"/>
          <w:marBottom w:val="0"/>
          <w:divBdr>
            <w:top w:val="none" w:sz="0" w:space="0" w:color="auto"/>
            <w:left w:val="none" w:sz="0" w:space="0" w:color="auto"/>
            <w:bottom w:val="none" w:sz="0" w:space="0" w:color="auto"/>
            <w:right w:val="none" w:sz="0" w:space="0" w:color="auto"/>
          </w:divBdr>
        </w:div>
        <w:div w:id="1519350813">
          <w:marLeft w:val="446"/>
          <w:marRight w:val="0"/>
          <w:marTop w:val="65"/>
          <w:marBottom w:val="0"/>
          <w:divBdr>
            <w:top w:val="none" w:sz="0" w:space="0" w:color="auto"/>
            <w:left w:val="none" w:sz="0" w:space="0" w:color="auto"/>
            <w:bottom w:val="none" w:sz="0" w:space="0" w:color="auto"/>
            <w:right w:val="none" w:sz="0" w:space="0" w:color="auto"/>
          </w:divBdr>
        </w:div>
        <w:div w:id="1541742559">
          <w:marLeft w:val="446"/>
          <w:marRight w:val="0"/>
          <w:marTop w:val="65"/>
          <w:marBottom w:val="0"/>
          <w:divBdr>
            <w:top w:val="none" w:sz="0" w:space="0" w:color="auto"/>
            <w:left w:val="none" w:sz="0" w:space="0" w:color="auto"/>
            <w:bottom w:val="none" w:sz="0" w:space="0" w:color="auto"/>
            <w:right w:val="none" w:sz="0" w:space="0" w:color="auto"/>
          </w:divBdr>
        </w:div>
        <w:div w:id="1676155133">
          <w:marLeft w:val="446"/>
          <w:marRight w:val="0"/>
          <w:marTop w:val="65"/>
          <w:marBottom w:val="0"/>
          <w:divBdr>
            <w:top w:val="none" w:sz="0" w:space="0" w:color="auto"/>
            <w:left w:val="none" w:sz="0" w:space="0" w:color="auto"/>
            <w:bottom w:val="none" w:sz="0" w:space="0" w:color="auto"/>
            <w:right w:val="none" w:sz="0" w:space="0" w:color="auto"/>
          </w:divBdr>
        </w:div>
        <w:div w:id="1845510069">
          <w:marLeft w:val="446"/>
          <w:marRight w:val="0"/>
          <w:marTop w:val="65"/>
          <w:marBottom w:val="0"/>
          <w:divBdr>
            <w:top w:val="none" w:sz="0" w:space="0" w:color="auto"/>
            <w:left w:val="none" w:sz="0" w:space="0" w:color="auto"/>
            <w:bottom w:val="none" w:sz="0" w:space="0" w:color="auto"/>
            <w:right w:val="none" w:sz="0" w:space="0" w:color="auto"/>
          </w:divBdr>
        </w:div>
      </w:divsChild>
    </w:div>
    <w:div w:id="1883203547">
      <w:bodyDiv w:val="1"/>
      <w:marLeft w:val="0"/>
      <w:marRight w:val="0"/>
      <w:marTop w:val="0"/>
      <w:marBottom w:val="0"/>
      <w:divBdr>
        <w:top w:val="none" w:sz="0" w:space="0" w:color="auto"/>
        <w:left w:val="none" w:sz="0" w:space="0" w:color="auto"/>
        <w:bottom w:val="none" w:sz="0" w:space="0" w:color="auto"/>
        <w:right w:val="none" w:sz="0" w:space="0" w:color="auto"/>
      </w:divBdr>
    </w:div>
    <w:div w:id="1885170258">
      <w:bodyDiv w:val="1"/>
      <w:marLeft w:val="0"/>
      <w:marRight w:val="0"/>
      <w:marTop w:val="0"/>
      <w:marBottom w:val="0"/>
      <w:divBdr>
        <w:top w:val="none" w:sz="0" w:space="0" w:color="auto"/>
        <w:left w:val="none" w:sz="0" w:space="0" w:color="auto"/>
        <w:bottom w:val="none" w:sz="0" w:space="0" w:color="auto"/>
        <w:right w:val="none" w:sz="0" w:space="0" w:color="auto"/>
      </w:divBdr>
    </w:div>
    <w:div w:id="1937861086">
      <w:bodyDiv w:val="1"/>
      <w:marLeft w:val="0"/>
      <w:marRight w:val="0"/>
      <w:marTop w:val="0"/>
      <w:marBottom w:val="0"/>
      <w:divBdr>
        <w:top w:val="none" w:sz="0" w:space="0" w:color="auto"/>
        <w:left w:val="none" w:sz="0" w:space="0" w:color="auto"/>
        <w:bottom w:val="none" w:sz="0" w:space="0" w:color="auto"/>
        <w:right w:val="none" w:sz="0" w:space="0" w:color="auto"/>
      </w:divBdr>
    </w:div>
    <w:div w:id="1959332955">
      <w:bodyDiv w:val="1"/>
      <w:marLeft w:val="0"/>
      <w:marRight w:val="0"/>
      <w:marTop w:val="0"/>
      <w:marBottom w:val="0"/>
      <w:divBdr>
        <w:top w:val="none" w:sz="0" w:space="0" w:color="auto"/>
        <w:left w:val="none" w:sz="0" w:space="0" w:color="auto"/>
        <w:bottom w:val="none" w:sz="0" w:space="0" w:color="auto"/>
        <w:right w:val="none" w:sz="0" w:space="0" w:color="auto"/>
      </w:divBdr>
    </w:div>
    <w:div w:id="1966232840">
      <w:bodyDiv w:val="1"/>
      <w:marLeft w:val="0"/>
      <w:marRight w:val="0"/>
      <w:marTop w:val="0"/>
      <w:marBottom w:val="0"/>
      <w:divBdr>
        <w:top w:val="none" w:sz="0" w:space="0" w:color="auto"/>
        <w:left w:val="none" w:sz="0" w:space="0" w:color="auto"/>
        <w:bottom w:val="none" w:sz="0" w:space="0" w:color="auto"/>
        <w:right w:val="none" w:sz="0" w:space="0" w:color="auto"/>
      </w:divBdr>
    </w:div>
    <w:div w:id="2029481906">
      <w:bodyDiv w:val="1"/>
      <w:marLeft w:val="0"/>
      <w:marRight w:val="0"/>
      <w:marTop w:val="0"/>
      <w:marBottom w:val="0"/>
      <w:divBdr>
        <w:top w:val="none" w:sz="0" w:space="0" w:color="auto"/>
        <w:left w:val="none" w:sz="0" w:space="0" w:color="auto"/>
        <w:bottom w:val="none" w:sz="0" w:space="0" w:color="auto"/>
        <w:right w:val="none" w:sz="0" w:space="0" w:color="auto"/>
      </w:divBdr>
    </w:div>
    <w:div w:id="2035182539">
      <w:bodyDiv w:val="1"/>
      <w:marLeft w:val="0"/>
      <w:marRight w:val="0"/>
      <w:marTop w:val="0"/>
      <w:marBottom w:val="0"/>
      <w:divBdr>
        <w:top w:val="none" w:sz="0" w:space="0" w:color="auto"/>
        <w:left w:val="none" w:sz="0" w:space="0" w:color="auto"/>
        <w:bottom w:val="none" w:sz="0" w:space="0" w:color="auto"/>
        <w:right w:val="none" w:sz="0" w:space="0" w:color="auto"/>
      </w:divBdr>
    </w:div>
    <w:div w:id="2093507550">
      <w:bodyDiv w:val="1"/>
      <w:marLeft w:val="0"/>
      <w:marRight w:val="0"/>
      <w:marTop w:val="0"/>
      <w:marBottom w:val="0"/>
      <w:divBdr>
        <w:top w:val="none" w:sz="0" w:space="0" w:color="auto"/>
        <w:left w:val="none" w:sz="0" w:space="0" w:color="auto"/>
        <w:bottom w:val="none" w:sz="0" w:space="0" w:color="auto"/>
        <w:right w:val="none" w:sz="0" w:space="0" w:color="auto"/>
      </w:divBdr>
    </w:div>
    <w:div w:id="2123986586">
      <w:bodyDiv w:val="1"/>
      <w:marLeft w:val="0"/>
      <w:marRight w:val="0"/>
      <w:marTop w:val="0"/>
      <w:marBottom w:val="0"/>
      <w:divBdr>
        <w:top w:val="none" w:sz="0" w:space="0" w:color="auto"/>
        <w:left w:val="none" w:sz="0" w:space="0" w:color="auto"/>
        <w:bottom w:val="none" w:sz="0" w:space="0" w:color="auto"/>
        <w:right w:val="none" w:sz="0" w:space="0" w:color="auto"/>
      </w:divBdr>
    </w:div>
    <w:div w:id="2135829404">
      <w:bodyDiv w:val="1"/>
      <w:marLeft w:val="0"/>
      <w:marRight w:val="0"/>
      <w:marTop w:val="0"/>
      <w:marBottom w:val="0"/>
      <w:divBdr>
        <w:top w:val="none" w:sz="0" w:space="0" w:color="auto"/>
        <w:left w:val="none" w:sz="0" w:space="0" w:color="auto"/>
        <w:bottom w:val="none" w:sz="0" w:space="0" w:color="auto"/>
        <w:right w:val="none" w:sz="0" w:space="0" w:color="auto"/>
      </w:divBdr>
      <w:divsChild>
        <w:div w:id="1625765381">
          <w:marLeft w:val="480"/>
          <w:marRight w:val="0"/>
          <w:marTop w:val="0"/>
          <w:marBottom w:val="0"/>
          <w:divBdr>
            <w:top w:val="none" w:sz="0" w:space="0" w:color="auto"/>
            <w:left w:val="none" w:sz="0" w:space="0" w:color="auto"/>
            <w:bottom w:val="none" w:sz="0" w:space="0" w:color="auto"/>
            <w:right w:val="none" w:sz="0" w:space="0" w:color="auto"/>
          </w:divBdr>
          <w:divsChild>
            <w:div w:id="3263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2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hyperlink" Target="https://theicct.org/publication/euro6e-type-approval-dec22/" TargetMode="External"/><Relationship Id="rId47" Type="http://schemas.openxmlformats.org/officeDocument/2006/relationships/hyperlink" Target="https://eur-lex.europa.eu/legal-content/EN/TXT/?uri=CELEX:52024SC0059" TargetMode="External"/><Relationship Id="rId63" Type="http://schemas.openxmlformats.org/officeDocument/2006/relationships/hyperlink" Target="https://theicct.org/improving-the-conversions-between-the-various-passenger-vehicle-fuel-economy-co2-emission-standards-around-the-world/"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hyperlink" Target="https://theicct.org/publication/passenger-vehicle-greenhouse-gas-and-fuel-economy-standards/" TargetMode="External"/><Relationship Id="rId37" Type="http://schemas.openxmlformats.org/officeDocument/2006/relationships/hyperlink" Target="https://www.legislation.gov.au/F2024L00443/asmade" TargetMode="External"/><Relationship Id="rId40" Type="http://schemas.openxmlformats.org/officeDocument/2006/relationships/hyperlink" Target="http://data.europa.eu/eli/reg_impl/2017/1153/oj" TargetMode="External"/><Relationship Id="rId45" Type="http://schemas.openxmlformats.org/officeDocument/2006/relationships/hyperlink" Target="https://data.europa.eu/doi/10.2760/901734" TargetMode="External"/><Relationship Id="rId53" Type="http://schemas.openxmlformats.org/officeDocument/2006/relationships/hyperlink" Target="https://theicct.org/pv-fuel-economy/" TargetMode="External"/><Relationship Id="rId58" Type="http://schemas.openxmlformats.org/officeDocument/2006/relationships/hyperlink" Target="http://data.europa.eu/eli/reg/2019/631/oj/eng" TargetMode="External"/><Relationship Id="rId66" Type="http://schemas.openxmlformats.org/officeDocument/2006/relationships/image" Target="media/image21.emf"/><Relationship Id="rId5" Type="http://schemas.openxmlformats.org/officeDocument/2006/relationships/numbering" Target="numbering.xml"/><Relationship Id="rId61" Type="http://schemas.openxmlformats.org/officeDocument/2006/relationships/hyperlink" Target="https://www.epa.gov/vehicle-and-fuel-emissions-testing/dynamometer-drive-schedules" TargetMode="Externa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yperlink" Target="https://www.unece.org/fileadmin/DAM/trans/main/wp29/wp29regs/2015/R101r3e.pdf" TargetMode="External"/><Relationship Id="rId35" Type="http://schemas.openxmlformats.org/officeDocument/2006/relationships/hyperlink" Target="https://www.legislation.gov.au/F2011L02016/latest" TargetMode="External"/><Relationship Id="rId43" Type="http://schemas.openxmlformats.org/officeDocument/2006/relationships/hyperlink" Target="https://climate-energy.eea.europa.eu/topics/transport/real-world-emissions/data" TargetMode="External"/><Relationship Id="rId48" Type="http://schemas.openxmlformats.org/officeDocument/2006/relationships/hyperlink" Target="https://climate-energy.eea.europa.eu/topics/transport/real-world-emissions/data" TargetMode="External"/><Relationship Id="rId56" Type="http://schemas.openxmlformats.org/officeDocument/2006/relationships/hyperlink" Target="https://oec.world/en/profile/bilateral-product/cars/reporter/aus" TargetMode="External"/><Relationship Id="rId64" Type="http://schemas.openxmlformats.org/officeDocument/2006/relationships/hyperlink" Target="https://theicct.org/publication/methods-of-converting-the-type-approval-fuel-economy-and-co2-emission-values-of-light-vehicles-an-analysis-for-new-zealand/"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cfr.gov/current/title-40/part-1066/section-1066.815"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yperlink" Target="https://www.greenvehicleguide.gov.au/" TargetMode="External"/><Relationship Id="rId38" Type="http://schemas.openxmlformats.org/officeDocument/2006/relationships/hyperlink" Target="https://www.carexpert.com.au/car-news/vfacts-2024-new-vehicle-sales-hit-record-high-but-slump-expected-soon" TargetMode="External"/><Relationship Id="rId46" Type="http://schemas.openxmlformats.org/officeDocument/2006/relationships/hyperlink" Target="https://co2mpas.readthedocs.io/en/stable/" TargetMode="External"/><Relationship Id="rId59" Type="http://schemas.openxmlformats.org/officeDocument/2006/relationships/hyperlink" Target="https://doi.org/10.1016/j.apenergy.2017.04.045" TargetMode="External"/><Relationship Id="rId67"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hyperlink" Target="https://dieselnet.com/standards/cycles/hwfet.php" TargetMode="External"/><Relationship Id="rId54" Type="http://schemas.openxmlformats.org/officeDocument/2006/relationships/hyperlink" Target="https://theicct.org/publication/development-of-test-cycle-conversion-factors-among-worldwide-light-duty-vehicle-co2-emission-standards/" TargetMode="External"/><Relationship Id="rId62" Type="http://schemas.openxmlformats.org/officeDocument/2006/relationships/hyperlink" Target="https://nepis.epa.gov/Exe/ZyPDF.cgi?Dockey=P101CUU6.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yperlink" Target="https://www.legislation.gov.au/C2024A00034/latest" TargetMode="External"/><Relationship Id="rId49" Type="http://schemas.openxmlformats.org/officeDocument/2006/relationships/hyperlink" Target="https://co2cars.apps.eea.europa.eu/" TargetMode="External"/><Relationship Id="rId57" Type="http://schemas.openxmlformats.org/officeDocument/2006/relationships/hyperlink" Target="https://theicct.org/publication/real-world-phev-use-jun22/" TargetMode="External"/><Relationship Id="rId10" Type="http://schemas.openxmlformats.org/officeDocument/2006/relationships/endnotes" Target="endnotes.xml"/><Relationship Id="rId31" Type="http://schemas.openxmlformats.org/officeDocument/2006/relationships/hyperlink" Target="https://unece.org/sites/default/files/2021-08/R154e.pdf" TargetMode="External"/><Relationship Id="rId44" Type="http://schemas.openxmlformats.org/officeDocument/2006/relationships/hyperlink" Target="https://circabc.europa.eu/ui/group/4cf23472-88e0-4a52-9dfb-544e8c4c7631/library/d344a40e-6776-4051-ba12-0ce2f07cbc7c/details" TargetMode="External"/><Relationship Id="rId52" Type="http://schemas.openxmlformats.org/officeDocument/2006/relationships/hyperlink" Target="https://doi.org/10.1016/j.apenergy.2018.06.009" TargetMode="External"/><Relationship Id="rId60" Type="http://schemas.openxmlformats.org/officeDocument/2006/relationships/hyperlink" Target="https://carfueldata.vehicle-certification-agency.gov.uk/" TargetMode="External"/><Relationship Id="rId65"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8.emf"/><Relationship Id="rId39" Type="http://schemas.openxmlformats.org/officeDocument/2006/relationships/hyperlink" Target="http://data.europa.eu/eli/reg_impl/2017/1152/oj" TargetMode="External"/><Relationship Id="rId34" Type="http://schemas.openxmlformats.org/officeDocument/2006/relationships/hyperlink" Target="https://www.legislation.gov.au/F2005L03850/latest" TargetMode="External"/><Relationship Id="rId50" Type="http://schemas.openxmlformats.org/officeDocument/2006/relationships/hyperlink" Target="https://co2vans.apps.eea.europa.eu/" TargetMode="External"/><Relationship Id="rId55" Type="http://schemas.openxmlformats.org/officeDocument/2006/relationships/hyperlink" Target="https://www.ntc.gov.au/sites/default/files/assets/files/Light%20vehicle%20emissions%20intensity%20in%20Australia%20-%20trends%20over%20time.pdf" TargetMode="External"/></Relationships>
</file>

<file path=word/theme/theme1.xml><?xml version="1.0" encoding="utf-8"?>
<a:theme xmlns:a="http://schemas.openxmlformats.org/drawingml/2006/main" name="ICCT">
  <a:themeElements>
    <a:clrScheme name="Custom 1">
      <a:dk1>
        <a:srgbClr val="364149"/>
      </a:dk1>
      <a:lt1>
        <a:srgbClr val="FFFFFF"/>
      </a:lt1>
      <a:dk2>
        <a:srgbClr val="364149"/>
      </a:dk2>
      <a:lt2>
        <a:srgbClr val="E7E6E6"/>
      </a:lt2>
      <a:accent1>
        <a:srgbClr val="007993"/>
      </a:accent1>
      <a:accent2>
        <a:srgbClr val="4E3227"/>
      </a:accent2>
      <a:accent3>
        <a:srgbClr val="D6492A"/>
      </a:accent3>
      <a:accent4>
        <a:srgbClr val="9B243E"/>
      </a:accent4>
      <a:accent5>
        <a:srgbClr val="364149"/>
      </a:accent5>
      <a:accent6>
        <a:srgbClr val="6C953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65D65DAF9CD7E45B0FE536DF851B909" ma:contentTypeVersion="6" ma:contentTypeDescription="Create a new document." ma:contentTypeScope="" ma:versionID="f2d0029e4aa9e6a5d51c6fac5b561fb4">
  <xsd:schema xmlns:xsd="http://www.w3.org/2001/XMLSchema" xmlns:xs="http://www.w3.org/2001/XMLSchema" xmlns:p="http://schemas.microsoft.com/office/2006/metadata/properties" xmlns:ns2="d9273ffb-13bc-4359-86db-ffbd6a6f0068" targetNamespace="http://schemas.microsoft.com/office/2006/metadata/properties" ma:root="true" ma:fieldsID="ffae840930428fc78975dc75bc95d2b9" ns2:_="">
    <xsd:import namespace="d9273ffb-13bc-4359-86db-ffbd6a6f0068"/>
    <xsd:element name="properties">
      <xsd:complexType>
        <xsd:sequence>
          <xsd:element name="documentManagement">
            <xsd:complexType>
              <xsd:all>
                <xsd:element ref="ns2:RecordNumber" minOccurs="0"/>
                <xsd:element ref="ns2:b2ca142b749a4e99973a60fa4596d57f" minOccurs="0"/>
                <xsd:element ref="ns2:TaxCatchAll" minOccurs="0"/>
                <xsd:element ref="ns2:TaxCatchAllLabel" minOccurs="0"/>
                <xsd:element ref="ns2:pcc6eb66bf4b43a8953760b2e81c01a4" minOccurs="0"/>
                <xsd:element ref="ns2:Destroy Item46" minOccurs="0"/>
                <xsd:element ref="ns2:Justification for Destruction47" minOccurs="0"/>
                <xsd:element ref="ns2:Document_x0020_SP_x0020_Type" minOccurs="0"/>
                <xsd:element ref="ns2:SharedWithUsers" minOccurs="0"/>
                <xsd:element ref="ns2:SharedWithDetails" minOccurs="0"/>
                <xsd:element ref="ns2:RecordCheckedOut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273ffb-13bc-4359-86db-ffbd6a6f0068"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b2ca142b749a4e99973a60fa4596d57f" ma:index="9" ma:taxonomy="true" ma:internalName="b2ca142b749a4e99973a60fa4596d57f" ma:taxonomyFieldName="Security_x0020_Classification" ma:displayName="Security Classification" ma:readOnly="false" ma:default="1;#OFFICIAL|66ee57a8-59d0-46bc-a5fc-78440ee0cf81" ma:fieldId="{b2ca142b-749a-4e99-973a-60fa4596d57f}"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54b63f3-8672-4e53-b325-05221e90d34d}" ma:internalName="TaxCatchAll" ma:showField="CatchAllData" ma:web="d9273ffb-13bc-4359-86db-ffbd6a6f006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54b63f3-8672-4e53-b325-05221e90d34d}" ma:internalName="TaxCatchAllLabel" ma:readOnly="true" ma:showField="CatchAllDataLabel" ma:web="d9273ffb-13bc-4359-86db-ffbd6a6f0068">
      <xsd:complexType>
        <xsd:complexContent>
          <xsd:extension base="dms:MultiChoiceLookup">
            <xsd:sequence>
              <xsd:element name="Value" type="dms:Lookup" maxOccurs="unbounded" minOccurs="0" nillable="true"/>
            </xsd:sequence>
          </xsd:extension>
        </xsd:complexContent>
      </xsd:complexType>
    </xsd:element>
    <xsd:element name="pcc6eb66bf4b43a8953760b2e81c01a4" ma:index="13" nillable="true" ma:taxonomy="true" ma:internalName="pcc6eb66bf4b43a8953760b2e81c01a4" ma:taxonomyFieldName="Information_x0020_Management_x0020_Marker" ma:displayName="Information Management Marker" ma:default="" ma:fieldId="{9cc6eb66-bf4b-43a8-9537-60b2e81c01a4}"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RecordCheckedOutTo" ma:index="21" nillable="true" ma:displayName="Checked Out To" ma:internalName="RecordCheckedOutT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a85390b-7aaa-4221-b896-e8172d900df9" xsi:nil="true"/>
    <lcf76f155ced4ddcb4097134ff3c332f xmlns="bec0360e-1764-4e96-82f3-8ef208e821db">
      <Terms xmlns="http://schemas.microsoft.com/office/infopath/2007/PartnerControls"/>
    </lcf76f155ced4ddcb4097134ff3c332f>
    <Lastused xmlns="bec0360e-1764-4e96-82f3-8ef208e821db" xsi:nil="true"/>
  </documentManagement>
</p:properties>
</file>

<file path=customXml/itemProps1.xml><?xml version="1.0" encoding="utf-8"?>
<ds:datastoreItem xmlns:ds="http://schemas.openxmlformats.org/officeDocument/2006/customXml" ds:itemID="{CA28D005-4FC7-4B3A-8437-6F948BF9E399}">
  <ds:schemaRefs>
    <ds:schemaRef ds:uri="http://schemas.openxmlformats.org/officeDocument/2006/bibliography"/>
  </ds:schemaRefs>
</ds:datastoreItem>
</file>

<file path=customXml/itemProps2.xml><?xml version="1.0" encoding="utf-8"?>
<ds:datastoreItem xmlns:ds="http://schemas.openxmlformats.org/officeDocument/2006/customXml" ds:itemID="{EE9F9EDE-3373-428E-B4AD-F5674D51A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273ffb-13bc-4359-86db-ffbd6a6f0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A8CABC-E9F2-4114-92D4-C36F34B859E7}">
  <ds:schemaRefs>
    <ds:schemaRef ds:uri="http://schemas.microsoft.com/sharepoint/v3/contenttype/forms"/>
  </ds:schemaRefs>
</ds:datastoreItem>
</file>

<file path=customXml/itemProps4.xml><?xml version="1.0" encoding="utf-8"?>
<ds:datastoreItem xmlns:ds="http://schemas.openxmlformats.org/officeDocument/2006/customXml" ds:itemID="{A8B0BDEB-E92E-4EEA-872B-ED70E45A1AF4}">
  <ds:schemaRefs>
    <ds:schemaRef ds:uri="http://schemas.microsoft.com/office/2006/metadata/properties"/>
    <ds:schemaRef ds:uri="http://schemas.microsoft.com/office/infopath/2007/PartnerControls"/>
    <ds:schemaRef ds:uri="7a85390b-7aaa-4221-b896-e8172d900df9"/>
    <ds:schemaRef ds:uri="bec0360e-1764-4e96-82f3-8ef208e821db"/>
  </ds:schemaRefs>
</ds:datastoreItem>
</file>

<file path=docMetadata/LabelInfo.xml><?xml version="1.0" encoding="utf-8"?>
<clbl:labelList xmlns:clbl="http://schemas.microsoft.com/office/2020/mipLabelMetadata">
  <clbl:label id="{1e08a618-4c1e-4517-8ef1-59cb63d68e36}" enabled="1" method="Privileged" siteId="{aa21b640-bac2-456d-8505-f2cc07f51784}" removed="0"/>
  <clbl:label id="{edb26152-23a6-4a6e-8fcb-d99d6e3b8e71}" enabled="1" method="Standard" siteId="{7fbdd19f-c389-4ced-8a04-0b5090b80cfe}"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36</Pages>
  <Words>11858</Words>
  <Characters>67239</Characters>
  <Application>Microsoft Office Word</Application>
  <DocSecurity>0</DocSecurity>
  <Lines>1494</Lines>
  <Paragraphs>775</Paragraphs>
  <ScaleCrop>false</ScaleCrop>
  <HeadingPairs>
    <vt:vector size="2" baseType="variant">
      <vt:variant>
        <vt:lpstr>Title</vt:lpstr>
      </vt:variant>
      <vt:variant>
        <vt:i4>1</vt:i4>
      </vt:variant>
    </vt:vector>
  </HeadingPairs>
  <TitlesOfParts>
    <vt:vector size="1" baseType="lpstr">
      <vt:lpstr>Methods of converting the type-approval CO2 emission values of light vehicles for Australia’s New Vehicle Efficiency Standard</vt:lpstr>
    </vt:vector>
  </TitlesOfParts>
  <Manager/>
  <Company/>
  <LinksUpToDate>false</LinksUpToDate>
  <CharactersWithSpaces>78322</CharactersWithSpaces>
  <SharedDoc>false</SharedDoc>
  <HyperlinkBase/>
  <HLinks>
    <vt:vector size="114" baseType="variant">
      <vt:variant>
        <vt:i4>8257543</vt:i4>
      </vt:variant>
      <vt:variant>
        <vt:i4>54</vt:i4>
      </vt:variant>
      <vt:variant>
        <vt:i4>0</vt:i4>
      </vt:variant>
      <vt:variant>
        <vt:i4>5</vt:i4>
      </vt:variant>
      <vt:variant>
        <vt:lpwstr>mailto:zifei.yang@theicct.org</vt:lpwstr>
      </vt:variant>
      <vt:variant>
        <vt:lpwstr/>
      </vt:variant>
      <vt:variant>
        <vt:i4>8323072</vt:i4>
      </vt:variant>
      <vt:variant>
        <vt:i4>51</vt:i4>
      </vt:variant>
      <vt:variant>
        <vt:i4>0</vt:i4>
      </vt:variant>
      <vt:variant>
        <vt:i4>5</vt:i4>
      </vt:variant>
      <vt:variant>
        <vt:lpwstr>https://theicct.sharepoint.com/:b:/r/sites/IP-Global-2021-GFEI/Shared Documents/General/Test cycle conversion factor project_NVES/90_Working directories/Jan/R_EEA-export/R_figures/plot_diesel-lcv-pickup-only.pdf?csf=1&amp;web=1&amp;e=8dNBm7</vt:lpwstr>
      </vt:variant>
      <vt:variant>
        <vt:lpwstr/>
      </vt:variant>
      <vt:variant>
        <vt:i4>6422539</vt:i4>
      </vt:variant>
      <vt:variant>
        <vt:i4>48</vt:i4>
      </vt:variant>
      <vt:variant>
        <vt:i4>0</vt:i4>
      </vt:variant>
      <vt:variant>
        <vt:i4>5</vt:i4>
      </vt:variant>
      <vt:variant>
        <vt:lpwstr>mailto:t.khan@theicct.org</vt:lpwstr>
      </vt:variant>
      <vt:variant>
        <vt:lpwstr/>
      </vt:variant>
      <vt:variant>
        <vt:i4>1638525</vt:i4>
      </vt:variant>
      <vt:variant>
        <vt:i4>45</vt:i4>
      </vt:variant>
      <vt:variant>
        <vt:i4>0</vt:i4>
      </vt:variant>
      <vt:variant>
        <vt:i4>5</vt:i4>
      </vt:variant>
      <vt:variant>
        <vt:lpwstr>mailto:j.dornoff@theicct.org</vt:lpwstr>
      </vt:variant>
      <vt:variant>
        <vt:lpwstr/>
      </vt:variant>
      <vt:variant>
        <vt:i4>8257543</vt:i4>
      </vt:variant>
      <vt:variant>
        <vt:i4>42</vt:i4>
      </vt:variant>
      <vt:variant>
        <vt:i4>0</vt:i4>
      </vt:variant>
      <vt:variant>
        <vt:i4>5</vt:i4>
      </vt:variant>
      <vt:variant>
        <vt:lpwstr>mailto:zifei.yang@theicct.org</vt:lpwstr>
      </vt:variant>
      <vt:variant>
        <vt:lpwstr/>
      </vt:variant>
      <vt:variant>
        <vt:i4>6422539</vt:i4>
      </vt:variant>
      <vt:variant>
        <vt:i4>39</vt:i4>
      </vt:variant>
      <vt:variant>
        <vt:i4>0</vt:i4>
      </vt:variant>
      <vt:variant>
        <vt:i4>5</vt:i4>
      </vt:variant>
      <vt:variant>
        <vt:lpwstr>mailto:t.khan@theicct.org</vt:lpwstr>
      </vt:variant>
      <vt:variant>
        <vt:lpwstr/>
      </vt:variant>
      <vt:variant>
        <vt:i4>6422539</vt:i4>
      </vt:variant>
      <vt:variant>
        <vt:i4>36</vt:i4>
      </vt:variant>
      <vt:variant>
        <vt:i4>0</vt:i4>
      </vt:variant>
      <vt:variant>
        <vt:i4>5</vt:i4>
      </vt:variant>
      <vt:variant>
        <vt:lpwstr>mailto:t.khan@theicct.org</vt:lpwstr>
      </vt:variant>
      <vt:variant>
        <vt:lpwstr/>
      </vt:variant>
      <vt:variant>
        <vt:i4>6422539</vt:i4>
      </vt:variant>
      <vt:variant>
        <vt:i4>33</vt:i4>
      </vt:variant>
      <vt:variant>
        <vt:i4>0</vt:i4>
      </vt:variant>
      <vt:variant>
        <vt:i4>5</vt:i4>
      </vt:variant>
      <vt:variant>
        <vt:lpwstr>mailto:t.khan@theicct.org</vt:lpwstr>
      </vt:variant>
      <vt:variant>
        <vt:lpwstr/>
      </vt:variant>
      <vt:variant>
        <vt:i4>6422539</vt:i4>
      </vt:variant>
      <vt:variant>
        <vt:i4>30</vt:i4>
      </vt:variant>
      <vt:variant>
        <vt:i4>0</vt:i4>
      </vt:variant>
      <vt:variant>
        <vt:i4>5</vt:i4>
      </vt:variant>
      <vt:variant>
        <vt:lpwstr>mailto:t.khan@theicct.org</vt:lpwstr>
      </vt:variant>
      <vt:variant>
        <vt:lpwstr/>
      </vt:variant>
      <vt:variant>
        <vt:i4>6422539</vt:i4>
      </vt:variant>
      <vt:variant>
        <vt:i4>27</vt:i4>
      </vt:variant>
      <vt:variant>
        <vt:i4>0</vt:i4>
      </vt:variant>
      <vt:variant>
        <vt:i4>5</vt:i4>
      </vt:variant>
      <vt:variant>
        <vt:lpwstr>mailto:t.khan@theicct.org</vt:lpwstr>
      </vt:variant>
      <vt:variant>
        <vt:lpwstr/>
      </vt:variant>
      <vt:variant>
        <vt:i4>6422539</vt:i4>
      </vt:variant>
      <vt:variant>
        <vt:i4>24</vt:i4>
      </vt:variant>
      <vt:variant>
        <vt:i4>0</vt:i4>
      </vt:variant>
      <vt:variant>
        <vt:i4>5</vt:i4>
      </vt:variant>
      <vt:variant>
        <vt:lpwstr>mailto:t.khan@theicct.org</vt:lpwstr>
      </vt:variant>
      <vt:variant>
        <vt:lpwstr/>
      </vt:variant>
      <vt:variant>
        <vt:i4>6422539</vt:i4>
      </vt:variant>
      <vt:variant>
        <vt:i4>21</vt:i4>
      </vt:variant>
      <vt:variant>
        <vt:i4>0</vt:i4>
      </vt:variant>
      <vt:variant>
        <vt:i4>5</vt:i4>
      </vt:variant>
      <vt:variant>
        <vt:lpwstr>mailto:t.khan@theicct.org</vt:lpwstr>
      </vt:variant>
      <vt:variant>
        <vt:lpwstr/>
      </vt:variant>
      <vt:variant>
        <vt:i4>6553713</vt:i4>
      </vt:variant>
      <vt:variant>
        <vt:i4>18</vt:i4>
      </vt:variant>
      <vt:variant>
        <vt:i4>0</vt:i4>
      </vt:variant>
      <vt:variant>
        <vt:i4>5</vt:i4>
      </vt:variant>
      <vt:variant>
        <vt:lpwstr>https://www.sciencedirect.com/science/article/pii/S0306261917304336</vt:lpwstr>
      </vt:variant>
      <vt:variant>
        <vt:lpwstr/>
      </vt:variant>
      <vt:variant>
        <vt:i4>8257543</vt:i4>
      </vt:variant>
      <vt:variant>
        <vt:i4>15</vt:i4>
      </vt:variant>
      <vt:variant>
        <vt:i4>0</vt:i4>
      </vt:variant>
      <vt:variant>
        <vt:i4>5</vt:i4>
      </vt:variant>
      <vt:variant>
        <vt:lpwstr>mailto:zifei.yang@theicct.org</vt:lpwstr>
      </vt:variant>
      <vt:variant>
        <vt:lpwstr/>
      </vt:variant>
      <vt:variant>
        <vt:i4>6422539</vt:i4>
      </vt:variant>
      <vt:variant>
        <vt:i4>12</vt:i4>
      </vt:variant>
      <vt:variant>
        <vt:i4>0</vt:i4>
      </vt:variant>
      <vt:variant>
        <vt:i4>5</vt:i4>
      </vt:variant>
      <vt:variant>
        <vt:lpwstr>mailto:t.khan@theicct.org</vt:lpwstr>
      </vt:variant>
      <vt:variant>
        <vt:lpwstr/>
      </vt:variant>
      <vt:variant>
        <vt:i4>6422539</vt:i4>
      </vt:variant>
      <vt:variant>
        <vt:i4>9</vt:i4>
      </vt:variant>
      <vt:variant>
        <vt:i4>0</vt:i4>
      </vt:variant>
      <vt:variant>
        <vt:i4>5</vt:i4>
      </vt:variant>
      <vt:variant>
        <vt:lpwstr>mailto:t.khan@theicct.org</vt:lpwstr>
      </vt:variant>
      <vt:variant>
        <vt:lpwstr/>
      </vt:variant>
      <vt:variant>
        <vt:i4>1638525</vt:i4>
      </vt:variant>
      <vt:variant>
        <vt:i4>6</vt:i4>
      </vt:variant>
      <vt:variant>
        <vt:i4>0</vt:i4>
      </vt:variant>
      <vt:variant>
        <vt:i4>5</vt:i4>
      </vt:variant>
      <vt:variant>
        <vt:lpwstr>mailto:j.dornoff@theicct.org</vt:lpwstr>
      </vt:variant>
      <vt:variant>
        <vt:lpwstr/>
      </vt:variant>
      <vt:variant>
        <vt:i4>6422539</vt:i4>
      </vt:variant>
      <vt:variant>
        <vt:i4>3</vt:i4>
      </vt:variant>
      <vt:variant>
        <vt:i4>0</vt:i4>
      </vt:variant>
      <vt:variant>
        <vt:i4>5</vt:i4>
      </vt:variant>
      <vt:variant>
        <vt:lpwstr>mailto:t.khan@theicct.org</vt:lpwstr>
      </vt:variant>
      <vt:variant>
        <vt:lpwstr/>
      </vt:variant>
      <vt:variant>
        <vt:i4>1638525</vt:i4>
      </vt:variant>
      <vt:variant>
        <vt:i4>0</vt:i4>
      </vt:variant>
      <vt:variant>
        <vt:i4>0</vt:i4>
      </vt:variant>
      <vt:variant>
        <vt:i4>5</vt:i4>
      </vt:variant>
      <vt:variant>
        <vt:lpwstr>mailto:j.dornoff@theicct.org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Methods of converting the type-approval CO2 emission values of light vehicles for Australia’s New Vehicle Efficiency Standard</dc:title>
  <dc:subject/>
  <dc:creator>Australian Government, Department of Infrastructure, Transport, Regional Development, Communications, Sport and the Arts</dc:creator>
  <cp:keywords/>
  <dc:description/>
  <cp:revision>4</cp:revision>
  <cp:lastPrinted>2025-12-02T00:40:00Z</cp:lastPrinted>
  <dcterms:created xsi:type="dcterms:W3CDTF">2025-12-01T03:26:00Z</dcterms:created>
  <dcterms:modified xsi:type="dcterms:W3CDTF">2025-12-02T00:40:00Z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0x010100665D65DAF9CD7E45B0FE536DF851B909</vt:lpwstr>
  </property>
  <property fmtid="{D5CDD505-2E9C-101B-9397-08002B2CF9AE}" pid="3" name="MSIP_Label_edb26152-23a6-4a6e-8fcb-d99d6e3b8e71_Enabled">
    <vt:lpwstr>true</vt:lpwstr>
  </property>
  <property fmtid="{D5CDD505-2E9C-101B-9397-08002B2CF9AE}" pid="4" name="MSIP_Label_edb26152-23a6-4a6e-8fcb-d99d6e3b8e71_SetDate">
    <vt:lpwstr>2022-06-15T13:28:12Z</vt:lpwstr>
  </property>
  <property fmtid="{D5CDD505-2E9C-101B-9397-08002B2CF9AE}" pid="5" name="MSIP_Label_edb26152-23a6-4a6e-8fcb-d99d6e3b8e71_Method">
    <vt:lpwstr>Standard</vt:lpwstr>
  </property>
  <property fmtid="{D5CDD505-2E9C-101B-9397-08002B2CF9AE}" pid="6" name="MSIP_Label_edb26152-23a6-4a6e-8fcb-d99d6e3b8e71_Name">
    <vt:lpwstr>defa4170-0d19-0005-0004-bc88714345d2</vt:lpwstr>
  </property>
  <property fmtid="{D5CDD505-2E9C-101B-9397-08002B2CF9AE}" pid="7" name="MSIP_Label_edb26152-23a6-4a6e-8fcb-d99d6e3b8e71_SiteId">
    <vt:lpwstr>7fbdd19f-c389-4ced-8a04-0b5090b80cfe</vt:lpwstr>
  </property>
  <property fmtid="{D5CDD505-2E9C-101B-9397-08002B2CF9AE}" pid="8" name="MSIP_Label_edb26152-23a6-4a6e-8fcb-d99d6e3b8e71_ActionId">
    <vt:lpwstr>7a9c83a6-5a33-4d6c-ae63-0f45680b989f</vt:lpwstr>
  </property>
  <property fmtid="{D5CDD505-2E9C-101B-9397-08002B2CF9AE}" pid="9" name="MSIP_Label_edb26152-23a6-4a6e-8fcb-d99d6e3b8e71_ContentBits">
    <vt:lpwstr>0</vt:lpwstr>
  </property>
  <property fmtid="{D5CDD505-2E9C-101B-9397-08002B2CF9AE}" pid="10" name="MediaServiceImageTags">
    <vt:lpwstr/>
  </property>
  <property fmtid="{D5CDD505-2E9C-101B-9397-08002B2CF9AE}" pid="11" name="ZOTERO_PREF_2">
    <vt:lpwstr>lAbbreviations" value="true"/&gt;&lt;/prefs&gt;&lt;/data&gt;</vt:lpwstr>
  </property>
  <property fmtid="{D5CDD505-2E9C-101B-9397-08002B2CF9AE}" pid="12" name="ZOTERO_PREF_1">
    <vt:lpwstr>&lt;data data-version="3" zotero-version="7.0.9"&gt;&lt;session id="PPZSNCTN"/&gt;&lt;style id="http://www.zotero.org/styles/apa" locale="en-US" hasBibliography="1" bibliographyStyleHasBeenSet="1"/&gt;&lt;prefs&gt;&lt;pref name="fieldType" value="Field"/&gt;&lt;pref name="automaticJourna</vt:lpwstr>
  </property>
  <property fmtid="{D5CDD505-2E9C-101B-9397-08002B2CF9AE}" pid="13" name="ClassificationContentMarkingHeaderShapeIds">
    <vt:lpwstr>48c9f3e3,6f878cd2,3e2688dd</vt:lpwstr>
  </property>
  <property fmtid="{D5CDD505-2E9C-101B-9397-08002B2CF9AE}" pid="14" name="ClassificationContentMarkingHeaderFontProps">
    <vt:lpwstr>#ff0000,14,Aptos</vt:lpwstr>
  </property>
  <property fmtid="{D5CDD505-2E9C-101B-9397-08002B2CF9AE}" pid="15" name="ClassificationContentMarkingHeaderText">
    <vt:lpwstr>OFFICIAL</vt:lpwstr>
  </property>
  <property fmtid="{D5CDD505-2E9C-101B-9397-08002B2CF9AE}" pid="16" name="ClassificationContentMarkingFooterShapeIds">
    <vt:lpwstr>7f02fab8,3f125ca6,2970a10c</vt:lpwstr>
  </property>
  <property fmtid="{D5CDD505-2E9C-101B-9397-08002B2CF9AE}" pid="17" name="ClassificationContentMarkingFooterFontProps">
    <vt:lpwstr>#ff0000,14,Aptos</vt:lpwstr>
  </property>
  <property fmtid="{D5CDD505-2E9C-101B-9397-08002B2CF9AE}" pid="18" name="ClassificationContentMarkingFooterText">
    <vt:lpwstr>OFFICIAL</vt:lpwstr>
  </property>
</Properties>
</file>