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C9D" w:rsidRPr="008F4DFC" w:rsidRDefault="00E943C8" w:rsidP="00915BD3">
      <w:pPr>
        <w:pStyle w:val="Heading1"/>
        <w:rPr>
          <w:b w:val="0"/>
        </w:rPr>
      </w:pPr>
      <w:bookmarkStart w:id="0" w:name="_GoBack"/>
      <w:r w:rsidRPr="008F4DFC">
        <w:t>Maritime Legislati</w:t>
      </w:r>
      <w:r w:rsidR="00210204">
        <w:t>on</w:t>
      </w:r>
      <w:r w:rsidRPr="008F4DFC">
        <w:t xml:space="preserve"> Amendment Bill</w:t>
      </w:r>
      <w:r w:rsidR="00884A24" w:rsidRPr="008F4DFC">
        <w:t xml:space="preserve"> 2022</w:t>
      </w:r>
      <w:r w:rsidR="002C6B54">
        <w:t>—</w:t>
      </w:r>
      <w:r w:rsidR="00884A24" w:rsidRPr="008F4DFC">
        <w:t xml:space="preserve">Explanatory </w:t>
      </w:r>
      <w:r w:rsidR="009139FC">
        <w:t>M</w:t>
      </w:r>
      <w:r w:rsidR="00884A24" w:rsidRPr="008F4DFC">
        <w:t>aterial</w:t>
      </w:r>
    </w:p>
    <w:bookmarkEnd w:id="0"/>
    <w:p w:rsidR="00164EC7" w:rsidRDefault="00164EC7" w:rsidP="003E50C1">
      <w:pPr>
        <w:spacing w:before="120" w:after="120"/>
        <w:rPr>
          <w:rFonts w:cs="Times New Roman"/>
          <w:szCs w:val="24"/>
        </w:rPr>
      </w:pPr>
      <w:r>
        <w:rPr>
          <w:rFonts w:cs="Times New Roman"/>
          <w:szCs w:val="24"/>
        </w:rPr>
        <w:t xml:space="preserve">To meet Australia’s international obligations as signatory to the </w:t>
      </w:r>
      <w:r w:rsidRPr="00164EC7">
        <w:rPr>
          <w:rFonts w:cs="Times New Roman"/>
          <w:i/>
          <w:szCs w:val="24"/>
        </w:rPr>
        <w:t>International Convention for the Prevention of Pollution from Ships</w:t>
      </w:r>
      <w:r>
        <w:rPr>
          <w:rFonts w:cs="Times New Roman"/>
          <w:szCs w:val="24"/>
        </w:rPr>
        <w:t xml:space="preserve"> (MARPOL) and the </w:t>
      </w:r>
      <w:r w:rsidRPr="00164EC7">
        <w:rPr>
          <w:rFonts w:cs="Times New Roman"/>
          <w:i/>
          <w:szCs w:val="24"/>
        </w:rPr>
        <w:t>International Convention on the Control of Harmful Anti-Fouling Systems on Ships</w:t>
      </w:r>
      <w:r>
        <w:rPr>
          <w:rFonts w:cs="Times New Roman"/>
          <w:szCs w:val="24"/>
        </w:rPr>
        <w:t xml:space="preserve"> (HAFS Convention), Australia needs to implement in domestic legislation three Resolutions by the International Maritime Organization (IMO) Marine Environment Protection Committee (MEPC) that amend these conventions. The three MEPC Resolutions are described below.</w:t>
      </w:r>
    </w:p>
    <w:p w:rsidR="003E50C1" w:rsidRPr="003E50C1" w:rsidRDefault="003E50C1" w:rsidP="00C623BF">
      <w:pPr>
        <w:spacing w:before="120" w:after="240"/>
        <w:rPr>
          <w:rFonts w:cs="Times New Roman"/>
          <w:szCs w:val="24"/>
        </w:rPr>
      </w:pPr>
      <w:r w:rsidRPr="003E50C1">
        <w:rPr>
          <w:rFonts w:cs="Times New Roman"/>
          <w:szCs w:val="24"/>
        </w:rPr>
        <w:t xml:space="preserve">A key objective for </w:t>
      </w:r>
      <w:r w:rsidR="00C623BF">
        <w:rPr>
          <w:rFonts w:cs="Times New Roman"/>
          <w:szCs w:val="24"/>
        </w:rPr>
        <w:t xml:space="preserve">implementing these amendments in </w:t>
      </w:r>
      <w:r w:rsidRPr="003E50C1">
        <w:rPr>
          <w:rFonts w:cs="Times New Roman"/>
          <w:szCs w:val="24"/>
        </w:rPr>
        <w:t xml:space="preserve">domestic </w:t>
      </w:r>
      <w:r w:rsidR="00913BC6">
        <w:rPr>
          <w:rFonts w:cs="Times New Roman"/>
          <w:szCs w:val="24"/>
        </w:rPr>
        <w:t xml:space="preserve">legislation </w:t>
      </w:r>
      <w:r w:rsidRPr="003E50C1">
        <w:rPr>
          <w:rFonts w:cs="Times New Roman"/>
          <w:szCs w:val="24"/>
        </w:rPr>
        <w:t xml:space="preserve">is to support effective and consistent global </w:t>
      </w:r>
      <w:r w:rsidR="00C623BF">
        <w:rPr>
          <w:rFonts w:cs="Times New Roman"/>
          <w:szCs w:val="24"/>
        </w:rPr>
        <w:t>application</w:t>
      </w:r>
      <w:r w:rsidRPr="003E50C1">
        <w:rPr>
          <w:rFonts w:cs="Times New Roman"/>
          <w:szCs w:val="24"/>
        </w:rPr>
        <w:t xml:space="preserve"> of international regulations </w:t>
      </w:r>
      <w:r w:rsidR="00C623BF">
        <w:rPr>
          <w:rFonts w:cs="Times New Roman"/>
          <w:szCs w:val="24"/>
        </w:rPr>
        <w:t>to</w:t>
      </w:r>
      <w:r w:rsidRPr="003E50C1">
        <w:rPr>
          <w:rFonts w:cs="Times New Roman"/>
          <w:szCs w:val="24"/>
        </w:rPr>
        <w:t xml:space="preserve"> prevent pollution of the marine environment by ships.</w:t>
      </w:r>
    </w:p>
    <w:p w:rsidR="00A63C9D" w:rsidRPr="008F4DFC" w:rsidRDefault="00A63C9D" w:rsidP="002B2A59">
      <w:pPr>
        <w:pStyle w:val="Heading2"/>
        <w:rPr>
          <w:b w:val="0"/>
        </w:rPr>
      </w:pPr>
      <w:r w:rsidRPr="008F4DFC">
        <w:t>MEPC.315(74) Residues</w:t>
      </w:r>
    </w:p>
    <w:p w:rsidR="00A63C9D" w:rsidRDefault="00A63C9D" w:rsidP="002B2A59">
      <w:pPr>
        <w:pStyle w:val="ListParagraph"/>
        <w:numPr>
          <w:ilvl w:val="0"/>
          <w:numId w:val="1"/>
        </w:numPr>
        <w:ind w:left="567" w:hanging="567"/>
        <w:contextualSpacing w:val="0"/>
        <w:rPr>
          <w:rFonts w:cs="Times New Roman"/>
          <w:szCs w:val="24"/>
        </w:rPr>
      </w:pPr>
      <w:r w:rsidRPr="008C54A0">
        <w:rPr>
          <w:rFonts w:cs="Times New Roman"/>
          <w:szCs w:val="24"/>
        </w:rPr>
        <w:t>Resolution ‘MEPC</w:t>
      </w:r>
      <w:r>
        <w:rPr>
          <w:rFonts w:cs="Times New Roman"/>
          <w:szCs w:val="24"/>
        </w:rPr>
        <w:t>.315(</w:t>
      </w:r>
      <w:r w:rsidRPr="008C54A0">
        <w:rPr>
          <w:rFonts w:cs="Times New Roman"/>
          <w:szCs w:val="24"/>
        </w:rPr>
        <w:t>74</w:t>
      </w:r>
      <w:r>
        <w:rPr>
          <w:rFonts w:cs="Times New Roman"/>
          <w:szCs w:val="24"/>
        </w:rPr>
        <w:t>)</w:t>
      </w:r>
      <w:r w:rsidRPr="008C54A0">
        <w:rPr>
          <w:rFonts w:cs="Times New Roman"/>
          <w:szCs w:val="24"/>
        </w:rPr>
        <w:t xml:space="preserve"> Residues’ was adopted on 17 May 2019, and entered into force on 1</w:t>
      </w:r>
      <w:r w:rsidR="00B94E48">
        <w:rPr>
          <w:rFonts w:cs="Times New Roman"/>
          <w:szCs w:val="24"/>
        </w:rPr>
        <w:t> </w:t>
      </w:r>
      <w:r w:rsidRPr="008C54A0">
        <w:rPr>
          <w:rFonts w:cs="Times New Roman"/>
          <w:szCs w:val="24"/>
        </w:rPr>
        <w:t xml:space="preserve">January 2021. The Department </w:t>
      </w:r>
      <w:r>
        <w:rPr>
          <w:rFonts w:cs="Times New Roman"/>
          <w:szCs w:val="24"/>
        </w:rPr>
        <w:t xml:space="preserve">was unable to refer </w:t>
      </w:r>
      <w:r w:rsidRPr="006C0794">
        <w:rPr>
          <w:rFonts w:cs="Times New Roman"/>
          <w:szCs w:val="24"/>
        </w:rPr>
        <w:t xml:space="preserve">this treaty action to </w:t>
      </w:r>
      <w:r w:rsidR="00E943C8">
        <w:rPr>
          <w:rFonts w:cs="Times New Roman"/>
          <w:szCs w:val="24"/>
        </w:rPr>
        <w:t xml:space="preserve">the Joint Standing Committee on Treaties </w:t>
      </w:r>
      <w:r w:rsidRPr="006C0794">
        <w:rPr>
          <w:rFonts w:cs="Times New Roman"/>
          <w:szCs w:val="24"/>
        </w:rPr>
        <w:t>before the amendments were deemed accepted and entered into force. This delay was caused by the re</w:t>
      </w:r>
      <w:r>
        <w:rPr>
          <w:rFonts w:cs="Times New Roman"/>
          <w:szCs w:val="24"/>
        </w:rPr>
        <w:noBreakHyphen/>
      </w:r>
      <w:r w:rsidRPr="006C0794">
        <w:rPr>
          <w:rFonts w:cs="Times New Roman"/>
          <w:szCs w:val="24"/>
        </w:rPr>
        <w:t>allocation of Departmental resources to other priorities during the COVID pa</w:t>
      </w:r>
      <w:r>
        <w:rPr>
          <w:rFonts w:cs="Times New Roman"/>
          <w:szCs w:val="24"/>
        </w:rPr>
        <w:t>ndemic. However,</w:t>
      </w:r>
      <w:r w:rsidRPr="006C0794">
        <w:rPr>
          <w:rFonts w:cs="Times New Roman"/>
          <w:szCs w:val="24"/>
        </w:rPr>
        <w:t xml:space="preserve"> these amendments have negligible practical and legal effect for Australia.</w:t>
      </w:r>
    </w:p>
    <w:p w:rsidR="00A63C9D" w:rsidRPr="00DB1F30" w:rsidRDefault="00A63C9D" w:rsidP="002B2A59">
      <w:pPr>
        <w:pStyle w:val="ListParagraph"/>
        <w:numPr>
          <w:ilvl w:val="0"/>
          <w:numId w:val="1"/>
        </w:numPr>
        <w:ind w:left="567" w:hanging="567"/>
        <w:contextualSpacing w:val="0"/>
        <w:rPr>
          <w:rFonts w:cs="Times New Roman"/>
          <w:szCs w:val="24"/>
        </w:rPr>
      </w:pPr>
      <w:r>
        <w:rPr>
          <w:rFonts w:cs="Times New Roman"/>
          <w:szCs w:val="24"/>
        </w:rPr>
        <w:t>The</w:t>
      </w:r>
      <w:r w:rsidRPr="006C0794">
        <w:rPr>
          <w:rFonts w:cs="Times New Roman"/>
          <w:szCs w:val="24"/>
        </w:rPr>
        <w:t xml:space="preserve"> Resolution amends </w:t>
      </w:r>
      <w:r>
        <w:rPr>
          <w:rFonts w:cs="Times New Roman"/>
          <w:szCs w:val="24"/>
        </w:rPr>
        <w:t xml:space="preserve">the </w:t>
      </w:r>
      <w:r>
        <w:rPr>
          <w:rFonts w:cs="Times New Roman"/>
          <w:i/>
          <w:szCs w:val="24"/>
        </w:rPr>
        <w:t xml:space="preserve">Protection of the Sea (Prevention of Pollution from Ships) Act 1983 </w:t>
      </w:r>
      <w:r>
        <w:rPr>
          <w:rFonts w:cs="Times New Roman"/>
          <w:szCs w:val="24"/>
        </w:rPr>
        <w:t xml:space="preserve">(POTS Act) </w:t>
      </w:r>
      <w:r w:rsidRPr="006C0794">
        <w:rPr>
          <w:rFonts w:cs="Times New Roman"/>
          <w:szCs w:val="24"/>
        </w:rPr>
        <w:t xml:space="preserve">to introduce controls for the discharge of residues and wash water of category Y noxious liquid substances that are ‘persistent floaters’. </w:t>
      </w:r>
      <w:r w:rsidRPr="00DB1F30">
        <w:rPr>
          <w:rFonts w:cs="Times New Roman"/>
          <w:szCs w:val="24"/>
        </w:rPr>
        <w:t>Persistent floaters are substances that can form surface slicks on water such as selected grades of vegetable oil or paraffin</w:t>
      </w:r>
      <w:r w:rsidR="00B94E48">
        <w:rPr>
          <w:rFonts w:cs="Times New Roman"/>
          <w:szCs w:val="24"/>
        </w:rPr>
        <w:t>-</w:t>
      </w:r>
      <w:r w:rsidRPr="00DB1F30">
        <w:rPr>
          <w:rFonts w:cs="Times New Roman"/>
          <w:szCs w:val="24"/>
        </w:rPr>
        <w:t>like substances, with the characteristics defined in MARPOL Annex</w:t>
      </w:r>
      <w:r>
        <w:rPr>
          <w:rFonts w:cs="Times New Roman"/>
          <w:szCs w:val="24"/>
        </w:rPr>
        <w:t> </w:t>
      </w:r>
      <w:r w:rsidRPr="00DB1F30">
        <w:rPr>
          <w:rFonts w:cs="Times New Roman"/>
          <w:szCs w:val="24"/>
        </w:rPr>
        <w:t>II.</w:t>
      </w:r>
    </w:p>
    <w:p w:rsidR="00EA1F86" w:rsidRDefault="00A63C9D" w:rsidP="002B2A59">
      <w:pPr>
        <w:pStyle w:val="ListParagraph"/>
        <w:numPr>
          <w:ilvl w:val="0"/>
          <w:numId w:val="1"/>
        </w:numPr>
        <w:ind w:left="567" w:hanging="567"/>
        <w:contextualSpacing w:val="0"/>
        <w:rPr>
          <w:rFonts w:cs="Times New Roman"/>
          <w:szCs w:val="24"/>
        </w:rPr>
      </w:pPr>
      <w:r w:rsidRPr="00DB1F30">
        <w:rPr>
          <w:rFonts w:cs="Times New Roman"/>
          <w:szCs w:val="24"/>
        </w:rPr>
        <w:t>Under MARPOL Annex II</w:t>
      </w:r>
      <w:r w:rsidR="00205F1C">
        <w:rPr>
          <w:rFonts w:cs="Times New Roman"/>
          <w:szCs w:val="24"/>
        </w:rPr>
        <w:t>,</w:t>
      </w:r>
      <w:r w:rsidRPr="00DB1F30">
        <w:rPr>
          <w:rFonts w:cs="Times New Roman"/>
          <w:szCs w:val="24"/>
        </w:rPr>
        <w:t xml:space="preserve"> a persistent floater means a slick forming substance with the following properties: </w:t>
      </w:r>
    </w:p>
    <w:p w:rsidR="00EA1F86" w:rsidRDefault="00A63C9D" w:rsidP="002B2A59">
      <w:pPr>
        <w:pStyle w:val="ListParagraph"/>
        <w:numPr>
          <w:ilvl w:val="1"/>
          <w:numId w:val="1"/>
        </w:numPr>
        <w:ind w:left="1134" w:hanging="567"/>
        <w:rPr>
          <w:rFonts w:cs="Times New Roman"/>
          <w:szCs w:val="24"/>
        </w:rPr>
      </w:pPr>
      <w:r w:rsidRPr="00DB1F30">
        <w:rPr>
          <w:rFonts w:cs="Times New Roman"/>
          <w:szCs w:val="24"/>
        </w:rPr>
        <w:t>Density: ≤ sea water (1025 kg/m</w:t>
      </w:r>
      <w:r w:rsidRPr="00EA1F86">
        <w:rPr>
          <w:rFonts w:cs="Times New Roman"/>
          <w:szCs w:val="24"/>
          <w:vertAlign w:val="superscript"/>
        </w:rPr>
        <w:t>3</w:t>
      </w:r>
      <w:r w:rsidRPr="00DB1F30">
        <w:rPr>
          <w:rFonts w:cs="Times New Roman"/>
          <w:szCs w:val="24"/>
        </w:rPr>
        <w:t xml:space="preserve"> at 20°C); </w:t>
      </w:r>
    </w:p>
    <w:p w:rsidR="00EA1F86" w:rsidRDefault="00A63C9D" w:rsidP="002B2A59">
      <w:pPr>
        <w:pStyle w:val="ListParagraph"/>
        <w:numPr>
          <w:ilvl w:val="1"/>
          <w:numId w:val="1"/>
        </w:numPr>
        <w:ind w:left="1134" w:hanging="567"/>
        <w:rPr>
          <w:rFonts w:cs="Times New Roman"/>
          <w:szCs w:val="24"/>
        </w:rPr>
      </w:pPr>
      <w:r w:rsidRPr="00DB1F30">
        <w:rPr>
          <w:rFonts w:cs="Times New Roman"/>
          <w:szCs w:val="24"/>
        </w:rPr>
        <w:t>Vapour pressure: ≤</w:t>
      </w:r>
      <w:r w:rsidR="00E943C8">
        <w:rPr>
          <w:rFonts w:cs="Times New Roman"/>
          <w:szCs w:val="24"/>
        </w:rPr>
        <w:t> </w:t>
      </w:r>
      <w:r w:rsidRPr="00DB1F30">
        <w:rPr>
          <w:rFonts w:cs="Times New Roman"/>
          <w:szCs w:val="24"/>
        </w:rPr>
        <w:t>0.3 kPa;</w:t>
      </w:r>
    </w:p>
    <w:p w:rsidR="00EA1F86" w:rsidRDefault="00A63C9D" w:rsidP="002B2A59">
      <w:pPr>
        <w:pStyle w:val="ListParagraph"/>
        <w:numPr>
          <w:ilvl w:val="1"/>
          <w:numId w:val="1"/>
        </w:numPr>
        <w:ind w:left="1134" w:hanging="567"/>
        <w:rPr>
          <w:rFonts w:cs="Times New Roman"/>
          <w:szCs w:val="24"/>
        </w:rPr>
      </w:pPr>
      <w:r w:rsidRPr="00DB1F30">
        <w:rPr>
          <w:rFonts w:cs="Times New Roman"/>
          <w:szCs w:val="24"/>
        </w:rPr>
        <w:t xml:space="preserve">Solubility: ≤ 0.1% (for liquids) ≤ 10% (for solids); and </w:t>
      </w:r>
    </w:p>
    <w:p w:rsidR="00A63C9D" w:rsidRDefault="00A63C9D" w:rsidP="002B2A59">
      <w:pPr>
        <w:pStyle w:val="ListParagraph"/>
        <w:numPr>
          <w:ilvl w:val="1"/>
          <w:numId w:val="1"/>
        </w:numPr>
        <w:ind w:left="1134" w:hanging="567"/>
        <w:contextualSpacing w:val="0"/>
        <w:rPr>
          <w:rFonts w:cs="Times New Roman"/>
          <w:szCs w:val="24"/>
        </w:rPr>
      </w:pPr>
      <w:r w:rsidRPr="00DB1F30">
        <w:rPr>
          <w:rFonts w:cs="Times New Roman"/>
          <w:szCs w:val="24"/>
        </w:rPr>
        <w:t>Kinematic viscosity: &gt;</w:t>
      </w:r>
      <w:r w:rsidR="00E943C8">
        <w:rPr>
          <w:rFonts w:cs="Times New Roman"/>
          <w:szCs w:val="24"/>
        </w:rPr>
        <w:t> </w:t>
      </w:r>
      <w:r w:rsidRPr="00DB1F30">
        <w:rPr>
          <w:rFonts w:cs="Times New Roman"/>
          <w:szCs w:val="24"/>
        </w:rPr>
        <w:t xml:space="preserve">10 </w:t>
      </w:r>
      <w:proofErr w:type="spellStart"/>
      <w:r w:rsidRPr="00DB1F30">
        <w:rPr>
          <w:rFonts w:cs="Times New Roman"/>
          <w:szCs w:val="24"/>
        </w:rPr>
        <w:t>cSt</w:t>
      </w:r>
      <w:proofErr w:type="spellEnd"/>
      <w:r w:rsidRPr="00DB1F30">
        <w:rPr>
          <w:rFonts w:cs="Times New Roman"/>
          <w:szCs w:val="24"/>
        </w:rPr>
        <w:t xml:space="preserve"> at 20°C.</w:t>
      </w:r>
    </w:p>
    <w:p w:rsidR="004614F0" w:rsidRDefault="004614F0" w:rsidP="002B2A59">
      <w:pPr>
        <w:pStyle w:val="ListParagraph"/>
        <w:numPr>
          <w:ilvl w:val="0"/>
          <w:numId w:val="1"/>
        </w:numPr>
        <w:ind w:left="567" w:hanging="567"/>
        <w:contextualSpacing w:val="0"/>
        <w:rPr>
          <w:rFonts w:cs="Times New Roman"/>
          <w:szCs w:val="24"/>
        </w:rPr>
      </w:pPr>
      <w:r>
        <w:rPr>
          <w:rFonts w:cs="Times New Roman"/>
          <w:szCs w:val="24"/>
        </w:rPr>
        <w:t xml:space="preserve">The new discharge requirements for persistent floaters only apply in European waters: </w:t>
      </w:r>
      <w:r w:rsidR="00EC1CB1" w:rsidRPr="006C0794">
        <w:rPr>
          <w:rFonts w:cs="Times New Roman"/>
          <w:szCs w:val="24"/>
        </w:rPr>
        <w:t>the North West European Waters, Baltic Sea, Western European Waters and Norwegian Sea.</w:t>
      </w:r>
    </w:p>
    <w:p w:rsidR="00A63C9D" w:rsidRDefault="00A63C9D" w:rsidP="002B2A59">
      <w:pPr>
        <w:pStyle w:val="ListParagraph"/>
        <w:numPr>
          <w:ilvl w:val="0"/>
          <w:numId w:val="1"/>
        </w:numPr>
        <w:spacing w:afterLines="160" w:after="384"/>
        <w:ind w:left="567" w:hanging="567"/>
        <w:contextualSpacing w:val="0"/>
        <w:rPr>
          <w:rFonts w:cs="Times New Roman"/>
          <w:szCs w:val="24"/>
        </w:rPr>
      </w:pPr>
      <w:r w:rsidRPr="006C0794">
        <w:rPr>
          <w:rFonts w:cs="Times New Roman"/>
          <w:szCs w:val="24"/>
        </w:rPr>
        <w:t xml:space="preserve">The </w:t>
      </w:r>
      <w:r w:rsidR="00EC1CB1">
        <w:rPr>
          <w:rFonts w:cs="Times New Roman"/>
          <w:szCs w:val="24"/>
        </w:rPr>
        <w:t>R</w:t>
      </w:r>
      <w:r w:rsidRPr="006C0794">
        <w:rPr>
          <w:rFonts w:cs="Times New Roman"/>
          <w:szCs w:val="24"/>
        </w:rPr>
        <w:t>esolution also amends Appendix IV to MARPOL Annex II (</w:t>
      </w:r>
      <w:r w:rsidRPr="00EC1CB1">
        <w:rPr>
          <w:rFonts w:cs="Times New Roman"/>
          <w:i/>
          <w:szCs w:val="24"/>
        </w:rPr>
        <w:t>Standard format for the Procedures and Arrangements Manual</w:t>
      </w:r>
      <w:r w:rsidRPr="006C0794">
        <w:rPr>
          <w:rFonts w:cs="Times New Roman"/>
          <w:szCs w:val="24"/>
        </w:rPr>
        <w:t>), as well as Appendix VI (</w:t>
      </w:r>
      <w:r w:rsidRPr="00EC1CB1">
        <w:rPr>
          <w:rFonts w:cs="Times New Roman"/>
          <w:i/>
          <w:szCs w:val="24"/>
        </w:rPr>
        <w:t>Prewash procedures</w:t>
      </w:r>
      <w:r w:rsidRPr="006C0794">
        <w:rPr>
          <w:rFonts w:cs="Times New Roman"/>
          <w:szCs w:val="24"/>
        </w:rPr>
        <w:t xml:space="preserve">), to include the necessary </w:t>
      </w:r>
      <w:r w:rsidR="003E50C1">
        <w:rPr>
          <w:rFonts w:cs="Times New Roman"/>
          <w:szCs w:val="24"/>
        </w:rPr>
        <w:t>cargo tank washing and prewash procedures</w:t>
      </w:r>
      <w:r w:rsidRPr="006C0794">
        <w:rPr>
          <w:rFonts w:cs="Times New Roman"/>
          <w:szCs w:val="24"/>
        </w:rPr>
        <w:t xml:space="preserve"> for category Y noxious liquid substances that are persistent floaters.</w:t>
      </w:r>
    </w:p>
    <w:p w:rsidR="00A63C9D" w:rsidRPr="008F4DFC" w:rsidRDefault="00A63C9D" w:rsidP="00884A24">
      <w:pPr>
        <w:spacing w:before="120" w:after="120"/>
        <w:rPr>
          <w:rFonts w:cs="Times New Roman"/>
          <w:b/>
          <w:szCs w:val="24"/>
        </w:rPr>
      </w:pPr>
      <w:r w:rsidRPr="008F4DFC">
        <w:rPr>
          <w:rFonts w:cs="Times New Roman"/>
          <w:b/>
          <w:szCs w:val="24"/>
        </w:rPr>
        <w:t>MEPC.329(76) Arctic Heavy Fuel Oil (HFO)</w:t>
      </w:r>
    </w:p>
    <w:p w:rsidR="00A63C9D" w:rsidRDefault="00A63C9D" w:rsidP="002B2A59">
      <w:pPr>
        <w:pStyle w:val="ListParagraph"/>
        <w:numPr>
          <w:ilvl w:val="0"/>
          <w:numId w:val="1"/>
        </w:numPr>
        <w:spacing w:afterLines="160" w:after="384"/>
        <w:ind w:left="567" w:hanging="567"/>
        <w:contextualSpacing w:val="0"/>
        <w:rPr>
          <w:rFonts w:cs="Times New Roman"/>
          <w:szCs w:val="24"/>
        </w:rPr>
      </w:pPr>
      <w:r>
        <w:rPr>
          <w:rFonts w:cs="Times New Roman"/>
          <w:szCs w:val="24"/>
        </w:rPr>
        <w:t>Resolution ‘MEPC.329(76) HFO</w:t>
      </w:r>
      <w:r w:rsidR="00E943C8">
        <w:rPr>
          <w:rFonts w:cs="Times New Roman"/>
          <w:szCs w:val="24"/>
        </w:rPr>
        <w:t>’</w:t>
      </w:r>
      <w:r>
        <w:rPr>
          <w:rFonts w:cs="Times New Roman"/>
          <w:szCs w:val="24"/>
        </w:rPr>
        <w:t xml:space="preserve"> was adopted on 17 June 2021, and will enter into force on 1 </w:t>
      </w:r>
      <w:r w:rsidR="00E20105">
        <w:rPr>
          <w:rFonts w:cs="Times New Roman"/>
          <w:szCs w:val="24"/>
        </w:rPr>
        <w:t>November</w:t>
      </w:r>
      <w:r>
        <w:rPr>
          <w:rFonts w:cs="Times New Roman"/>
          <w:szCs w:val="24"/>
        </w:rPr>
        <w:t xml:space="preserve"> 2022.</w:t>
      </w:r>
    </w:p>
    <w:p w:rsidR="00A63C9D" w:rsidRDefault="00A63C9D" w:rsidP="002B2A59">
      <w:pPr>
        <w:pStyle w:val="ListParagraph"/>
        <w:numPr>
          <w:ilvl w:val="0"/>
          <w:numId w:val="1"/>
        </w:numPr>
        <w:spacing w:afterLines="160" w:after="384"/>
        <w:ind w:left="567" w:hanging="567"/>
        <w:contextualSpacing w:val="0"/>
        <w:rPr>
          <w:rFonts w:cs="Times New Roman"/>
          <w:szCs w:val="24"/>
        </w:rPr>
      </w:pPr>
      <w:r>
        <w:rPr>
          <w:rFonts w:cs="Times New Roman"/>
          <w:szCs w:val="24"/>
        </w:rPr>
        <w:t xml:space="preserve">The Resolution amends the POTS Act to prohibit ships </w:t>
      </w:r>
      <w:r w:rsidRPr="004E410F">
        <w:rPr>
          <w:rFonts w:cs="Times New Roman"/>
          <w:szCs w:val="24"/>
        </w:rPr>
        <w:t xml:space="preserve">from using HFO or carrying HFO for use </w:t>
      </w:r>
      <w:r w:rsidR="00AD5F10">
        <w:rPr>
          <w:rFonts w:cs="Times New Roman"/>
          <w:szCs w:val="24"/>
        </w:rPr>
        <w:t xml:space="preserve">as fuel </w:t>
      </w:r>
      <w:r w:rsidRPr="004E410F">
        <w:rPr>
          <w:rFonts w:cs="Times New Roman"/>
          <w:szCs w:val="24"/>
        </w:rPr>
        <w:t>(excluding HFO carried as cargo) in Arctic waters from 1 July 2024, or from 1</w:t>
      </w:r>
      <w:r w:rsidR="00E20105">
        <w:rPr>
          <w:rFonts w:cs="Times New Roman"/>
          <w:szCs w:val="24"/>
        </w:rPr>
        <w:t> </w:t>
      </w:r>
      <w:r w:rsidRPr="004E410F">
        <w:rPr>
          <w:rFonts w:cs="Times New Roman"/>
          <w:szCs w:val="24"/>
        </w:rPr>
        <w:t xml:space="preserve">July 2029 for ships </w:t>
      </w:r>
      <w:r w:rsidR="001F0A0E">
        <w:rPr>
          <w:rFonts w:cs="Times New Roman"/>
          <w:szCs w:val="24"/>
        </w:rPr>
        <w:t>which meet certain construction standards for</w:t>
      </w:r>
      <w:r w:rsidRPr="004E410F">
        <w:rPr>
          <w:rFonts w:cs="Times New Roman"/>
          <w:szCs w:val="24"/>
        </w:rPr>
        <w:t xml:space="preserve"> oil fuel tank protection. The ban aims to reduce the environmental impact </w:t>
      </w:r>
      <w:r w:rsidR="005232AB" w:rsidRPr="004E410F">
        <w:rPr>
          <w:rFonts w:cs="Times New Roman"/>
          <w:szCs w:val="24"/>
        </w:rPr>
        <w:t xml:space="preserve">on sensitive Arctic environments </w:t>
      </w:r>
      <w:r w:rsidRPr="004E410F">
        <w:rPr>
          <w:rFonts w:cs="Times New Roman"/>
          <w:szCs w:val="24"/>
        </w:rPr>
        <w:t xml:space="preserve">of </w:t>
      </w:r>
      <w:r w:rsidR="005232AB">
        <w:rPr>
          <w:rFonts w:cs="Times New Roman"/>
          <w:szCs w:val="24"/>
        </w:rPr>
        <w:t xml:space="preserve">a potential ship oil spill and emissions of ship </w:t>
      </w:r>
      <w:r w:rsidR="005232AB" w:rsidRPr="004E410F">
        <w:rPr>
          <w:rFonts w:cs="Times New Roman"/>
          <w:szCs w:val="24"/>
        </w:rPr>
        <w:t xml:space="preserve">air pollutants </w:t>
      </w:r>
      <w:r w:rsidR="005232AB">
        <w:rPr>
          <w:rFonts w:cs="Times New Roman"/>
          <w:szCs w:val="24"/>
        </w:rPr>
        <w:t>from burning HFO</w:t>
      </w:r>
      <w:r w:rsidRPr="004E410F">
        <w:rPr>
          <w:rFonts w:cs="Times New Roman"/>
          <w:szCs w:val="24"/>
        </w:rPr>
        <w:t>.</w:t>
      </w:r>
    </w:p>
    <w:p w:rsidR="008A3BAE" w:rsidRDefault="008A3BAE" w:rsidP="002B2A59">
      <w:pPr>
        <w:pStyle w:val="ListParagraph"/>
        <w:numPr>
          <w:ilvl w:val="0"/>
          <w:numId w:val="1"/>
        </w:numPr>
        <w:spacing w:afterLines="160" w:after="384"/>
        <w:ind w:left="567" w:hanging="567"/>
        <w:contextualSpacing w:val="0"/>
        <w:rPr>
          <w:rFonts w:cs="Times New Roman"/>
          <w:szCs w:val="24"/>
        </w:rPr>
      </w:pPr>
      <w:r>
        <w:rPr>
          <w:rFonts w:cs="Times New Roman"/>
          <w:szCs w:val="24"/>
        </w:rPr>
        <w:t>S</w:t>
      </w:r>
      <w:r w:rsidRPr="008A3BAE">
        <w:rPr>
          <w:rFonts w:cs="Times New Roman"/>
          <w:szCs w:val="24"/>
        </w:rPr>
        <w:t>hips engaged in securing the safety of ships</w:t>
      </w:r>
      <w:r>
        <w:rPr>
          <w:rFonts w:cs="Times New Roman"/>
          <w:szCs w:val="24"/>
        </w:rPr>
        <w:t>, engaged</w:t>
      </w:r>
      <w:r w:rsidRPr="008A3BAE">
        <w:rPr>
          <w:rFonts w:cs="Times New Roman"/>
          <w:szCs w:val="24"/>
        </w:rPr>
        <w:t xml:space="preserve"> in search and rescue operations, and ships dedicated to oil spill preparedness and response</w:t>
      </w:r>
      <w:r>
        <w:rPr>
          <w:rFonts w:cs="Times New Roman"/>
          <w:szCs w:val="24"/>
        </w:rPr>
        <w:t xml:space="preserve"> a</w:t>
      </w:r>
      <w:r w:rsidR="00F539F3">
        <w:rPr>
          <w:rFonts w:cs="Times New Roman"/>
          <w:szCs w:val="24"/>
        </w:rPr>
        <w:t>re</w:t>
      </w:r>
      <w:r>
        <w:rPr>
          <w:rFonts w:cs="Times New Roman"/>
          <w:szCs w:val="24"/>
        </w:rPr>
        <w:t xml:space="preserve"> exempted.</w:t>
      </w:r>
    </w:p>
    <w:p w:rsidR="00A63C9D" w:rsidRDefault="00A63C9D" w:rsidP="002B2A59">
      <w:pPr>
        <w:pStyle w:val="ListParagraph"/>
        <w:numPr>
          <w:ilvl w:val="0"/>
          <w:numId w:val="1"/>
        </w:numPr>
        <w:spacing w:afterLines="160" w:after="384"/>
        <w:ind w:left="567" w:hanging="567"/>
        <w:contextualSpacing w:val="0"/>
        <w:rPr>
          <w:rFonts w:cs="Times New Roman"/>
          <w:szCs w:val="24"/>
        </w:rPr>
      </w:pPr>
      <w:r w:rsidRPr="004E410F">
        <w:rPr>
          <w:rFonts w:cs="Times New Roman"/>
          <w:szCs w:val="24"/>
        </w:rPr>
        <w:lastRenderedPageBreak/>
        <w:t xml:space="preserve">The Arctic ban is consistent with the existing ban under MARPOL Annex I on the carriage and use of HFO </w:t>
      </w:r>
      <w:r w:rsidR="007101FE">
        <w:rPr>
          <w:rFonts w:cs="Times New Roman"/>
          <w:szCs w:val="24"/>
        </w:rPr>
        <w:t xml:space="preserve">as fuel </w:t>
      </w:r>
      <w:r w:rsidRPr="004E410F">
        <w:rPr>
          <w:rFonts w:cs="Times New Roman"/>
          <w:szCs w:val="24"/>
        </w:rPr>
        <w:t>in the Antarctic, with the exception of temporary waivers able to be issued by coastal state Parties bordering Arctic waters, for ships flying their flag, until 2029.</w:t>
      </w:r>
    </w:p>
    <w:p w:rsidR="00A63C9D" w:rsidRPr="008F4DFC" w:rsidRDefault="00A63C9D" w:rsidP="00884A24">
      <w:pPr>
        <w:spacing w:before="120" w:after="120"/>
        <w:rPr>
          <w:rFonts w:cs="Times New Roman"/>
          <w:b/>
          <w:szCs w:val="24"/>
        </w:rPr>
      </w:pPr>
      <w:r w:rsidRPr="008F4DFC">
        <w:rPr>
          <w:rFonts w:cs="Times New Roman"/>
          <w:b/>
          <w:szCs w:val="24"/>
        </w:rPr>
        <w:t>MEPC.331(76) Anti-fouling Systems (AFS)</w:t>
      </w:r>
    </w:p>
    <w:p w:rsidR="00A63C9D" w:rsidRDefault="00A63C9D" w:rsidP="002B2A59">
      <w:pPr>
        <w:pStyle w:val="ListParagraph"/>
        <w:numPr>
          <w:ilvl w:val="0"/>
          <w:numId w:val="1"/>
        </w:numPr>
        <w:ind w:left="567" w:hanging="567"/>
        <w:contextualSpacing w:val="0"/>
        <w:rPr>
          <w:rFonts w:cs="Times New Roman"/>
          <w:szCs w:val="24"/>
        </w:rPr>
      </w:pPr>
      <w:r>
        <w:rPr>
          <w:rFonts w:cs="Times New Roman"/>
          <w:szCs w:val="24"/>
        </w:rPr>
        <w:t>Resolution ‘MEPC.331(76) AFS’ was adopted on 17 June 2021, and will enter into force on 1 January 2023.</w:t>
      </w:r>
    </w:p>
    <w:p w:rsidR="00B9266B" w:rsidRPr="00AC13E0" w:rsidRDefault="00A63C9D" w:rsidP="002B2A59">
      <w:pPr>
        <w:pStyle w:val="ListParagraph"/>
        <w:numPr>
          <w:ilvl w:val="0"/>
          <w:numId w:val="1"/>
        </w:numPr>
        <w:ind w:left="567" w:hanging="567"/>
        <w:contextualSpacing w:val="0"/>
        <w:rPr>
          <w:rFonts w:cs="Times New Roman"/>
          <w:szCs w:val="24"/>
        </w:rPr>
      </w:pPr>
      <w:r w:rsidRPr="00B9266B">
        <w:rPr>
          <w:rFonts w:cs="Times New Roman"/>
          <w:szCs w:val="24"/>
        </w:rPr>
        <w:t xml:space="preserve">The Resolution amends the </w:t>
      </w:r>
      <w:r w:rsidRPr="00B9266B">
        <w:rPr>
          <w:rFonts w:cs="Times New Roman"/>
          <w:i/>
          <w:szCs w:val="24"/>
        </w:rPr>
        <w:t>Protection of the Sea (Harmful Anti-fouling Systems) Act 2006</w:t>
      </w:r>
      <w:r w:rsidRPr="00B9266B">
        <w:rPr>
          <w:rFonts w:cs="Times New Roman"/>
          <w:szCs w:val="24"/>
        </w:rPr>
        <w:t xml:space="preserve"> to ban the use of </w:t>
      </w:r>
      <w:proofErr w:type="spellStart"/>
      <w:r w:rsidRPr="00B9266B">
        <w:rPr>
          <w:rFonts w:cs="Times New Roman"/>
          <w:szCs w:val="24"/>
        </w:rPr>
        <w:t>cybutryne</w:t>
      </w:r>
      <w:proofErr w:type="spellEnd"/>
      <w:r w:rsidRPr="00B9266B">
        <w:rPr>
          <w:rFonts w:cs="Times New Roman"/>
          <w:szCs w:val="24"/>
        </w:rPr>
        <w:t xml:space="preserve"> (a chemical</w:t>
      </w:r>
      <w:r w:rsidR="002D51B6" w:rsidRPr="00B9266B">
        <w:rPr>
          <w:rFonts w:cs="Times New Roman"/>
          <w:szCs w:val="24"/>
        </w:rPr>
        <w:t>-</w:t>
      </w:r>
      <w:r w:rsidRPr="00B9266B">
        <w:rPr>
          <w:rFonts w:cs="Times New Roman"/>
          <w:szCs w:val="24"/>
        </w:rPr>
        <w:t>based anti</w:t>
      </w:r>
      <w:r w:rsidRPr="00B9266B">
        <w:rPr>
          <w:rFonts w:cs="Times New Roman"/>
          <w:szCs w:val="24"/>
        </w:rPr>
        <w:softHyphen/>
        <w:t>fouling agent) used in paints on the ship’s hull</w:t>
      </w:r>
      <w:r w:rsidR="00B9266B" w:rsidRPr="00B9266B">
        <w:rPr>
          <w:rFonts w:cs="Times New Roman"/>
          <w:szCs w:val="24"/>
        </w:rPr>
        <w:t>.</w:t>
      </w:r>
      <w:r w:rsidR="002D51B6" w:rsidRPr="00B9266B">
        <w:rPr>
          <w:rFonts w:cs="Times New Roman"/>
          <w:szCs w:val="24"/>
        </w:rPr>
        <w:t xml:space="preserve"> </w:t>
      </w:r>
      <w:proofErr w:type="spellStart"/>
      <w:r w:rsidR="00B9266B" w:rsidRPr="00AC13E0">
        <w:rPr>
          <w:rFonts w:cs="Times New Roman"/>
          <w:szCs w:val="24"/>
        </w:rPr>
        <w:t>Cybutryne</w:t>
      </w:r>
      <w:proofErr w:type="spellEnd"/>
      <w:r w:rsidR="00B9266B" w:rsidRPr="00AC13E0">
        <w:rPr>
          <w:rFonts w:cs="Times New Roman"/>
          <w:szCs w:val="24"/>
        </w:rPr>
        <w:t xml:space="preserve"> is acutely and chronically toxic for marine organisms. </w:t>
      </w:r>
      <w:r w:rsidR="007E1A25" w:rsidRPr="007E1A25">
        <w:rPr>
          <w:rFonts w:cs="Times New Roman"/>
          <w:szCs w:val="24"/>
        </w:rPr>
        <w:t xml:space="preserve">The substance accumulates in sediments and causes long-term effects on the marine environment. </w:t>
      </w:r>
      <w:r w:rsidR="00B9266B" w:rsidRPr="00AC13E0">
        <w:rPr>
          <w:rFonts w:cs="Times New Roman"/>
          <w:szCs w:val="24"/>
        </w:rPr>
        <w:t>In some respects</w:t>
      </w:r>
      <w:r w:rsidR="006A050E">
        <w:rPr>
          <w:rFonts w:cs="Times New Roman"/>
          <w:szCs w:val="24"/>
        </w:rPr>
        <w:t>,</w:t>
      </w:r>
      <w:r w:rsidR="00B9266B" w:rsidRPr="00AC13E0">
        <w:rPr>
          <w:rFonts w:cs="Times New Roman"/>
          <w:szCs w:val="24"/>
        </w:rPr>
        <w:t xml:space="preserve"> </w:t>
      </w:r>
      <w:proofErr w:type="spellStart"/>
      <w:r w:rsidR="00B9266B" w:rsidRPr="00AC13E0">
        <w:rPr>
          <w:rFonts w:cs="Times New Roman"/>
          <w:szCs w:val="24"/>
        </w:rPr>
        <w:t>cybutryne</w:t>
      </w:r>
      <w:proofErr w:type="spellEnd"/>
      <w:r w:rsidR="00B9266B" w:rsidRPr="00AC13E0">
        <w:rPr>
          <w:rFonts w:cs="Times New Roman"/>
          <w:szCs w:val="24"/>
        </w:rPr>
        <w:t xml:space="preserve"> is more harmful than earlier </w:t>
      </w:r>
      <w:r w:rsidR="002E6CF9">
        <w:rPr>
          <w:rFonts w:cs="Times New Roman"/>
          <w:szCs w:val="24"/>
        </w:rPr>
        <w:t xml:space="preserve">toxic </w:t>
      </w:r>
      <w:r w:rsidR="00B9266B" w:rsidRPr="00AC13E0">
        <w:rPr>
          <w:rFonts w:cs="Times New Roman"/>
          <w:szCs w:val="24"/>
        </w:rPr>
        <w:t xml:space="preserve">biocides </w:t>
      </w:r>
      <w:r w:rsidR="009A7318">
        <w:rPr>
          <w:rFonts w:cs="Times New Roman"/>
          <w:szCs w:val="24"/>
        </w:rPr>
        <w:t>in anti-fouling paints</w:t>
      </w:r>
      <w:r w:rsidR="009A7318" w:rsidRPr="00AC13E0">
        <w:rPr>
          <w:rFonts w:cs="Times New Roman"/>
          <w:szCs w:val="24"/>
        </w:rPr>
        <w:t xml:space="preserve"> </w:t>
      </w:r>
      <w:r w:rsidR="00B9266B" w:rsidRPr="00AC13E0">
        <w:rPr>
          <w:rFonts w:cs="Times New Roman"/>
          <w:szCs w:val="24"/>
        </w:rPr>
        <w:t>such as t</w:t>
      </w:r>
      <w:r w:rsidR="00B9266B">
        <w:rPr>
          <w:rFonts w:cs="Times New Roman"/>
          <w:szCs w:val="24"/>
        </w:rPr>
        <w:t>r</w:t>
      </w:r>
      <w:r w:rsidR="00B9266B" w:rsidRPr="00AC13E0">
        <w:rPr>
          <w:rFonts w:cs="Times New Roman"/>
          <w:szCs w:val="24"/>
        </w:rPr>
        <w:t>ibutyltin (TBT), which Australia banned in 2008.</w:t>
      </w:r>
    </w:p>
    <w:p w:rsidR="00884A24" w:rsidRPr="00B9266B" w:rsidRDefault="00884A24" w:rsidP="002B2A59">
      <w:pPr>
        <w:pStyle w:val="ListParagraph"/>
        <w:numPr>
          <w:ilvl w:val="0"/>
          <w:numId w:val="1"/>
        </w:numPr>
        <w:ind w:left="567" w:hanging="567"/>
        <w:contextualSpacing w:val="0"/>
        <w:rPr>
          <w:rFonts w:cs="Times New Roman"/>
          <w:szCs w:val="24"/>
        </w:rPr>
      </w:pPr>
      <w:r w:rsidRPr="00B9266B">
        <w:rPr>
          <w:rFonts w:cs="Times New Roman"/>
          <w:szCs w:val="24"/>
        </w:rPr>
        <w:t xml:space="preserve">The amendments add </w:t>
      </w:r>
      <w:proofErr w:type="spellStart"/>
      <w:r w:rsidRPr="00B9266B">
        <w:rPr>
          <w:rFonts w:cs="Times New Roman"/>
          <w:szCs w:val="24"/>
        </w:rPr>
        <w:t>cybutryne</w:t>
      </w:r>
      <w:proofErr w:type="spellEnd"/>
      <w:r w:rsidRPr="00B9266B">
        <w:rPr>
          <w:rFonts w:cs="Times New Roman"/>
          <w:szCs w:val="24"/>
        </w:rPr>
        <w:t xml:space="preserve"> to the list of substances to be controlled or banned in anti</w:t>
      </w:r>
      <w:r w:rsidR="00B9266B" w:rsidRPr="00B9266B">
        <w:rPr>
          <w:rFonts w:cs="Times New Roman"/>
          <w:szCs w:val="24"/>
        </w:rPr>
        <w:noBreakHyphen/>
      </w:r>
      <w:r w:rsidRPr="00B9266B">
        <w:rPr>
          <w:rFonts w:cs="Times New Roman"/>
          <w:szCs w:val="24"/>
        </w:rPr>
        <w:t>fouling systems and specifies the certification requirements for ships bearing controlled anti-fouling systems that pre-date the amendment.</w:t>
      </w:r>
    </w:p>
    <w:p w:rsidR="00884A24" w:rsidRPr="00884A24" w:rsidRDefault="00884A24" w:rsidP="002B2A59">
      <w:pPr>
        <w:pStyle w:val="ListParagraph"/>
        <w:numPr>
          <w:ilvl w:val="0"/>
          <w:numId w:val="1"/>
        </w:numPr>
        <w:ind w:left="567" w:hanging="567"/>
        <w:contextualSpacing w:val="0"/>
        <w:rPr>
          <w:rFonts w:cs="Times New Roman"/>
          <w:szCs w:val="24"/>
        </w:rPr>
      </w:pPr>
      <w:r w:rsidRPr="00884A24">
        <w:rPr>
          <w:rFonts w:cs="Times New Roman"/>
          <w:szCs w:val="24"/>
        </w:rPr>
        <w:t xml:space="preserve">The proposed amendments are: </w:t>
      </w:r>
    </w:p>
    <w:p w:rsidR="00884A24" w:rsidRPr="00884A24" w:rsidRDefault="00884A24" w:rsidP="002B2A59">
      <w:pPr>
        <w:pStyle w:val="ListParagraph"/>
        <w:numPr>
          <w:ilvl w:val="0"/>
          <w:numId w:val="2"/>
        </w:numPr>
        <w:ind w:left="1134" w:hanging="567"/>
        <w:contextualSpacing w:val="0"/>
        <w:rPr>
          <w:rFonts w:cs="Times New Roman"/>
          <w:szCs w:val="24"/>
        </w:rPr>
      </w:pPr>
      <w:r w:rsidRPr="00884A24">
        <w:rPr>
          <w:rFonts w:cs="Times New Roman"/>
          <w:szCs w:val="24"/>
        </w:rPr>
        <w:t>Addition of ‘</w:t>
      </w:r>
      <w:proofErr w:type="spellStart"/>
      <w:r w:rsidRPr="00884A24">
        <w:rPr>
          <w:rFonts w:cs="Times New Roman"/>
          <w:szCs w:val="24"/>
        </w:rPr>
        <w:t>Cybutryne</w:t>
      </w:r>
      <w:proofErr w:type="spellEnd"/>
      <w:r w:rsidRPr="00884A24">
        <w:rPr>
          <w:rFonts w:cs="Times New Roman"/>
          <w:szCs w:val="24"/>
        </w:rPr>
        <w:t xml:space="preserve"> CAS No. 28159-98-0’ to Annex 1 of the </w:t>
      </w:r>
      <w:r w:rsidR="009F24FC">
        <w:rPr>
          <w:rFonts w:cs="Times New Roman"/>
          <w:szCs w:val="24"/>
        </w:rPr>
        <w:t>H</w:t>
      </w:r>
      <w:r w:rsidRPr="00884A24">
        <w:rPr>
          <w:rFonts w:cs="Times New Roman"/>
          <w:szCs w:val="24"/>
        </w:rPr>
        <w:t xml:space="preserve">AFS Convention table. </w:t>
      </w:r>
      <w:r w:rsidR="009F24FC">
        <w:rPr>
          <w:rFonts w:cs="Times New Roman"/>
          <w:szCs w:val="24"/>
        </w:rPr>
        <w:t>As</w:t>
      </w:r>
      <w:r w:rsidRPr="00884A24">
        <w:rPr>
          <w:rFonts w:cs="Times New Roman"/>
          <w:szCs w:val="24"/>
        </w:rPr>
        <w:t xml:space="preserve"> of 1 January 2023 all ships shall not apply, or re-apply, anti-fouling systems containing </w:t>
      </w:r>
      <w:proofErr w:type="spellStart"/>
      <w:r w:rsidR="009F24FC">
        <w:rPr>
          <w:rFonts w:cs="Times New Roman"/>
          <w:szCs w:val="24"/>
        </w:rPr>
        <w:t>c</w:t>
      </w:r>
      <w:r w:rsidRPr="00884A24">
        <w:rPr>
          <w:rFonts w:cs="Times New Roman"/>
          <w:szCs w:val="24"/>
        </w:rPr>
        <w:t>ybutryne</w:t>
      </w:r>
      <w:proofErr w:type="spellEnd"/>
      <w:r w:rsidRPr="00884A24">
        <w:rPr>
          <w:rFonts w:cs="Times New Roman"/>
          <w:szCs w:val="24"/>
        </w:rPr>
        <w:t>.</w:t>
      </w:r>
    </w:p>
    <w:p w:rsidR="00884A24" w:rsidRPr="00884A24" w:rsidRDefault="00884A24" w:rsidP="002B2A59">
      <w:pPr>
        <w:pStyle w:val="ListParagraph"/>
        <w:numPr>
          <w:ilvl w:val="0"/>
          <w:numId w:val="2"/>
        </w:numPr>
        <w:ind w:left="1134" w:hanging="567"/>
        <w:contextualSpacing w:val="0"/>
        <w:rPr>
          <w:rFonts w:cs="Times New Roman"/>
          <w:szCs w:val="24"/>
        </w:rPr>
      </w:pPr>
      <w:r w:rsidRPr="00884A24">
        <w:rPr>
          <w:rFonts w:cs="Times New Roman"/>
          <w:szCs w:val="24"/>
        </w:rPr>
        <w:t>Addition of ‘</w:t>
      </w:r>
      <w:proofErr w:type="spellStart"/>
      <w:r w:rsidRPr="00884A24">
        <w:rPr>
          <w:rFonts w:cs="Times New Roman"/>
          <w:szCs w:val="24"/>
        </w:rPr>
        <w:t>Cybutryne</w:t>
      </w:r>
      <w:proofErr w:type="spellEnd"/>
      <w:r w:rsidRPr="00884A24">
        <w:rPr>
          <w:rFonts w:cs="Times New Roman"/>
          <w:szCs w:val="24"/>
        </w:rPr>
        <w:t xml:space="preserve"> CAS No. 28159-98-0’ to Annex 1 of the </w:t>
      </w:r>
      <w:r w:rsidR="009F24FC">
        <w:rPr>
          <w:rFonts w:cs="Times New Roman"/>
          <w:szCs w:val="24"/>
        </w:rPr>
        <w:t>H</w:t>
      </w:r>
      <w:r w:rsidRPr="00884A24">
        <w:rPr>
          <w:rFonts w:cs="Times New Roman"/>
          <w:szCs w:val="24"/>
        </w:rPr>
        <w:t xml:space="preserve">AFS Convention requiring ships with </w:t>
      </w:r>
      <w:proofErr w:type="spellStart"/>
      <w:r w:rsidRPr="00884A24">
        <w:rPr>
          <w:rFonts w:cs="Times New Roman"/>
          <w:szCs w:val="24"/>
        </w:rPr>
        <w:t>cybutryne</w:t>
      </w:r>
      <w:proofErr w:type="spellEnd"/>
      <w:r w:rsidRPr="00884A24">
        <w:rPr>
          <w:rFonts w:cs="Times New Roman"/>
          <w:szCs w:val="24"/>
        </w:rPr>
        <w:t xml:space="preserve"> anti-fouling systems already in place on 1 January 2023 to either remove the system, or apply a coating to prevent leaching of the chemical, </w:t>
      </w:r>
      <w:r w:rsidR="005E0957">
        <w:rPr>
          <w:rFonts w:cs="Times New Roman"/>
          <w:szCs w:val="24"/>
        </w:rPr>
        <w:t>by</w:t>
      </w:r>
      <w:r w:rsidRPr="00884A24">
        <w:rPr>
          <w:rFonts w:cs="Times New Roman"/>
          <w:szCs w:val="24"/>
        </w:rPr>
        <w:t xml:space="preserve"> the next scheduled renewal of their anti-fouling system</w:t>
      </w:r>
      <w:r w:rsidR="005E0957">
        <w:rPr>
          <w:rFonts w:cs="Times New Roman"/>
          <w:szCs w:val="24"/>
        </w:rPr>
        <w:t xml:space="preserve">, and </w:t>
      </w:r>
      <w:r w:rsidRPr="00884A24">
        <w:rPr>
          <w:rFonts w:cs="Times New Roman"/>
          <w:szCs w:val="24"/>
        </w:rPr>
        <w:t xml:space="preserve">no later than 60 months from </w:t>
      </w:r>
      <w:r w:rsidR="005E0957">
        <w:rPr>
          <w:rFonts w:cs="Times New Roman"/>
          <w:szCs w:val="24"/>
        </w:rPr>
        <w:t>the last anti-fouling system application</w:t>
      </w:r>
      <w:r w:rsidRPr="00884A24">
        <w:rPr>
          <w:rFonts w:cs="Times New Roman"/>
          <w:szCs w:val="24"/>
        </w:rPr>
        <w:t xml:space="preserve">. </w:t>
      </w:r>
      <w:r w:rsidR="00D91604">
        <w:rPr>
          <w:rFonts w:cs="Times New Roman"/>
          <w:szCs w:val="24"/>
        </w:rPr>
        <w:t>Exempted s</w:t>
      </w:r>
      <w:r w:rsidRPr="00884A24">
        <w:rPr>
          <w:rFonts w:cs="Times New Roman"/>
          <w:szCs w:val="24"/>
        </w:rPr>
        <w:t>hips are:</w:t>
      </w:r>
    </w:p>
    <w:p w:rsidR="00884A24" w:rsidRPr="00884A24" w:rsidRDefault="002A2805" w:rsidP="002B2A59">
      <w:pPr>
        <w:pStyle w:val="ListParagraph"/>
        <w:numPr>
          <w:ilvl w:val="0"/>
          <w:numId w:val="4"/>
        </w:numPr>
        <w:ind w:left="1701" w:hanging="567"/>
        <w:contextualSpacing w:val="0"/>
        <w:rPr>
          <w:rFonts w:cs="Times New Roman"/>
          <w:szCs w:val="24"/>
        </w:rPr>
      </w:pPr>
      <w:r>
        <w:rPr>
          <w:rFonts w:cs="Times New Roman"/>
          <w:szCs w:val="24"/>
        </w:rPr>
        <w:t>f</w:t>
      </w:r>
      <w:r w:rsidR="00884A24" w:rsidRPr="00884A24">
        <w:rPr>
          <w:rFonts w:cs="Times New Roman"/>
          <w:szCs w:val="24"/>
        </w:rPr>
        <w:t>ixed and floating platforms constructed prior to 1 January 2023 that have not been in dry-dock on/after 1 January 2023</w:t>
      </w:r>
      <w:r w:rsidR="00D91604">
        <w:rPr>
          <w:rFonts w:cs="Times New Roman"/>
          <w:szCs w:val="24"/>
        </w:rPr>
        <w:t>, and</w:t>
      </w:r>
    </w:p>
    <w:p w:rsidR="00884A24" w:rsidRPr="00884A24" w:rsidRDefault="002A2805" w:rsidP="002B2A59">
      <w:pPr>
        <w:pStyle w:val="ListParagraph"/>
        <w:numPr>
          <w:ilvl w:val="0"/>
          <w:numId w:val="4"/>
        </w:numPr>
        <w:ind w:left="1701" w:hanging="567"/>
        <w:contextualSpacing w:val="0"/>
        <w:rPr>
          <w:rFonts w:cs="Times New Roman"/>
          <w:szCs w:val="24"/>
        </w:rPr>
      </w:pPr>
      <w:r>
        <w:rPr>
          <w:rFonts w:cs="Times New Roman"/>
          <w:szCs w:val="24"/>
        </w:rPr>
        <w:t>ships</w:t>
      </w:r>
      <w:r w:rsidR="00884A24" w:rsidRPr="00884A24">
        <w:rPr>
          <w:rFonts w:cs="Times New Roman"/>
          <w:szCs w:val="24"/>
        </w:rPr>
        <w:t xml:space="preserve"> not engaged in international voyages.</w:t>
      </w:r>
    </w:p>
    <w:p w:rsidR="00884A24" w:rsidRPr="00884A24" w:rsidRDefault="00884A24" w:rsidP="002B2A59">
      <w:pPr>
        <w:pStyle w:val="ListParagraph"/>
        <w:numPr>
          <w:ilvl w:val="0"/>
          <w:numId w:val="2"/>
        </w:numPr>
        <w:ind w:left="1134" w:hanging="567"/>
        <w:contextualSpacing w:val="0"/>
        <w:rPr>
          <w:rFonts w:cs="Times New Roman"/>
          <w:szCs w:val="24"/>
        </w:rPr>
      </w:pPr>
      <w:r w:rsidRPr="00884A24">
        <w:rPr>
          <w:rFonts w:cs="Times New Roman"/>
          <w:szCs w:val="24"/>
        </w:rPr>
        <w:t>The section listing compliance options on the model form of the International Anti</w:t>
      </w:r>
      <w:r w:rsidR="00BE06C7">
        <w:rPr>
          <w:rFonts w:cs="Times New Roman"/>
          <w:szCs w:val="24"/>
        </w:rPr>
        <w:t>-</w:t>
      </w:r>
      <w:r w:rsidRPr="00884A24">
        <w:rPr>
          <w:rFonts w:cs="Times New Roman"/>
          <w:szCs w:val="24"/>
        </w:rPr>
        <w:t xml:space="preserve">fouling System Certificate in Appendix 1 to Annex 4 is replaced. The new format utilises a table, allowing ship compliance to be easily recorded and assessed for each harmful non-fouling substance, including </w:t>
      </w:r>
      <w:proofErr w:type="spellStart"/>
      <w:r w:rsidRPr="00884A24">
        <w:rPr>
          <w:rFonts w:cs="Times New Roman"/>
          <w:szCs w:val="24"/>
        </w:rPr>
        <w:t>cybutryne</w:t>
      </w:r>
      <w:proofErr w:type="spellEnd"/>
      <w:r w:rsidRPr="00884A24">
        <w:rPr>
          <w:rFonts w:cs="Times New Roman"/>
          <w:szCs w:val="24"/>
        </w:rPr>
        <w:t xml:space="preserve">.  </w:t>
      </w:r>
    </w:p>
    <w:p w:rsidR="00BE06C7" w:rsidRPr="00BE06C7" w:rsidRDefault="00BE06C7" w:rsidP="002B2A59">
      <w:pPr>
        <w:pStyle w:val="NormalWeb"/>
        <w:numPr>
          <w:ilvl w:val="0"/>
          <w:numId w:val="1"/>
        </w:numPr>
        <w:shd w:val="clear" w:color="auto" w:fill="FEFEFE"/>
        <w:spacing w:before="0" w:beforeAutospacing="0" w:after="160" w:afterAutospacing="0"/>
        <w:ind w:left="567" w:hanging="567"/>
        <w:rPr>
          <w:rFonts w:eastAsiaTheme="minorHAnsi"/>
          <w:lang w:eastAsia="en-US"/>
        </w:rPr>
      </w:pPr>
      <w:r w:rsidRPr="00BE06C7">
        <w:rPr>
          <w:rFonts w:eastAsiaTheme="minorHAnsi"/>
          <w:lang w:eastAsia="en-US"/>
        </w:rPr>
        <w:t xml:space="preserve">Ships in operation will need to comply with the requirement within the first anti-fouling renewal survey after 1 January 2023 and will be issued a new </w:t>
      </w:r>
      <w:r w:rsidRPr="00884A24">
        <w:t>International Ant</w:t>
      </w:r>
      <w:r>
        <w:t>i</w:t>
      </w:r>
      <w:r>
        <w:noBreakHyphen/>
      </w:r>
      <w:r w:rsidRPr="00884A24">
        <w:t>fouling System Certificate</w:t>
      </w:r>
      <w:r w:rsidRPr="00BE06C7">
        <w:rPr>
          <w:rFonts w:eastAsiaTheme="minorHAnsi"/>
          <w:lang w:eastAsia="en-US"/>
        </w:rPr>
        <w:t xml:space="preserve"> which includes </w:t>
      </w:r>
      <w:proofErr w:type="spellStart"/>
      <w:r w:rsidRPr="00BE06C7">
        <w:rPr>
          <w:rFonts w:eastAsiaTheme="minorHAnsi"/>
          <w:lang w:eastAsia="en-US"/>
        </w:rPr>
        <w:t>cybutryne</w:t>
      </w:r>
      <w:proofErr w:type="spellEnd"/>
      <w:r w:rsidRPr="00BE06C7">
        <w:rPr>
          <w:rFonts w:eastAsiaTheme="minorHAnsi"/>
          <w:lang w:eastAsia="en-US"/>
        </w:rPr>
        <w:t>-free compliance. </w:t>
      </w:r>
    </w:p>
    <w:p w:rsidR="00BE06C7" w:rsidRPr="00BE06C7" w:rsidRDefault="00BE06C7" w:rsidP="002B2A59">
      <w:pPr>
        <w:pStyle w:val="NormalWeb"/>
        <w:numPr>
          <w:ilvl w:val="0"/>
          <w:numId w:val="1"/>
        </w:numPr>
        <w:shd w:val="clear" w:color="auto" w:fill="FEFEFE"/>
        <w:spacing w:before="0" w:beforeAutospacing="0" w:after="160" w:afterAutospacing="0"/>
        <w:ind w:left="567" w:hanging="567"/>
        <w:rPr>
          <w:rFonts w:eastAsiaTheme="minorHAnsi"/>
          <w:lang w:eastAsia="en-US"/>
        </w:rPr>
      </w:pPr>
      <w:r w:rsidRPr="00BE06C7">
        <w:rPr>
          <w:rFonts w:eastAsiaTheme="minorHAnsi"/>
          <w:lang w:eastAsia="en-US"/>
        </w:rPr>
        <w:t xml:space="preserve">Ships under construction, which will be delivered after 1 January 2023, will need to be delivered as </w:t>
      </w:r>
      <w:proofErr w:type="spellStart"/>
      <w:r w:rsidRPr="00BE06C7">
        <w:rPr>
          <w:rFonts w:eastAsiaTheme="minorHAnsi"/>
          <w:lang w:eastAsia="en-US"/>
        </w:rPr>
        <w:t>cybutryne</w:t>
      </w:r>
      <w:proofErr w:type="spellEnd"/>
      <w:r w:rsidRPr="00BE06C7">
        <w:rPr>
          <w:rFonts w:eastAsiaTheme="minorHAnsi"/>
          <w:lang w:eastAsia="en-US"/>
        </w:rPr>
        <w:t xml:space="preserve">-free, and will be issued with an </w:t>
      </w:r>
      <w:r w:rsidR="004C3E24" w:rsidRPr="00884A24">
        <w:t>International Ant</w:t>
      </w:r>
      <w:r w:rsidR="004C3E24">
        <w:t>i</w:t>
      </w:r>
      <w:r w:rsidR="004C3E24">
        <w:noBreakHyphen/>
      </w:r>
      <w:r w:rsidR="004C3E24" w:rsidRPr="00884A24">
        <w:t>fouling System Certificate</w:t>
      </w:r>
      <w:r w:rsidR="004C3E24" w:rsidRPr="00BE06C7">
        <w:rPr>
          <w:rFonts w:eastAsiaTheme="minorHAnsi"/>
          <w:lang w:eastAsia="en-US"/>
        </w:rPr>
        <w:t xml:space="preserve"> </w:t>
      </w:r>
      <w:r w:rsidRPr="00BE06C7">
        <w:rPr>
          <w:rFonts w:eastAsiaTheme="minorHAnsi"/>
          <w:lang w:eastAsia="en-US"/>
        </w:rPr>
        <w:t>at the initial survey.</w:t>
      </w:r>
    </w:p>
    <w:sectPr w:rsidR="00BE06C7" w:rsidRPr="00BE06C7" w:rsidSect="00FF53C5">
      <w:headerReference w:type="default" r:id="rId7"/>
      <w:footerReference w:type="default" r:id="rId8"/>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C9D" w:rsidRDefault="00A63C9D" w:rsidP="00A63C9D">
      <w:pPr>
        <w:spacing w:after="0"/>
      </w:pPr>
      <w:r>
        <w:separator/>
      </w:r>
    </w:p>
  </w:endnote>
  <w:endnote w:type="continuationSeparator" w:id="0">
    <w:p w:rsidR="00A63C9D" w:rsidRDefault="00A63C9D" w:rsidP="00A63C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706132"/>
      <w:docPartObj>
        <w:docPartGallery w:val="Page Numbers (Bottom of Page)"/>
        <w:docPartUnique/>
      </w:docPartObj>
    </w:sdtPr>
    <w:sdtEndPr>
      <w:rPr>
        <w:noProof/>
      </w:rPr>
    </w:sdtEndPr>
    <w:sdtContent>
      <w:p w:rsidR="00FF53C5" w:rsidRDefault="00FF53C5" w:rsidP="00FF53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C9D" w:rsidRDefault="00A63C9D" w:rsidP="00A63C9D">
      <w:pPr>
        <w:spacing w:after="0"/>
      </w:pPr>
      <w:r>
        <w:separator/>
      </w:r>
    </w:p>
  </w:footnote>
  <w:footnote w:type="continuationSeparator" w:id="0">
    <w:p w:rsidR="00A63C9D" w:rsidRDefault="00A63C9D" w:rsidP="00A63C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9D" w:rsidRPr="00A63C9D" w:rsidRDefault="00A63C9D" w:rsidP="00A63C9D">
    <w:pPr>
      <w:pStyle w:val="Header"/>
      <w:jc w:val="right"/>
      <w:rPr>
        <w:b/>
        <w:u w:val="singl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007"/>
    <w:multiLevelType w:val="hybridMultilevel"/>
    <w:tmpl w:val="A142EF5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130B4F22"/>
    <w:multiLevelType w:val="hybridMultilevel"/>
    <w:tmpl w:val="18782B06"/>
    <w:lvl w:ilvl="0" w:tplc="0C090013">
      <w:start w:val="1"/>
      <w:numFmt w:val="upp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287E263B"/>
    <w:multiLevelType w:val="hybridMultilevel"/>
    <w:tmpl w:val="DD50DDC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5D8656F"/>
    <w:multiLevelType w:val="hybridMultilevel"/>
    <w:tmpl w:val="01AC97B2"/>
    <w:lvl w:ilvl="0" w:tplc="CF76772C">
      <w:start w:val="1"/>
      <w:numFmt w:val="decimal"/>
      <w:lvlText w:val="%1."/>
      <w:lvlJc w:val="left"/>
      <w:pPr>
        <w:ind w:left="360" w:hanging="360"/>
      </w:pPr>
      <w:rPr>
        <w:rFonts w:hint="default"/>
        <w:b w:val="0"/>
        <w:i w:val="0"/>
        <w:color w:val="auto"/>
      </w:rPr>
    </w:lvl>
    <w:lvl w:ilvl="1" w:tplc="0C090001">
      <w:start w:val="1"/>
      <w:numFmt w:val="bullet"/>
      <w:lvlText w:val=""/>
      <w:lvlJc w:val="left"/>
      <w:pPr>
        <w:ind w:left="1080" w:hanging="360"/>
      </w:pPr>
      <w:rPr>
        <w:rFonts w:ascii="Symbol" w:hAnsi="Symbol" w:hint="default"/>
      </w:rPr>
    </w:lvl>
    <w:lvl w:ilvl="2" w:tplc="C03EAC08" w:tentative="1">
      <w:start w:val="1"/>
      <w:numFmt w:val="lowerRoman"/>
      <w:lvlText w:val="%3."/>
      <w:lvlJc w:val="right"/>
      <w:pPr>
        <w:ind w:left="1800" w:hanging="180"/>
      </w:pPr>
    </w:lvl>
    <w:lvl w:ilvl="3" w:tplc="5F20BECE" w:tentative="1">
      <w:start w:val="1"/>
      <w:numFmt w:val="decimal"/>
      <w:lvlText w:val="%4."/>
      <w:lvlJc w:val="left"/>
      <w:pPr>
        <w:ind w:left="2520" w:hanging="360"/>
      </w:pPr>
    </w:lvl>
    <w:lvl w:ilvl="4" w:tplc="7CA2D4F8" w:tentative="1">
      <w:start w:val="1"/>
      <w:numFmt w:val="lowerLetter"/>
      <w:lvlText w:val="%5."/>
      <w:lvlJc w:val="left"/>
      <w:pPr>
        <w:ind w:left="3240" w:hanging="360"/>
      </w:pPr>
    </w:lvl>
    <w:lvl w:ilvl="5" w:tplc="B726BDFC" w:tentative="1">
      <w:start w:val="1"/>
      <w:numFmt w:val="lowerRoman"/>
      <w:lvlText w:val="%6."/>
      <w:lvlJc w:val="right"/>
      <w:pPr>
        <w:ind w:left="3960" w:hanging="180"/>
      </w:pPr>
    </w:lvl>
    <w:lvl w:ilvl="6" w:tplc="118ED7E8" w:tentative="1">
      <w:start w:val="1"/>
      <w:numFmt w:val="decimal"/>
      <w:lvlText w:val="%7."/>
      <w:lvlJc w:val="left"/>
      <w:pPr>
        <w:ind w:left="4680" w:hanging="360"/>
      </w:pPr>
    </w:lvl>
    <w:lvl w:ilvl="7" w:tplc="915CDD76" w:tentative="1">
      <w:start w:val="1"/>
      <w:numFmt w:val="lowerLetter"/>
      <w:lvlText w:val="%8."/>
      <w:lvlJc w:val="left"/>
      <w:pPr>
        <w:ind w:left="5400" w:hanging="360"/>
      </w:pPr>
    </w:lvl>
    <w:lvl w:ilvl="8" w:tplc="AFCE1F6A" w:tentative="1">
      <w:start w:val="1"/>
      <w:numFmt w:val="lowerRoman"/>
      <w:lvlText w:val="%9."/>
      <w:lvlJc w:val="right"/>
      <w:pPr>
        <w:ind w:left="6120" w:hanging="180"/>
      </w:pPr>
    </w:lvl>
  </w:abstractNum>
  <w:abstractNum w:abstractNumId="4" w15:restartNumberingAfterBreak="0">
    <w:nsid w:val="50B75348"/>
    <w:multiLevelType w:val="hybridMultilevel"/>
    <w:tmpl w:val="6DA015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C9D"/>
    <w:rsid w:val="000250DB"/>
    <w:rsid w:val="00164EC7"/>
    <w:rsid w:val="00197EA6"/>
    <w:rsid w:val="001A28D5"/>
    <w:rsid w:val="001F0A0E"/>
    <w:rsid w:val="00205F1C"/>
    <w:rsid w:val="00210204"/>
    <w:rsid w:val="002700FD"/>
    <w:rsid w:val="002A2805"/>
    <w:rsid w:val="002B2A59"/>
    <w:rsid w:val="002C6B54"/>
    <w:rsid w:val="002D51B6"/>
    <w:rsid w:val="002E6CF9"/>
    <w:rsid w:val="003E50C1"/>
    <w:rsid w:val="004614F0"/>
    <w:rsid w:val="004C3E24"/>
    <w:rsid w:val="005232AB"/>
    <w:rsid w:val="005E0957"/>
    <w:rsid w:val="006A050E"/>
    <w:rsid w:val="006C78FA"/>
    <w:rsid w:val="006E3E7A"/>
    <w:rsid w:val="007101FE"/>
    <w:rsid w:val="00766FE0"/>
    <w:rsid w:val="007E1A25"/>
    <w:rsid w:val="00884A24"/>
    <w:rsid w:val="008A3BAE"/>
    <w:rsid w:val="008F4DFC"/>
    <w:rsid w:val="009139FC"/>
    <w:rsid w:val="00913BC6"/>
    <w:rsid w:val="00915BD3"/>
    <w:rsid w:val="009A7318"/>
    <w:rsid w:val="009F24FC"/>
    <w:rsid w:val="00A2405E"/>
    <w:rsid w:val="00A63C9D"/>
    <w:rsid w:val="00AC13E0"/>
    <w:rsid w:val="00AD5F10"/>
    <w:rsid w:val="00B9266B"/>
    <w:rsid w:val="00B94E48"/>
    <w:rsid w:val="00BE06C7"/>
    <w:rsid w:val="00C623BF"/>
    <w:rsid w:val="00D91604"/>
    <w:rsid w:val="00E20105"/>
    <w:rsid w:val="00E943C8"/>
    <w:rsid w:val="00EA1F86"/>
    <w:rsid w:val="00EC1CB1"/>
    <w:rsid w:val="00F539F3"/>
    <w:rsid w:val="00FF53C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BA4975"/>
  <w15:chartTrackingRefBased/>
  <w15:docId w15:val="{C7B6146D-CC98-4BD9-86D3-390F16BB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B2A59"/>
    <w:pPr>
      <w:spacing w:line="240" w:lineRule="auto"/>
    </w:pPr>
  </w:style>
  <w:style w:type="paragraph" w:styleId="Heading1">
    <w:name w:val="heading 1"/>
    <w:basedOn w:val="Normal"/>
    <w:next w:val="Normal"/>
    <w:link w:val="Heading1Char"/>
    <w:uiPriority w:val="9"/>
    <w:qFormat/>
    <w:rsid w:val="00915BD3"/>
    <w:pPr>
      <w:keepNext/>
      <w:keepLines/>
      <w:spacing w:before="240" w:after="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2B2A59"/>
    <w:pPr>
      <w:keepNext/>
      <w:keepLines/>
      <w:spacing w:before="40" w:after="0"/>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3C9D"/>
    <w:pPr>
      <w:ind w:left="720"/>
      <w:contextualSpacing/>
    </w:pPr>
  </w:style>
  <w:style w:type="character" w:customStyle="1" w:styleId="ListParagraphChar">
    <w:name w:val="List Paragraph Char"/>
    <w:basedOn w:val="DefaultParagraphFont"/>
    <w:link w:val="ListParagraph"/>
    <w:uiPriority w:val="34"/>
    <w:rsid w:val="00A63C9D"/>
    <w:rPr>
      <w:rFonts w:ascii="Times New Roman" w:hAnsi="Times New Roman"/>
      <w:sz w:val="24"/>
    </w:rPr>
  </w:style>
  <w:style w:type="paragraph" w:styleId="Header">
    <w:name w:val="header"/>
    <w:basedOn w:val="Normal"/>
    <w:link w:val="HeaderChar"/>
    <w:uiPriority w:val="99"/>
    <w:unhideWhenUsed/>
    <w:rsid w:val="00A63C9D"/>
    <w:pPr>
      <w:tabs>
        <w:tab w:val="center" w:pos="4513"/>
        <w:tab w:val="right" w:pos="9026"/>
      </w:tabs>
      <w:spacing w:after="0"/>
    </w:pPr>
  </w:style>
  <w:style w:type="character" w:customStyle="1" w:styleId="HeaderChar">
    <w:name w:val="Header Char"/>
    <w:basedOn w:val="DefaultParagraphFont"/>
    <w:link w:val="Header"/>
    <w:uiPriority w:val="99"/>
    <w:rsid w:val="00A63C9D"/>
    <w:rPr>
      <w:rFonts w:ascii="Times New Roman" w:hAnsi="Times New Roman"/>
      <w:sz w:val="24"/>
    </w:rPr>
  </w:style>
  <w:style w:type="paragraph" w:styleId="Footer">
    <w:name w:val="footer"/>
    <w:basedOn w:val="Normal"/>
    <w:link w:val="FooterChar"/>
    <w:uiPriority w:val="99"/>
    <w:unhideWhenUsed/>
    <w:rsid w:val="00A63C9D"/>
    <w:pPr>
      <w:tabs>
        <w:tab w:val="center" w:pos="4513"/>
        <w:tab w:val="right" w:pos="9026"/>
      </w:tabs>
      <w:spacing w:after="0"/>
    </w:pPr>
  </w:style>
  <w:style w:type="character" w:customStyle="1" w:styleId="FooterChar">
    <w:name w:val="Footer Char"/>
    <w:basedOn w:val="DefaultParagraphFont"/>
    <w:link w:val="Footer"/>
    <w:uiPriority w:val="99"/>
    <w:rsid w:val="00A63C9D"/>
    <w:rPr>
      <w:rFonts w:ascii="Times New Roman" w:hAnsi="Times New Roman"/>
      <w:sz w:val="24"/>
    </w:rPr>
  </w:style>
  <w:style w:type="paragraph" w:styleId="NormalWeb">
    <w:name w:val="Normal (Web)"/>
    <w:basedOn w:val="Normal"/>
    <w:uiPriority w:val="99"/>
    <w:unhideWhenUsed/>
    <w:rsid w:val="00BE06C7"/>
    <w:pPr>
      <w:spacing w:before="100" w:beforeAutospacing="1" w:after="100" w:afterAutospacing="1"/>
    </w:pPr>
    <w:rPr>
      <w:rFonts w:eastAsia="Times New Roman" w:cs="Times New Roman"/>
      <w:szCs w:val="24"/>
      <w:lang w:eastAsia="en-AU"/>
    </w:rPr>
  </w:style>
  <w:style w:type="character" w:customStyle="1" w:styleId="Heading1Char">
    <w:name w:val="Heading 1 Char"/>
    <w:basedOn w:val="DefaultParagraphFont"/>
    <w:link w:val="Heading1"/>
    <w:uiPriority w:val="9"/>
    <w:rsid w:val="00915BD3"/>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2B2A59"/>
    <w:rPr>
      <w:rFonts w:asciiTheme="majorHAnsi" w:eastAsiaTheme="majorEastAsia" w:hAnsiTheme="majorHAnsi"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2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Maritime Legislation Amendment Bill 2022 – Explanatory Material</vt:lpstr>
    </vt:vector>
  </TitlesOfParts>
  <Company>Department of Infrastructure, Transport, Regional Development, Communications and the Arts</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Maritime Legislation Amendment Bill 2022—Explanatory Material</dc:title>
  <dc:subject/>
  <dc:creator>Department of Infrastructure, Transport, Regional Development, Communications and the Arts</dc:creator>
  <cp:keywords/>
  <dc:description/>
  <cp:lastModifiedBy>HALL Theresa</cp:lastModifiedBy>
  <cp:revision>3</cp:revision>
  <dcterms:created xsi:type="dcterms:W3CDTF">2022-08-24T03:32:00Z</dcterms:created>
  <dcterms:modified xsi:type="dcterms:W3CDTF">2022-08-24T03:33:00Z</dcterms:modified>
</cp:coreProperties>
</file>