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ECB1B2" w14:textId="77777777" w:rsidR="0094124E" w:rsidRDefault="0094124E" w:rsidP="0094124E">
      <w:pPr>
        <w:ind w:left="-1418"/>
        <w:sectPr w:rsidR="0094124E" w:rsidSect="0094124E">
          <w:headerReference w:type="default" r:id="rId11"/>
          <w:footerReference w:type="default" r:id="rId12"/>
          <w:footerReference w:type="first" r:id="rId13"/>
          <w:type w:val="continuous"/>
          <w:pgSz w:w="11906" w:h="16838"/>
          <w:pgMar w:top="0" w:right="1440" w:bottom="1440" w:left="1440" w:header="0" w:footer="346" w:gutter="0"/>
          <w:cols w:space="708"/>
          <w:titlePg/>
          <w:docGrid w:linePitch="360"/>
        </w:sectPr>
      </w:pPr>
      <w:bookmarkStart w:id="0" w:name="_GoBack"/>
      <w:bookmarkEnd w:id="0"/>
      <w:r>
        <w:rPr>
          <w:noProof/>
          <w:lang w:eastAsia="en-AU"/>
        </w:rPr>
        <w:drawing>
          <wp:inline distT="0" distB="0" distL="0" distR="0" wp14:anchorId="15ECB1D9" wp14:editId="15ECB1DA">
            <wp:extent cx="7613014" cy="1378324"/>
            <wp:effectExtent l="0" t="0" r="7620" b="0"/>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13014" cy="1378324"/>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15ECB1B3" w14:textId="19399BCB" w:rsidR="005D2F1B" w:rsidRDefault="005D2F1B" w:rsidP="00F80126">
      <w:pPr>
        <w:pStyle w:val="Heading1"/>
      </w:pPr>
      <w:r>
        <w:t xml:space="preserve">Roundtable on </w:t>
      </w:r>
      <w:r w:rsidR="00CB7FEE">
        <w:t>libraries and archives use</w:t>
      </w:r>
    </w:p>
    <w:p w14:paraId="15ECB1B4" w14:textId="7D8FD39C" w:rsidR="005D2F1B" w:rsidRPr="00635027" w:rsidRDefault="005D2F1B" w:rsidP="005D2F1B">
      <w:r w:rsidRPr="00635027">
        <w:t xml:space="preserve">On </w:t>
      </w:r>
      <w:r>
        <w:t>1</w:t>
      </w:r>
      <w:r w:rsidR="00DF7D3B">
        <w:t>1</w:t>
      </w:r>
      <w:r>
        <w:t xml:space="preserve"> May 2018, we hosted a roundtable on </w:t>
      </w:r>
      <w:r w:rsidR="00CB7FEE">
        <w:t>libraries and archives use</w:t>
      </w:r>
      <w:r>
        <w:t xml:space="preserve"> as part of </w:t>
      </w:r>
      <w:r w:rsidR="00685773">
        <w:t xml:space="preserve">our </w:t>
      </w:r>
      <w:r>
        <w:t>Copyright Modernisation consultation. We have listed the attendees below.</w:t>
      </w:r>
    </w:p>
    <w:p w14:paraId="15ECB1B5" w14:textId="77777777" w:rsidR="005D2F1B" w:rsidRDefault="005D2F1B" w:rsidP="00F80126">
      <w:pPr>
        <w:pStyle w:val="Heading2"/>
      </w:pPr>
      <w:r>
        <w:t>Summary of roundtable</w:t>
      </w:r>
    </w:p>
    <w:p w14:paraId="15ECB1B6" w14:textId="3FB54334" w:rsidR="005D2F1B" w:rsidRDefault="00A9575F" w:rsidP="005D2F1B">
      <w:r>
        <w:t xml:space="preserve">We noted the Productivity Commission (PC) and Australian Law Reform Commission (ALRC) have recommended a fair use exception to copyright. The Government had noted the PC’s fair use recommendation, and asked the department to consult further. We noted the purpose of this and other roundtables was to find areas of meaningful reform, not to repeat previous submissions. </w:t>
      </w:r>
      <w:r w:rsidR="005D2F1B">
        <w:t xml:space="preserve">We recognised the ongoing work of many stakeholders on other copyright policy areas. This included </w:t>
      </w:r>
      <w:r w:rsidR="00A57419">
        <w:t xml:space="preserve">the </w:t>
      </w:r>
      <w:hyperlink r:id="rId15" w:history="1">
        <w:r w:rsidR="005D2F1B" w:rsidRPr="00074A65">
          <w:rPr>
            <w:rStyle w:val="Hyperlink"/>
          </w:rPr>
          <w:t xml:space="preserve">Copyright Amendment </w:t>
        </w:r>
        <w:r w:rsidR="005D2F1B">
          <w:rPr>
            <w:rStyle w:val="Hyperlink"/>
          </w:rPr>
          <w:t>(</w:t>
        </w:r>
        <w:r w:rsidR="005D2F1B" w:rsidRPr="00074A65">
          <w:rPr>
            <w:rStyle w:val="Hyperlink"/>
          </w:rPr>
          <w:t>Service Providers</w:t>
        </w:r>
        <w:r w:rsidR="005D2F1B">
          <w:rPr>
            <w:rStyle w:val="Hyperlink"/>
          </w:rPr>
          <w:t>)</w:t>
        </w:r>
        <w:r w:rsidR="00A57419">
          <w:rPr>
            <w:rStyle w:val="Hyperlink"/>
          </w:rPr>
          <w:t xml:space="preserve"> Bill </w:t>
        </w:r>
        <w:r w:rsidR="005D2F1B" w:rsidRPr="00074A65">
          <w:rPr>
            <w:rStyle w:val="Hyperlink"/>
          </w:rPr>
          <w:t>2017</w:t>
        </w:r>
      </w:hyperlink>
      <w:r w:rsidR="005D2F1B">
        <w:t xml:space="preserve">, the review of </w:t>
      </w:r>
      <w:hyperlink r:id="rId16" w:history="1">
        <w:r w:rsidR="005D2F1B" w:rsidRPr="00074A65">
          <w:rPr>
            <w:rStyle w:val="Hyperlink"/>
            <w:i/>
          </w:rPr>
          <w:t xml:space="preserve">Copyright </w:t>
        </w:r>
        <w:r w:rsidR="0036046D" w:rsidRPr="0036046D">
          <w:rPr>
            <w:rStyle w:val="Hyperlink"/>
            <w:i/>
          </w:rPr>
          <w:t>Amendment</w:t>
        </w:r>
        <w:r w:rsidR="005D2F1B" w:rsidRPr="00074A65">
          <w:rPr>
            <w:rStyle w:val="Hyperlink"/>
            <w:i/>
          </w:rPr>
          <w:t xml:space="preserve"> (Online Infringement) Act 2015</w:t>
        </w:r>
      </w:hyperlink>
      <w:r w:rsidR="005D2F1B">
        <w:t xml:space="preserve"> and the </w:t>
      </w:r>
      <w:hyperlink r:id="rId17" w:history="1">
        <w:r w:rsidR="005D2F1B" w:rsidRPr="00074A65">
          <w:rPr>
            <w:rStyle w:val="Hyperlink"/>
          </w:rPr>
          <w:t>Review of Code of Conduct for Copyright Collecting Societies</w:t>
        </w:r>
      </w:hyperlink>
      <w:r w:rsidR="005D2F1B">
        <w:t>.</w:t>
      </w:r>
    </w:p>
    <w:p w14:paraId="255B1CF5" w14:textId="07DF4BB4" w:rsidR="0007081E" w:rsidRDefault="00CB7FEE" w:rsidP="0007081E">
      <w:pPr>
        <w:pStyle w:val="Heading3"/>
      </w:pPr>
      <w:r>
        <w:t>Libraries and archives use</w:t>
      </w:r>
      <w:r w:rsidR="00174B39">
        <w:t xml:space="preserve">s </w:t>
      </w:r>
    </w:p>
    <w:p w14:paraId="087F3EAE" w14:textId="3184E0D3" w:rsidR="003675DB" w:rsidRDefault="00372B77" w:rsidP="00D159A9">
      <w:pPr>
        <w:tabs>
          <w:tab w:val="num" w:pos="1440"/>
        </w:tabs>
      </w:pPr>
      <w:r>
        <w:t>We noted that c</w:t>
      </w:r>
      <w:r w:rsidR="00CE28D7" w:rsidRPr="00372B77">
        <w:t>opyright law does not currently permit some use</w:t>
      </w:r>
      <w:r w:rsidR="007E4F92">
        <w:t>s of copyright material</w:t>
      </w:r>
      <w:r w:rsidR="00CE28D7" w:rsidRPr="00372B77">
        <w:t xml:space="preserve"> by libraries, archives and </w:t>
      </w:r>
      <w:r w:rsidR="00685773">
        <w:t>K</w:t>
      </w:r>
      <w:r w:rsidR="00174B39">
        <w:t xml:space="preserve">ey </w:t>
      </w:r>
      <w:r w:rsidR="00685773">
        <w:t>C</w:t>
      </w:r>
      <w:r w:rsidR="00174B39">
        <w:t xml:space="preserve">ultural </w:t>
      </w:r>
      <w:r w:rsidR="00685773">
        <w:t>I</w:t>
      </w:r>
      <w:r w:rsidR="00174B39">
        <w:t>nstitutions</w:t>
      </w:r>
      <w:r w:rsidR="003675DB">
        <w:t>. Often, t</w:t>
      </w:r>
      <w:r w:rsidR="00174B39">
        <w:t xml:space="preserve">hey are required </w:t>
      </w:r>
      <w:r w:rsidR="0096599B">
        <w:t xml:space="preserve">to undertake </w:t>
      </w:r>
      <w:r w:rsidR="003675DB">
        <w:t xml:space="preserve">these uses by law or government </w:t>
      </w:r>
      <w:r w:rsidR="00174B39">
        <w:t>policy</w:t>
      </w:r>
      <w:r w:rsidR="00CE28D7" w:rsidRPr="00372B77">
        <w:t>.</w:t>
      </w:r>
      <w:r>
        <w:t xml:space="preserve"> </w:t>
      </w:r>
      <w:r w:rsidR="00D159A9">
        <w:t>We highlighted</w:t>
      </w:r>
      <w:r>
        <w:t xml:space="preserve"> e</w:t>
      </w:r>
      <w:r w:rsidR="00D159A9">
        <w:t xml:space="preserve">xamples </w:t>
      </w:r>
      <w:r w:rsidR="003675DB">
        <w:t xml:space="preserve">they </w:t>
      </w:r>
      <w:r w:rsidR="00CE28D7" w:rsidRPr="00372B77">
        <w:t xml:space="preserve">raised </w:t>
      </w:r>
      <w:r w:rsidR="00D159A9">
        <w:t>in submissions to previous reviews</w:t>
      </w:r>
      <w:r w:rsidR="003675DB">
        <w:t xml:space="preserve">. These </w:t>
      </w:r>
      <w:r w:rsidR="00D159A9">
        <w:t>includ</w:t>
      </w:r>
      <w:r w:rsidR="003675DB">
        <w:t>e</w:t>
      </w:r>
      <w:r w:rsidR="00D159A9">
        <w:t>:</w:t>
      </w:r>
    </w:p>
    <w:p w14:paraId="2678276D" w14:textId="583553B6" w:rsidR="003675DB" w:rsidRDefault="00CE28D7" w:rsidP="0096599B">
      <w:pPr>
        <w:pStyle w:val="ListParagraph"/>
        <w:numPr>
          <w:ilvl w:val="0"/>
          <w:numId w:val="12"/>
        </w:numPr>
      </w:pPr>
      <w:r w:rsidRPr="00372B77">
        <w:t>providing access to collection materials for personal uses beyond research or study (such as for memorabilia purposes)</w:t>
      </w:r>
      <w:r w:rsidR="0096599B">
        <w:t>,</w:t>
      </w:r>
    </w:p>
    <w:p w14:paraId="4A1B8025" w14:textId="10D95CEA" w:rsidR="003675DB" w:rsidRDefault="00D159A9" w:rsidP="0096599B">
      <w:pPr>
        <w:pStyle w:val="ListParagraph"/>
        <w:numPr>
          <w:ilvl w:val="0"/>
          <w:numId w:val="12"/>
        </w:numPr>
      </w:pPr>
      <w:r>
        <w:t xml:space="preserve">using </w:t>
      </w:r>
      <w:r w:rsidR="00CE28D7" w:rsidRPr="00372B77">
        <w:t>collection items in institutions’ exhibitions, public programs and outreach functions (including publications)</w:t>
      </w:r>
      <w:r w:rsidR="0096599B">
        <w:t>,</w:t>
      </w:r>
    </w:p>
    <w:p w14:paraId="73A4F201" w14:textId="2F4059A6" w:rsidR="003675DB" w:rsidRDefault="00174B39" w:rsidP="0096599B">
      <w:pPr>
        <w:pStyle w:val="ListParagraph"/>
        <w:numPr>
          <w:ilvl w:val="0"/>
          <w:numId w:val="12"/>
        </w:numPr>
      </w:pPr>
      <w:r>
        <w:t>allowing remote browsing of collection items on digital databases</w:t>
      </w:r>
      <w:r w:rsidR="003675DB">
        <w:t xml:space="preserve">, </w:t>
      </w:r>
      <w:r w:rsidR="005C2202">
        <w:t xml:space="preserve">and </w:t>
      </w:r>
    </w:p>
    <w:p w14:paraId="64546951" w14:textId="11E603E7" w:rsidR="00CE28D7" w:rsidRPr="00372B77" w:rsidRDefault="005C2202" w:rsidP="0096599B">
      <w:pPr>
        <w:pStyle w:val="ListParagraph"/>
        <w:numPr>
          <w:ilvl w:val="0"/>
          <w:numId w:val="12"/>
        </w:numPr>
      </w:pPr>
      <w:r>
        <w:t xml:space="preserve">allowing institutions to acquire born digital material </w:t>
      </w:r>
      <w:r w:rsidR="00CE28D7" w:rsidRPr="00372B77">
        <w:t>directly</w:t>
      </w:r>
      <w:r>
        <w:t xml:space="preserve"> </w:t>
      </w:r>
      <w:r w:rsidR="00174B39">
        <w:t>for inclusion into the collection.</w:t>
      </w:r>
    </w:p>
    <w:p w14:paraId="107A38E2" w14:textId="516D6E12" w:rsidR="00372B77" w:rsidRPr="00372B77" w:rsidRDefault="003675DB" w:rsidP="00372B77">
      <w:r>
        <w:t>L</w:t>
      </w:r>
      <w:r w:rsidR="00372B77" w:rsidRPr="00372B77">
        <w:t>ibrary r</w:t>
      </w:r>
      <w:r w:rsidR="00CF6E1B">
        <w:t>epresentatives</w:t>
      </w:r>
      <w:r w:rsidR="00372B77" w:rsidRPr="00372B77">
        <w:t xml:space="preserve"> </w:t>
      </w:r>
      <w:r w:rsidR="00D159A9">
        <w:t>n</w:t>
      </w:r>
      <w:r w:rsidR="00667AA6">
        <w:t xml:space="preserve">oted </w:t>
      </w:r>
      <w:r w:rsidR="005C2202">
        <w:t xml:space="preserve">copyright laws </w:t>
      </w:r>
      <w:r>
        <w:t xml:space="preserve">need </w:t>
      </w:r>
      <w:r w:rsidR="00174B39">
        <w:t xml:space="preserve">to have </w:t>
      </w:r>
      <w:r w:rsidR="00372B77" w:rsidRPr="00372B77">
        <w:t>‘</w:t>
      </w:r>
      <w:r w:rsidR="00372B77" w:rsidRPr="00B677B2">
        <w:t>specific’ provisions f</w:t>
      </w:r>
      <w:r w:rsidR="00174B39">
        <w:t xml:space="preserve">or ‘everyday’ activities </w:t>
      </w:r>
      <w:r>
        <w:t xml:space="preserve">and </w:t>
      </w:r>
      <w:r w:rsidR="00174B39">
        <w:t xml:space="preserve">a </w:t>
      </w:r>
      <w:r w:rsidR="00372B77" w:rsidRPr="00B677B2">
        <w:t>‘flexible’ provision for other activities</w:t>
      </w:r>
      <w:r w:rsidR="00174B39">
        <w:t xml:space="preserve"> undertaken by libraries, archives, museums and galleries</w:t>
      </w:r>
      <w:r w:rsidR="00D159A9">
        <w:t xml:space="preserve">. </w:t>
      </w:r>
      <w:r w:rsidR="00372B77" w:rsidRPr="00B677B2">
        <w:t xml:space="preserve">Everyday activities </w:t>
      </w:r>
      <w:r>
        <w:t xml:space="preserve">include </w:t>
      </w:r>
      <w:r w:rsidR="00D159A9">
        <w:t>the preservation</w:t>
      </w:r>
      <w:r w:rsidR="00372B77" w:rsidRPr="00372B77">
        <w:t xml:space="preserve"> and care and control of the collection</w:t>
      </w:r>
      <w:r>
        <w:t xml:space="preserve">, </w:t>
      </w:r>
      <w:r w:rsidR="005B5C7F">
        <w:t xml:space="preserve">supplying </w:t>
      </w:r>
      <w:r w:rsidR="00372B77" w:rsidRPr="00372B77">
        <w:t xml:space="preserve">clients </w:t>
      </w:r>
      <w:r w:rsidR="00D159A9">
        <w:t xml:space="preserve">with </w:t>
      </w:r>
      <w:r w:rsidR="00B677B2">
        <w:t xml:space="preserve">copies and </w:t>
      </w:r>
      <w:r w:rsidR="00D159A9">
        <w:t>direct access to colle</w:t>
      </w:r>
      <w:r w:rsidR="00B677B2">
        <w:t>ction items (document supply)</w:t>
      </w:r>
      <w:r>
        <w:t>,</w:t>
      </w:r>
      <w:r w:rsidR="00D159A9">
        <w:t xml:space="preserve"> </w:t>
      </w:r>
      <w:r w:rsidR="005B5C7F">
        <w:t xml:space="preserve">and </w:t>
      </w:r>
      <w:r w:rsidR="00CF6E1B">
        <w:t xml:space="preserve">supplying copies </w:t>
      </w:r>
      <w:r w:rsidR="005B5C7F">
        <w:t xml:space="preserve">to </w:t>
      </w:r>
      <w:r w:rsidR="00F77C46">
        <w:t>other</w:t>
      </w:r>
      <w:r w:rsidR="005B5C7F">
        <w:t xml:space="preserve"> libraries for their collections </w:t>
      </w:r>
      <w:r w:rsidR="00372B77" w:rsidRPr="00372B77">
        <w:t>(inter-library loans).</w:t>
      </w:r>
    </w:p>
    <w:p w14:paraId="3EAC7C8A" w14:textId="6E249927" w:rsidR="00372B77" w:rsidRPr="00372B77" w:rsidRDefault="003675DB" w:rsidP="0096599B">
      <w:pPr>
        <w:pStyle w:val="Heading4"/>
      </w:pPr>
      <w:r>
        <w:t>F</w:t>
      </w:r>
      <w:r w:rsidR="00A9575F">
        <w:t>lexible exception for library and archive use</w:t>
      </w:r>
    </w:p>
    <w:p w14:paraId="375D905D" w14:textId="55A05148" w:rsidR="00667AA6" w:rsidRDefault="003675DB" w:rsidP="00A06911">
      <w:r>
        <w:t>L</w:t>
      </w:r>
      <w:r w:rsidR="00667AA6">
        <w:t xml:space="preserve">ibrary and archive representatives sought a </w:t>
      </w:r>
      <w:r>
        <w:t xml:space="preserve">flexible </w:t>
      </w:r>
      <w:r w:rsidR="00667AA6">
        <w:t xml:space="preserve">exception that would cover activities </w:t>
      </w:r>
      <w:r>
        <w:t xml:space="preserve">beyond the everyday </w:t>
      </w:r>
      <w:r w:rsidR="00667AA6">
        <w:t xml:space="preserve">preservation, document </w:t>
      </w:r>
      <w:r>
        <w:t xml:space="preserve">supply </w:t>
      </w:r>
      <w:r w:rsidR="00667AA6">
        <w:t>and inter-library loan functions.</w:t>
      </w:r>
    </w:p>
    <w:p w14:paraId="5951471B" w14:textId="1BEC0E96" w:rsidR="00591CCA" w:rsidRDefault="00A06911" w:rsidP="0096599B">
      <w:r>
        <w:t xml:space="preserve">There was a discussion about whether the existing exception for some library and archives </w:t>
      </w:r>
      <w:r w:rsidR="00A9575F">
        <w:t xml:space="preserve">use          </w:t>
      </w:r>
      <w:r>
        <w:t>(s</w:t>
      </w:r>
      <w:r w:rsidR="00A9575F">
        <w:t>ection</w:t>
      </w:r>
      <w:r>
        <w:t xml:space="preserve"> 200AB) could sufficient</w:t>
      </w:r>
      <w:r w:rsidR="003675DB">
        <w:t>ly</w:t>
      </w:r>
      <w:r>
        <w:t xml:space="preserve"> </w:t>
      </w:r>
      <w:r w:rsidR="00CF6E1B">
        <w:t xml:space="preserve">enable </w:t>
      </w:r>
      <w:r>
        <w:t>a broader range of activities outside of the</w:t>
      </w:r>
      <w:r w:rsidR="003675DB">
        <w:t>ir</w:t>
      </w:r>
      <w:r>
        <w:t xml:space="preserve"> everyday </w:t>
      </w:r>
      <w:r w:rsidR="00174B39">
        <w:t>a</w:t>
      </w:r>
      <w:r w:rsidR="00CE28D7">
        <w:t>ctivities.</w:t>
      </w:r>
      <w:r w:rsidR="003675DB">
        <w:t xml:space="preserve"> </w:t>
      </w:r>
      <w:r w:rsidR="003B3553">
        <w:t>The l</w:t>
      </w:r>
      <w:r w:rsidR="00CE28D7">
        <w:t>ibra</w:t>
      </w:r>
      <w:r w:rsidR="003B3553">
        <w:t>ry</w:t>
      </w:r>
      <w:r w:rsidR="003675DB">
        <w:t>,</w:t>
      </w:r>
      <w:r w:rsidR="003B3553">
        <w:t xml:space="preserve"> archive </w:t>
      </w:r>
      <w:r w:rsidR="003675DB">
        <w:t xml:space="preserve">and cultural institution </w:t>
      </w:r>
      <w:r w:rsidR="003B3553">
        <w:t>representatives</w:t>
      </w:r>
      <w:r w:rsidR="00E66B84">
        <w:t xml:space="preserve"> prefer</w:t>
      </w:r>
      <w:r w:rsidR="003675DB">
        <w:t>red</w:t>
      </w:r>
      <w:r w:rsidR="00E66B84">
        <w:t xml:space="preserve"> a new</w:t>
      </w:r>
      <w:r w:rsidR="003675DB">
        <w:t>,</w:t>
      </w:r>
      <w:r w:rsidR="00E66B84">
        <w:t xml:space="preserve"> flexible exception </w:t>
      </w:r>
      <w:r w:rsidR="003675DB">
        <w:t xml:space="preserve">to </w:t>
      </w:r>
      <w:r w:rsidR="00E66B84">
        <w:t>amend</w:t>
      </w:r>
      <w:r w:rsidR="00A9575F">
        <w:t xml:space="preserve">ing </w:t>
      </w:r>
      <w:r w:rsidR="00E66B84">
        <w:t>s</w:t>
      </w:r>
      <w:r w:rsidR="00A9575F">
        <w:t xml:space="preserve">ection 200AB.  They noted </w:t>
      </w:r>
      <w:r w:rsidR="003675DB">
        <w:t xml:space="preserve">institutions took ten years to understand how to use </w:t>
      </w:r>
      <w:r w:rsidR="00A9575F">
        <w:t>section</w:t>
      </w:r>
      <w:r w:rsidR="00E66B84">
        <w:t xml:space="preserve"> 200AB</w:t>
      </w:r>
      <w:r w:rsidR="003675DB">
        <w:t xml:space="preserve">. Even then, many uses could not rely on section 200AB. In their view, it </w:t>
      </w:r>
      <w:r w:rsidR="00E66B84">
        <w:t>was not fit for purpose for modern practices undertaken by institutions</w:t>
      </w:r>
      <w:r w:rsidR="003675DB">
        <w:t xml:space="preserve">. Two modern practices are </w:t>
      </w:r>
      <w:r w:rsidR="00E66B84">
        <w:t xml:space="preserve">providing digital access to collections </w:t>
      </w:r>
      <w:r w:rsidR="003675DB">
        <w:t xml:space="preserve">and undertaking </w:t>
      </w:r>
      <w:r w:rsidR="00E66B84">
        <w:t>co</w:t>
      </w:r>
      <w:r w:rsidR="00591CCA">
        <w:t>llaborative projects. S</w:t>
      </w:r>
      <w:r w:rsidR="00A9575F">
        <w:t>ection</w:t>
      </w:r>
      <w:r w:rsidR="00591CCA">
        <w:t xml:space="preserve"> 200AB </w:t>
      </w:r>
      <w:r w:rsidR="003675DB">
        <w:t xml:space="preserve">has </w:t>
      </w:r>
      <w:r w:rsidR="00591CCA">
        <w:t>limited usefulness</w:t>
      </w:r>
      <w:r w:rsidR="003675DB">
        <w:t xml:space="preserve"> because it is</w:t>
      </w:r>
      <w:r w:rsidR="00591CCA">
        <w:t>:</w:t>
      </w:r>
    </w:p>
    <w:p w14:paraId="4DDB8AF5" w14:textId="39E3E8A7" w:rsidR="00667AA6" w:rsidRDefault="003675DB" w:rsidP="00591CCA">
      <w:pPr>
        <w:pStyle w:val="ListParagraph"/>
        <w:numPr>
          <w:ilvl w:val="0"/>
          <w:numId w:val="10"/>
        </w:numPr>
      </w:pPr>
      <w:r>
        <w:lastRenderedPageBreak/>
        <w:t xml:space="preserve">too </w:t>
      </w:r>
      <w:r w:rsidR="00CE28D7" w:rsidRPr="00CE28D7">
        <w:t>narrow</w:t>
      </w:r>
      <w:r w:rsidR="00667AA6">
        <w:t xml:space="preserve"> –</w:t>
      </w:r>
      <w:r>
        <w:t xml:space="preserve"> </w:t>
      </w:r>
      <w:r w:rsidR="00667AA6">
        <w:t>it c</w:t>
      </w:r>
      <w:r w:rsidR="003B3553">
        <w:t xml:space="preserve">an </w:t>
      </w:r>
      <w:r w:rsidR="005F6750">
        <w:t>on</w:t>
      </w:r>
      <w:r w:rsidR="00667AA6">
        <w:t>ly</w:t>
      </w:r>
      <w:r w:rsidR="003B3553">
        <w:t xml:space="preserve"> </w:t>
      </w:r>
      <w:r w:rsidR="005F6750">
        <w:t>be</w:t>
      </w:r>
      <w:r w:rsidR="00CF6E1B">
        <w:t xml:space="preserve"> </w:t>
      </w:r>
      <w:r w:rsidR="003B3553">
        <w:t>u</w:t>
      </w:r>
      <w:r w:rsidR="00CF6E1B">
        <w:t>s</w:t>
      </w:r>
      <w:r w:rsidR="003B3553">
        <w:t xml:space="preserve">ed </w:t>
      </w:r>
      <w:r>
        <w:t xml:space="preserve">if </w:t>
      </w:r>
      <w:r w:rsidR="003B3553">
        <w:t>no other exception is available</w:t>
      </w:r>
      <w:r>
        <w:t xml:space="preserve">, and it can only be used </w:t>
      </w:r>
      <w:r w:rsidR="005F6750">
        <w:t xml:space="preserve">by </w:t>
      </w:r>
      <w:r w:rsidR="00685773">
        <w:t>institutions</w:t>
      </w:r>
      <w:r w:rsidR="005F6750">
        <w:t xml:space="preserve"> </w:t>
      </w:r>
      <w:r>
        <w:t xml:space="preserve">not their </w:t>
      </w:r>
      <w:r w:rsidR="00667AA6">
        <w:t>clients</w:t>
      </w:r>
      <w:r>
        <w:t xml:space="preserve">, </w:t>
      </w:r>
      <w:r w:rsidR="00667AA6">
        <w:t>patrons</w:t>
      </w:r>
      <w:r>
        <w:t xml:space="preserve"> or collaborators. Also, it only applies to ‘special cases’ </w:t>
      </w:r>
    </w:p>
    <w:p w14:paraId="6D1B5507" w14:textId="6171FB26" w:rsidR="00CF6E1B" w:rsidRDefault="003675DB" w:rsidP="00667AA6">
      <w:pPr>
        <w:pStyle w:val="ListParagraph"/>
        <w:numPr>
          <w:ilvl w:val="0"/>
          <w:numId w:val="10"/>
        </w:numPr>
      </w:pPr>
      <w:r>
        <w:t xml:space="preserve">too </w:t>
      </w:r>
      <w:r w:rsidR="00E66B84">
        <w:t>complex</w:t>
      </w:r>
      <w:r>
        <w:t xml:space="preserve"> </w:t>
      </w:r>
      <w:r w:rsidR="00E66B84">
        <w:t xml:space="preserve">– </w:t>
      </w:r>
      <w:r>
        <w:t xml:space="preserve">for example, users need to apply </w:t>
      </w:r>
      <w:r w:rsidR="003B3553">
        <w:t>the ‘</w:t>
      </w:r>
      <w:r w:rsidR="005F6750">
        <w:t>special case</w:t>
      </w:r>
      <w:r w:rsidR="003B3553">
        <w:t xml:space="preserve">’ requirement </w:t>
      </w:r>
      <w:r>
        <w:t>from the Berne Convention’s ‘three-step test’.</w:t>
      </w:r>
    </w:p>
    <w:p w14:paraId="44F95E41" w14:textId="371F4A4A" w:rsidR="00CE28D7" w:rsidRDefault="00591CCA" w:rsidP="00CF6E1B">
      <w:pPr>
        <w:pStyle w:val="ListParagraph"/>
        <w:numPr>
          <w:ilvl w:val="0"/>
          <w:numId w:val="10"/>
        </w:numPr>
      </w:pPr>
      <w:r>
        <w:t>doesn’t apply</w:t>
      </w:r>
      <w:r w:rsidR="00CF6E1B">
        <w:t xml:space="preserve"> to</w:t>
      </w:r>
      <w:r w:rsidR="003B3553">
        <w:t xml:space="preserve"> Key Cultural </w:t>
      </w:r>
      <w:r w:rsidR="005F6750">
        <w:t>Institutions</w:t>
      </w:r>
      <w:r w:rsidR="00667AA6">
        <w:t xml:space="preserve"> (such as broadcasters)</w:t>
      </w:r>
      <w:r w:rsidR="003B3553">
        <w:t xml:space="preserve">, to the extent that their collection could not </w:t>
      </w:r>
      <w:r w:rsidR="005F6750">
        <w:t>otherwise</w:t>
      </w:r>
      <w:r w:rsidR="003B3553">
        <w:t xml:space="preserve"> be defined as a</w:t>
      </w:r>
      <w:r w:rsidR="005F6750">
        <w:t xml:space="preserve"> </w:t>
      </w:r>
      <w:r w:rsidR="00667AA6">
        <w:t>library or archive</w:t>
      </w:r>
      <w:r w:rsidR="003B3553">
        <w:t xml:space="preserve"> </w:t>
      </w:r>
    </w:p>
    <w:p w14:paraId="1B3C7202" w14:textId="0E807EDB" w:rsidR="003675DB" w:rsidRDefault="00E66B84" w:rsidP="00E66B84">
      <w:pPr>
        <w:pStyle w:val="ListParagraph"/>
        <w:numPr>
          <w:ilvl w:val="0"/>
          <w:numId w:val="10"/>
        </w:numPr>
      </w:pPr>
      <w:r>
        <w:t>inflexible</w:t>
      </w:r>
      <w:r w:rsidR="003675DB">
        <w:t xml:space="preserve"> – it does not apply </w:t>
      </w:r>
      <w:r>
        <w:t>to</w:t>
      </w:r>
      <w:r w:rsidR="00174B39">
        <w:t xml:space="preserve"> </w:t>
      </w:r>
      <w:r w:rsidR="00CE28D7">
        <w:t>activities which may have a commercial ele</w:t>
      </w:r>
      <w:r w:rsidR="00CF6E1B">
        <w:t xml:space="preserve">ment but </w:t>
      </w:r>
      <w:r w:rsidR="003675DB">
        <w:t xml:space="preserve">might still be </w:t>
      </w:r>
      <w:r w:rsidR="00667AA6">
        <w:t>fair</w:t>
      </w:r>
      <w:r w:rsidR="003675DB">
        <w:t>. These include</w:t>
      </w:r>
    </w:p>
    <w:p w14:paraId="32F8D287" w14:textId="49878424" w:rsidR="003675DB" w:rsidRDefault="00CF6E1B" w:rsidP="0096599B">
      <w:pPr>
        <w:pStyle w:val="ListParagraph"/>
        <w:numPr>
          <w:ilvl w:val="1"/>
          <w:numId w:val="10"/>
        </w:numPr>
      </w:pPr>
      <w:r>
        <w:t>us</w:t>
      </w:r>
      <w:r w:rsidR="00667AA6">
        <w:t xml:space="preserve">ing </w:t>
      </w:r>
      <w:r w:rsidR="005F6750">
        <w:t xml:space="preserve">collection materials in social media and in publications </w:t>
      </w:r>
    </w:p>
    <w:p w14:paraId="4C2D918B" w14:textId="4DF9642D" w:rsidR="005F6750" w:rsidRDefault="005F6750" w:rsidP="0096599B">
      <w:pPr>
        <w:pStyle w:val="ListParagraph"/>
        <w:numPr>
          <w:ilvl w:val="1"/>
          <w:numId w:val="10"/>
        </w:numPr>
      </w:pPr>
      <w:r>
        <w:t>curated exhibition catalogues or publications that reproduce collection items</w:t>
      </w:r>
      <w:r w:rsidR="002B59E3">
        <w:t xml:space="preserve"> (</w:t>
      </w:r>
      <w:r>
        <w:t xml:space="preserve">such </w:t>
      </w:r>
      <w:r w:rsidR="00174B39">
        <w:t xml:space="preserve">as </w:t>
      </w:r>
      <w:r w:rsidR="002B59E3">
        <w:t xml:space="preserve">a book of </w:t>
      </w:r>
      <w:r w:rsidR="00174B39">
        <w:t>diaries and letters</w:t>
      </w:r>
      <w:r w:rsidR="002B59E3">
        <w:t xml:space="preserve"> that would be difficult to </w:t>
      </w:r>
      <w:r w:rsidR="00174B39">
        <w:t>view</w:t>
      </w:r>
      <w:r>
        <w:t xml:space="preserve"> in an exhibition </w:t>
      </w:r>
      <w:r w:rsidR="002B59E3">
        <w:t>context)</w:t>
      </w:r>
      <w:r w:rsidR="0096599B">
        <w:t>.</w:t>
      </w:r>
    </w:p>
    <w:p w14:paraId="738C25FD" w14:textId="756896D1" w:rsidR="00372166" w:rsidRDefault="002B59E3" w:rsidP="005F6750">
      <w:r>
        <w:t>In principle, r</w:t>
      </w:r>
      <w:r w:rsidR="00CE28D7">
        <w:t xml:space="preserve">ights holder representatives </w:t>
      </w:r>
      <w:r w:rsidR="00CE28D7" w:rsidRPr="00CE28D7">
        <w:t>support</w:t>
      </w:r>
      <w:r>
        <w:t>ed</w:t>
      </w:r>
      <w:r w:rsidR="00CE28D7" w:rsidRPr="00CE28D7">
        <w:t xml:space="preserve"> making collections more access</w:t>
      </w:r>
      <w:r w:rsidR="00CF6E1B">
        <w:t>ible</w:t>
      </w:r>
      <w:r>
        <w:t>.</w:t>
      </w:r>
      <w:r w:rsidR="00CF6E1B">
        <w:t xml:space="preserve"> </w:t>
      </w:r>
      <w:r>
        <w:t xml:space="preserve">They were </w:t>
      </w:r>
      <w:r w:rsidR="00153FFA">
        <w:t>concern</w:t>
      </w:r>
      <w:r>
        <w:t>ed</w:t>
      </w:r>
      <w:r w:rsidR="00153FFA">
        <w:t xml:space="preserve"> that </w:t>
      </w:r>
      <w:r w:rsidR="00E66B84">
        <w:t xml:space="preserve">a </w:t>
      </w:r>
      <w:r w:rsidR="00153FFA">
        <w:t xml:space="preserve">flexible </w:t>
      </w:r>
      <w:r w:rsidR="00E66B84">
        <w:t xml:space="preserve">exception would </w:t>
      </w:r>
      <w:r>
        <w:t xml:space="preserve">discourage some people from getting copyright permission. They were also concerned that it might weaken the </w:t>
      </w:r>
      <w:r w:rsidR="00E66B84" w:rsidRPr="0094474D">
        <w:t>statutory licence</w:t>
      </w:r>
      <w:r>
        <w:t xml:space="preserve">s for governments, including </w:t>
      </w:r>
      <w:r w:rsidR="00E66B84" w:rsidRPr="0094474D">
        <w:t xml:space="preserve">Commonwealth and state and territory institutions. </w:t>
      </w:r>
      <w:r>
        <w:t>D</w:t>
      </w:r>
      <w:r w:rsidR="00153FFA" w:rsidRPr="00CE28D7">
        <w:t>ownstream use of collection materials</w:t>
      </w:r>
      <w:r>
        <w:t xml:space="preserve"> might also be harmful to rightholders.</w:t>
      </w:r>
      <w:r w:rsidR="00153FFA">
        <w:t xml:space="preserve"> </w:t>
      </w:r>
      <w:r>
        <w:t xml:space="preserve">For example, a cultural institution might provide </w:t>
      </w:r>
      <w:r w:rsidR="00153FFA">
        <w:t xml:space="preserve">works </w:t>
      </w:r>
      <w:r>
        <w:t xml:space="preserve">to its </w:t>
      </w:r>
      <w:r w:rsidR="00153FFA">
        <w:t xml:space="preserve">clients for use </w:t>
      </w:r>
      <w:r>
        <w:t xml:space="preserve">that </w:t>
      </w:r>
      <w:r w:rsidR="00965596">
        <w:t xml:space="preserve">was </w:t>
      </w:r>
      <w:r>
        <w:t xml:space="preserve">not </w:t>
      </w:r>
      <w:r w:rsidR="00153FFA">
        <w:t>research and study, including commercial use</w:t>
      </w:r>
      <w:r w:rsidR="00153FFA" w:rsidRPr="00CE28D7">
        <w:t xml:space="preserve">. </w:t>
      </w:r>
      <w:r w:rsidR="00153FFA">
        <w:t xml:space="preserve">Rights holder representatives </w:t>
      </w:r>
      <w:r w:rsidR="00CF6E1B">
        <w:t>asked for</w:t>
      </w:r>
      <w:r w:rsidR="00CE28D7">
        <w:t xml:space="preserve"> </w:t>
      </w:r>
      <w:r w:rsidR="008E1D35">
        <w:t xml:space="preserve">examples </w:t>
      </w:r>
      <w:r w:rsidR="00CE28D7" w:rsidRPr="00CE28D7">
        <w:t xml:space="preserve">of </w:t>
      </w:r>
      <w:r w:rsidR="008E1D35">
        <w:t xml:space="preserve">uses that would be allowed by a </w:t>
      </w:r>
      <w:r w:rsidR="00153FFA">
        <w:t xml:space="preserve">flexible </w:t>
      </w:r>
      <w:r w:rsidR="00CE28D7" w:rsidRPr="00CE28D7">
        <w:t xml:space="preserve">exception </w:t>
      </w:r>
      <w:r w:rsidR="008E1D35">
        <w:t xml:space="preserve">but not </w:t>
      </w:r>
      <w:r w:rsidR="00CE28D7" w:rsidRPr="00CE28D7">
        <w:t>s</w:t>
      </w:r>
      <w:r w:rsidR="00CF6E1B">
        <w:t>ection</w:t>
      </w:r>
      <w:r w:rsidR="00CE28D7" w:rsidRPr="00CE28D7">
        <w:t xml:space="preserve"> 200AB.</w:t>
      </w:r>
      <w:r w:rsidR="005F6750">
        <w:t xml:space="preserve">  </w:t>
      </w:r>
    </w:p>
    <w:p w14:paraId="006EB390" w14:textId="23B7311C" w:rsidR="00CE28D7" w:rsidRPr="00CE28D7" w:rsidRDefault="005F6750" w:rsidP="005F6750">
      <w:r>
        <w:t xml:space="preserve">There was also discussion around </w:t>
      </w:r>
      <w:r w:rsidR="00CF6E1B">
        <w:t>the types of</w:t>
      </w:r>
      <w:r w:rsidR="00372166">
        <w:t xml:space="preserve"> ‘cor</w:t>
      </w:r>
      <w:r w:rsidR="00CF6E1B">
        <w:t xml:space="preserve">e’ and ‘non-core’ activities </w:t>
      </w:r>
      <w:r w:rsidR="008E1D35">
        <w:t xml:space="preserve">of </w:t>
      </w:r>
      <w:r w:rsidR="00E66B84">
        <w:t>libraries, archives, museums and galleries</w:t>
      </w:r>
      <w:r w:rsidR="008E1D35">
        <w:t xml:space="preserve">. The idea was that core activities are more likely to deserve more access to copyright material. </w:t>
      </w:r>
      <w:r w:rsidR="00E66B84">
        <w:t>R</w:t>
      </w:r>
      <w:r w:rsidR="00CF6E1B">
        <w:t xml:space="preserve">epresentatives </w:t>
      </w:r>
      <w:r w:rsidR="00E66B84">
        <w:t>from these institutions called for a flexible exception</w:t>
      </w:r>
      <w:r w:rsidR="00372166">
        <w:t xml:space="preserve"> </w:t>
      </w:r>
      <w:r w:rsidR="008E1D35">
        <w:t xml:space="preserve">for uses fulfilling their </w:t>
      </w:r>
      <w:r w:rsidR="00372166">
        <w:t>core functions</w:t>
      </w:r>
      <w:r w:rsidR="008E1D35">
        <w:t>. These core function</w:t>
      </w:r>
      <w:r w:rsidR="0096599B">
        <w:t>s</w:t>
      </w:r>
      <w:r w:rsidR="008E1D35">
        <w:t xml:space="preserve"> might be</w:t>
      </w:r>
      <w:r w:rsidR="00372166">
        <w:t xml:space="preserve"> set </w:t>
      </w:r>
      <w:r w:rsidR="00CF6E1B">
        <w:t>out in the</w:t>
      </w:r>
      <w:r w:rsidR="00372166">
        <w:t xml:space="preserve"> </w:t>
      </w:r>
      <w:r w:rsidR="008E1D35">
        <w:t xml:space="preserve">law </w:t>
      </w:r>
      <w:r w:rsidR="00CF6E1B">
        <w:t xml:space="preserve">establishing them </w:t>
      </w:r>
      <w:r w:rsidR="00372166">
        <w:t xml:space="preserve">or </w:t>
      </w:r>
      <w:r w:rsidR="00E66B84">
        <w:t>in their governance framework</w:t>
      </w:r>
      <w:r w:rsidR="00372166">
        <w:t>.</w:t>
      </w:r>
    </w:p>
    <w:p w14:paraId="7A327E8A" w14:textId="6C33F5D6" w:rsidR="00372B77" w:rsidRPr="00372B77" w:rsidRDefault="00372166" w:rsidP="0096599B">
      <w:r>
        <w:t>The</w:t>
      </w:r>
      <w:r w:rsidR="00CF6E1B">
        <w:t xml:space="preserve"> roundtable </w:t>
      </w:r>
      <w:r w:rsidR="008E1D35">
        <w:t xml:space="preserve">agreed use of copyright material should be allowed for </w:t>
      </w:r>
      <w:r w:rsidR="00382EB7">
        <w:t>documenting</w:t>
      </w:r>
      <w:r>
        <w:t xml:space="preserve"> and preserving aspects of Aus</w:t>
      </w:r>
      <w:r w:rsidR="00E66B84">
        <w:t>tralian heritage and culture for future generations</w:t>
      </w:r>
      <w:r w:rsidR="00CF6E1B">
        <w:t xml:space="preserve"> and allowing</w:t>
      </w:r>
      <w:r>
        <w:t xml:space="preserve"> Australians to </w:t>
      </w:r>
      <w:r w:rsidR="008E1D35">
        <w:t xml:space="preserve">experience </w:t>
      </w:r>
      <w:r w:rsidR="00E66B84">
        <w:t xml:space="preserve">items in </w:t>
      </w:r>
      <w:r w:rsidR="008E1D35">
        <w:t xml:space="preserve">these </w:t>
      </w:r>
      <w:r w:rsidR="00E66B84">
        <w:t xml:space="preserve">collections. </w:t>
      </w:r>
      <w:r w:rsidR="008E1D35">
        <w:t xml:space="preserve">The attendees differed on whether to permit </w:t>
      </w:r>
      <w:r>
        <w:t xml:space="preserve">outreach </w:t>
      </w:r>
      <w:r w:rsidR="00382EB7">
        <w:t>projects</w:t>
      </w:r>
      <w:r>
        <w:t xml:space="preserve"> and programs</w:t>
      </w:r>
      <w:r w:rsidR="00E66B84">
        <w:t xml:space="preserve"> undertaken by institutions</w:t>
      </w:r>
      <w:r w:rsidR="0096599B">
        <w:t>.</w:t>
      </w:r>
    </w:p>
    <w:p w14:paraId="671E9AA9" w14:textId="475E4A93" w:rsidR="00A9575F" w:rsidRPr="008D2F6A" w:rsidRDefault="00372166" w:rsidP="00E66B84">
      <w:r>
        <w:t xml:space="preserve">There was discussion around </w:t>
      </w:r>
      <w:r w:rsidR="008E1D35">
        <w:t>which fairness factors should apply if there was an exception.</w:t>
      </w:r>
      <w:r>
        <w:t xml:space="preserve"> Library and archive </w:t>
      </w:r>
      <w:r w:rsidR="00382EB7">
        <w:t>representatives</w:t>
      </w:r>
      <w:r>
        <w:t xml:space="preserve"> </w:t>
      </w:r>
      <w:r w:rsidR="008E1D35">
        <w:t xml:space="preserve">preferred to omit </w:t>
      </w:r>
      <w:r w:rsidRPr="00372B77">
        <w:t>‘</w:t>
      </w:r>
      <w:r w:rsidR="008E1D35">
        <w:t>possibility of obtaining…  within a reasonable time at an ordinary commercial price</w:t>
      </w:r>
      <w:r w:rsidR="0094474D">
        <w:t>’ (the third of the five fairness factors</w:t>
      </w:r>
      <w:r w:rsidR="008E1D35">
        <w:t xml:space="preserve"> from ‘research or study’ exceptions</w:t>
      </w:r>
      <w:r w:rsidR="00655D2D">
        <w:t>)</w:t>
      </w:r>
      <w:r w:rsidR="008E1D35">
        <w:t xml:space="preserve">. This factor </w:t>
      </w:r>
      <w:r w:rsidRPr="00372B77">
        <w:t xml:space="preserve">may </w:t>
      </w:r>
      <w:r w:rsidR="008E1D35">
        <w:t xml:space="preserve">discourage </w:t>
      </w:r>
      <w:r w:rsidR="00CF6E1B">
        <w:t xml:space="preserve">institutions </w:t>
      </w:r>
      <w:r w:rsidR="008E1D35">
        <w:t xml:space="preserve">from pursuing their core functions </w:t>
      </w:r>
      <w:r w:rsidRPr="00372B77">
        <w:t xml:space="preserve">by </w:t>
      </w:r>
      <w:r w:rsidR="008E1D35">
        <w:t>increasing legal risk and financial stress</w:t>
      </w:r>
      <w:r w:rsidR="0094474D">
        <w:t xml:space="preserve">. They </w:t>
      </w:r>
      <w:r w:rsidR="008E1D35">
        <w:t xml:space="preserve">preferred </w:t>
      </w:r>
      <w:r w:rsidR="0094474D">
        <w:t xml:space="preserve">the four fairness factors from the ‘disability access’ </w:t>
      </w:r>
      <w:r w:rsidR="008D2F6A">
        <w:t>exception</w:t>
      </w:r>
      <w:r w:rsidR="0094474D">
        <w:t>.</w:t>
      </w:r>
    </w:p>
    <w:p w14:paraId="07BD470B" w14:textId="075FCBC9" w:rsidR="00E66B84" w:rsidRPr="00A06911" w:rsidRDefault="00E66B84" w:rsidP="0096599B">
      <w:pPr>
        <w:pStyle w:val="Heading4"/>
      </w:pPr>
      <w:r w:rsidRPr="00A06911">
        <w:t xml:space="preserve">Streamlining and modernising existing libraries and archives </w:t>
      </w:r>
      <w:r w:rsidR="00A50362">
        <w:t>exceptions</w:t>
      </w:r>
    </w:p>
    <w:p w14:paraId="4E755DD5" w14:textId="05DDE407" w:rsidR="00153FFA" w:rsidRDefault="00E66B84" w:rsidP="00153FFA">
      <w:pPr>
        <w:spacing w:after="0"/>
        <w:ind w:left="567" w:hanging="567"/>
      </w:pPr>
      <w:r w:rsidRPr="00B677B2">
        <w:t>There was s</w:t>
      </w:r>
      <w:r>
        <w:t>ome discussion around the limitations of</w:t>
      </w:r>
      <w:r w:rsidRPr="00B677B2">
        <w:t xml:space="preserve"> existing </w:t>
      </w:r>
      <w:r w:rsidR="00A50362">
        <w:t>exceptions permitting</w:t>
      </w:r>
      <w:r w:rsidR="00153FFA">
        <w:t xml:space="preserve"> ‘everyday’</w:t>
      </w:r>
    </w:p>
    <w:p w14:paraId="035B2D3E" w14:textId="74A5239E" w:rsidR="00E66B84" w:rsidRDefault="00153FFA" w:rsidP="00A50362">
      <w:pPr>
        <w:spacing w:after="0"/>
      </w:pPr>
      <w:r>
        <w:t>functions of libraries, archives, museums and galleries</w:t>
      </w:r>
      <w:r w:rsidR="00A50362">
        <w:t xml:space="preserve">. Institutions are </w:t>
      </w:r>
      <w:r>
        <w:t>concern</w:t>
      </w:r>
      <w:r w:rsidR="00A50362">
        <w:t>ed exceptions only allow</w:t>
      </w:r>
      <w:r w:rsidR="00E66B84">
        <w:t xml:space="preserve">: </w:t>
      </w:r>
    </w:p>
    <w:p w14:paraId="5BE3587F" w14:textId="3C6E8CC1" w:rsidR="00E66B84" w:rsidRDefault="00A50362" w:rsidP="00E66B84">
      <w:pPr>
        <w:pStyle w:val="ListParagraph"/>
        <w:numPr>
          <w:ilvl w:val="0"/>
          <w:numId w:val="9"/>
        </w:numPr>
      </w:pPr>
      <w:r>
        <w:t xml:space="preserve">delivering works (books, compositions, art) to </w:t>
      </w:r>
      <w:r w:rsidR="00E66B84" w:rsidRPr="00B677B2">
        <w:t xml:space="preserve">clients and other </w:t>
      </w:r>
      <w:r w:rsidR="00153FFA">
        <w:t>libraries for their collections</w:t>
      </w:r>
      <w:r w:rsidR="00E66B84" w:rsidRPr="00B677B2">
        <w:t xml:space="preserve"> </w:t>
      </w:r>
      <w:r>
        <w:t xml:space="preserve">but not </w:t>
      </w:r>
      <w:r w:rsidR="00591CCA">
        <w:t xml:space="preserve"> audio-visual material</w:t>
      </w:r>
      <w:r>
        <w:t xml:space="preserve"> (sound recordings, films, broadcasts). These institutions suggested this could fixed in a similar way to preservation, research and administration provisions for libraries, archives and Key Cultural Institutions (Part IVA, Division 3 of the Copyright Act)</w:t>
      </w:r>
    </w:p>
    <w:p w14:paraId="72538ADA" w14:textId="2F9BCCA2" w:rsidR="00A50362" w:rsidRDefault="00E66B84" w:rsidP="00E66B84">
      <w:pPr>
        <w:pStyle w:val="ListParagraph"/>
        <w:numPr>
          <w:ilvl w:val="0"/>
          <w:numId w:val="9"/>
        </w:numPr>
      </w:pPr>
      <w:r w:rsidRPr="00B677B2">
        <w:t>published works and</w:t>
      </w:r>
      <w:r>
        <w:t xml:space="preserve"> old unpublished materials</w:t>
      </w:r>
      <w:r w:rsidR="00A50362">
        <w:t>, but not published audio-visual material or new unpublished materials</w:t>
      </w:r>
    </w:p>
    <w:p w14:paraId="3BC6EA16" w14:textId="15A3A05B" w:rsidR="00E66B84" w:rsidRDefault="00E66B84" w:rsidP="00E66B84">
      <w:pPr>
        <w:pStyle w:val="ListParagraph"/>
        <w:numPr>
          <w:ilvl w:val="0"/>
          <w:numId w:val="9"/>
        </w:numPr>
      </w:pPr>
      <w:r>
        <w:lastRenderedPageBreak/>
        <w:t>can</w:t>
      </w:r>
      <w:r w:rsidRPr="00B677B2">
        <w:t xml:space="preserve"> be made available to clients for their research</w:t>
      </w:r>
      <w:r>
        <w:t xml:space="preserve"> and study pur</w:t>
      </w:r>
      <w:r w:rsidRPr="00B677B2">
        <w:t>po</w:t>
      </w:r>
      <w:r>
        <w:t>s</w:t>
      </w:r>
      <w:r w:rsidRPr="00B677B2">
        <w:t>es</w:t>
      </w:r>
      <w:r w:rsidR="00A50362">
        <w:t xml:space="preserve">, but </w:t>
      </w:r>
      <w:r w:rsidRPr="00B677B2">
        <w:t>not any other purpose</w:t>
      </w:r>
      <w:r>
        <w:t xml:space="preserve"> (such as</w:t>
      </w:r>
      <w:r w:rsidRPr="00B677B2">
        <w:t xml:space="preserve"> </w:t>
      </w:r>
      <w:r w:rsidR="00153FFA">
        <w:t xml:space="preserve">for </w:t>
      </w:r>
      <w:r w:rsidRPr="00B677B2">
        <w:t>me</w:t>
      </w:r>
      <w:r>
        <w:t>morabilia</w:t>
      </w:r>
      <w:r w:rsidR="00153FFA">
        <w:t>,</w:t>
      </w:r>
      <w:r>
        <w:t xml:space="preserve"> where a direct connection can be established to the material, or to allow the </w:t>
      </w:r>
      <w:r w:rsidR="00591CCA">
        <w:t>institution</w:t>
      </w:r>
      <w:r>
        <w:t xml:space="preserve"> to reproduce the material in an exhibition catalogue). </w:t>
      </w:r>
    </w:p>
    <w:p w14:paraId="6DB29806" w14:textId="4BBE72C4" w:rsidR="00E66B84" w:rsidRDefault="00A50362" w:rsidP="0096599B">
      <w:r>
        <w:t xml:space="preserve">The roundtable also discussed other ways to streamline existing exceptions. Currently, libraries and archives need to provide and keep a lot of </w:t>
      </w:r>
      <w:r w:rsidR="00E66B84" w:rsidRPr="00F77C46">
        <w:t>information</w:t>
      </w:r>
      <w:r w:rsidR="00E66B84">
        <w:t xml:space="preserve"> </w:t>
      </w:r>
      <w:r>
        <w:t xml:space="preserve">for </w:t>
      </w:r>
      <w:r w:rsidR="00E66B84">
        <w:t>library</w:t>
      </w:r>
      <w:r w:rsidR="00E66B84" w:rsidRPr="00F77C46">
        <w:t xml:space="preserve"> requests</w:t>
      </w:r>
      <w:r w:rsidR="00153FFA">
        <w:t xml:space="preserve"> and providing access to collection items</w:t>
      </w:r>
      <w:r w:rsidR="00E66B84" w:rsidRPr="00F77C46">
        <w:t>. The roundtable agreed that there is a need</w:t>
      </w:r>
      <w:r w:rsidR="00E66B84" w:rsidRPr="00372B77">
        <w:t xml:space="preserve"> </w:t>
      </w:r>
      <w:r w:rsidR="00E66B84">
        <w:t>to streamline and modernise these</w:t>
      </w:r>
      <w:r>
        <w:t xml:space="preserve"> requirements</w:t>
      </w:r>
      <w:r w:rsidR="006F41C5">
        <w:t xml:space="preserve"> which are supposed to provide a record of uses but not burden users or rights holders.</w:t>
      </w:r>
    </w:p>
    <w:p w14:paraId="15ECB1C0" w14:textId="77777777" w:rsidR="005D2F1B" w:rsidRDefault="005D2F1B" w:rsidP="00F80126">
      <w:pPr>
        <w:pStyle w:val="Heading3"/>
      </w:pPr>
      <w:r>
        <w:t>Summary and next steps</w:t>
      </w:r>
    </w:p>
    <w:p w14:paraId="1E0FF9D9" w14:textId="1F09DE52" w:rsidR="00CB7FEE" w:rsidRDefault="005D2F1B" w:rsidP="005D2F1B">
      <w:r>
        <w:t xml:space="preserve">We recognised </w:t>
      </w:r>
      <w:r w:rsidR="00340AD3">
        <w:t xml:space="preserve">that </w:t>
      </w:r>
      <w:r>
        <w:t xml:space="preserve">the roundtable showed </w:t>
      </w:r>
      <w:r w:rsidR="00CB7FEE">
        <w:t xml:space="preserve">consensus on streamlining and modernising the existing provisions for libraries and archives. </w:t>
      </w:r>
      <w:r w:rsidR="006A4320">
        <w:t xml:space="preserve">While </w:t>
      </w:r>
      <w:r w:rsidR="006F41C5">
        <w:t xml:space="preserve">the roundtable agreed </w:t>
      </w:r>
      <w:r w:rsidR="00372B77">
        <w:t xml:space="preserve">Australians </w:t>
      </w:r>
      <w:r w:rsidR="006F41C5">
        <w:t xml:space="preserve">could benefit </w:t>
      </w:r>
      <w:r w:rsidR="00372B77">
        <w:t xml:space="preserve">from broader </w:t>
      </w:r>
      <w:r w:rsidR="00CB7FEE">
        <w:t>access to</w:t>
      </w:r>
      <w:r w:rsidR="00655D2D">
        <w:t xml:space="preserve"> cultural and collecting institu</w:t>
      </w:r>
      <w:r w:rsidR="00CB7FEE">
        <w:t>t</w:t>
      </w:r>
      <w:r w:rsidR="00655D2D">
        <w:t>i</w:t>
      </w:r>
      <w:r w:rsidR="00CB7FEE">
        <w:t>ons’</w:t>
      </w:r>
      <w:r w:rsidR="00372B77">
        <w:t xml:space="preserve"> col</w:t>
      </w:r>
      <w:r w:rsidR="00CB7FEE">
        <w:t>l</w:t>
      </w:r>
      <w:r w:rsidR="00372B77">
        <w:t>e</w:t>
      </w:r>
      <w:r w:rsidR="00CB7FEE">
        <w:t>ctions</w:t>
      </w:r>
      <w:r w:rsidR="00372B77">
        <w:t>,</w:t>
      </w:r>
      <w:r w:rsidR="00CB7FEE">
        <w:t xml:space="preserve"> </w:t>
      </w:r>
      <w:r w:rsidR="00372B77">
        <w:t>we acknowledged that was no consensus reached on the merits for, or details of, introducing a flexible exception for use by libraries, a</w:t>
      </w:r>
      <w:r w:rsidR="00655D2D">
        <w:t>rchive</w:t>
      </w:r>
      <w:r w:rsidR="00685773">
        <w:t>s</w:t>
      </w:r>
      <w:r w:rsidR="00655D2D">
        <w:t xml:space="preserve"> and </w:t>
      </w:r>
      <w:r w:rsidR="00685773">
        <w:t>K</w:t>
      </w:r>
      <w:r w:rsidR="00655D2D">
        <w:t xml:space="preserve">ey </w:t>
      </w:r>
      <w:r w:rsidR="00685773">
        <w:t>C</w:t>
      </w:r>
      <w:r w:rsidR="00655D2D">
        <w:t xml:space="preserve">ultural </w:t>
      </w:r>
      <w:r w:rsidR="00685773">
        <w:t>I</w:t>
      </w:r>
      <w:r w:rsidR="00655D2D">
        <w:t>nstitu</w:t>
      </w:r>
      <w:r w:rsidR="00372B77">
        <w:t>t</w:t>
      </w:r>
      <w:r w:rsidR="00655D2D">
        <w:t>i</w:t>
      </w:r>
      <w:r w:rsidR="00372B77">
        <w:t>ons.</w:t>
      </w:r>
    </w:p>
    <w:p w14:paraId="3A49DA92" w14:textId="58A2A0DE" w:rsidR="00414F1E" w:rsidRDefault="005D2F1B" w:rsidP="0094474D">
      <w:r>
        <w:t xml:space="preserve">We committed to come back to stakeholders with </w:t>
      </w:r>
      <w:r w:rsidR="00F1297A">
        <w:t xml:space="preserve">further material </w:t>
      </w:r>
      <w:r>
        <w:t xml:space="preserve">they could take to their members as part of the consultation. This would help us advise government on policy options, the </w:t>
      </w:r>
      <w:r w:rsidR="00685773">
        <w:t xml:space="preserve">pros </w:t>
      </w:r>
      <w:r>
        <w:t>and cons, and the level of consensus between different groups. We asked for submissions by 4 June</w:t>
      </w:r>
      <w:r w:rsidRPr="00FB5660">
        <w:t>. We noted that we planned to appoint an external reference group. This would represent diverse views across copyright and improve the Department’s advice to government.</w:t>
      </w:r>
    </w:p>
    <w:p w14:paraId="15ECB1C2" w14:textId="77777777" w:rsidR="005D2F1B" w:rsidRPr="00F42E25" w:rsidRDefault="005D2F1B" w:rsidP="00F80126">
      <w:pPr>
        <w:pStyle w:val="Heading2"/>
      </w:pPr>
      <w:r w:rsidRPr="00F42E25">
        <w:t>Attendees</w:t>
      </w:r>
    </w:p>
    <w:p w14:paraId="15ECB1C3" w14:textId="77777777" w:rsidR="005D2F1B" w:rsidRDefault="005D2F1B" w:rsidP="005D2F1B">
      <w:r>
        <w:t>The attendees of the roundtable were:</w:t>
      </w:r>
    </w:p>
    <w:p w14:paraId="15ECB1C7" w14:textId="77777777" w:rsidR="005D2F1B" w:rsidRDefault="005D2F1B" w:rsidP="0096599B">
      <w:pPr>
        <w:pStyle w:val="ListParagraph"/>
        <w:numPr>
          <w:ilvl w:val="0"/>
          <w:numId w:val="5"/>
        </w:numPr>
        <w:spacing w:after="0" w:line="259" w:lineRule="auto"/>
        <w:ind w:left="714" w:hanging="357"/>
      </w:pPr>
      <w:r>
        <w:t xml:space="preserve">Libby Baulch, Policy Director, </w:t>
      </w:r>
      <w:r w:rsidRPr="00D84B6D">
        <w:rPr>
          <w:i/>
        </w:rPr>
        <w:t>Copyright Agency</w:t>
      </w:r>
    </w:p>
    <w:p w14:paraId="7C62A48B" w14:textId="4DB70425" w:rsidR="00D84B6D" w:rsidRPr="00E75732" w:rsidRDefault="00D84B6D" w:rsidP="0096599B">
      <w:pPr>
        <w:pStyle w:val="ListParagraph"/>
        <w:numPr>
          <w:ilvl w:val="0"/>
          <w:numId w:val="5"/>
        </w:numPr>
        <w:spacing w:after="0" w:line="259" w:lineRule="auto"/>
        <w:ind w:left="714" w:hanging="357"/>
      </w:pPr>
      <w:r w:rsidRPr="00A9575F">
        <w:t xml:space="preserve">Kate Boesen, </w:t>
      </w:r>
      <w:r>
        <w:t>Reference Librarian</w:t>
      </w:r>
      <w:r w:rsidRPr="00A9575F">
        <w:t xml:space="preserve">, </w:t>
      </w:r>
      <w:r w:rsidRPr="00A9575F">
        <w:rPr>
          <w:i/>
        </w:rPr>
        <w:t>National and State Libraries Australasia</w:t>
      </w:r>
    </w:p>
    <w:p w14:paraId="06584E04" w14:textId="77777777" w:rsidR="00677E6C" w:rsidRPr="00A9575F" w:rsidRDefault="00677E6C" w:rsidP="0096599B">
      <w:pPr>
        <w:pStyle w:val="ListParagraph"/>
        <w:numPr>
          <w:ilvl w:val="0"/>
          <w:numId w:val="5"/>
        </w:numPr>
        <w:spacing w:after="0" w:line="259" w:lineRule="auto"/>
        <w:ind w:left="714" w:hanging="357"/>
      </w:pPr>
      <w:r w:rsidRPr="00A9575F">
        <w:t xml:space="preserve">Jessica Coates, Executive Officer, </w:t>
      </w:r>
      <w:r w:rsidRPr="00A9575F">
        <w:rPr>
          <w:i/>
        </w:rPr>
        <w:t>Australian Digital Alliance</w:t>
      </w:r>
    </w:p>
    <w:p w14:paraId="15ECB1C9" w14:textId="77777777" w:rsidR="005D2F1B" w:rsidRPr="00A9575F" w:rsidRDefault="005D2F1B" w:rsidP="0096599B">
      <w:pPr>
        <w:pStyle w:val="ListParagraph"/>
        <w:numPr>
          <w:ilvl w:val="0"/>
          <w:numId w:val="5"/>
        </w:numPr>
        <w:spacing w:after="0" w:line="259" w:lineRule="auto"/>
        <w:ind w:left="714" w:hanging="357"/>
        <w:rPr>
          <w:i/>
        </w:rPr>
      </w:pPr>
      <w:r>
        <w:t xml:space="preserve">Bronwyn Dowdall, Manager Licensing and Rights, </w:t>
      </w:r>
      <w:r w:rsidRPr="00A9575F">
        <w:rPr>
          <w:i/>
        </w:rPr>
        <w:t>National Film and Sound Archive</w:t>
      </w:r>
    </w:p>
    <w:p w14:paraId="15ECB1CB" w14:textId="77777777" w:rsidR="005D2F1B" w:rsidRDefault="005D2F1B" w:rsidP="0096599B">
      <w:pPr>
        <w:pStyle w:val="ListParagraph"/>
        <w:numPr>
          <w:ilvl w:val="0"/>
          <w:numId w:val="5"/>
        </w:numPr>
        <w:spacing w:after="0" w:line="259" w:lineRule="auto"/>
        <w:ind w:left="714" w:hanging="357"/>
      </w:pPr>
      <w:r>
        <w:t xml:space="preserve">Lucinda Edwards, Legal Counsel, </w:t>
      </w:r>
      <w:r w:rsidRPr="00A9575F">
        <w:rPr>
          <w:i/>
        </w:rPr>
        <w:t>Special Broadcasting Service</w:t>
      </w:r>
    </w:p>
    <w:p w14:paraId="3114E6B0" w14:textId="68A236F5" w:rsidR="005C0B35" w:rsidRDefault="005C0B35" w:rsidP="0096599B">
      <w:pPr>
        <w:pStyle w:val="ListParagraph"/>
        <w:numPr>
          <w:ilvl w:val="0"/>
          <w:numId w:val="5"/>
        </w:numPr>
        <w:spacing w:after="0" w:line="259" w:lineRule="auto"/>
        <w:ind w:left="714" w:hanging="357"/>
        <w:rPr>
          <w:i/>
        </w:rPr>
      </w:pPr>
      <w:r w:rsidRPr="0096599B">
        <w:t>Kate Gilchrist</w:t>
      </w:r>
      <w:r w:rsidR="00A9575F" w:rsidRPr="0096599B">
        <w:t>,</w:t>
      </w:r>
      <w:r w:rsidR="00A9575F">
        <w:rPr>
          <w:rFonts w:ascii="Arial" w:hAnsi="Arial" w:cs="Arial"/>
          <w:color w:val="333333"/>
          <w:sz w:val="20"/>
          <w:szCs w:val="20"/>
          <w:lang w:eastAsia="en-AU"/>
        </w:rPr>
        <w:t xml:space="preserve"> </w:t>
      </w:r>
      <w:r w:rsidR="00A9575F">
        <w:t>Team Leader, Acquisitions &amp; Productions, Legal Services</w:t>
      </w:r>
      <w:r w:rsidR="00A9575F">
        <w:rPr>
          <w:rFonts w:ascii="Arial" w:hAnsi="Arial" w:cs="Arial"/>
          <w:color w:val="333333"/>
          <w:sz w:val="20"/>
          <w:szCs w:val="20"/>
          <w:lang w:eastAsia="en-AU"/>
        </w:rPr>
        <w:t>,</w:t>
      </w:r>
      <w:r>
        <w:rPr>
          <w:rFonts w:ascii="Arial" w:hAnsi="Arial" w:cs="Arial"/>
          <w:color w:val="333333"/>
          <w:sz w:val="20"/>
          <w:szCs w:val="20"/>
          <w:lang w:eastAsia="en-AU"/>
        </w:rPr>
        <w:t xml:space="preserve"> </w:t>
      </w:r>
      <w:r w:rsidRPr="00A9575F">
        <w:rPr>
          <w:i/>
        </w:rPr>
        <w:t>Australian Broadcasting Corporation</w:t>
      </w:r>
    </w:p>
    <w:p w14:paraId="3EDBCD84" w14:textId="77777777" w:rsidR="00677E6C" w:rsidRDefault="00677E6C" w:rsidP="0096599B">
      <w:pPr>
        <w:pStyle w:val="ListParagraph"/>
        <w:numPr>
          <w:ilvl w:val="0"/>
          <w:numId w:val="5"/>
        </w:numPr>
        <w:spacing w:after="0" w:line="259" w:lineRule="auto"/>
        <w:ind w:left="714" w:hanging="357"/>
      </w:pPr>
      <w:r>
        <w:t xml:space="preserve">Simon Lake, CEO, </w:t>
      </w:r>
      <w:r w:rsidRPr="00A9575F">
        <w:rPr>
          <w:i/>
        </w:rPr>
        <w:t>Screenrights</w:t>
      </w:r>
    </w:p>
    <w:p w14:paraId="1423D394" w14:textId="24F7B3BC" w:rsidR="00D84B6D" w:rsidRPr="0096599B" w:rsidRDefault="00D84B6D" w:rsidP="0096599B">
      <w:pPr>
        <w:pStyle w:val="ListParagraph"/>
        <w:numPr>
          <w:ilvl w:val="0"/>
          <w:numId w:val="5"/>
        </w:numPr>
        <w:spacing w:after="0" w:line="259" w:lineRule="auto"/>
        <w:ind w:left="714" w:hanging="357"/>
      </w:pPr>
      <w:r>
        <w:t xml:space="preserve">Grant McAvaney, CEO, </w:t>
      </w:r>
      <w:r w:rsidRPr="00A9575F">
        <w:rPr>
          <w:i/>
        </w:rPr>
        <w:t>Australian Copyright Council</w:t>
      </w:r>
    </w:p>
    <w:p w14:paraId="6A175705" w14:textId="7C66A02D" w:rsidR="00BA69D9" w:rsidRPr="0096599B" w:rsidRDefault="00BA69D9" w:rsidP="0096599B">
      <w:pPr>
        <w:pStyle w:val="ListParagraph"/>
        <w:numPr>
          <w:ilvl w:val="0"/>
          <w:numId w:val="5"/>
        </w:numPr>
        <w:spacing w:after="0" w:line="259" w:lineRule="auto"/>
        <w:ind w:left="714" w:hanging="357"/>
      </w:pPr>
      <w:r w:rsidRPr="00AE51E7">
        <w:t xml:space="preserve">Roxanne Missingham, Executive Committee member, </w:t>
      </w:r>
      <w:r w:rsidRPr="0096599B">
        <w:rPr>
          <w:i/>
        </w:rPr>
        <w:t>Council of Australian University Librarians</w:t>
      </w:r>
    </w:p>
    <w:p w14:paraId="3E5512AC" w14:textId="6C809A0A" w:rsidR="00BA69D9" w:rsidRDefault="00BA69D9" w:rsidP="005D56F1">
      <w:pPr>
        <w:pStyle w:val="Bulletlevel1"/>
        <w:numPr>
          <w:ilvl w:val="0"/>
          <w:numId w:val="0"/>
        </w:numPr>
        <w:spacing w:after="0"/>
        <w:ind w:left="714"/>
      </w:pPr>
    </w:p>
    <w:sectPr w:rsidR="00BA69D9" w:rsidSect="005D2F1B">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71B6C7" w14:textId="77777777" w:rsidR="00CE28D7" w:rsidRDefault="00CE28D7" w:rsidP="002117E6">
      <w:pPr>
        <w:spacing w:after="0"/>
      </w:pPr>
      <w:r>
        <w:separator/>
      </w:r>
    </w:p>
  </w:endnote>
  <w:endnote w:type="continuationSeparator" w:id="0">
    <w:p w14:paraId="5E031716" w14:textId="77777777" w:rsidR="00CE28D7" w:rsidRDefault="00CE28D7" w:rsidP="002117E6">
      <w:pPr>
        <w:spacing w:after="0"/>
      </w:pPr>
      <w:r>
        <w:continuationSeparator/>
      </w:r>
    </w:p>
  </w:endnote>
  <w:endnote w:type="continuationNotice" w:id="1">
    <w:p w14:paraId="31ECA5F9" w14:textId="77777777" w:rsidR="00991B4E" w:rsidRDefault="00991B4E">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ingLiU">
    <w:altName w:val="細明體"/>
    <w:panose1 w:val="02020509000000000000"/>
    <w:charset w:val="88"/>
    <w:family w:val="modern"/>
    <w:pitch w:val="fixed"/>
    <w:sig w:usb0="A00002FF" w:usb1="28CFFCFA" w:usb2="00000016" w:usb3="00000000" w:csb0="00100001"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ECB1E0" w14:textId="77777777" w:rsidR="00CE28D7" w:rsidRDefault="00CE28D7" w:rsidP="001D7905">
    <w:pPr>
      <w:pStyle w:val="Footer"/>
      <w:tabs>
        <w:tab w:val="clear" w:pos="4513"/>
        <w:tab w:val="clear" w:pos="9026"/>
        <w:tab w:val="center" w:pos="4536"/>
        <w:tab w:val="right" w:pos="9498"/>
      </w:tabs>
      <w:ind w:left="-1440" w:right="-613"/>
    </w:pPr>
    <w:r>
      <w:rPr>
        <w:noProof/>
        <w:lang w:eastAsia="en-AU"/>
      </w:rPr>
      <w:drawing>
        <wp:inline distT="0" distB="0" distL="0" distR="0" wp14:anchorId="15ECB1E8" wp14:editId="15ECB1E9">
          <wp:extent cx="7596000" cy="400588"/>
          <wp:effectExtent l="0" t="0" r="0" b="6350"/>
          <wp:docPr id="68" name="Picture 68"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15ECB1E1" w14:textId="77777777" w:rsidR="00CE28D7" w:rsidRPr="0037566A" w:rsidRDefault="00CE28D7" w:rsidP="006A2F0E">
    <w:pPr>
      <w:pStyle w:val="Footer"/>
      <w:tabs>
        <w:tab w:val="clear" w:pos="4513"/>
        <w:tab w:val="clear" w:pos="9026"/>
        <w:tab w:val="center" w:pos="4536"/>
        <w:tab w:val="right" w:pos="9498"/>
      </w:tabs>
      <w:ind w:right="-613"/>
      <w:rPr>
        <w:sz w:val="18"/>
        <w:szCs w:val="18"/>
      </w:rPr>
    </w:pPr>
    <w:r>
      <w:tab/>
    </w:r>
    <w:hyperlink r:id="rId2" w:history="1">
      <w:r w:rsidRPr="0037566A">
        <w:rPr>
          <w:rStyle w:val="Hyperlink"/>
          <w:sz w:val="18"/>
          <w:szCs w:val="18"/>
        </w:rPr>
        <w:t>www.communications.gov.au</w:t>
      </w:r>
    </w:hyperlink>
  </w:p>
  <w:p w14:paraId="15ECB1E2" w14:textId="77777777" w:rsidR="00CE28D7" w:rsidRPr="001D7905" w:rsidRDefault="00CE28D7" w:rsidP="001D7905">
    <w:pPr>
      <w:pStyle w:val="Footer"/>
      <w:tabs>
        <w:tab w:val="clear" w:pos="4513"/>
        <w:tab w:val="clear" w:pos="9026"/>
        <w:tab w:val="center" w:pos="4536"/>
        <w:tab w:val="right" w:pos="9498"/>
      </w:tabs>
      <w:ind w:right="-46"/>
      <w:rPr>
        <w:rStyle w:val="Hyperlink"/>
        <w:color w:val="155589" w:themeColor="text2"/>
        <w:sz w:val="18"/>
        <w:szCs w:val="18"/>
      </w:rPr>
    </w:pPr>
    <w:r>
      <w:rPr>
        <w:color w:val="155589" w:themeColor="text2"/>
        <w:sz w:val="18"/>
        <w:szCs w:val="18"/>
      </w:rPr>
      <w:t>Copyright modernisation consultation</w:t>
    </w:r>
    <w:r w:rsidRPr="001D7905">
      <w:rPr>
        <w:color w:val="155589" w:themeColor="text2"/>
        <w:sz w:val="18"/>
        <w:szCs w:val="18"/>
      </w:rPr>
      <w:tab/>
    </w:r>
    <w:hyperlink r:id="rId3" w:history="1">
      <w:r w:rsidRPr="001D7905">
        <w:rPr>
          <w:rStyle w:val="Hyperlink"/>
          <w:sz w:val="18"/>
          <w:szCs w:val="18"/>
        </w:rPr>
        <w:t>www.arts.gov.au</w:t>
      </w:r>
    </w:hyperlink>
    <w:r w:rsidRPr="001D7905">
      <w:rPr>
        <w:color w:val="155589" w:themeColor="text2"/>
        <w:sz w:val="18"/>
        <w:szCs w:val="18"/>
      </w:rPr>
      <w:tab/>
    </w:r>
    <w:sdt>
      <w:sdtPr>
        <w:rPr>
          <w:color w:val="155589" w:themeColor="text2"/>
          <w:sz w:val="18"/>
          <w:szCs w:val="18"/>
        </w:rPr>
        <w:id w:val="38782915"/>
        <w:docPartObj>
          <w:docPartGallery w:val="Page Numbers (Top of Page)"/>
          <w:docPartUnique/>
        </w:docPartObj>
      </w:sdtPr>
      <w:sdtEndPr/>
      <w:sdtContent>
        <w:r w:rsidRPr="001D7905">
          <w:rPr>
            <w:color w:val="155589" w:themeColor="text2"/>
            <w:sz w:val="18"/>
            <w:szCs w:val="18"/>
          </w:rPr>
          <w:t xml:space="preserve">Page </w:t>
        </w:r>
        <w:r w:rsidRPr="001D7905">
          <w:rPr>
            <w:bCs/>
            <w:color w:val="155589" w:themeColor="text2"/>
            <w:sz w:val="18"/>
            <w:szCs w:val="18"/>
          </w:rPr>
          <w:fldChar w:fldCharType="begin"/>
        </w:r>
        <w:r w:rsidRPr="001D7905">
          <w:rPr>
            <w:bCs/>
            <w:color w:val="155589" w:themeColor="text2"/>
            <w:sz w:val="18"/>
            <w:szCs w:val="18"/>
          </w:rPr>
          <w:instrText xml:space="preserve"> PAGE </w:instrText>
        </w:r>
        <w:r w:rsidRPr="001D7905">
          <w:rPr>
            <w:bCs/>
            <w:color w:val="155589" w:themeColor="text2"/>
            <w:sz w:val="18"/>
            <w:szCs w:val="18"/>
          </w:rPr>
          <w:fldChar w:fldCharType="separate"/>
        </w:r>
        <w:r w:rsidR="00FF7AF5">
          <w:rPr>
            <w:bCs/>
            <w:noProof/>
            <w:color w:val="155589" w:themeColor="text2"/>
            <w:sz w:val="18"/>
            <w:szCs w:val="18"/>
          </w:rPr>
          <w:t>3</w:t>
        </w:r>
        <w:r w:rsidRPr="001D7905">
          <w:rPr>
            <w:bCs/>
            <w:color w:val="155589" w:themeColor="text2"/>
            <w:sz w:val="18"/>
            <w:szCs w:val="18"/>
          </w:rPr>
          <w:fldChar w:fldCharType="end"/>
        </w:r>
        <w:r w:rsidRPr="001D7905">
          <w:rPr>
            <w:color w:val="155589" w:themeColor="text2"/>
            <w:sz w:val="18"/>
            <w:szCs w:val="18"/>
          </w:rPr>
          <w:t xml:space="preserve"> of </w:t>
        </w:r>
        <w:r w:rsidRPr="001D7905">
          <w:rPr>
            <w:bCs/>
            <w:color w:val="155589" w:themeColor="text2"/>
            <w:sz w:val="18"/>
            <w:szCs w:val="18"/>
          </w:rPr>
          <w:fldChar w:fldCharType="begin"/>
        </w:r>
        <w:r w:rsidRPr="001D7905">
          <w:rPr>
            <w:bCs/>
            <w:color w:val="155589" w:themeColor="text2"/>
            <w:sz w:val="18"/>
            <w:szCs w:val="18"/>
          </w:rPr>
          <w:instrText xml:space="preserve"> NUMPAGES  </w:instrText>
        </w:r>
        <w:r w:rsidRPr="001D7905">
          <w:rPr>
            <w:bCs/>
            <w:color w:val="155589" w:themeColor="text2"/>
            <w:sz w:val="18"/>
            <w:szCs w:val="18"/>
          </w:rPr>
          <w:fldChar w:fldCharType="separate"/>
        </w:r>
        <w:r w:rsidR="00FF7AF5">
          <w:rPr>
            <w:bCs/>
            <w:noProof/>
            <w:color w:val="155589" w:themeColor="text2"/>
            <w:sz w:val="18"/>
            <w:szCs w:val="18"/>
          </w:rPr>
          <w:t>3</w:t>
        </w:r>
        <w:r w:rsidRPr="001D7905">
          <w:rPr>
            <w:bCs/>
            <w:color w:val="155589" w:themeColor="text2"/>
            <w:sz w:val="18"/>
            <w:szCs w:val="18"/>
          </w:rPr>
          <w:fldChar w:fldCharType="end"/>
        </w:r>
      </w:sdtContent>
    </w:sdt>
  </w:p>
  <w:p w14:paraId="15ECB1E3" w14:textId="77777777" w:rsidR="00CE28D7" w:rsidRPr="002117E6" w:rsidRDefault="00CE28D7"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ECB1E4" w14:textId="77777777" w:rsidR="00CE28D7" w:rsidRDefault="00CE28D7" w:rsidP="009B7EF0">
    <w:pPr>
      <w:pStyle w:val="Footer"/>
      <w:tabs>
        <w:tab w:val="clear" w:pos="4513"/>
        <w:tab w:val="clear" w:pos="9026"/>
        <w:tab w:val="center" w:pos="4536"/>
        <w:tab w:val="right" w:pos="9498"/>
      </w:tabs>
      <w:ind w:left="-1440" w:right="-613"/>
    </w:pPr>
    <w:r>
      <w:rPr>
        <w:noProof/>
        <w:lang w:eastAsia="en-AU"/>
      </w:rPr>
      <w:drawing>
        <wp:inline distT="0" distB="0" distL="0" distR="0" wp14:anchorId="15ECB1EA" wp14:editId="15ECB1EB">
          <wp:extent cx="7596000" cy="400057"/>
          <wp:effectExtent l="0" t="0" r="0" b="6350"/>
          <wp:docPr id="69" name="Picture 69"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15ECB1E5" w14:textId="77777777" w:rsidR="00CE28D7" w:rsidRPr="0037566A" w:rsidRDefault="00CE28D7" w:rsidP="0094124E">
    <w:pPr>
      <w:pStyle w:val="Footer"/>
      <w:tabs>
        <w:tab w:val="clear" w:pos="4513"/>
        <w:tab w:val="clear" w:pos="9026"/>
        <w:tab w:val="center" w:pos="4536"/>
        <w:tab w:val="right" w:pos="9498"/>
      </w:tabs>
      <w:ind w:right="-613"/>
      <w:rPr>
        <w:sz w:val="18"/>
        <w:szCs w:val="18"/>
      </w:rPr>
    </w:pPr>
    <w:r>
      <w:tab/>
    </w:r>
    <w:hyperlink r:id="rId2" w:history="1">
      <w:r w:rsidRPr="002725BE">
        <w:rPr>
          <w:rStyle w:val="Hyperlink"/>
          <w:sz w:val="18"/>
          <w:szCs w:val="18"/>
        </w:rPr>
        <w:t>www.communications.gov.au</w:t>
      </w:r>
    </w:hyperlink>
  </w:p>
  <w:p w14:paraId="15ECB1E6" w14:textId="77777777" w:rsidR="00CE28D7" w:rsidRPr="002117E6" w:rsidRDefault="00CE28D7" w:rsidP="009B7EF0">
    <w:pPr>
      <w:pStyle w:val="Footer"/>
      <w:tabs>
        <w:tab w:val="clear" w:pos="4513"/>
        <w:tab w:val="clear" w:pos="9026"/>
        <w:tab w:val="center" w:pos="4536"/>
        <w:tab w:val="right" w:pos="9498"/>
      </w:tabs>
      <w:ind w:right="-46"/>
      <w:rPr>
        <w:rStyle w:val="Hyperlink"/>
        <w:color w:val="auto"/>
        <w:sz w:val="18"/>
        <w:szCs w:val="18"/>
      </w:rPr>
    </w:pPr>
    <w:r>
      <w:rPr>
        <w:sz w:val="18"/>
        <w:szCs w:val="18"/>
      </w:rPr>
      <w:t>Copyright modernisation consultation</w:t>
    </w:r>
    <w:r>
      <w:rPr>
        <w:sz w:val="18"/>
        <w:szCs w:val="18"/>
      </w:rPr>
      <w:tab/>
    </w:r>
    <w:hyperlink r:id="rId3" w:history="1">
      <w:r w:rsidRPr="0037566A">
        <w:rPr>
          <w:rStyle w:val="Hyperlink"/>
          <w:sz w:val="18"/>
          <w:szCs w:val="18"/>
        </w:rPr>
        <w:t>www.arts.gov.au</w:t>
      </w:r>
    </w:hyperlink>
    <w:r w:rsidRPr="0037566A">
      <w:rPr>
        <w:sz w:val="18"/>
        <w:szCs w:val="18"/>
      </w:rPr>
      <w:tab/>
    </w:r>
    <w:sdt>
      <w:sdtPr>
        <w:rPr>
          <w:sz w:val="18"/>
          <w:szCs w:val="18"/>
        </w:rPr>
        <w:id w:val="-287442349"/>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FF7AF5">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FF7AF5">
          <w:rPr>
            <w:bCs/>
            <w:noProof/>
            <w:sz w:val="18"/>
            <w:szCs w:val="18"/>
          </w:rPr>
          <w:t>1</w:t>
        </w:r>
        <w:r w:rsidRPr="0037566A">
          <w:rPr>
            <w:bCs/>
            <w:sz w:val="18"/>
            <w:szCs w:val="18"/>
          </w:rPr>
          <w:fldChar w:fldCharType="end"/>
        </w:r>
      </w:sdtContent>
    </w:sdt>
  </w:p>
  <w:p w14:paraId="15ECB1E7" w14:textId="77777777" w:rsidR="00CE28D7" w:rsidRPr="002117E6" w:rsidRDefault="00CE28D7"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E56596C" w14:textId="77777777" w:rsidR="00CE28D7" w:rsidRDefault="00CE28D7" w:rsidP="002117E6">
      <w:pPr>
        <w:spacing w:after="0"/>
      </w:pPr>
      <w:r>
        <w:separator/>
      </w:r>
    </w:p>
  </w:footnote>
  <w:footnote w:type="continuationSeparator" w:id="0">
    <w:p w14:paraId="202765F9" w14:textId="77777777" w:rsidR="00CE28D7" w:rsidRDefault="00CE28D7" w:rsidP="002117E6">
      <w:pPr>
        <w:spacing w:after="0"/>
      </w:pPr>
      <w:r>
        <w:continuationSeparator/>
      </w:r>
    </w:p>
  </w:footnote>
  <w:footnote w:type="continuationNotice" w:id="1">
    <w:p w14:paraId="63F4C18D" w14:textId="77777777" w:rsidR="00991B4E" w:rsidRDefault="00991B4E">
      <w:pPr>
        <w:spacing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ECB1DF" w14:textId="77777777" w:rsidR="00CE28D7" w:rsidRPr="00BC0088" w:rsidRDefault="00CE28D7" w:rsidP="00BC0088">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Pr>
        <w:color w:val="155589"/>
      </w:rPr>
      <w:t>May 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37613"/>
    <w:multiLevelType w:val="hybridMultilevel"/>
    <w:tmpl w:val="2B48B512"/>
    <w:lvl w:ilvl="0" w:tplc="69AC7252">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1AB65CBE"/>
    <w:multiLevelType w:val="hybridMultilevel"/>
    <w:tmpl w:val="39E20E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5F7289C"/>
    <w:multiLevelType w:val="hybridMultilevel"/>
    <w:tmpl w:val="35F8C8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F07701"/>
    <w:multiLevelType w:val="hybridMultilevel"/>
    <w:tmpl w:val="638EC058"/>
    <w:lvl w:ilvl="0" w:tplc="79A05A82">
      <w:start w:val="1"/>
      <w:numFmt w:val="bullet"/>
      <w:lvlText w:val="•"/>
      <w:lvlJc w:val="left"/>
      <w:pPr>
        <w:tabs>
          <w:tab w:val="num" w:pos="720"/>
        </w:tabs>
        <w:ind w:left="720" w:hanging="360"/>
      </w:pPr>
      <w:rPr>
        <w:rFonts w:ascii="Arial" w:hAnsi="Arial" w:hint="default"/>
      </w:rPr>
    </w:lvl>
    <w:lvl w:ilvl="1" w:tplc="B186D65A" w:tentative="1">
      <w:start w:val="1"/>
      <w:numFmt w:val="bullet"/>
      <w:lvlText w:val="•"/>
      <w:lvlJc w:val="left"/>
      <w:pPr>
        <w:tabs>
          <w:tab w:val="num" w:pos="1440"/>
        </w:tabs>
        <w:ind w:left="1440" w:hanging="360"/>
      </w:pPr>
      <w:rPr>
        <w:rFonts w:ascii="Arial" w:hAnsi="Arial" w:hint="default"/>
      </w:rPr>
    </w:lvl>
    <w:lvl w:ilvl="2" w:tplc="EB024AB4" w:tentative="1">
      <w:start w:val="1"/>
      <w:numFmt w:val="bullet"/>
      <w:lvlText w:val="•"/>
      <w:lvlJc w:val="left"/>
      <w:pPr>
        <w:tabs>
          <w:tab w:val="num" w:pos="2160"/>
        </w:tabs>
        <w:ind w:left="2160" w:hanging="360"/>
      </w:pPr>
      <w:rPr>
        <w:rFonts w:ascii="Arial" w:hAnsi="Arial" w:hint="default"/>
      </w:rPr>
    </w:lvl>
    <w:lvl w:ilvl="3" w:tplc="68843106" w:tentative="1">
      <w:start w:val="1"/>
      <w:numFmt w:val="bullet"/>
      <w:lvlText w:val="•"/>
      <w:lvlJc w:val="left"/>
      <w:pPr>
        <w:tabs>
          <w:tab w:val="num" w:pos="2880"/>
        </w:tabs>
        <w:ind w:left="2880" w:hanging="360"/>
      </w:pPr>
      <w:rPr>
        <w:rFonts w:ascii="Arial" w:hAnsi="Arial" w:hint="default"/>
      </w:rPr>
    </w:lvl>
    <w:lvl w:ilvl="4" w:tplc="03BA44D8" w:tentative="1">
      <w:start w:val="1"/>
      <w:numFmt w:val="bullet"/>
      <w:lvlText w:val="•"/>
      <w:lvlJc w:val="left"/>
      <w:pPr>
        <w:tabs>
          <w:tab w:val="num" w:pos="3600"/>
        </w:tabs>
        <w:ind w:left="3600" w:hanging="360"/>
      </w:pPr>
      <w:rPr>
        <w:rFonts w:ascii="Arial" w:hAnsi="Arial" w:hint="default"/>
      </w:rPr>
    </w:lvl>
    <w:lvl w:ilvl="5" w:tplc="617EB0C0" w:tentative="1">
      <w:start w:val="1"/>
      <w:numFmt w:val="bullet"/>
      <w:lvlText w:val="•"/>
      <w:lvlJc w:val="left"/>
      <w:pPr>
        <w:tabs>
          <w:tab w:val="num" w:pos="4320"/>
        </w:tabs>
        <w:ind w:left="4320" w:hanging="360"/>
      </w:pPr>
      <w:rPr>
        <w:rFonts w:ascii="Arial" w:hAnsi="Arial" w:hint="default"/>
      </w:rPr>
    </w:lvl>
    <w:lvl w:ilvl="6" w:tplc="48BE02B8" w:tentative="1">
      <w:start w:val="1"/>
      <w:numFmt w:val="bullet"/>
      <w:lvlText w:val="•"/>
      <w:lvlJc w:val="left"/>
      <w:pPr>
        <w:tabs>
          <w:tab w:val="num" w:pos="5040"/>
        </w:tabs>
        <w:ind w:left="5040" w:hanging="360"/>
      </w:pPr>
      <w:rPr>
        <w:rFonts w:ascii="Arial" w:hAnsi="Arial" w:hint="default"/>
      </w:rPr>
    </w:lvl>
    <w:lvl w:ilvl="7" w:tplc="C9BCD7E6" w:tentative="1">
      <w:start w:val="1"/>
      <w:numFmt w:val="bullet"/>
      <w:lvlText w:val="•"/>
      <w:lvlJc w:val="left"/>
      <w:pPr>
        <w:tabs>
          <w:tab w:val="num" w:pos="5760"/>
        </w:tabs>
        <w:ind w:left="5760" w:hanging="360"/>
      </w:pPr>
      <w:rPr>
        <w:rFonts w:ascii="Arial" w:hAnsi="Arial" w:hint="default"/>
      </w:rPr>
    </w:lvl>
    <w:lvl w:ilvl="8" w:tplc="1292E72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E2327A1"/>
    <w:multiLevelType w:val="hybridMultilevel"/>
    <w:tmpl w:val="13FAA064"/>
    <w:lvl w:ilvl="0" w:tplc="8FC89836">
      <w:start w:val="1"/>
      <w:numFmt w:val="bullet"/>
      <w:lvlText w:val="•"/>
      <w:lvlJc w:val="left"/>
      <w:pPr>
        <w:tabs>
          <w:tab w:val="num" w:pos="720"/>
        </w:tabs>
        <w:ind w:left="720" w:hanging="360"/>
      </w:pPr>
      <w:rPr>
        <w:rFonts w:ascii="Arial" w:hAnsi="Arial" w:hint="default"/>
      </w:rPr>
    </w:lvl>
    <w:lvl w:ilvl="1" w:tplc="EBE434CC">
      <w:start w:val="53"/>
      <w:numFmt w:val="bullet"/>
      <w:lvlText w:val="o"/>
      <w:lvlJc w:val="left"/>
      <w:pPr>
        <w:tabs>
          <w:tab w:val="num" w:pos="1440"/>
        </w:tabs>
        <w:ind w:left="1440" w:hanging="360"/>
      </w:pPr>
      <w:rPr>
        <w:rFonts w:ascii="Courier New" w:hAnsi="Courier New" w:hint="default"/>
      </w:rPr>
    </w:lvl>
    <w:lvl w:ilvl="2" w:tplc="E8F82196" w:tentative="1">
      <w:start w:val="1"/>
      <w:numFmt w:val="bullet"/>
      <w:lvlText w:val="•"/>
      <w:lvlJc w:val="left"/>
      <w:pPr>
        <w:tabs>
          <w:tab w:val="num" w:pos="2160"/>
        </w:tabs>
        <w:ind w:left="2160" w:hanging="360"/>
      </w:pPr>
      <w:rPr>
        <w:rFonts w:ascii="Arial" w:hAnsi="Arial" w:hint="default"/>
      </w:rPr>
    </w:lvl>
    <w:lvl w:ilvl="3" w:tplc="EC3A07FE" w:tentative="1">
      <w:start w:val="1"/>
      <w:numFmt w:val="bullet"/>
      <w:lvlText w:val="•"/>
      <w:lvlJc w:val="left"/>
      <w:pPr>
        <w:tabs>
          <w:tab w:val="num" w:pos="2880"/>
        </w:tabs>
        <w:ind w:left="2880" w:hanging="360"/>
      </w:pPr>
      <w:rPr>
        <w:rFonts w:ascii="Arial" w:hAnsi="Arial" w:hint="default"/>
      </w:rPr>
    </w:lvl>
    <w:lvl w:ilvl="4" w:tplc="FAD20D46" w:tentative="1">
      <w:start w:val="1"/>
      <w:numFmt w:val="bullet"/>
      <w:lvlText w:val="•"/>
      <w:lvlJc w:val="left"/>
      <w:pPr>
        <w:tabs>
          <w:tab w:val="num" w:pos="3600"/>
        </w:tabs>
        <w:ind w:left="3600" w:hanging="360"/>
      </w:pPr>
      <w:rPr>
        <w:rFonts w:ascii="Arial" w:hAnsi="Arial" w:hint="default"/>
      </w:rPr>
    </w:lvl>
    <w:lvl w:ilvl="5" w:tplc="BC302C34" w:tentative="1">
      <w:start w:val="1"/>
      <w:numFmt w:val="bullet"/>
      <w:lvlText w:val="•"/>
      <w:lvlJc w:val="left"/>
      <w:pPr>
        <w:tabs>
          <w:tab w:val="num" w:pos="4320"/>
        </w:tabs>
        <w:ind w:left="4320" w:hanging="360"/>
      </w:pPr>
      <w:rPr>
        <w:rFonts w:ascii="Arial" w:hAnsi="Arial" w:hint="default"/>
      </w:rPr>
    </w:lvl>
    <w:lvl w:ilvl="6" w:tplc="553A021E" w:tentative="1">
      <w:start w:val="1"/>
      <w:numFmt w:val="bullet"/>
      <w:lvlText w:val="•"/>
      <w:lvlJc w:val="left"/>
      <w:pPr>
        <w:tabs>
          <w:tab w:val="num" w:pos="5040"/>
        </w:tabs>
        <w:ind w:left="5040" w:hanging="360"/>
      </w:pPr>
      <w:rPr>
        <w:rFonts w:ascii="Arial" w:hAnsi="Arial" w:hint="default"/>
      </w:rPr>
    </w:lvl>
    <w:lvl w:ilvl="7" w:tplc="7BE8CEFC" w:tentative="1">
      <w:start w:val="1"/>
      <w:numFmt w:val="bullet"/>
      <w:lvlText w:val="•"/>
      <w:lvlJc w:val="left"/>
      <w:pPr>
        <w:tabs>
          <w:tab w:val="num" w:pos="5760"/>
        </w:tabs>
        <w:ind w:left="5760" w:hanging="360"/>
      </w:pPr>
      <w:rPr>
        <w:rFonts w:ascii="Arial" w:hAnsi="Arial" w:hint="default"/>
      </w:rPr>
    </w:lvl>
    <w:lvl w:ilvl="8" w:tplc="3CCA766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E9428CA"/>
    <w:multiLevelType w:val="hybridMultilevel"/>
    <w:tmpl w:val="134A5E18"/>
    <w:lvl w:ilvl="0" w:tplc="4B624EF4">
      <w:start w:val="1"/>
      <w:numFmt w:val="bullet"/>
      <w:lvlText w:val="•"/>
      <w:lvlJc w:val="left"/>
      <w:pPr>
        <w:tabs>
          <w:tab w:val="num" w:pos="720"/>
        </w:tabs>
        <w:ind w:left="720" w:hanging="360"/>
      </w:pPr>
      <w:rPr>
        <w:rFonts w:ascii="Arial" w:hAnsi="Arial" w:hint="default"/>
      </w:rPr>
    </w:lvl>
    <w:lvl w:ilvl="1" w:tplc="7D581C54" w:tentative="1">
      <w:start w:val="1"/>
      <w:numFmt w:val="bullet"/>
      <w:lvlText w:val="•"/>
      <w:lvlJc w:val="left"/>
      <w:pPr>
        <w:tabs>
          <w:tab w:val="num" w:pos="1440"/>
        </w:tabs>
        <w:ind w:left="1440" w:hanging="360"/>
      </w:pPr>
      <w:rPr>
        <w:rFonts w:ascii="Arial" w:hAnsi="Arial" w:hint="default"/>
      </w:rPr>
    </w:lvl>
    <w:lvl w:ilvl="2" w:tplc="11007230" w:tentative="1">
      <w:start w:val="1"/>
      <w:numFmt w:val="bullet"/>
      <w:lvlText w:val="•"/>
      <w:lvlJc w:val="left"/>
      <w:pPr>
        <w:tabs>
          <w:tab w:val="num" w:pos="2160"/>
        </w:tabs>
        <w:ind w:left="2160" w:hanging="360"/>
      </w:pPr>
      <w:rPr>
        <w:rFonts w:ascii="Arial" w:hAnsi="Arial" w:hint="default"/>
      </w:rPr>
    </w:lvl>
    <w:lvl w:ilvl="3" w:tplc="FD08EA78" w:tentative="1">
      <w:start w:val="1"/>
      <w:numFmt w:val="bullet"/>
      <w:lvlText w:val="•"/>
      <w:lvlJc w:val="left"/>
      <w:pPr>
        <w:tabs>
          <w:tab w:val="num" w:pos="2880"/>
        </w:tabs>
        <w:ind w:left="2880" w:hanging="360"/>
      </w:pPr>
      <w:rPr>
        <w:rFonts w:ascii="Arial" w:hAnsi="Arial" w:hint="default"/>
      </w:rPr>
    </w:lvl>
    <w:lvl w:ilvl="4" w:tplc="A2540C52" w:tentative="1">
      <w:start w:val="1"/>
      <w:numFmt w:val="bullet"/>
      <w:lvlText w:val="•"/>
      <w:lvlJc w:val="left"/>
      <w:pPr>
        <w:tabs>
          <w:tab w:val="num" w:pos="3600"/>
        </w:tabs>
        <w:ind w:left="3600" w:hanging="360"/>
      </w:pPr>
      <w:rPr>
        <w:rFonts w:ascii="Arial" w:hAnsi="Arial" w:hint="default"/>
      </w:rPr>
    </w:lvl>
    <w:lvl w:ilvl="5" w:tplc="290890C8" w:tentative="1">
      <w:start w:val="1"/>
      <w:numFmt w:val="bullet"/>
      <w:lvlText w:val="•"/>
      <w:lvlJc w:val="left"/>
      <w:pPr>
        <w:tabs>
          <w:tab w:val="num" w:pos="4320"/>
        </w:tabs>
        <w:ind w:left="4320" w:hanging="360"/>
      </w:pPr>
      <w:rPr>
        <w:rFonts w:ascii="Arial" w:hAnsi="Arial" w:hint="default"/>
      </w:rPr>
    </w:lvl>
    <w:lvl w:ilvl="6" w:tplc="DF42723C" w:tentative="1">
      <w:start w:val="1"/>
      <w:numFmt w:val="bullet"/>
      <w:lvlText w:val="•"/>
      <w:lvlJc w:val="left"/>
      <w:pPr>
        <w:tabs>
          <w:tab w:val="num" w:pos="5040"/>
        </w:tabs>
        <w:ind w:left="5040" w:hanging="360"/>
      </w:pPr>
      <w:rPr>
        <w:rFonts w:ascii="Arial" w:hAnsi="Arial" w:hint="default"/>
      </w:rPr>
    </w:lvl>
    <w:lvl w:ilvl="7" w:tplc="CA3C1D70" w:tentative="1">
      <w:start w:val="1"/>
      <w:numFmt w:val="bullet"/>
      <w:lvlText w:val="•"/>
      <w:lvlJc w:val="left"/>
      <w:pPr>
        <w:tabs>
          <w:tab w:val="num" w:pos="5760"/>
        </w:tabs>
        <w:ind w:left="5760" w:hanging="360"/>
      </w:pPr>
      <w:rPr>
        <w:rFonts w:ascii="Arial" w:hAnsi="Arial" w:hint="default"/>
      </w:rPr>
    </w:lvl>
    <w:lvl w:ilvl="8" w:tplc="B13E1B4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35611635"/>
    <w:multiLevelType w:val="hybridMultilevel"/>
    <w:tmpl w:val="3B3264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84745DE"/>
    <w:multiLevelType w:val="hybridMultilevel"/>
    <w:tmpl w:val="36189C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FA14EEF"/>
    <w:multiLevelType w:val="hybridMultilevel"/>
    <w:tmpl w:val="F182A6C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2"/>
  </w:num>
  <w:num w:numId="2">
    <w:abstractNumId w:val="10"/>
  </w:num>
  <w:num w:numId="3">
    <w:abstractNumId w:val="0"/>
  </w:num>
  <w:num w:numId="4">
    <w:abstractNumId w:val="7"/>
  </w:num>
  <w:num w:numId="5">
    <w:abstractNumId w:val="3"/>
  </w:num>
  <w:num w:numId="6">
    <w:abstractNumId w:val="4"/>
  </w:num>
  <w:num w:numId="7">
    <w:abstractNumId w:val="5"/>
  </w:num>
  <w:num w:numId="8">
    <w:abstractNumId w:val="6"/>
  </w:num>
  <w:num w:numId="9">
    <w:abstractNumId w:val="8"/>
  </w:num>
  <w:num w:numId="10">
    <w:abstractNumId w:val="9"/>
  </w:num>
  <w:num w:numId="11">
    <w:abstractNumId w:val="0"/>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ttachedTemplate r:id="rId1"/>
  <w:stylePaneFormatFilter w:val="3828" w:allStyles="0" w:customStyles="0" w:latentStyles="0" w:stylesInUse="1" w:headingStyles="1" w:numberingStyles="0" w:tableStyles="0" w:directFormattingOnRuns="0" w:directFormattingOnParagraphs="0" w:directFormattingOnNumbering="0" w:directFormattingOnTables="1" w:clearFormatting="1" w:top3HeadingStyles="1" w:visibleStyles="0" w:alternateStyleNames="0"/>
  <w:stylePaneSortMethod w:val="0000"/>
  <w:revisionView w:inkAnnotations="0"/>
  <w:trackRevisions/>
  <w:defaultTabStop w:val="720"/>
  <w:drawingGridHorizontalSpacing w:val="110"/>
  <w:displayHorizontalDrawingGridEvery w:val="2"/>
  <w:displayVerticalDrawingGridEvery w:val="2"/>
  <w:characterSpacingControl w:val="doNotCompress"/>
  <w:hdrShapeDefaults>
    <o:shapedefaults v:ext="edit" spidmax="3072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0088"/>
    <w:rsid w:val="0007081E"/>
    <w:rsid w:val="000A583E"/>
    <w:rsid w:val="000C0C71"/>
    <w:rsid w:val="00104081"/>
    <w:rsid w:val="00111A64"/>
    <w:rsid w:val="001471EA"/>
    <w:rsid w:val="001472FC"/>
    <w:rsid w:val="00153FFA"/>
    <w:rsid w:val="0016572F"/>
    <w:rsid w:val="001736CC"/>
    <w:rsid w:val="00174B39"/>
    <w:rsid w:val="00185E9F"/>
    <w:rsid w:val="0019701B"/>
    <w:rsid w:val="001D7905"/>
    <w:rsid w:val="0020158C"/>
    <w:rsid w:val="002117E6"/>
    <w:rsid w:val="00232D2D"/>
    <w:rsid w:val="002408B8"/>
    <w:rsid w:val="00293DD6"/>
    <w:rsid w:val="002B51C8"/>
    <w:rsid w:val="002B59E3"/>
    <w:rsid w:val="002C7428"/>
    <w:rsid w:val="002F3895"/>
    <w:rsid w:val="00314B4B"/>
    <w:rsid w:val="00326C4C"/>
    <w:rsid w:val="00327F06"/>
    <w:rsid w:val="00335334"/>
    <w:rsid w:val="00336DDD"/>
    <w:rsid w:val="00340AD3"/>
    <w:rsid w:val="00346DCA"/>
    <w:rsid w:val="0036046D"/>
    <w:rsid w:val="003675DB"/>
    <w:rsid w:val="00372166"/>
    <w:rsid w:val="00372B77"/>
    <w:rsid w:val="00381364"/>
    <w:rsid w:val="00382EB7"/>
    <w:rsid w:val="003B3553"/>
    <w:rsid w:val="003B5B1D"/>
    <w:rsid w:val="003D4D9A"/>
    <w:rsid w:val="003E61F8"/>
    <w:rsid w:val="003F495D"/>
    <w:rsid w:val="00400E77"/>
    <w:rsid w:val="00414F1E"/>
    <w:rsid w:val="00450D6E"/>
    <w:rsid w:val="004A1501"/>
    <w:rsid w:val="004B77B5"/>
    <w:rsid w:val="004C1408"/>
    <w:rsid w:val="004C209A"/>
    <w:rsid w:val="004E608C"/>
    <w:rsid w:val="00502D07"/>
    <w:rsid w:val="00507CB9"/>
    <w:rsid w:val="00544465"/>
    <w:rsid w:val="00561190"/>
    <w:rsid w:val="00565B47"/>
    <w:rsid w:val="00575A5A"/>
    <w:rsid w:val="005838B4"/>
    <w:rsid w:val="00591CCA"/>
    <w:rsid w:val="005932D0"/>
    <w:rsid w:val="00597F9B"/>
    <w:rsid w:val="005A7320"/>
    <w:rsid w:val="005B243E"/>
    <w:rsid w:val="005B5C7F"/>
    <w:rsid w:val="005C0B35"/>
    <w:rsid w:val="005C2202"/>
    <w:rsid w:val="005D2F1B"/>
    <w:rsid w:val="005D56F1"/>
    <w:rsid w:val="005F6750"/>
    <w:rsid w:val="0061446D"/>
    <w:rsid w:val="00625397"/>
    <w:rsid w:val="00625C88"/>
    <w:rsid w:val="0064138E"/>
    <w:rsid w:val="00655D2D"/>
    <w:rsid w:val="00667AA6"/>
    <w:rsid w:val="00677E6C"/>
    <w:rsid w:val="00685773"/>
    <w:rsid w:val="006A2F0E"/>
    <w:rsid w:val="006A4320"/>
    <w:rsid w:val="006B3AB1"/>
    <w:rsid w:val="006D4E7A"/>
    <w:rsid w:val="006F06FD"/>
    <w:rsid w:val="006F41C5"/>
    <w:rsid w:val="00705B86"/>
    <w:rsid w:val="00726E0C"/>
    <w:rsid w:val="00751E41"/>
    <w:rsid w:val="00753BB6"/>
    <w:rsid w:val="007A553C"/>
    <w:rsid w:val="007C612D"/>
    <w:rsid w:val="007C6709"/>
    <w:rsid w:val="007D3FB0"/>
    <w:rsid w:val="007E4F92"/>
    <w:rsid w:val="008169A6"/>
    <w:rsid w:val="00834DE8"/>
    <w:rsid w:val="008646E6"/>
    <w:rsid w:val="00866475"/>
    <w:rsid w:val="008A4B1F"/>
    <w:rsid w:val="008D2F6A"/>
    <w:rsid w:val="008D4E53"/>
    <w:rsid w:val="008E1D35"/>
    <w:rsid w:val="008E5417"/>
    <w:rsid w:val="009172F5"/>
    <w:rsid w:val="009313D2"/>
    <w:rsid w:val="0094124E"/>
    <w:rsid w:val="0094474D"/>
    <w:rsid w:val="00965596"/>
    <w:rsid w:val="0096599B"/>
    <w:rsid w:val="009745AE"/>
    <w:rsid w:val="009764DC"/>
    <w:rsid w:val="00991B4E"/>
    <w:rsid w:val="009A7D1C"/>
    <w:rsid w:val="009B7EF0"/>
    <w:rsid w:val="009E12E4"/>
    <w:rsid w:val="00A06911"/>
    <w:rsid w:val="00A22246"/>
    <w:rsid w:val="00A241FE"/>
    <w:rsid w:val="00A35CD0"/>
    <w:rsid w:val="00A47F94"/>
    <w:rsid w:val="00A50362"/>
    <w:rsid w:val="00A57419"/>
    <w:rsid w:val="00A606B1"/>
    <w:rsid w:val="00A9575F"/>
    <w:rsid w:val="00A9710A"/>
    <w:rsid w:val="00AE4F02"/>
    <w:rsid w:val="00B049A4"/>
    <w:rsid w:val="00B07294"/>
    <w:rsid w:val="00B1045C"/>
    <w:rsid w:val="00B21F55"/>
    <w:rsid w:val="00B43C56"/>
    <w:rsid w:val="00B55747"/>
    <w:rsid w:val="00B63E45"/>
    <w:rsid w:val="00B677B2"/>
    <w:rsid w:val="00BA0A5A"/>
    <w:rsid w:val="00BA15E9"/>
    <w:rsid w:val="00BA69D9"/>
    <w:rsid w:val="00BC0088"/>
    <w:rsid w:val="00BC329E"/>
    <w:rsid w:val="00BC7A00"/>
    <w:rsid w:val="00BC7D72"/>
    <w:rsid w:val="00BD365B"/>
    <w:rsid w:val="00BE7E66"/>
    <w:rsid w:val="00C16794"/>
    <w:rsid w:val="00C240E2"/>
    <w:rsid w:val="00C26B5F"/>
    <w:rsid w:val="00C5433C"/>
    <w:rsid w:val="00C54820"/>
    <w:rsid w:val="00CA31DF"/>
    <w:rsid w:val="00CB7FEE"/>
    <w:rsid w:val="00CC75CC"/>
    <w:rsid w:val="00CE28D7"/>
    <w:rsid w:val="00CF6E1B"/>
    <w:rsid w:val="00D03AE2"/>
    <w:rsid w:val="00D042B6"/>
    <w:rsid w:val="00D159A9"/>
    <w:rsid w:val="00D7412D"/>
    <w:rsid w:val="00D84B6D"/>
    <w:rsid w:val="00D92957"/>
    <w:rsid w:val="00DC2DFA"/>
    <w:rsid w:val="00DD5D52"/>
    <w:rsid w:val="00DF7D3B"/>
    <w:rsid w:val="00E012DA"/>
    <w:rsid w:val="00E66B84"/>
    <w:rsid w:val="00E97404"/>
    <w:rsid w:val="00EA1908"/>
    <w:rsid w:val="00EA2F26"/>
    <w:rsid w:val="00EA5BA4"/>
    <w:rsid w:val="00EA6D34"/>
    <w:rsid w:val="00EB40A5"/>
    <w:rsid w:val="00EF5E08"/>
    <w:rsid w:val="00F1297A"/>
    <w:rsid w:val="00F25718"/>
    <w:rsid w:val="00F3567E"/>
    <w:rsid w:val="00F408EE"/>
    <w:rsid w:val="00F7051B"/>
    <w:rsid w:val="00F77C46"/>
    <w:rsid w:val="00F80126"/>
    <w:rsid w:val="00FE09AA"/>
    <w:rsid w:val="00FE5AB6"/>
    <w:rsid w:val="00FE7561"/>
    <w:rsid w:val="00FE770B"/>
    <w:rsid w:val="00FF7AF5"/>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15ECB1B2"/>
  <w15:chartTrackingRefBased/>
  <w15:docId w15:val="{E89D1BB7-71AE-413B-ACE4-DFECA992A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2F26"/>
    <w:pPr>
      <w:spacing w:after="200" w:line="240" w:lineRule="auto"/>
    </w:pPr>
  </w:style>
  <w:style w:type="paragraph" w:styleId="Heading1">
    <w:name w:val="heading 1"/>
    <w:basedOn w:val="Normal"/>
    <w:next w:val="Normal"/>
    <w:link w:val="Heading1Char"/>
    <w:uiPriority w:val="9"/>
    <w:qFormat/>
    <w:rsid w:val="00F25718"/>
    <w:pPr>
      <w:keepNext/>
      <w:spacing w:before="240" w:after="240"/>
      <w:outlineLvl w:val="0"/>
    </w:pPr>
    <w:rPr>
      <w:rFonts w:asciiTheme="majorHAnsi" w:eastAsiaTheme="majorEastAsia" w:hAnsiTheme="majorHAnsi" w:cstheme="majorBidi"/>
      <w:b/>
      <w:color w:val="001C40"/>
      <w:sz w:val="48"/>
      <w:szCs w:val="32"/>
      <w:lang w:eastAsia="en-US"/>
    </w:rPr>
  </w:style>
  <w:style w:type="paragraph" w:styleId="Heading2">
    <w:name w:val="heading 2"/>
    <w:basedOn w:val="Normal"/>
    <w:next w:val="Normal"/>
    <w:link w:val="Heading2Char"/>
    <w:uiPriority w:val="9"/>
    <w:unhideWhenUsed/>
    <w:qFormat/>
    <w:rsid w:val="00D7412D"/>
    <w:pPr>
      <w:keepNext/>
      <w:outlineLvl w:val="1"/>
    </w:pPr>
    <w:rPr>
      <w:rFonts w:asciiTheme="majorHAnsi" w:eastAsiaTheme="majorEastAsia" w:hAnsiTheme="majorHAnsi" w:cstheme="majorBidi"/>
      <w:b/>
      <w:color w:val="155589"/>
      <w:sz w:val="36"/>
      <w:szCs w:val="26"/>
      <w:lang w:eastAsia="en-US"/>
    </w:rPr>
  </w:style>
  <w:style w:type="paragraph" w:styleId="Heading3">
    <w:name w:val="heading 3"/>
    <w:basedOn w:val="Normal"/>
    <w:next w:val="Normal"/>
    <w:link w:val="Heading3Char"/>
    <w:uiPriority w:val="9"/>
    <w:unhideWhenUsed/>
    <w:qFormat/>
    <w:rsid w:val="00D7412D"/>
    <w:pPr>
      <w:keepNext/>
      <w:spacing w:after="120"/>
      <w:outlineLvl w:val="2"/>
    </w:pPr>
    <w:rPr>
      <w:rFonts w:asciiTheme="majorHAnsi" w:eastAsiaTheme="majorEastAsia" w:hAnsiTheme="majorHAnsi" w:cstheme="majorBidi"/>
      <w:b/>
      <w:color w:val="155589"/>
      <w:sz w:val="30"/>
      <w:szCs w:val="24"/>
      <w:lang w:eastAsia="en-US"/>
    </w:rPr>
  </w:style>
  <w:style w:type="paragraph" w:styleId="Heading4">
    <w:name w:val="heading 4"/>
    <w:basedOn w:val="Normal"/>
    <w:next w:val="Normal"/>
    <w:link w:val="Heading4Char"/>
    <w:uiPriority w:val="9"/>
    <w:unhideWhenUsed/>
    <w:qFormat/>
    <w:rsid w:val="00D7412D"/>
    <w:pPr>
      <w:keepNext/>
      <w:keepLines/>
      <w:spacing w:after="120"/>
      <w:outlineLvl w:val="3"/>
    </w:pPr>
    <w:rPr>
      <w:rFonts w:asciiTheme="majorHAnsi" w:eastAsiaTheme="majorEastAsia" w:hAnsiTheme="majorHAnsi" w:cstheme="majorBidi"/>
      <w:b/>
      <w:bCs/>
      <w:color w:val="155589"/>
      <w:sz w:val="24"/>
      <w:szCs w:val="24"/>
    </w:rPr>
  </w:style>
  <w:style w:type="paragraph" w:styleId="Heading5">
    <w:name w:val="heading 5"/>
    <w:basedOn w:val="Normal"/>
    <w:next w:val="Normal"/>
    <w:link w:val="Heading5Char"/>
    <w:uiPriority w:val="9"/>
    <w:unhideWhenUsed/>
    <w:qFormat/>
    <w:rsid w:val="00D7412D"/>
    <w:pPr>
      <w:keepNext/>
      <w:keepLines/>
      <w:spacing w:after="60"/>
      <w:outlineLvl w:val="4"/>
    </w:pPr>
    <w:rPr>
      <w:rFonts w:asciiTheme="majorHAnsi" w:eastAsiaTheme="majorEastAsia" w:hAnsiTheme="majorHAnsi" w:cstheme="majorBidi"/>
      <w:b/>
      <w:color w:val="155589"/>
    </w:rPr>
  </w:style>
  <w:style w:type="paragraph" w:styleId="Heading6">
    <w:name w:val="heading 6"/>
    <w:basedOn w:val="Normal"/>
    <w:next w:val="Normal"/>
    <w:link w:val="Heading6Char"/>
    <w:uiPriority w:val="9"/>
    <w:unhideWhenUsed/>
    <w:qFormat/>
    <w:rsid w:val="00D7412D"/>
    <w:pPr>
      <w:keepNext/>
      <w:keepLines/>
      <w:spacing w:after="60"/>
      <w:outlineLvl w:val="5"/>
    </w:pPr>
    <w:rPr>
      <w:rFonts w:asciiTheme="majorHAnsi" w:eastAsiaTheme="majorEastAsia" w:hAnsiTheme="majorHAnsi" w:cstheme="majorBidi"/>
      <w:b/>
      <w:i/>
      <w:iCs/>
      <w:color w:val="155589"/>
    </w:rPr>
  </w:style>
  <w:style w:type="paragraph" w:styleId="Heading7">
    <w:name w:val="heading 7"/>
    <w:basedOn w:val="Normal"/>
    <w:next w:val="Normal"/>
    <w:link w:val="Heading7Char"/>
    <w:uiPriority w:val="9"/>
    <w:unhideWhenUsed/>
    <w:qFormat/>
    <w:rsid w:val="00D7412D"/>
    <w:pPr>
      <w:keepNext/>
      <w:keepLines/>
      <w:spacing w:before="40" w:after="0"/>
      <w:outlineLvl w:val="6"/>
    </w:pPr>
    <w:rPr>
      <w:rFonts w:asciiTheme="majorHAnsi" w:eastAsiaTheme="majorEastAsia" w:hAnsiTheme="majorHAnsi" w:cstheme="majorBidi"/>
      <w:b/>
      <w:i/>
      <w:iCs/>
      <w:color w:val="155589"/>
    </w:rPr>
  </w:style>
  <w:style w:type="paragraph" w:styleId="Heading8">
    <w:name w:val="heading 8"/>
    <w:basedOn w:val="Normal"/>
    <w:next w:val="Normal"/>
    <w:link w:val="Heading8Char"/>
    <w:uiPriority w:val="9"/>
    <w:unhideWhenUsed/>
    <w:qFormat/>
    <w:rsid w:val="00D7412D"/>
    <w:pPr>
      <w:keepNext/>
      <w:keepLines/>
      <w:spacing w:before="40" w:after="0"/>
      <w:outlineLvl w:val="7"/>
    </w:pPr>
    <w:rPr>
      <w:rFonts w:asciiTheme="majorHAnsi" w:eastAsiaTheme="majorEastAsia" w:hAnsiTheme="majorHAnsi" w:cstheme="majorBidi"/>
      <w:b/>
      <w:color w:val="155589"/>
      <w:sz w:val="21"/>
      <w:szCs w:val="21"/>
    </w:rPr>
  </w:style>
  <w:style w:type="paragraph" w:styleId="Heading9">
    <w:name w:val="heading 9"/>
    <w:basedOn w:val="Normal"/>
    <w:next w:val="Normal"/>
    <w:link w:val="Heading9Char"/>
    <w:uiPriority w:val="9"/>
    <w:unhideWhenUsed/>
    <w:qFormat/>
    <w:rsid w:val="00D7412D"/>
    <w:pPr>
      <w:keepNext/>
      <w:keepLines/>
      <w:spacing w:before="40" w:after="0"/>
      <w:outlineLvl w:val="8"/>
    </w:pPr>
    <w:rPr>
      <w:rFonts w:asciiTheme="majorHAnsi" w:eastAsiaTheme="majorEastAsia" w:hAnsiTheme="majorHAnsi" w:cstheme="majorBidi"/>
      <w:b/>
      <w:i/>
      <w:iCs/>
      <w:color w:val="155589"/>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5718"/>
    <w:rPr>
      <w:rFonts w:asciiTheme="majorHAnsi" w:eastAsiaTheme="majorEastAsia" w:hAnsiTheme="majorHAnsi" w:cstheme="majorBidi"/>
      <w:b/>
      <w:color w:val="001C40"/>
      <w:sz w:val="48"/>
      <w:szCs w:val="32"/>
      <w:lang w:eastAsia="en-US"/>
    </w:rPr>
  </w:style>
  <w:style w:type="character" w:customStyle="1" w:styleId="Heading2Char">
    <w:name w:val="Heading 2 Char"/>
    <w:basedOn w:val="DefaultParagraphFont"/>
    <w:link w:val="Heading2"/>
    <w:uiPriority w:val="9"/>
    <w:rsid w:val="00D7412D"/>
    <w:rPr>
      <w:rFonts w:asciiTheme="majorHAnsi" w:eastAsiaTheme="majorEastAsia" w:hAnsiTheme="majorHAnsi" w:cstheme="majorBidi"/>
      <w:b/>
      <w:color w:val="155589"/>
      <w:sz w:val="36"/>
      <w:szCs w:val="26"/>
      <w:lang w:eastAsia="en-US"/>
    </w:rPr>
  </w:style>
  <w:style w:type="character" w:customStyle="1" w:styleId="Heading3Char">
    <w:name w:val="Heading 3 Char"/>
    <w:basedOn w:val="DefaultParagraphFont"/>
    <w:link w:val="Heading3"/>
    <w:uiPriority w:val="9"/>
    <w:rsid w:val="00D7412D"/>
    <w:rPr>
      <w:rFonts w:asciiTheme="majorHAnsi" w:eastAsiaTheme="majorEastAsia" w:hAnsiTheme="majorHAnsi" w:cstheme="majorBidi"/>
      <w:b/>
      <w:color w:val="155589"/>
      <w:sz w:val="30"/>
      <w:szCs w:val="24"/>
      <w:lang w:eastAsia="en-US"/>
    </w:rPr>
  </w:style>
  <w:style w:type="character" w:styleId="Hyperlink">
    <w:name w:val="Hyperlink"/>
    <w:basedOn w:val="DefaultParagraphFont"/>
    <w:uiPriority w:val="99"/>
    <w:unhideWhenUsed/>
    <w:rsid w:val="00D7412D"/>
    <w:rPr>
      <w:color w:val="155589"/>
      <w:u w:val="single"/>
    </w:rPr>
  </w:style>
  <w:style w:type="paragraph" w:customStyle="1" w:styleId="Bulletlevel1">
    <w:name w:val="Bullet level 1"/>
    <w:basedOn w:val="Normal"/>
    <w:qFormat/>
    <w:rsid w:val="002117E6"/>
    <w:pPr>
      <w:numPr>
        <w:numId w:val="1"/>
      </w:numPr>
      <w:ind w:left="567" w:hanging="567"/>
      <w:contextualSpacing/>
    </w:pPr>
    <w:rPr>
      <w:rFonts w:eastAsiaTheme="minorHAnsi"/>
      <w:lang w:eastAsia="en-US"/>
    </w:rPr>
  </w:style>
  <w:style w:type="paragraph" w:styleId="Quote">
    <w:name w:val="Quote"/>
    <w:basedOn w:val="Normal"/>
    <w:next w:val="Normal"/>
    <w:link w:val="QuoteChar"/>
    <w:uiPriority w:val="29"/>
    <w:qFormat/>
    <w:rsid w:val="00D7412D"/>
    <w:pPr>
      <w:ind w:left="567"/>
    </w:pPr>
    <w:rPr>
      <w:rFonts w:eastAsiaTheme="minorHAnsi"/>
      <w:i/>
      <w:iCs/>
      <w:color w:val="155589"/>
      <w:lang w:eastAsia="en-US"/>
    </w:rPr>
  </w:style>
  <w:style w:type="character" w:customStyle="1" w:styleId="QuoteChar">
    <w:name w:val="Quote Char"/>
    <w:basedOn w:val="DefaultParagraphFont"/>
    <w:link w:val="Quote"/>
    <w:uiPriority w:val="29"/>
    <w:rsid w:val="00D7412D"/>
    <w:rPr>
      <w:rFonts w:eastAsiaTheme="minorHAnsi"/>
      <w:i/>
      <w:iCs/>
      <w:color w:val="155589"/>
      <w:lang w:eastAsia="en-US"/>
    </w:rPr>
  </w:style>
  <w:style w:type="paragraph" w:styleId="Header">
    <w:name w:val="header"/>
    <w:basedOn w:val="Normal"/>
    <w:link w:val="HeaderChar"/>
    <w:uiPriority w:val="99"/>
    <w:unhideWhenUsed/>
    <w:rsid w:val="002117E6"/>
    <w:pPr>
      <w:tabs>
        <w:tab w:val="center" w:pos="4513"/>
        <w:tab w:val="right" w:pos="9026"/>
      </w:tabs>
      <w:spacing w:after="0"/>
    </w:pPr>
  </w:style>
  <w:style w:type="character" w:customStyle="1" w:styleId="HeaderChar">
    <w:name w:val="Header Char"/>
    <w:basedOn w:val="DefaultParagraphFont"/>
    <w:link w:val="Header"/>
    <w:uiPriority w:val="99"/>
    <w:rsid w:val="002117E6"/>
  </w:style>
  <w:style w:type="paragraph" w:styleId="Footer">
    <w:name w:val="footer"/>
    <w:basedOn w:val="Normal"/>
    <w:link w:val="FooterChar"/>
    <w:uiPriority w:val="99"/>
    <w:unhideWhenUsed/>
    <w:rsid w:val="002117E6"/>
    <w:pPr>
      <w:tabs>
        <w:tab w:val="center" w:pos="4513"/>
        <w:tab w:val="right" w:pos="9026"/>
      </w:tabs>
      <w:spacing w:after="0"/>
    </w:pPr>
  </w:style>
  <w:style w:type="character" w:customStyle="1" w:styleId="FooterChar">
    <w:name w:val="Footer Char"/>
    <w:basedOn w:val="DefaultParagraphFont"/>
    <w:link w:val="Footer"/>
    <w:uiPriority w:val="99"/>
    <w:rsid w:val="002117E6"/>
  </w:style>
  <w:style w:type="character" w:customStyle="1" w:styleId="Heading4Char">
    <w:name w:val="Heading 4 Char"/>
    <w:basedOn w:val="DefaultParagraphFont"/>
    <w:link w:val="Heading4"/>
    <w:uiPriority w:val="9"/>
    <w:rsid w:val="00D7412D"/>
    <w:rPr>
      <w:rFonts w:asciiTheme="majorHAnsi" w:eastAsiaTheme="majorEastAsia" w:hAnsiTheme="majorHAnsi" w:cstheme="majorBidi"/>
      <w:b/>
      <w:bCs/>
      <w:color w:val="155589"/>
      <w:sz w:val="24"/>
      <w:szCs w:val="24"/>
    </w:rPr>
  </w:style>
  <w:style w:type="character" w:customStyle="1" w:styleId="Heading5Char">
    <w:name w:val="Heading 5 Char"/>
    <w:basedOn w:val="DefaultParagraphFont"/>
    <w:link w:val="Heading5"/>
    <w:uiPriority w:val="9"/>
    <w:rsid w:val="00D7412D"/>
    <w:rPr>
      <w:rFonts w:asciiTheme="majorHAnsi" w:eastAsiaTheme="majorEastAsia" w:hAnsiTheme="majorHAnsi" w:cstheme="majorBidi"/>
      <w:b/>
      <w:color w:val="155589"/>
    </w:rPr>
  </w:style>
  <w:style w:type="table" w:styleId="TableGrid">
    <w:name w:val="Table Grid"/>
    <w:basedOn w:val="TableNormal"/>
    <w:uiPriority w:val="39"/>
    <w:rsid w:val="002117E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D7412D"/>
    <w:pPr>
      <w:keepNext/>
      <w:spacing w:after="0"/>
    </w:pPr>
    <w:rPr>
      <w:rFonts w:asciiTheme="majorHAnsi" w:eastAsiaTheme="minorHAnsi" w:hAnsiTheme="majorHAnsi"/>
      <w:b/>
      <w:color w:val="155589"/>
      <w:lang w:eastAsia="en-US"/>
    </w:rPr>
  </w:style>
  <w:style w:type="paragraph" w:customStyle="1" w:styleId="Tabletextcentred">
    <w:name w:val="Table text centred"/>
    <w:basedOn w:val="Normal"/>
    <w:next w:val="NoSpacing"/>
    <w:rsid w:val="002117E6"/>
    <w:pPr>
      <w:spacing w:after="0"/>
      <w:jc w:val="center"/>
    </w:pPr>
    <w:rPr>
      <w:rFonts w:eastAsia="Times New Roman" w:cs="Times New Roman"/>
      <w:szCs w:val="20"/>
      <w:lang w:eastAsia="en-US"/>
    </w:rPr>
  </w:style>
  <w:style w:type="paragraph" w:customStyle="1" w:styleId="Tablerowcolumnheadingcentred">
    <w:name w:val="Table row/column heading centred"/>
    <w:basedOn w:val="Normal"/>
    <w:next w:val="Normal"/>
    <w:rsid w:val="002117E6"/>
    <w:pPr>
      <w:spacing w:after="0"/>
      <w:jc w:val="center"/>
    </w:pPr>
    <w:rPr>
      <w:rFonts w:eastAsia="Times New Roman" w:cs="Times New Roman"/>
      <w:b/>
      <w:bCs/>
      <w:szCs w:val="20"/>
      <w:lang w:eastAsia="en-US"/>
    </w:rPr>
  </w:style>
  <w:style w:type="paragraph" w:customStyle="1" w:styleId="Tabletext">
    <w:name w:val="Table text"/>
    <w:basedOn w:val="Tabletextcentred"/>
    <w:qFormat/>
    <w:rsid w:val="002117E6"/>
    <w:pPr>
      <w:jc w:val="left"/>
    </w:pPr>
  </w:style>
  <w:style w:type="paragraph" w:styleId="NoSpacing">
    <w:name w:val="No Spacing"/>
    <w:uiPriority w:val="1"/>
    <w:qFormat/>
    <w:rsid w:val="002117E6"/>
    <w:pPr>
      <w:spacing w:after="0" w:line="240" w:lineRule="auto"/>
    </w:pPr>
  </w:style>
  <w:style w:type="paragraph" w:customStyle="1" w:styleId="Tablerowcolumnheading">
    <w:name w:val="Table row/column heading"/>
    <w:basedOn w:val="Normal"/>
    <w:next w:val="Normal"/>
    <w:rsid w:val="002117E6"/>
    <w:pPr>
      <w:spacing w:after="0"/>
    </w:pPr>
    <w:rPr>
      <w:rFonts w:eastAsia="Times New Roman" w:cs="Times New Roman"/>
      <w:b/>
      <w:bCs/>
      <w:szCs w:val="20"/>
      <w:lang w:eastAsia="en-US"/>
    </w:rPr>
  </w:style>
  <w:style w:type="paragraph" w:customStyle="1" w:styleId="Checkboxemptybulletpoint">
    <w:name w:val="Check box empty bullet point"/>
    <w:basedOn w:val="Bulletlevel1"/>
    <w:qFormat/>
    <w:rsid w:val="002117E6"/>
    <w:pPr>
      <w:numPr>
        <w:numId w:val="2"/>
      </w:numPr>
      <w:spacing w:after="0"/>
      <w:ind w:left="567" w:hanging="567"/>
    </w:pPr>
  </w:style>
  <w:style w:type="character" w:customStyle="1" w:styleId="Heading6Char">
    <w:name w:val="Heading 6 Char"/>
    <w:basedOn w:val="DefaultParagraphFont"/>
    <w:link w:val="Heading6"/>
    <w:uiPriority w:val="9"/>
    <w:rsid w:val="00D7412D"/>
    <w:rPr>
      <w:rFonts w:asciiTheme="majorHAnsi" w:eastAsiaTheme="majorEastAsia" w:hAnsiTheme="majorHAnsi" w:cstheme="majorBidi"/>
      <w:b/>
      <w:i/>
      <w:iCs/>
      <w:color w:val="155589"/>
    </w:rPr>
  </w:style>
  <w:style w:type="character" w:customStyle="1" w:styleId="Heading7Char">
    <w:name w:val="Heading 7 Char"/>
    <w:basedOn w:val="DefaultParagraphFont"/>
    <w:link w:val="Heading7"/>
    <w:uiPriority w:val="9"/>
    <w:rsid w:val="00D7412D"/>
    <w:rPr>
      <w:rFonts w:asciiTheme="majorHAnsi" w:eastAsiaTheme="majorEastAsia" w:hAnsiTheme="majorHAnsi" w:cstheme="majorBidi"/>
      <w:b/>
      <w:i/>
      <w:iCs/>
      <w:color w:val="155589"/>
    </w:rPr>
  </w:style>
  <w:style w:type="character" w:customStyle="1" w:styleId="Heading8Char">
    <w:name w:val="Heading 8 Char"/>
    <w:basedOn w:val="DefaultParagraphFont"/>
    <w:link w:val="Heading8"/>
    <w:uiPriority w:val="9"/>
    <w:rsid w:val="00D7412D"/>
    <w:rPr>
      <w:rFonts w:asciiTheme="majorHAnsi" w:eastAsiaTheme="majorEastAsia" w:hAnsiTheme="majorHAnsi" w:cstheme="majorBidi"/>
      <w:b/>
      <w:color w:val="155589"/>
      <w:sz w:val="21"/>
      <w:szCs w:val="21"/>
    </w:rPr>
  </w:style>
  <w:style w:type="character" w:customStyle="1" w:styleId="Heading9Char">
    <w:name w:val="Heading 9 Char"/>
    <w:basedOn w:val="DefaultParagraphFont"/>
    <w:link w:val="Heading9"/>
    <w:uiPriority w:val="9"/>
    <w:rsid w:val="00D7412D"/>
    <w:rPr>
      <w:rFonts w:asciiTheme="majorHAnsi" w:eastAsiaTheme="majorEastAsia" w:hAnsiTheme="majorHAnsi" w:cstheme="majorBidi"/>
      <w:b/>
      <w:i/>
      <w:iCs/>
      <w:color w:val="155589"/>
      <w:szCs w:val="21"/>
    </w:rPr>
  </w:style>
  <w:style w:type="character" w:styleId="PlaceholderText">
    <w:name w:val="Placeholder Text"/>
    <w:basedOn w:val="DefaultParagraphFont"/>
    <w:uiPriority w:val="99"/>
    <w:semiHidden/>
    <w:rsid w:val="0064138E"/>
    <w:rPr>
      <w:color w:val="808080"/>
    </w:rPr>
  </w:style>
  <w:style w:type="character" w:styleId="FollowedHyperlink">
    <w:name w:val="FollowedHyperlink"/>
    <w:basedOn w:val="DefaultParagraphFont"/>
    <w:uiPriority w:val="99"/>
    <w:semiHidden/>
    <w:unhideWhenUsed/>
    <w:rsid w:val="009B7EF0"/>
    <w:rPr>
      <w:color w:val="155589" w:themeColor="followedHyperlink"/>
      <w:u w:val="single"/>
    </w:rPr>
  </w:style>
  <w:style w:type="character" w:customStyle="1" w:styleId="UnresolvedMention">
    <w:name w:val="Unresolved Mention"/>
    <w:basedOn w:val="DefaultParagraphFont"/>
    <w:uiPriority w:val="99"/>
    <w:semiHidden/>
    <w:unhideWhenUsed/>
    <w:rsid w:val="0094124E"/>
    <w:rPr>
      <w:color w:val="808080"/>
      <w:shd w:val="clear" w:color="auto" w:fill="E6E6E6"/>
    </w:rPr>
  </w:style>
  <w:style w:type="paragraph" w:customStyle="1" w:styleId="Heading2-notshowing">
    <w:name w:val="Heading 2 - not showing"/>
    <w:basedOn w:val="Heading2"/>
    <w:qFormat/>
    <w:rsid w:val="00D7412D"/>
    <w:pPr>
      <w:spacing w:after="120"/>
    </w:pPr>
    <w:rPr>
      <w:sz w:val="32"/>
    </w:rPr>
  </w:style>
  <w:style w:type="paragraph" w:customStyle="1" w:styleId="Heading3-notshowing">
    <w:name w:val="Heading 3 - not showing"/>
    <w:basedOn w:val="Heading3"/>
    <w:qFormat/>
    <w:rsid w:val="00D7412D"/>
    <w:rPr>
      <w:sz w:val="28"/>
    </w:rPr>
  </w:style>
  <w:style w:type="paragraph" w:styleId="TOC1">
    <w:name w:val="toc 1"/>
    <w:basedOn w:val="Normal"/>
    <w:next w:val="Normal"/>
    <w:autoRedefine/>
    <w:uiPriority w:val="39"/>
    <w:unhideWhenUsed/>
    <w:rsid w:val="00705B86"/>
    <w:pPr>
      <w:tabs>
        <w:tab w:val="right" w:leader="dot" w:pos="9072"/>
      </w:tabs>
      <w:spacing w:before="120" w:after="0"/>
    </w:pPr>
    <w:rPr>
      <w:b/>
      <w:color w:val="0F293A"/>
      <w:sz w:val="24"/>
    </w:rPr>
  </w:style>
  <w:style w:type="paragraph" w:styleId="TOC2">
    <w:name w:val="toc 2"/>
    <w:basedOn w:val="Normal"/>
    <w:next w:val="Normal"/>
    <w:autoRedefine/>
    <w:uiPriority w:val="39"/>
    <w:unhideWhenUsed/>
    <w:rsid w:val="00705B86"/>
    <w:pPr>
      <w:tabs>
        <w:tab w:val="right" w:leader="dot" w:pos="9072"/>
      </w:tabs>
      <w:spacing w:after="0"/>
      <w:ind w:left="567"/>
    </w:pPr>
  </w:style>
  <w:style w:type="paragraph" w:styleId="TOC3">
    <w:name w:val="toc 3"/>
    <w:basedOn w:val="Normal"/>
    <w:next w:val="Normal"/>
    <w:autoRedefine/>
    <w:uiPriority w:val="39"/>
    <w:unhideWhenUsed/>
    <w:rsid w:val="00705B86"/>
    <w:pPr>
      <w:tabs>
        <w:tab w:val="right" w:leader="dot" w:pos="9072"/>
      </w:tabs>
      <w:spacing w:after="0"/>
      <w:ind w:left="1134"/>
    </w:pPr>
  </w:style>
  <w:style w:type="paragraph" w:styleId="TOC4">
    <w:name w:val="toc 4"/>
    <w:basedOn w:val="Normal"/>
    <w:next w:val="Normal"/>
    <w:autoRedefine/>
    <w:uiPriority w:val="39"/>
    <w:unhideWhenUsed/>
    <w:rsid w:val="00705B86"/>
    <w:pPr>
      <w:tabs>
        <w:tab w:val="right" w:leader="dot" w:pos="9072"/>
      </w:tabs>
      <w:spacing w:after="0"/>
    </w:pPr>
  </w:style>
  <w:style w:type="paragraph" w:customStyle="1" w:styleId="Sourcenote">
    <w:name w:val="Source / note"/>
    <w:basedOn w:val="Normal"/>
    <w:next w:val="Normal"/>
    <w:qFormat/>
    <w:rsid w:val="00C16794"/>
    <w:rPr>
      <w:sz w:val="20"/>
      <w:szCs w:val="20"/>
    </w:rPr>
  </w:style>
  <w:style w:type="paragraph" w:styleId="ListParagraph">
    <w:name w:val="List Paragraph"/>
    <w:basedOn w:val="Normal"/>
    <w:link w:val="ListParagraphChar"/>
    <w:uiPriority w:val="34"/>
    <w:qFormat/>
    <w:rsid w:val="00C16794"/>
    <w:pPr>
      <w:numPr>
        <w:numId w:val="3"/>
      </w:numPr>
      <w:contextualSpacing/>
    </w:pPr>
  </w:style>
  <w:style w:type="paragraph" w:styleId="FootnoteText">
    <w:name w:val="footnote text"/>
    <w:basedOn w:val="Normal"/>
    <w:link w:val="FootnoteTextChar"/>
    <w:uiPriority w:val="99"/>
    <w:semiHidden/>
    <w:unhideWhenUsed/>
    <w:rsid w:val="003B5B1D"/>
    <w:pPr>
      <w:spacing w:after="0"/>
    </w:pPr>
    <w:rPr>
      <w:sz w:val="20"/>
      <w:szCs w:val="20"/>
    </w:rPr>
  </w:style>
  <w:style w:type="character" w:customStyle="1" w:styleId="FootnoteTextChar">
    <w:name w:val="Footnote Text Char"/>
    <w:basedOn w:val="DefaultParagraphFont"/>
    <w:link w:val="FootnoteText"/>
    <w:uiPriority w:val="99"/>
    <w:semiHidden/>
    <w:rsid w:val="003B5B1D"/>
    <w:rPr>
      <w:sz w:val="20"/>
      <w:szCs w:val="20"/>
    </w:rPr>
  </w:style>
  <w:style w:type="character" w:styleId="FootnoteReference">
    <w:name w:val="footnote reference"/>
    <w:basedOn w:val="DefaultParagraphFont"/>
    <w:uiPriority w:val="99"/>
    <w:semiHidden/>
    <w:unhideWhenUsed/>
    <w:rsid w:val="003B5B1D"/>
    <w:rPr>
      <w:vertAlign w:val="superscript"/>
    </w:rPr>
  </w:style>
  <w:style w:type="character" w:customStyle="1" w:styleId="superscriptfootnotereference">
    <w:name w:val="superscript footnote reference"/>
    <w:basedOn w:val="FootnoteReference"/>
    <w:uiPriority w:val="1"/>
    <w:qFormat/>
    <w:rsid w:val="003B5B1D"/>
    <w:rPr>
      <w:vertAlign w:val="superscript"/>
    </w:rPr>
  </w:style>
  <w:style w:type="paragraph" w:styleId="Title">
    <w:name w:val="Title"/>
    <w:basedOn w:val="Normal"/>
    <w:next w:val="Normal"/>
    <w:link w:val="TitleChar"/>
    <w:uiPriority w:val="10"/>
    <w:qFormat/>
    <w:rsid w:val="00BC0088"/>
    <w:pPr>
      <w:spacing w:after="0"/>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BC0088"/>
    <w:rPr>
      <w:rFonts w:asciiTheme="majorHAnsi" w:eastAsiaTheme="majorEastAsia" w:hAnsiTheme="majorHAnsi" w:cstheme="majorBidi"/>
      <w:spacing w:val="-10"/>
      <w:kern w:val="28"/>
      <w:sz w:val="56"/>
      <w:szCs w:val="56"/>
      <w:lang w:eastAsia="en-US"/>
    </w:rPr>
  </w:style>
  <w:style w:type="character" w:customStyle="1" w:styleId="ListParagraphChar">
    <w:name w:val="List Paragraph Char"/>
    <w:link w:val="ListParagraph"/>
    <w:uiPriority w:val="34"/>
    <w:rsid w:val="00BC0088"/>
  </w:style>
  <w:style w:type="paragraph" w:styleId="EndnoteText">
    <w:name w:val="endnote text"/>
    <w:basedOn w:val="Normal"/>
    <w:link w:val="EndnoteTextChar"/>
    <w:uiPriority w:val="99"/>
    <w:unhideWhenUsed/>
    <w:rsid w:val="00751E41"/>
    <w:pPr>
      <w:spacing w:after="0"/>
    </w:pPr>
    <w:rPr>
      <w:rFonts w:eastAsiaTheme="minorHAnsi"/>
      <w:sz w:val="20"/>
      <w:szCs w:val="20"/>
      <w:lang w:eastAsia="en-US"/>
    </w:rPr>
  </w:style>
  <w:style w:type="character" w:customStyle="1" w:styleId="EndnoteTextChar">
    <w:name w:val="Endnote Text Char"/>
    <w:basedOn w:val="DefaultParagraphFont"/>
    <w:link w:val="EndnoteText"/>
    <w:uiPriority w:val="99"/>
    <w:rsid w:val="00751E41"/>
    <w:rPr>
      <w:rFonts w:eastAsiaTheme="minorHAnsi"/>
      <w:sz w:val="20"/>
      <w:szCs w:val="20"/>
      <w:lang w:eastAsia="en-US"/>
    </w:rPr>
  </w:style>
  <w:style w:type="paragraph" w:styleId="BalloonText">
    <w:name w:val="Balloon Text"/>
    <w:basedOn w:val="Normal"/>
    <w:link w:val="BalloonTextChar"/>
    <w:uiPriority w:val="99"/>
    <w:semiHidden/>
    <w:unhideWhenUsed/>
    <w:rsid w:val="008E5417"/>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5417"/>
    <w:rPr>
      <w:rFonts w:ascii="Segoe UI" w:hAnsi="Segoe UI" w:cs="Segoe UI"/>
      <w:sz w:val="18"/>
      <w:szCs w:val="18"/>
    </w:rPr>
  </w:style>
  <w:style w:type="character" w:styleId="CommentReference">
    <w:name w:val="annotation reference"/>
    <w:basedOn w:val="DefaultParagraphFont"/>
    <w:uiPriority w:val="99"/>
    <w:semiHidden/>
    <w:unhideWhenUsed/>
    <w:rsid w:val="003675DB"/>
    <w:rPr>
      <w:sz w:val="16"/>
      <w:szCs w:val="16"/>
    </w:rPr>
  </w:style>
  <w:style w:type="paragraph" w:styleId="CommentText">
    <w:name w:val="annotation text"/>
    <w:basedOn w:val="Normal"/>
    <w:link w:val="CommentTextChar"/>
    <w:uiPriority w:val="99"/>
    <w:semiHidden/>
    <w:unhideWhenUsed/>
    <w:rsid w:val="003675DB"/>
    <w:rPr>
      <w:sz w:val="20"/>
      <w:szCs w:val="20"/>
    </w:rPr>
  </w:style>
  <w:style w:type="character" w:customStyle="1" w:styleId="CommentTextChar">
    <w:name w:val="Comment Text Char"/>
    <w:basedOn w:val="DefaultParagraphFont"/>
    <w:link w:val="CommentText"/>
    <w:uiPriority w:val="99"/>
    <w:semiHidden/>
    <w:rsid w:val="003675DB"/>
    <w:rPr>
      <w:sz w:val="20"/>
      <w:szCs w:val="20"/>
    </w:rPr>
  </w:style>
  <w:style w:type="paragraph" w:styleId="CommentSubject">
    <w:name w:val="annotation subject"/>
    <w:basedOn w:val="CommentText"/>
    <w:next w:val="CommentText"/>
    <w:link w:val="CommentSubjectChar"/>
    <w:uiPriority w:val="99"/>
    <w:semiHidden/>
    <w:unhideWhenUsed/>
    <w:rsid w:val="003675DB"/>
    <w:rPr>
      <w:b/>
      <w:bCs/>
    </w:rPr>
  </w:style>
  <w:style w:type="character" w:customStyle="1" w:styleId="CommentSubjectChar">
    <w:name w:val="Comment Subject Char"/>
    <w:basedOn w:val="CommentTextChar"/>
    <w:link w:val="CommentSubject"/>
    <w:uiPriority w:val="99"/>
    <w:semiHidden/>
    <w:rsid w:val="003675D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65699915">
      <w:bodyDiv w:val="1"/>
      <w:marLeft w:val="0"/>
      <w:marRight w:val="0"/>
      <w:marTop w:val="0"/>
      <w:marBottom w:val="0"/>
      <w:divBdr>
        <w:top w:val="none" w:sz="0" w:space="0" w:color="auto"/>
        <w:left w:val="none" w:sz="0" w:space="0" w:color="auto"/>
        <w:bottom w:val="none" w:sz="0" w:space="0" w:color="auto"/>
        <w:right w:val="none" w:sz="0" w:space="0" w:color="auto"/>
      </w:divBdr>
      <w:divsChild>
        <w:div w:id="386298936">
          <w:marLeft w:val="274"/>
          <w:marRight w:val="0"/>
          <w:marTop w:val="0"/>
          <w:marBottom w:val="0"/>
          <w:divBdr>
            <w:top w:val="none" w:sz="0" w:space="0" w:color="auto"/>
            <w:left w:val="none" w:sz="0" w:space="0" w:color="auto"/>
            <w:bottom w:val="none" w:sz="0" w:space="0" w:color="auto"/>
            <w:right w:val="none" w:sz="0" w:space="0" w:color="auto"/>
          </w:divBdr>
        </w:div>
        <w:div w:id="860166169">
          <w:marLeft w:val="274"/>
          <w:marRight w:val="0"/>
          <w:marTop w:val="0"/>
          <w:marBottom w:val="0"/>
          <w:divBdr>
            <w:top w:val="none" w:sz="0" w:space="0" w:color="auto"/>
            <w:left w:val="none" w:sz="0" w:space="0" w:color="auto"/>
            <w:bottom w:val="none" w:sz="0" w:space="0" w:color="auto"/>
            <w:right w:val="none" w:sz="0" w:space="0" w:color="auto"/>
          </w:divBdr>
        </w:div>
        <w:div w:id="2132242551">
          <w:marLeft w:val="274"/>
          <w:marRight w:val="0"/>
          <w:marTop w:val="0"/>
          <w:marBottom w:val="0"/>
          <w:divBdr>
            <w:top w:val="none" w:sz="0" w:space="0" w:color="auto"/>
            <w:left w:val="none" w:sz="0" w:space="0" w:color="auto"/>
            <w:bottom w:val="none" w:sz="0" w:space="0" w:color="auto"/>
            <w:right w:val="none" w:sz="0" w:space="0" w:color="auto"/>
          </w:divBdr>
        </w:div>
      </w:divsChild>
    </w:div>
    <w:div w:id="2024548464">
      <w:bodyDiv w:val="1"/>
      <w:marLeft w:val="0"/>
      <w:marRight w:val="0"/>
      <w:marTop w:val="0"/>
      <w:marBottom w:val="0"/>
      <w:divBdr>
        <w:top w:val="none" w:sz="0" w:space="0" w:color="auto"/>
        <w:left w:val="none" w:sz="0" w:space="0" w:color="auto"/>
        <w:bottom w:val="none" w:sz="0" w:space="0" w:color="auto"/>
        <w:right w:val="none" w:sz="0" w:space="0" w:color="auto"/>
      </w:divBdr>
      <w:divsChild>
        <w:div w:id="1291782888">
          <w:marLeft w:val="274"/>
          <w:marRight w:val="0"/>
          <w:marTop w:val="0"/>
          <w:marBottom w:val="0"/>
          <w:divBdr>
            <w:top w:val="none" w:sz="0" w:space="0" w:color="auto"/>
            <w:left w:val="none" w:sz="0" w:space="0" w:color="auto"/>
            <w:bottom w:val="none" w:sz="0" w:space="0" w:color="auto"/>
            <w:right w:val="none" w:sz="0" w:space="0" w:color="auto"/>
          </w:divBdr>
        </w:div>
        <w:div w:id="1181970149">
          <w:marLeft w:val="274"/>
          <w:marRight w:val="0"/>
          <w:marTop w:val="0"/>
          <w:marBottom w:val="0"/>
          <w:divBdr>
            <w:top w:val="none" w:sz="0" w:space="0" w:color="auto"/>
            <w:left w:val="none" w:sz="0" w:space="0" w:color="auto"/>
            <w:bottom w:val="none" w:sz="0" w:space="0" w:color="auto"/>
            <w:right w:val="none" w:sz="0" w:space="0" w:color="auto"/>
          </w:divBdr>
        </w:div>
        <w:div w:id="1353727098">
          <w:marLeft w:val="274"/>
          <w:marRight w:val="0"/>
          <w:marTop w:val="0"/>
          <w:marBottom w:val="0"/>
          <w:divBdr>
            <w:top w:val="none" w:sz="0" w:space="0" w:color="auto"/>
            <w:left w:val="none" w:sz="0" w:space="0" w:color="auto"/>
            <w:bottom w:val="none" w:sz="0" w:space="0" w:color="auto"/>
            <w:right w:val="none" w:sz="0" w:space="0" w:color="auto"/>
          </w:divBdr>
        </w:div>
        <w:div w:id="1269242108">
          <w:marLeft w:val="274"/>
          <w:marRight w:val="0"/>
          <w:marTop w:val="0"/>
          <w:marBottom w:val="0"/>
          <w:divBdr>
            <w:top w:val="none" w:sz="0" w:space="0" w:color="auto"/>
            <w:left w:val="none" w:sz="0" w:space="0" w:color="auto"/>
            <w:bottom w:val="none" w:sz="0" w:space="0" w:color="auto"/>
            <w:right w:val="none" w:sz="0" w:space="0" w:color="auto"/>
          </w:divBdr>
        </w:div>
      </w:divsChild>
    </w:div>
    <w:div w:id="2027826736">
      <w:bodyDiv w:val="1"/>
      <w:marLeft w:val="0"/>
      <w:marRight w:val="0"/>
      <w:marTop w:val="0"/>
      <w:marBottom w:val="0"/>
      <w:divBdr>
        <w:top w:val="none" w:sz="0" w:space="0" w:color="auto"/>
        <w:left w:val="none" w:sz="0" w:space="0" w:color="auto"/>
        <w:bottom w:val="none" w:sz="0" w:space="0" w:color="auto"/>
        <w:right w:val="none" w:sz="0" w:space="0" w:color="auto"/>
      </w:divBdr>
      <w:divsChild>
        <w:div w:id="571934802">
          <w:marLeft w:val="446"/>
          <w:marRight w:val="0"/>
          <w:marTop w:val="0"/>
          <w:marBottom w:val="0"/>
          <w:divBdr>
            <w:top w:val="none" w:sz="0" w:space="0" w:color="auto"/>
            <w:left w:val="none" w:sz="0" w:space="0" w:color="auto"/>
            <w:bottom w:val="none" w:sz="0" w:space="0" w:color="auto"/>
            <w:right w:val="none" w:sz="0" w:space="0" w:color="auto"/>
          </w:divBdr>
        </w:div>
        <w:div w:id="1287929033">
          <w:marLeft w:val="446"/>
          <w:marRight w:val="0"/>
          <w:marTop w:val="0"/>
          <w:marBottom w:val="0"/>
          <w:divBdr>
            <w:top w:val="none" w:sz="0" w:space="0" w:color="auto"/>
            <w:left w:val="none" w:sz="0" w:space="0" w:color="auto"/>
            <w:bottom w:val="none" w:sz="0" w:space="0" w:color="auto"/>
            <w:right w:val="none" w:sz="0" w:space="0" w:color="auto"/>
          </w:divBdr>
        </w:div>
        <w:div w:id="1579317494">
          <w:marLeft w:val="994"/>
          <w:marRight w:val="0"/>
          <w:marTop w:val="0"/>
          <w:marBottom w:val="0"/>
          <w:divBdr>
            <w:top w:val="none" w:sz="0" w:space="0" w:color="auto"/>
            <w:left w:val="none" w:sz="0" w:space="0" w:color="auto"/>
            <w:bottom w:val="none" w:sz="0" w:space="0" w:color="auto"/>
            <w:right w:val="none" w:sz="0" w:space="0" w:color="auto"/>
          </w:divBdr>
        </w:div>
        <w:div w:id="1762488491">
          <w:marLeft w:val="994"/>
          <w:marRight w:val="0"/>
          <w:marTop w:val="0"/>
          <w:marBottom w:val="0"/>
          <w:divBdr>
            <w:top w:val="none" w:sz="0" w:space="0" w:color="auto"/>
            <w:left w:val="none" w:sz="0" w:space="0" w:color="auto"/>
            <w:bottom w:val="none" w:sz="0" w:space="0" w:color="auto"/>
            <w:right w:val="none" w:sz="0" w:space="0" w:color="auto"/>
          </w:divBdr>
        </w:div>
        <w:div w:id="491798248">
          <w:marLeft w:val="994"/>
          <w:marRight w:val="0"/>
          <w:marTop w:val="0"/>
          <w:marBottom w:val="0"/>
          <w:divBdr>
            <w:top w:val="none" w:sz="0" w:space="0" w:color="auto"/>
            <w:left w:val="none" w:sz="0" w:space="0" w:color="auto"/>
            <w:bottom w:val="none" w:sz="0" w:space="0" w:color="auto"/>
            <w:right w:val="none" w:sz="0" w:space="0" w:color="auto"/>
          </w:divBdr>
        </w:div>
        <w:div w:id="1688366217">
          <w:marLeft w:val="994"/>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communications.gov.au/have-your-say/review-code-conduct-copyright-collecting-societies" TargetMode="External"/><Relationship Id="rId2" Type="http://schemas.openxmlformats.org/officeDocument/2006/relationships/customXml" Target="../customXml/item2.xml"/><Relationship Id="rId16" Type="http://schemas.openxmlformats.org/officeDocument/2006/relationships/hyperlink" Target="https://www.legislation.gov.au/Details/C2015A0008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aph.gov.au/Parliamentary_Business/Bills_Legislation/Bills_Search_Results/Result?bId=s1115"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epartment%20-%20document%20-%20template.dotx" TargetMode="External"/></Relationships>
</file>

<file path=word/theme/theme1.xml><?xml version="1.0" encoding="utf-8"?>
<a:theme xmlns:a="http://schemas.openxmlformats.org/drawingml/2006/main" name="Office Theme">
  <a:themeElements>
    <a:clrScheme name="DoCA">
      <a:dk1>
        <a:srgbClr val="000000"/>
      </a:dk1>
      <a:lt1>
        <a:srgbClr val="FFFFFF"/>
      </a:lt1>
      <a:dk2>
        <a:srgbClr val="155589"/>
      </a:dk2>
      <a:lt2>
        <a:srgbClr val="E4E4E4"/>
      </a:lt2>
      <a:accent1>
        <a:srgbClr val="77D1F5"/>
      </a:accent1>
      <a:accent2>
        <a:srgbClr val="4EB2B5"/>
      </a:accent2>
      <a:accent3>
        <a:srgbClr val="959ACD"/>
      </a:accent3>
      <a:accent4>
        <a:srgbClr val="1177AD"/>
      </a:accent4>
      <a:accent5>
        <a:srgbClr val="BADB98"/>
      </a:accent5>
      <a:accent6>
        <a:srgbClr val="626E81"/>
      </a:accent6>
      <a:hlink>
        <a:srgbClr val="155589"/>
      </a:hlink>
      <a:folHlink>
        <a:srgbClr val="155589"/>
      </a:folHlink>
    </a:clrScheme>
    <a:fontScheme name="DoCA">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BD1E6B3FF3E2A4FB3F9943DD26CFB1A" ma:contentTypeVersion="0" ma:contentTypeDescription="Create a new document." ma:contentTypeScope="" ma:versionID="9208fb49f176c0dbb1d7b5c11bdaf8eb">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2A4504-C9CB-453C-8761-1105EED3AE2B}">
  <ds:schemaRefs>
    <ds:schemaRef ds:uri="http://schemas.microsoft.com/sharepoint/v3/contenttype/forms"/>
  </ds:schemaRefs>
</ds:datastoreItem>
</file>

<file path=customXml/itemProps2.xml><?xml version="1.0" encoding="utf-8"?>
<ds:datastoreItem xmlns:ds="http://schemas.openxmlformats.org/officeDocument/2006/customXml" ds:itemID="{3555A0A2-E1E4-4EC3-AB43-604F1ADF98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46A7B9E-5BD0-4F63-8F8D-1187124C6A1D}">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4.xml><?xml version="1.0" encoding="utf-8"?>
<ds:datastoreItem xmlns:ds="http://schemas.openxmlformats.org/officeDocument/2006/customXml" ds:itemID="{9BA541DF-7B8C-479B-81AD-BEB7762A5E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 - document - template.dotx</Template>
  <TotalTime>1</TotalTime>
  <Pages>4</Pages>
  <Words>1367</Words>
  <Characters>7797</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Department of Communications and the Arts</Company>
  <LinksUpToDate>false</LinksUpToDate>
  <CharactersWithSpaces>9146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Hui, Alan</dc:creator>
  <cp:keywords/>
  <dc:description>May 2018</dc:description>
  <cp:lastModifiedBy>Owers, Cameron</cp:lastModifiedBy>
  <cp:revision>2</cp:revision>
  <dcterms:created xsi:type="dcterms:W3CDTF">2018-05-30T01:23:00Z</dcterms:created>
  <dcterms:modified xsi:type="dcterms:W3CDTF">2018-05-30T01:23:00Z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0x0101005BD1E6B3FF3E2A4FB3F9943DD26CFB1A</vt:lpwstr>
  </property>
  <property fmtid="{D5CDD505-2E9C-101B-9397-08002B2CF9AE}" pid="3" name="TrimRevisionNumber">
    <vt:i4>18</vt:i4>
  </property>
</Properties>
</file>