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5C1F9" w14:textId="77777777" w:rsidR="008456D5" w:rsidRDefault="00996B8C" w:rsidP="00996B8C">
      <w:pPr>
        <w:spacing w:before="0"/>
        <w:ind w:left="-1020"/>
      </w:pPr>
      <w:r>
        <w:rPr>
          <w:noProof/>
        </w:rPr>
        <w:drawing>
          <wp:inline distT="0" distB="0" distL="0" distR="0" wp14:anchorId="5A78BC93" wp14:editId="64E74358">
            <wp:extent cx="7652780" cy="1980000"/>
            <wp:effectExtent l="0" t="0" r="5715" b="1270"/>
            <wp:docPr id="12" name="Picture 12"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52780" cy="1980000"/>
                    </a:xfrm>
                    <a:prstGeom prst="rect">
                      <a:avLst/>
                    </a:prstGeom>
                  </pic:spPr>
                </pic:pic>
              </a:graphicData>
            </a:graphic>
          </wp:inline>
        </w:drawing>
      </w:r>
    </w:p>
    <w:sdt>
      <w:sdtPr>
        <w:alias w:val="Tajuk"/>
        <w:tag w:val=""/>
        <w:id w:val="975726233"/>
        <w:placeholder>
          <w:docPart w:val="CBCB3196F0A943FB8F946444AB951F6E"/>
        </w:placeholder>
        <w:dataBinding w:prefixMappings="xmlns:ns0='http://purl.org/dc/elements/1.1/' xmlns:ns1='http://schemas.openxmlformats.org/package/2006/metadata/core-properties' " w:xpath="/ns1:coreProperties[1]/ns0:title[1]" w:storeItemID="{6C3C8BC8-F283-45AE-878A-BAB7291924A1}"/>
        <w:text/>
      </w:sdtPr>
      <w:sdtEndPr/>
      <w:sdtContent>
        <w:p w14:paraId="164F692B" w14:textId="63F677C6" w:rsidR="007A0008" w:rsidRPr="00BE3AD8" w:rsidRDefault="00B26571" w:rsidP="00E27CA1">
          <w:pPr>
            <w:pStyle w:val="Title"/>
            <w:spacing w:before="240"/>
            <w:outlineLvl w:val="0"/>
          </w:pPr>
          <w:r>
            <w:t>Perkhidmatan gaji dan elaun kerajaan tempatan</w:t>
          </w:r>
        </w:p>
      </w:sdtContent>
    </w:sdt>
    <w:p w14:paraId="7F8245E6" w14:textId="440F6A97" w:rsidR="00DE4FE2" w:rsidRPr="00BE3AD8" w:rsidRDefault="00A02D24" w:rsidP="00BE3AD8">
      <w:pPr>
        <w:pStyle w:val="Subtitle"/>
      </w:pPr>
      <w:r>
        <w:t>Disampaikan oleh Tribunal Gaji Dan Elaun di Wilayah Lautan Hindi</w:t>
      </w:r>
    </w:p>
    <w:sdt>
      <w:sdtPr>
        <w:alias w:val="Tarikh Diterbitkan"/>
        <w:tag w:val=""/>
        <w:id w:val="452527336"/>
        <w:placeholder>
          <w:docPart w:val="D1A846125AF44268A9B9E46E39F0AC71"/>
        </w:placeholder>
        <w:dataBinding w:prefixMappings="xmlns:ns0='http://schemas.microsoft.com/office/2006/coverPageProps' " w:xpath="/ns0:CoverPageProperties[1]/ns0:PublishDate[1]" w:storeItemID="{55AF091B-3C7A-41E3-B477-F2FDAA23CFDA}"/>
        <w:date w:fullDate="2022-04-01T00:00:00Z">
          <w:dateFormat w:val="d/MM/yyyy"/>
          <w:lid w:val="ms-MY"/>
          <w:storeMappedDataAs w:val="dateTime"/>
          <w:calendar w:val="gregorian"/>
        </w:date>
      </w:sdtPr>
      <w:sdtEndPr/>
      <w:sdtContent>
        <w:p w14:paraId="43C079FF" w14:textId="77777777" w:rsidR="00DE4FE2" w:rsidRDefault="00FD4C36" w:rsidP="00DE4FE2">
          <w:pPr>
            <w:pStyle w:val="CoverDate"/>
          </w:pPr>
          <w:r>
            <w:t>1/04/2022</w:t>
          </w:r>
        </w:p>
      </w:sdtContent>
    </w:sdt>
    <w:p w14:paraId="4A1505C6" w14:textId="77777777" w:rsidR="00DE4FE2" w:rsidRDefault="00DE4FE2" w:rsidP="00D02062">
      <w:pPr>
        <w:pBdr>
          <w:bottom w:val="single" w:sz="4" w:space="1" w:color="C0D48F" w:themeColor="accent5"/>
        </w:pBdr>
      </w:pPr>
    </w:p>
    <w:p w14:paraId="238B6A7A" w14:textId="77777777" w:rsidR="00E95BA5" w:rsidRDefault="00E95BA5" w:rsidP="0090710F">
      <w:pPr>
        <w:sectPr w:rsidR="00E95BA5" w:rsidSect="00996B8C">
          <w:headerReference w:type="even" r:id="rId10"/>
          <w:headerReference w:type="default" r:id="rId11"/>
          <w:footerReference w:type="even" r:id="rId12"/>
          <w:footerReference w:type="default" r:id="rId13"/>
          <w:footerReference w:type="first" r:id="rId14"/>
          <w:pgSz w:w="11906" w:h="16838" w:code="9"/>
          <w:pgMar w:top="0" w:right="1021" w:bottom="1021" w:left="1021" w:header="510" w:footer="567" w:gutter="0"/>
          <w:cols w:space="708"/>
          <w:titlePg/>
          <w:docGrid w:linePitch="360"/>
          <w15:footnoteColumns w:val="1"/>
        </w:sectPr>
      </w:pPr>
      <w:bookmarkStart w:id="0" w:name="_Toc49855348"/>
    </w:p>
    <w:bookmarkEnd w:id="0"/>
    <w:p w14:paraId="3680933A" w14:textId="77777777" w:rsidR="00A02D24" w:rsidRDefault="00E575B3" w:rsidP="00E27CA1">
      <w:pPr>
        <w:pStyle w:val="Heading2"/>
      </w:pPr>
      <w:r>
        <w:t>Perkhidmatan</w:t>
      </w:r>
    </w:p>
    <w:p w14:paraId="7D9CE7CA" w14:textId="310FBE97" w:rsidR="006B6877" w:rsidRDefault="00BA6544" w:rsidP="0090710F">
      <w:r>
        <w:t xml:space="preserve">Tribunal Gaji Dan Elaun, bagi pihak dan dibiayai sepenuhnya oleh Kerajaan Australia, menentukan saraan yang patut dibayar kepada ketua pegawai eksekutif kerajaan tempatan di Wilayah Lautan Hindi serta bayaran khidmat, belanja dan elaun yang diperuntukkan kepada ahli-ahli yang dipilih. </w:t>
      </w:r>
    </w:p>
    <w:p w14:paraId="07753AC7" w14:textId="77777777" w:rsidR="00BA6544" w:rsidRDefault="0090710F" w:rsidP="00E27CA1">
      <w:pPr>
        <w:pStyle w:val="Heading2"/>
      </w:pPr>
      <w:r>
        <w:t>Apakah ertinya bagi saya?</w:t>
      </w:r>
    </w:p>
    <w:p w14:paraId="375CAAA7" w14:textId="1E79047D" w:rsidR="00466CE5" w:rsidRDefault="006B6877" w:rsidP="006B6877">
      <w:r>
        <w:t xml:space="preserve">Kajian semula dan penentuan tahunan yang dibuat oleh Tribunal Gaji Dan Elaun memastikan keadaan kerajaan tempatan Wilayah Lautan Hindi ditentukan selaras dengan amalan di WA. Hal ini memastikan keadaannya moden dan berdaya saing, untuk menarik minat dan mengekalkan khidmat pemimpin-pemimpin yang berkebolehan dalam kerajaan tempatan. </w:t>
      </w:r>
    </w:p>
    <w:p w14:paraId="790B91A5" w14:textId="77777777" w:rsidR="006B6877" w:rsidRDefault="00CB024A" w:rsidP="006B6877">
      <w:r>
        <w:t xml:space="preserve">Tribunal ini dikehendaki menyelidik dan menentukan: </w:t>
      </w:r>
    </w:p>
    <w:p w14:paraId="4BDF63FF" w14:textId="77777777" w:rsidR="00737CDF" w:rsidRDefault="00737CDF" w:rsidP="00737CDF">
      <w:pPr>
        <w:pStyle w:val="Bullet1"/>
      </w:pPr>
      <w:r>
        <w:t>amaun saraan ataupun amaun minimum dan maksimum saraan yang patut dibayar atau diperuntukkan kepada ketua pegawai eksekutif kerajaan tempatan secara tahunan.</w:t>
      </w:r>
    </w:p>
    <w:p w14:paraId="540C0D9E" w14:textId="77777777" w:rsidR="00737CDF" w:rsidRDefault="00737CDF" w:rsidP="00737CDF">
      <w:pPr>
        <w:pStyle w:val="Bullet1"/>
      </w:pPr>
      <w:r>
        <w:t>amaun bayaran khidmat ataupun amaun minimum dan maksimum bayaran khidmat yang patut dibayar atau diperuntukkan kepada ahli-ahli majlis yang dipilih kerana menghadiri mesyuarat secara tahunan.</w:t>
      </w:r>
    </w:p>
    <w:p w14:paraId="6D735A63" w14:textId="77777777" w:rsidR="00737CDF" w:rsidRDefault="00737CDF" w:rsidP="00737CDF">
      <w:pPr>
        <w:pStyle w:val="Bullet1"/>
      </w:pPr>
      <w:r>
        <w:t>amaun belanja ataupun amaun minimum dan maksimum belanja yang patut digantikan bayarannya kepada ahli-ahli majlis yang dipilih secara tahunan.</w:t>
      </w:r>
      <w:bookmarkStart w:id="1" w:name="_GoBack"/>
      <w:bookmarkEnd w:id="1"/>
    </w:p>
    <w:p w14:paraId="7D5F68B2" w14:textId="77777777" w:rsidR="00737CDF" w:rsidRPr="001C1D0E" w:rsidRDefault="00737CDF" w:rsidP="00737CDF">
      <w:pPr>
        <w:pStyle w:val="Bullet1"/>
        <w:rPr>
          <w:sz w:val="16"/>
          <w:szCs w:val="16"/>
        </w:rPr>
      </w:pPr>
      <w:r>
        <w:t>amaun elaun ataupun amaun minimum dan maksimum elaun yang patut dibayar kepada ahli-ahli majlis yang dipilih dan ketua pegawai eksekutif kerajaan tempatan secara tahunan.</w:t>
      </w:r>
    </w:p>
    <w:p w14:paraId="504061AF" w14:textId="7047FFD0" w:rsidR="0090710F" w:rsidRDefault="0090710F" w:rsidP="00E27CA1">
      <w:pPr>
        <w:pStyle w:val="Heading2"/>
      </w:pPr>
      <w:r>
        <w:t>Untuk mendapatkan maklumat selanjutnya</w:t>
      </w:r>
    </w:p>
    <w:tbl>
      <w:tblPr>
        <w:tblStyle w:val="DefaultTable1"/>
        <w:tblW w:w="5000" w:type="pct"/>
        <w:tblLook w:val="04E0" w:firstRow="1" w:lastRow="1" w:firstColumn="1" w:lastColumn="0" w:noHBand="0" w:noVBand="1"/>
        <w:tblDescription w:val="Untuk mendapatkan maklumat selanjutnya"/>
      </w:tblPr>
      <w:tblGrid>
        <w:gridCol w:w="3983"/>
        <w:gridCol w:w="5881"/>
      </w:tblGrid>
      <w:tr w:rsidR="0090710F" w14:paraId="1FAD29EC" w14:textId="77777777" w:rsidTr="00E27CA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19" w:type="pct"/>
          </w:tcPr>
          <w:p w14:paraId="50F05B80" w14:textId="77777777" w:rsidR="0090710F" w:rsidRDefault="0090710F">
            <w:r>
              <w:t>Saluran</w:t>
            </w:r>
          </w:p>
        </w:tc>
        <w:tc>
          <w:tcPr>
            <w:tcW w:w="2981" w:type="pct"/>
          </w:tcPr>
          <w:p w14:paraId="2FF3310A" w14:textId="77777777" w:rsidR="0090710F" w:rsidRDefault="0090710F">
            <w:pPr>
              <w:cnfStyle w:val="100000000000" w:firstRow="1" w:lastRow="0" w:firstColumn="0" w:lastColumn="0" w:oddVBand="0" w:evenVBand="0" w:oddHBand="0" w:evenHBand="0" w:firstRowFirstColumn="0" w:firstRowLastColumn="0" w:lastRowFirstColumn="0" w:lastRowLastColumn="0"/>
            </w:pPr>
            <w:r>
              <w:t>Butir-butir perhubungan</w:t>
            </w:r>
          </w:p>
        </w:tc>
      </w:tr>
      <w:tr w:rsidR="00683734" w14:paraId="340EED4B" w14:textId="77777777" w:rsidTr="00E27CA1">
        <w:trPr>
          <w:cantSplit/>
        </w:trPr>
        <w:tc>
          <w:tcPr>
            <w:cnfStyle w:val="001000000000" w:firstRow="0" w:lastRow="0" w:firstColumn="1" w:lastColumn="0" w:oddVBand="0" w:evenVBand="0" w:oddHBand="0" w:evenHBand="0" w:firstRowFirstColumn="0" w:firstRowLastColumn="0" w:lastRowFirstColumn="0" w:lastRowLastColumn="0"/>
            <w:tcW w:w="2019" w:type="pct"/>
          </w:tcPr>
          <w:p w14:paraId="512DFBAE" w14:textId="77777777" w:rsidR="00683734" w:rsidRDefault="00737CDF" w:rsidP="002E1ADA">
            <w:r>
              <w:t>Telefon</w:t>
            </w:r>
          </w:p>
        </w:tc>
        <w:tc>
          <w:tcPr>
            <w:tcW w:w="2981" w:type="pct"/>
          </w:tcPr>
          <w:p w14:paraId="6C1D1DD9" w14:textId="77777777" w:rsidR="00683734" w:rsidRDefault="00737CDF" w:rsidP="002E1ADA">
            <w:pPr>
              <w:cnfStyle w:val="000000000000" w:firstRow="0" w:lastRow="0" w:firstColumn="0" w:lastColumn="0" w:oddVBand="0" w:evenVBand="0" w:oddHBand="0" w:evenHBand="0" w:firstRowFirstColumn="0" w:firstRowLastColumn="0" w:lastRowFirstColumn="0" w:lastRowLastColumn="0"/>
            </w:pPr>
            <w:r>
              <w:t>08 6557 7000</w:t>
            </w:r>
          </w:p>
        </w:tc>
      </w:tr>
      <w:tr w:rsidR="0090710F" w14:paraId="562274F3" w14:textId="77777777" w:rsidTr="00E27CA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19" w:type="pct"/>
          </w:tcPr>
          <w:p w14:paraId="3BB2199B" w14:textId="77777777" w:rsidR="0090710F" w:rsidRDefault="00737CDF" w:rsidP="002E1ADA">
            <w:r>
              <w:t>E-mel</w:t>
            </w:r>
          </w:p>
        </w:tc>
        <w:tc>
          <w:tcPr>
            <w:tcW w:w="2981" w:type="pct"/>
          </w:tcPr>
          <w:p w14:paraId="3A8D3476" w14:textId="77777777" w:rsidR="00737CDF" w:rsidRDefault="00E27CA1" w:rsidP="00737CDF">
            <w:pPr>
              <w:cnfStyle w:val="000000010000" w:firstRow="0" w:lastRow="0" w:firstColumn="0" w:lastColumn="0" w:oddVBand="0" w:evenVBand="0" w:oddHBand="0" w:evenHBand="1" w:firstRowFirstColumn="0" w:firstRowLastColumn="0" w:lastRowFirstColumn="0" w:lastRowLastColumn="0"/>
            </w:pPr>
            <w:hyperlink r:id="rId15" w:history="1">
              <w:r w:rsidR="00466CE5">
                <w:rPr>
                  <w:rStyle w:val="Hyperlink"/>
                </w:rPr>
                <w:t>enquiries@sat.wa.gov.au</w:t>
              </w:r>
            </w:hyperlink>
          </w:p>
        </w:tc>
      </w:tr>
      <w:tr w:rsidR="0090710F" w14:paraId="69C03971" w14:textId="77777777" w:rsidTr="00E27CA1">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19" w:type="pct"/>
          </w:tcPr>
          <w:p w14:paraId="02ED5F34" w14:textId="77777777" w:rsidR="0090710F" w:rsidRDefault="00737CDF" w:rsidP="002E1ADA">
            <w:r>
              <w:t>Laman web</w:t>
            </w:r>
          </w:p>
        </w:tc>
        <w:tc>
          <w:tcPr>
            <w:tcW w:w="2981" w:type="pct"/>
          </w:tcPr>
          <w:p w14:paraId="676A07F5" w14:textId="77777777" w:rsidR="00737CDF" w:rsidRPr="00737CDF" w:rsidRDefault="00E27CA1" w:rsidP="002E1ADA">
            <w:pPr>
              <w:cnfStyle w:val="010000000000" w:firstRow="0" w:lastRow="1" w:firstColumn="0" w:lastColumn="0" w:oddVBand="0" w:evenVBand="0" w:oddHBand="0" w:evenHBand="0" w:firstRowFirstColumn="0" w:firstRowLastColumn="0" w:lastRowFirstColumn="0" w:lastRowLastColumn="0"/>
              <w:rPr>
                <w:b w:val="0"/>
              </w:rPr>
            </w:pPr>
            <w:hyperlink r:id="rId16" w:history="1">
              <w:r w:rsidR="00466CE5">
                <w:rPr>
                  <w:rStyle w:val="Hyperlink"/>
                  <w:b w:val="0"/>
                </w:rPr>
                <w:t>www.wa.gov.au/organisation/salaries-and-allowances-tribunal</w:t>
              </w:r>
            </w:hyperlink>
          </w:p>
        </w:tc>
      </w:tr>
    </w:tbl>
    <w:p w14:paraId="0E688310" w14:textId="77777777" w:rsidR="00F11869" w:rsidRPr="00466CE5" w:rsidRDefault="00F11869" w:rsidP="00466CE5">
      <w:pPr>
        <w:suppressAutoHyphens w:val="0"/>
        <w:spacing w:before="0" w:after="0"/>
        <w:rPr>
          <w:sz w:val="16"/>
          <w:szCs w:val="16"/>
        </w:rPr>
      </w:pPr>
    </w:p>
    <w:sectPr w:rsidR="00F11869" w:rsidRPr="00466CE5" w:rsidSect="00466CE5">
      <w:type w:val="continuous"/>
      <w:pgSz w:w="11906" w:h="16838" w:code="9"/>
      <w:pgMar w:top="1021" w:right="1021" w:bottom="1021" w:left="1021" w:header="510" w:footer="334"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B8F19" w14:textId="77777777" w:rsidR="008D109A" w:rsidRDefault="008D109A" w:rsidP="008456D5">
      <w:pPr>
        <w:spacing w:before="0" w:after="0"/>
      </w:pPr>
      <w:r>
        <w:separator/>
      </w:r>
    </w:p>
  </w:endnote>
  <w:endnote w:type="continuationSeparator" w:id="0">
    <w:p w14:paraId="2D9DB48F" w14:textId="77777777" w:rsidR="008D109A" w:rsidRDefault="008D109A"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8A7F8" w14:textId="42DE9799" w:rsidR="00180B5B" w:rsidRDefault="00180B5B" w:rsidP="00180B5B">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6BCC5" w14:textId="734FCBB0" w:rsidR="008456D5" w:rsidRDefault="008456D5" w:rsidP="00546218">
    <w:pPr>
      <w:pStyle w:val="Footer"/>
      <w:spacing w:befor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A3FEE" w14:textId="77777777" w:rsidR="00D02062" w:rsidRDefault="00D02062" w:rsidP="00D02062">
    <w:pPr>
      <w:pStyle w:val="Footer"/>
      <w:spacing w:before="720"/>
    </w:pPr>
    <w:r>
      <w:rPr>
        <w:noProof/>
      </w:rPr>
      <mc:AlternateContent>
        <mc:Choice Requires="wps">
          <w:drawing>
            <wp:anchor distT="0" distB="0" distL="114300" distR="114300" simplePos="0" relativeHeight="251676672" behindDoc="1" locked="1" layoutInCell="1" allowOverlap="1" wp14:anchorId="49BF6022" wp14:editId="4DD7E72C">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4B7D5A19" w14:textId="77777777"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466CE5">
                            <w:rPr>
                              <w:rStyle w:val="PageNumber"/>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BF6022" id="_x0000_t202" coordsize="21600,21600" o:spt="202" path="m,l,21600r21600,l21600,xe">
              <v:stroke joinstyle="miter"/>
              <v:path gradientshapeok="t" o:connecttype="rect"/>
            </v:shapetype>
            <v:shape id="Text Box 6" o:spid="_x0000_s1026"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14:paraId="4B7D5A19" w14:textId="77777777"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466CE5">
                      <w:rPr>
                        <w:rStyle w:val="PageNumber"/>
                      </w:rPr>
                      <w:t>1</w:t>
                    </w:r>
                    <w:r w:rsidRPr="007A05BE">
                      <w:rPr>
                        <w:rStyle w:val="PageNumber"/>
                      </w:rPr>
                      <w:fldChar w:fldCharType="end"/>
                    </w:r>
                  </w:p>
                </w:txbxContent>
              </v:textbox>
              <w10:wrap anchorx="page" anchory="page"/>
              <w10:anchorlock/>
            </v:shape>
          </w:pict>
        </mc:Fallback>
      </mc:AlternateContent>
    </w:r>
    <w:r>
      <w:rPr>
        <w:noProof/>
      </w:rPr>
      <mc:AlternateContent>
        <mc:Choice Requires="wps">
          <w:drawing>
            <wp:anchor distT="0" distB="0" distL="114300" distR="114300" simplePos="0" relativeHeight="251675648" behindDoc="1" locked="1" layoutInCell="1" allowOverlap="1" wp14:anchorId="6ECC4F42" wp14:editId="2F0993BC">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ajuk"/>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5E5189A5" w14:textId="6AC555BD" w:rsidR="00D02062" w:rsidRDefault="00B26571" w:rsidP="00D02062">
                              <w:pPr>
                                <w:pStyle w:val="Footer"/>
                                <w:jc w:val="right"/>
                              </w:pPr>
                              <w:r>
                                <w:t>Perkhidmatan gaji dan elaun kerajaan tempatan</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C4F42" id="Text Box 7" o:spid="_x0000_s1027"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ajuk"/>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5E5189A5" w14:textId="6AC555BD" w:rsidR="00D02062" w:rsidRDefault="00B26571" w:rsidP="00D02062">
                        <w:pPr>
                          <w:pStyle w:val="Footer"/>
                          <w:jc w:val="right"/>
                        </w:pPr>
                        <w:r>
                          <w:t>Perkhidmatan gaji dan elaun kerajaan tempatan</w:t>
                        </w:r>
                      </w:p>
                    </w:sdtContent>
                  </w:sdt>
                </w:txbxContent>
              </v:textbox>
              <w10:wrap anchorx="page" anchory="page"/>
              <w10:anchorlock/>
            </v:shape>
          </w:pict>
        </mc:Fallback>
      </mc:AlternateContent>
    </w:r>
    <w:r>
      <w:rPr>
        <w:noProof/>
      </w:rPr>
      <w:drawing>
        <wp:anchor distT="0" distB="0" distL="114300" distR="114300" simplePos="0" relativeHeight="251674624" behindDoc="1" locked="1" layoutInCell="1" allowOverlap="1" wp14:anchorId="1D755769" wp14:editId="39A70EE4">
          <wp:simplePos x="0" y="0"/>
          <wp:positionH relativeFrom="page">
            <wp:align>right</wp:align>
          </wp:positionH>
          <wp:positionV relativeFrom="page">
            <wp:align>bottom</wp:align>
          </wp:positionV>
          <wp:extent cx="10692000" cy="183240"/>
          <wp:effectExtent l="0" t="0" r="0" b="7620"/>
          <wp:wrapNone/>
          <wp:docPr id="5" name="Picture 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DE315" w14:textId="77777777" w:rsidR="008D109A" w:rsidRPr="005912BE" w:rsidRDefault="008D109A" w:rsidP="005912BE">
      <w:pPr>
        <w:spacing w:before="300"/>
        <w:rPr>
          <w:color w:val="4BB3B5" w:themeColor="accent2"/>
        </w:rPr>
      </w:pPr>
      <w:r>
        <w:rPr>
          <w:color w:val="4BB3B5" w:themeColor="accent2"/>
        </w:rPr>
        <w:t>----------</w:t>
      </w:r>
    </w:p>
  </w:footnote>
  <w:footnote w:type="continuationSeparator" w:id="0">
    <w:p w14:paraId="4BE53C48" w14:textId="77777777" w:rsidR="008D109A" w:rsidRDefault="008D109A"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EDC32" w14:textId="77777777" w:rsidR="00180B5B" w:rsidRDefault="00A146EE" w:rsidP="00180B5B">
    <w:pPr>
      <w:pStyle w:val="Header"/>
      <w:spacing w:after="1320"/>
      <w:jc w:val="left"/>
    </w:pPr>
    <w:r>
      <w:fldChar w:fldCharType="begin"/>
    </w:r>
    <w:r>
      <w:instrText xml:space="preserve"> STYLEREF  "Heading 1" \l  \* MERGEFORMAT </w:instrText>
    </w:r>
    <w:r>
      <w:fldChar w:fldCharType="separate"/>
    </w:r>
    <w:r w:rsidR="001928AA">
      <w:rPr>
        <w:b/>
        <w:bCs/>
        <w:noProof/>
        <w:lang w:val="en-US"/>
      </w:rPr>
      <w:t>Error! No text of specified style in document.</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A8BE7" w14:textId="7ABF05A7" w:rsidR="007A05BE" w:rsidRDefault="00E2218A" w:rsidP="00546218">
    <w:pPr>
      <w:pStyle w:val="Header"/>
      <w:spacing w:after="1320"/>
    </w:pPr>
    <w:r>
      <w:fldChar w:fldCharType="begin"/>
    </w:r>
    <w:r>
      <w:instrText xml:space="preserve"> STYLEREF  "Heading 1" \l  \* MERGEFORMAT </w:instrText>
    </w:r>
    <w:r>
      <w:fldChar w:fldCharType="separate"/>
    </w:r>
    <w:r w:rsidR="00E27CA1">
      <w:rPr>
        <w:b/>
        <w:bCs/>
        <w:noProof/>
        <w:lang w:val="en-US"/>
      </w:rPr>
      <w:t>Error! No text of specified style in document.</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126C75D2"/>
    <w:multiLevelType w:val="hybridMultilevel"/>
    <w:tmpl w:val="7D3C0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A51938"/>
    <w:multiLevelType w:val="multilevel"/>
    <w:tmpl w:val="298C34E4"/>
    <w:numStyleLink w:val="AppendixNumbers"/>
  </w:abstractNum>
  <w:abstractNum w:abstractNumId="1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7E8752CF"/>
    <w:multiLevelType w:val="hybridMultilevel"/>
    <w:tmpl w:val="58869B58"/>
    <w:lvl w:ilvl="0" w:tplc="FFD8A4B8">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1"/>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CB3"/>
    <w:rsid w:val="0001430B"/>
    <w:rsid w:val="000E24BA"/>
    <w:rsid w:val="000E5674"/>
    <w:rsid w:val="001349C6"/>
    <w:rsid w:val="00180B5B"/>
    <w:rsid w:val="001928AA"/>
    <w:rsid w:val="00203C65"/>
    <w:rsid w:val="002254D5"/>
    <w:rsid w:val="0022611D"/>
    <w:rsid w:val="0026422D"/>
    <w:rsid w:val="00284164"/>
    <w:rsid w:val="002B3569"/>
    <w:rsid w:val="002B7197"/>
    <w:rsid w:val="002E1ADA"/>
    <w:rsid w:val="003720E9"/>
    <w:rsid w:val="003C625A"/>
    <w:rsid w:val="003F775D"/>
    <w:rsid w:val="00420F04"/>
    <w:rsid w:val="0042444F"/>
    <w:rsid w:val="00450D0E"/>
    <w:rsid w:val="00466CE5"/>
    <w:rsid w:val="00477E77"/>
    <w:rsid w:val="004F77AA"/>
    <w:rsid w:val="00500CB3"/>
    <w:rsid w:val="00541213"/>
    <w:rsid w:val="00546218"/>
    <w:rsid w:val="005653A9"/>
    <w:rsid w:val="005912BE"/>
    <w:rsid w:val="005F794B"/>
    <w:rsid w:val="00611CC1"/>
    <w:rsid w:val="006379CB"/>
    <w:rsid w:val="00683734"/>
    <w:rsid w:val="00686A7B"/>
    <w:rsid w:val="006A266A"/>
    <w:rsid w:val="006B6877"/>
    <w:rsid w:val="006E1ECA"/>
    <w:rsid w:val="00737CDF"/>
    <w:rsid w:val="007A05BE"/>
    <w:rsid w:val="007E1E1A"/>
    <w:rsid w:val="008067A1"/>
    <w:rsid w:val="008456D5"/>
    <w:rsid w:val="0084634B"/>
    <w:rsid w:val="008A1887"/>
    <w:rsid w:val="008B6A81"/>
    <w:rsid w:val="008D109A"/>
    <w:rsid w:val="008E2A0D"/>
    <w:rsid w:val="0090710F"/>
    <w:rsid w:val="009339AB"/>
    <w:rsid w:val="009909EC"/>
    <w:rsid w:val="00996B8C"/>
    <w:rsid w:val="009B00F2"/>
    <w:rsid w:val="00A02D24"/>
    <w:rsid w:val="00A070A2"/>
    <w:rsid w:val="00A146EE"/>
    <w:rsid w:val="00A55479"/>
    <w:rsid w:val="00A95970"/>
    <w:rsid w:val="00AD7703"/>
    <w:rsid w:val="00AE4298"/>
    <w:rsid w:val="00B0484D"/>
    <w:rsid w:val="00B26571"/>
    <w:rsid w:val="00B42AC2"/>
    <w:rsid w:val="00BA6544"/>
    <w:rsid w:val="00BB3AAC"/>
    <w:rsid w:val="00BE3AD8"/>
    <w:rsid w:val="00BE5C0A"/>
    <w:rsid w:val="00CB024A"/>
    <w:rsid w:val="00CC76B6"/>
    <w:rsid w:val="00CD233E"/>
    <w:rsid w:val="00CF6CFD"/>
    <w:rsid w:val="00D02062"/>
    <w:rsid w:val="00D5655E"/>
    <w:rsid w:val="00DE4362"/>
    <w:rsid w:val="00DE4FE2"/>
    <w:rsid w:val="00E0433A"/>
    <w:rsid w:val="00E04908"/>
    <w:rsid w:val="00E2218A"/>
    <w:rsid w:val="00E27CA1"/>
    <w:rsid w:val="00E575B3"/>
    <w:rsid w:val="00E94FDD"/>
    <w:rsid w:val="00E95BA5"/>
    <w:rsid w:val="00F11869"/>
    <w:rsid w:val="00F1428D"/>
    <w:rsid w:val="00F67CDB"/>
    <w:rsid w:val="00FC32B2"/>
    <w:rsid w:val="00FC34AF"/>
    <w:rsid w:val="00FD4C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44FE0"/>
  <w15:chartTrackingRefBased/>
  <w15:docId w15:val="{2506894B-90D1-45FD-87AD-2A8DA3BE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lang w:val="ms-MY"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1ECA"/>
    <w:pPr>
      <w:suppressAutoHyphens/>
    </w:pPr>
    <w:rPr>
      <w:kern w:val="1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E27CA1"/>
    <w:pPr>
      <w:keepNext/>
      <w:keepLines/>
      <w:spacing w:before="120" w:after="12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996B8C"/>
    <w:pPr>
      <w:keepNext/>
      <w:keepLines/>
      <w:spacing w:before="240" w:after="160"/>
      <w:outlineLvl w:val="3"/>
    </w:pPr>
    <w:rPr>
      <w:rFonts w:asciiTheme="majorHAnsi" w:eastAsiaTheme="majorEastAsia" w:hAnsiTheme="majorHAnsi" w:cstheme="majorBidi"/>
      <w:b/>
      <w:iCs/>
      <w:color w:val="6D7989" w:themeColor="accent4" w:themeShade="BF"/>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E27CA1"/>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996B8C"/>
    <w:rPr>
      <w:rFonts w:asciiTheme="majorHAnsi" w:eastAsiaTheme="majorEastAsia" w:hAnsiTheme="majorHAnsi" w:cstheme="majorBidi"/>
      <w:b/>
      <w:iCs/>
      <w:color w:val="6D7989" w:themeColor="accent4" w:themeShade="BF"/>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5653A9"/>
    <w:pPr>
      <w:spacing w:before="0"/>
      <w:ind w:left="-1020" w:firstLine="1020"/>
    </w:pPr>
    <w:rPr>
      <w:rFonts w:cs="Times New Roman (Body CS)"/>
      <w:caps/>
      <w:color w:val="6D7989" w:themeColor="accent4" w:themeShade="BF"/>
      <w:sz w:val="21"/>
    </w:rPr>
  </w:style>
  <w:style w:type="paragraph" w:styleId="ListParagraph">
    <w:name w:val="List Paragraph"/>
    <w:basedOn w:val="Normal"/>
    <w:uiPriority w:val="99"/>
    <w:unhideWhenUsed/>
    <w:qFormat/>
    <w:rsid w:val="00BA6544"/>
    <w:pPr>
      <w:ind w:left="720"/>
      <w:contextualSpacing/>
    </w:pPr>
  </w:style>
  <w:style w:type="paragraph" w:customStyle="1" w:styleId="Bullet">
    <w:name w:val="Bullet"/>
    <w:basedOn w:val="ListParagraph"/>
    <w:qFormat/>
    <w:rsid w:val="00737CDF"/>
    <w:pPr>
      <w:numPr>
        <w:numId w:val="25"/>
      </w:numPr>
      <w:suppressAutoHyphens w:val="0"/>
      <w:spacing w:before="60" w:after="60" w:line="312" w:lineRule="auto"/>
      <w:ind w:left="357" w:hanging="357"/>
    </w:pPr>
    <w:rPr>
      <w:rFonts w:ascii="Arial" w:hAnsi="Arial"/>
      <w:color w:val="595959" w:themeColor="text1" w:themeTint="A6"/>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a.gov.au/organisation/salaries-and-allowances-tribun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enquiries@sat.wa.gov.au"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oITRD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CB3196F0A943FB8F946444AB951F6E"/>
        <w:category>
          <w:name w:val="General"/>
          <w:gallery w:val="placeholder"/>
        </w:category>
        <w:types>
          <w:type w:val="bbPlcHdr"/>
        </w:types>
        <w:behaviors>
          <w:behavior w:val="content"/>
        </w:behaviors>
        <w:guid w:val="{899FF772-D2C9-48FF-BD4E-B6569701ACA0}"/>
      </w:docPartPr>
      <w:docPartBody>
        <w:p w:rsidR="00B0669D" w:rsidRDefault="00B0669D">
          <w:pPr>
            <w:pStyle w:val="CBCB3196F0A943FB8F946444AB951F6E"/>
          </w:pPr>
          <w:r w:rsidRPr="00EC51DD">
            <w:rPr>
              <w:rStyle w:val="PlaceholderText"/>
            </w:rPr>
            <w:t>[Title]</w:t>
          </w:r>
        </w:p>
      </w:docPartBody>
    </w:docPart>
    <w:docPart>
      <w:docPartPr>
        <w:name w:val="D1A846125AF44268A9B9E46E39F0AC71"/>
        <w:category>
          <w:name w:val="General"/>
          <w:gallery w:val="placeholder"/>
        </w:category>
        <w:types>
          <w:type w:val="bbPlcHdr"/>
        </w:types>
        <w:behaviors>
          <w:behavior w:val="content"/>
        </w:behaviors>
        <w:guid w:val="{24709BC5-2DAB-44ED-B19D-70B8584B818F}"/>
      </w:docPartPr>
      <w:docPartBody>
        <w:p w:rsidR="00B0669D" w:rsidRDefault="00B0669D">
          <w:pPr>
            <w:pStyle w:val="D1A846125AF44268A9B9E46E39F0AC71"/>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69D"/>
    <w:rsid w:val="000455C6"/>
    <w:rsid w:val="00970F15"/>
    <w:rsid w:val="00B066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CB3196F0A943FB8F946444AB951F6E">
    <w:name w:val="CBCB3196F0A943FB8F946444AB951F6E"/>
  </w:style>
  <w:style w:type="paragraph" w:customStyle="1" w:styleId="D1A846125AF44268A9B9E46E39F0AC71">
    <w:name w:val="D1A846125AF44268A9B9E46E39F0AC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9FC93F-F585-4109-A552-B6376D547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DoITRDC Document.dotx</Template>
  <TotalTime>4</TotalTime>
  <Pages>1</Pages>
  <Words>230</Words>
  <Characters>1606</Characters>
  <Application>Microsoft Office Word</Application>
  <DocSecurity>0</DocSecurity>
  <Lines>51</Lines>
  <Paragraphs>39</Paragraphs>
  <ScaleCrop>false</ScaleCrop>
  <HeadingPairs>
    <vt:vector size="2" baseType="variant">
      <vt:variant>
        <vt:lpstr>Title</vt:lpstr>
      </vt:variant>
      <vt:variant>
        <vt:i4>1</vt:i4>
      </vt:variant>
    </vt:vector>
  </HeadingPairs>
  <TitlesOfParts>
    <vt:vector size="1" baseType="lpstr">
      <vt:lpstr>Perkhidmatan gaji dan elaun kerajaan tempatan</vt:lpstr>
    </vt:vector>
  </TitlesOfParts>
  <Company>Department of Infrastructure, Transport, Regional Development and Communications</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Perkhidmatan gaji dan elaun kerajaan tempatan</dc:title>
  <dc:subject/>
  <dc:creator>Department of Infrastructure, Transport, Regional Development and Communications</dc:creator>
  <cp:keywords/>
  <dc:description/>
  <cp:lastModifiedBy>HALL Theresa</cp:lastModifiedBy>
  <cp:revision>4</cp:revision>
  <dcterms:created xsi:type="dcterms:W3CDTF">2022-04-04T12:05:00Z</dcterms:created>
  <dcterms:modified xsi:type="dcterms:W3CDTF">2022-06-22T07:38:00Z</dcterms:modified>
</cp:coreProperties>
</file>