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D4D16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B5A" w:rsidRPr="001E7ABB" w:rsidRDefault="00C16D53" w:rsidP="001E7ABB">
      <w:pPr>
        <w:pStyle w:val="Heading1"/>
      </w:pPr>
      <w:r w:rsidRPr="009D4D16">
        <w:rPr>
          <w:rFonts w:hint="eastAsia"/>
        </w:rPr>
        <w:t>地方政府工资与津贴服务</w:t>
      </w:r>
    </w:p>
    <w:p w:rsidR="00DE4FE2" w:rsidRPr="009D4D16" w:rsidRDefault="00C16D53" w:rsidP="00BE3AD8">
      <w:pPr>
        <w:pStyle w:val="Subtitle"/>
        <w:rPr>
          <w:rFonts w:asciiTheme="majorEastAsia" w:eastAsiaTheme="majorEastAsia" w:hAnsiTheme="majorEastAsia"/>
        </w:rPr>
      </w:pPr>
      <w:r w:rsidRPr="009D4D16">
        <w:rPr>
          <w:rFonts w:asciiTheme="majorEastAsia" w:eastAsiaTheme="majorEastAsia" w:hAnsiTheme="majorEastAsia" w:hint="eastAsia"/>
        </w:rPr>
        <w:t>由工资与津贴</w:t>
      </w:r>
      <w:r w:rsidR="00342903">
        <w:rPr>
          <w:rFonts w:asciiTheme="majorEastAsia" w:eastAsiaTheme="majorEastAsia" w:hAnsiTheme="majorEastAsia" w:hint="eastAsia"/>
        </w:rPr>
        <w:t>仲</w:t>
      </w:r>
      <w:r w:rsidRPr="009D4D16">
        <w:rPr>
          <w:rFonts w:asciiTheme="majorEastAsia" w:eastAsiaTheme="majorEastAsia" w:hAnsiTheme="majorEastAsia" w:hint="eastAsia"/>
        </w:rPr>
        <w:t>裁庭</w:t>
      </w:r>
      <w:r w:rsidR="00FB73D3">
        <w:rPr>
          <w:rFonts w:asciiTheme="majorEastAsia" w:eastAsiaTheme="majorEastAsia" w:hAnsiTheme="majorEastAsia" w:hint="eastAsia"/>
        </w:rPr>
        <w:t>在</w:t>
      </w:r>
      <w:r w:rsidR="00FB73D3" w:rsidRPr="009D4D16">
        <w:rPr>
          <w:rFonts w:asciiTheme="majorEastAsia" w:eastAsiaTheme="majorEastAsia" w:hAnsiTheme="majorEastAsia" w:hint="eastAsia"/>
        </w:rPr>
        <w:t>印度洋领地</w:t>
      </w:r>
      <w:r w:rsidRPr="009D4D16">
        <w:rPr>
          <w:rFonts w:asciiTheme="majorEastAsia" w:eastAsiaTheme="majorEastAsia" w:hAnsiTheme="majorEastAsia" w:hint="eastAsia"/>
        </w:rPr>
        <w:t>执行</w:t>
      </w:r>
    </w:p>
    <w:p w:rsidR="00DE4FE2" w:rsidRDefault="00C16D53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4E4323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4E432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C16D53" w:rsidP="001E7ABB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服务</w:t>
      </w:r>
      <w:proofErr w:type="spellEnd"/>
    </w:p>
    <w:p w:rsidR="006B6877" w:rsidRDefault="00C16D53" w:rsidP="0090710F">
      <w:r>
        <w:rPr>
          <w:rFonts w:hint="eastAsia"/>
        </w:rPr>
        <w:t>工资与津贴</w:t>
      </w:r>
      <w:r w:rsidR="00342903">
        <w:rPr>
          <w:rFonts w:hint="eastAsia"/>
        </w:rPr>
        <w:t>仲</w:t>
      </w:r>
      <w:r>
        <w:rPr>
          <w:rFonts w:hint="eastAsia"/>
        </w:rPr>
        <w:t>裁庭获澳大利亚联邦政府全款资助</w:t>
      </w:r>
      <w:r w:rsidR="00FB73D3">
        <w:rPr>
          <w:rFonts w:hint="eastAsia"/>
        </w:rPr>
        <w:t>，</w:t>
      </w:r>
      <w:r>
        <w:rPr>
          <w:rFonts w:hint="eastAsia"/>
        </w:rPr>
        <w:t>并代表联邦</w:t>
      </w:r>
      <w:r w:rsidR="00FB73D3">
        <w:rPr>
          <w:rFonts w:hint="eastAsia"/>
        </w:rPr>
        <w:t>政府</w:t>
      </w:r>
      <w:r w:rsidR="009939E1">
        <w:rPr>
          <w:rFonts w:hint="eastAsia"/>
        </w:rPr>
        <w:t>决定</w:t>
      </w:r>
      <w:r>
        <w:rPr>
          <w:rFonts w:hint="eastAsia"/>
        </w:rPr>
        <w:t>向领土</w:t>
      </w:r>
      <w:r w:rsidR="00161605">
        <w:rPr>
          <w:rFonts w:hint="eastAsia"/>
        </w:rPr>
        <w:t>各</w:t>
      </w:r>
      <w:r>
        <w:rPr>
          <w:rFonts w:hint="eastAsia"/>
        </w:rPr>
        <w:t>地方政府行政长官支付</w:t>
      </w:r>
      <w:r w:rsidR="009939E1">
        <w:rPr>
          <w:rFonts w:hint="eastAsia"/>
        </w:rPr>
        <w:t>的</w:t>
      </w:r>
      <w:r>
        <w:rPr>
          <w:rFonts w:hint="eastAsia"/>
        </w:rPr>
        <w:t>薪酬，</w:t>
      </w:r>
      <w:r w:rsidR="00214676">
        <w:rPr>
          <w:rFonts w:hint="eastAsia"/>
        </w:rPr>
        <w:t>以及</w:t>
      </w:r>
      <w:r>
        <w:rPr>
          <w:rFonts w:hint="eastAsia"/>
        </w:rPr>
        <w:t>向当选议员提供</w:t>
      </w:r>
      <w:r w:rsidR="00214676">
        <w:rPr>
          <w:rFonts w:hint="eastAsia"/>
        </w:rPr>
        <w:t>的</w:t>
      </w:r>
      <w:r w:rsidR="0095189B">
        <w:rPr>
          <w:rFonts w:hint="eastAsia"/>
        </w:rPr>
        <w:t>服务费、</w:t>
      </w:r>
      <w:r>
        <w:rPr>
          <w:rFonts w:hint="eastAsia"/>
        </w:rPr>
        <w:t>报销</w:t>
      </w:r>
      <w:r w:rsidR="00750D60">
        <w:rPr>
          <w:rFonts w:hint="eastAsia"/>
        </w:rPr>
        <w:t>额</w:t>
      </w:r>
      <w:r>
        <w:rPr>
          <w:rFonts w:hint="eastAsia"/>
        </w:rPr>
        <w:t>和津贴。</w:t>
      </w:r>
      <w:r>
        <w:rPr>
          <w:rFonts w:hint="eastAsia"/>
        </w:rPr>
        <w:t xml:space="preserve"> </w:t>
      </w:r>
    </w:p>
    <w:p w:rsidR="00BA6544" w:rsidRPr="00750D60" w:rsidRDefault="00750D60" w:rsidP="001E7ABB">
      <w:pPr>
        <w:pStyle w:val="Heading2"/>
        <w:rPr>
          <w:rFonts w:eastAsiaTheme="majorEastAsia"/>
        </w:rPr>
      </w:pPr>
      <w:r>
        <w:rPr>
          <w:rFonts w:eastAsiaTheme="majorEastAsia" w:hint="eastAsia"/>
        </w:rPr>
        <w:t>这</w:t>
      </w:r>
      <w:r w:rsidR="00794E91" w:rsidRPr="00794E91">
        <w:rPr>
          <w:rFonts w:eastAsiaTheme="majorEastAsia" w:hint="eastAsia"/>
        </w:rPr>
        <w:t>对我意味着什么？</w:t>
      </w:r>
    </w:p>
    <w:p w:rsidR="00466CE5" w:rsidRDefault="00C16D53" w:rsidP="006B6877">
      <w:r>
        <w:rPr>
          <w:rFonts w:hint="eastAsia"/>
        </w:rPr>
        <w:t>工资与津贴</w:t>
      </w:r>
      <w:r w:rsidR="00342903">
        <w:rPr>
          <w:rFonts w:hint="eastAsia"/>
        </w:rPr>
        <w:t>仲</w:t>
      </w:r>
      <w:r>
        <w:rPr>
          <w:rFonts w:hint="eastAsia"/>
        </w:rPr>
        <w:t>裁庭的年度审核</w:t>
      </w:r>
      <w:r w:rsidR="00D41DA5">
        <w:rPr>
          <w:rFonts w:hint="eastAsia"/>
        </w:rPr>
        <w:t>和决定</w:t>
      </w:r>
      <w:r w:rsidR="001C1BD4">
        <w:rPr>
          <w:rFonts w:hint="eastAsia"/>
        </w:rPr>
        <w:t>旨在</w:t>
      </w:r>
      <w:r>
        <w:rPr>
          <w:rFonts w:hint="eastAsia"/>
        </w:rPr>
        <w:t>确保领地地方政府的薪</w:t>
      </w:r>
      <w:r w:rsidR="00D779E8">
        <w:rPr>
          <w:rFonts w:hint="eastAsia"/>
        </w:rPr>
        <w:t>酬</w:t>
      </w:r>
      <w:r w:rsidR="007C75CB">
        <w:rPr>
          <w:rFonts w:hint="eastAsia"/>
        </w:rPr>
        <w:t>待遇</w:t>
      </w:r>
      <w:r>
        <w:rPr>
          <w:rFonts w:hint="eastAsia"/>
        </w:rPr>
        <w:t>与西澳州保持一致。即保证薪</w:t>
      </w:r>
      <w:r w:rsidR="007C75CB">
        <w:rPr>
          <w:rFonts w:hint="eastAsia"/>
        </w:rPr>
        <w:t>酬</w:t>
      </w:r>
      <w:r>
        <w:rPr>
          <w:rFonts w:hint="eastAsia"/>
        </w:rPr>
        <w:t>待遇达到现代标准，优厚程度能够</w:t>
      </w:r>
      <w:r w:rsidR="00D625F4">
        <w:rPr>
          <w:rFonts w:hint="eastAsia"/>
        </w:rPr>
        <w:t>吸引和</w:t>
      </w:r>
      <w:r>
        <w:rPr>
          <w:rFonts w:hint="eastAsia"/>
        </w:rPr>
        <w:t>留住地方政府的领导骨干。</w:t>
      </w:r>
      <w:r>
        <w:rPr>
          <w:rFonts w:hint="eastAsia"/>
        </w:rPr>
        <w:t xml:space="preserve"> </w:t>
      </w:r>
    </w:p>
    <w:p w:rsidR="006B6877" w:rsidRDefault="001C1BD4" w:rsidP="006B6877">
      <w:r>
        <w:rPr>
          <w:rFonts w:hint="eastAsia"/>
        </w:rPr>
        <w:t>仲</w:t>
      </w:r>
      <w:r w:rsidR="00C16D53">
        <w:rPr>
          <w:rFonts w:hint="eastAsia"/>
        </w:rPr>
        <w:t>裁庭负责调查</w:t>
      </w:r>
      <w:r w:rsidR="002F1786">
        <w:rPr>
          <w:rFonts w:hint="eastAsia"/>
        </w:rPr>
        <w:t>并决</w:t>
      </w:r>
      <w:r w:rsidR="00C16D53">
        <w:rPr>
          <w:rFonts w:hint="eastAsia"/>
        </w:rPr>
        <w:t>定：</w:t>
      </w:r>
      <w:r w:rsidR="00C16D53">
        <w:rPr>
          <w:rFonts w:hint="eastAsia"/>
        </w:rPr>
        <w:t xml:space="preserve"> </w:t>
      </w:r>
    </w:p>
    <w:p w:rsidR="00737CDF" w:rsidRDefault="00C16D53" w:rsidP="00737CDF">
      <w:pPr>
        <w:pStyle w:val="Bullet1"/>
      </w:pPr>
      <w:r>
        <w:rPr>
          <w:rFonts w:hint="eastAsia"/>
        </w:rPr>
        <w:t>每年预计给地方行政长官</w:t>
      </w:r>
      <w:r w:rsidR="0084007B">
        <w:rPr>
          <w:rFonts w:hint="eastAsia"/>
        </w:rPr>
        <w:t>支付或</w:t>
      </w:r>
      <w:r>
        <w:rPr>
          <w:rFonts w:hint="eastAsia"/>
        </w:rPr>
        <w:t>发放的薪酬金额，或最低和最高薪酬。</w:t>
      </w:r>
    </w:p>
    <w:p w:rsidR="00737CDF" w:rsidRDefault="00C16D53" w:rsidP="00737CDF">
      <w:pPr>
        <w:pStyle w:val="Bullet1"/>
      </w:pPr>
      <w:r>
        <w:rPr>
          <w:rFonts w:hint="eastAsia"/>
        </w:rPr>
        <w:t>每年预计给当选议员</w:t>
      </w:r>
      <w:r w:rsidR="00027C21">
        <w:rPr>
          <w:rFonts w:hint="eastAsia"/>
        </w:rPr>
        <w:t>支付</w:t>
      </w:r>
      <w:r w:rsidR="00D93CF8">
        <w:rPr>
          <w:rFonts w:hint="eastAsia"/>
        </w:rPr>
        <w:t>或</w:t>
      </w:r>
      <w:r>
        <w:rPr>
          <w:rFonts w:hint="eastAsia"/>
        </w:rPr>
        <w:t>发放的</w:t>
      </w:r>
      <w:r w:rsidR="00844BB3">
        <w:rPr>
          <w:rFonts w:hint="eastAsia"/>
        </w:rPr>
        <w:t>服务</w:t>
      </w:r>
      <w:r>
        <w:rPr>
          <w:rFonts w:hint="eastAsia"/>
        </w:rPr>
        <w:t>费金额，或最低和最高</w:t>
      </w:r>
      <w:r w:rsidR="00D93CF8">
        <w:rPr>
          <w:rFonts w:hint="eastAsia"/>
        </w:rPr>
        <w:t>服务</w:t>
      </w:r>
      <w:r>
        <w:rPr>
          <w:rFonts w:hint="eastAsia"/>
        </w:rPr>
        <w:t>费。</w:t>
      </w:r>
    </w:p>
    <w:p w:rsidR="00737CDF" w:rsidRDefault="00C16D53" w:rsidP="00737CDF">
      <w:pPr>
        <w:pStyle w:val="Bullet1"/>
      </w:pPr>
      <w:r>
        <w:rPr>
          <w:rFonts w:hint="eastAsia"/>
        </w:rPr>
        <w:t>每年预计给当选议员报销的</w:t>
      </w:r>
      <w:r w:rsidR="00BA05C8">
        <w:rPr>
          <w:rFonts w:hint="eastAsia"/>
        </w:rPr>
        <w:t>开支</w:t>
      </w:r>
      <w:r>
        <w:rPr>
          <w:rFonts w:hint="eastAsia"/>
        </w:rPr>
        <w:t>金额，或报销的最低和最高</w:t>
      </w:r>
      <w:r w:rsidR="00E02C5D">
        <w:rPr>
          <w:rFonts w:hint="eastAsia"/>
        </w:rPr>
        <w:t>开支额</w:t>
      </w:r>
      <w:r>
        <w:rPr>
          <w:rFonts w:hint="eastAsia"/>
        </w:rPr>
        <w:t>。</w:t>
      </w:r>
    </w:p>
    <w:p w:rsidR="00737CDF" w:rsidRPr="001C1D0E" w:rsidRDefault="00C16D53" w:rsidP="00737CDF">
      <w:pPr>
        <w:pStyle w:val="Bullet1"/>
        <w:rPr>
          <w:sz w:val="16"/>
          <w:szCs w:val="16"/>
        </w:rPr>
      </w:pPr>
      <w:r>
        <w:rPr>
          <w:rFonts w:hint="eastAsia"/>
        </w:rPr>
        <w:t>每年预计给当选议员及地方行政长官发放的津贴金额，或最低和最高津贴</w:t>
      </w:r>
      <w:r w:rsidR="000916BF">
        <w:rPr>
          <w:rFonts w:hint="eastAsia"/>
        </w:rPr>
        <w:t>额</w:t>
      </w:r>
      <w:r>
        <w:rPr>
          <w:rFonts w:hint="eastAsia"/>
        </w:rPr>
        <w:t>。</w:t>
      </w:r>
    </w:p>
    <w:p w:rsidR="0090710F" w:rsidRDefault="00C16D53" w:rsidP="001E7ABB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更多信息</w:t>
      </w:r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213C46" w:rsidTr="004E4323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144500" w:rsidRDefault="00691031" w:rsidP="004E4323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144500" w:rsidRDefault="00C16D53" w:rsidP="004E4323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213C46" w:rsidTr="004E4323">
        <w:tc>
          <w:tcPr>
            <w:tcW w:w="2019" w:type="pct"/>
            <w:shd w:val="clear" w:color="auto" w:fill="auto"/>
          </w:tcPr>
          <w:p w:rsidR="00683734" w:rsidRPr="00144500" w:rsidRDefault="00C16D53" w:rsidP="004E4323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683734" w:rsidRPr="00144500" w:rsidRDefault="00C16D53" w:rsidP="004E4323">
            <w:pPr>
              <w:spacing w:before="80"/>
            </w:pPr>
            <w:r>
              <w:rPr>
                <w:rFonts w:hint="eastAsia"/>
              </w:rPr>
              <w:t>08 6557 7000</w:t>
            </w:r>
          </w:p>
        </w:tc>
      </w:tr>
      <w:tr w:rsidR="00213C46" w:rsidTr="004E4323">
        <w:tc>
          <w:tcPr>
            <w:tcW w:w="2019" w:type="pct"/>
            <w:shd w:val="clear" w:color="auto" w:fill="F2F2F2"/>
          </w:tcPr>
          <w:p w:rsidR="0090710F" w:rsidRPr="00144500" w:rsidRDefault="00C16D53" w:rsidP="004E4323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737CDF" w:rsidRPr="00144500" w:rsidRDefault="001E7ABB" w:rsidP="004E4323">
            <w:pPr>
              <w:spacing w:before="80"/>
            </w:pPr>
            <w:hyperlink r:id="rId15" w:history="1">
              <w:r w:rsidR="00C16D53">
                <w:rPr>
                  <w:rStyle w:val="Hyperlink"/>
                  <w:rFonts w:hint="eastAsia"/>
                </w:rPr>
                <w:t>enquiries@sat.wa.gov.au</w:t>
              </w:r>
            </w:hyperlink>
          </w:p>
        </w:tc>
      </w:tr>
      <w:tr w:rsidR="00213C46" w:rsidTr="004E4323">
        <w:tc>
          <w:tcPr>
            <w:tcW w:w="2019" w:type="pct"/>
            <w:shd w:val="clear" w:color="auto" w:fill="F2F6E8"/>
          </w:tcPr>
          <w:p w:rsidR="0090710F" w:rsidRPr="00144500" w:rsidRDefault="00C16D53" w:rsidP="004E4323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737CDF" w:rsidRPr="00144500" w:rsidRDefault="001E7ABB" w:rsidP="004E4323">
            <w:pPr>
              <w:spacing w:before="80"/>
            </w:pPr>
            <w:hyperlink r:id="rId16" w:history="1">
              <w:r w:rsidR="00C16D53">
                <w:rPr>
                  <w:rStyle w:val="Hyperlink"/>
                  <w:rFonts w:hint="eastAsia"/>
                </w:rPr>
                <w:t>www.wa.gov.au/organisation/salaries-and-allowances-tribunal</w:t>
              </w:r>
            </w:hyperlink>
          </w:p>
        </w:tc>
      </w:tr>
    </w:tbl>
    <w:p w:rsidR="00F11869" w:rsidRPr="00466CE5" w:rsidRDefault="00F11869" w:rsidP="00466CE5">
      <w:pPr>
        <w:suppressAutoHyphens w:val="0"/>
        <w:spacing w:before="0" w:after="0"/>
        <w:rPr>
          <w:sz w:val="16"/>
          <w:szCs w:val="16"/>
        </w:rPr>
      </w:pPr>
      <w:bookmarkStart w:id="1" w:name="_GoBack"/>
      <w:bookmarkEnd w:id="1"/>
    </w:p>
    <w:sectPr w:rsidR="00F11869" w:rsidRPr="00466CE5" w:rsidSect="004E4323">
      <w:type w:val="continuous"/>
      <w:pgSz w:w="11906" w:h="16838" w:code="9"/>
      <w:pgMar w:top="1021" w:right="1021" w:bottom="1021" w:left="1021" w:header="510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DC" w:rsidRDefault="00222ADC">
      <w:pPr>
        <w:spacing w:before="0" w:after="0"/>
      </w:pPr>
      <w:r>
        <w:separator/>
      </w:r>
    </w:p>
  </w:endnote>
  <w:endnote w:type="continuationSeparator" w:id="0">
    <w:p w:rsidR="00222ADC" w:rsidRDefault="00222A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E7ABB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794E91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C16D53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C16D53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C16D53" w:rsidP="00180B5B">
                <w:pPr>
                  <w:pStyle w:val="Footer"/>
                </w:pPr>
                <w:r>
                  <w:rPr>
                    <w:rFonts w:hint="eastAsia"/>
                  </w:rPr>
                  <w:t>地方政府工资与津贴服务</w:t>
                </w:r>
              </w:p>
            </w:txbxContent>
          </v:textbox>
          <w10:wrap anchorx="page" anchory="page"/>
          <w10:anchorlock/>
        </v:shape>
      </w:pict>
    </w:r>
    <w:r w:rsidR="009D4D16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1E7ABB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794E91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C16D53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466CE5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C16D53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地方政府工资与津贴服务</w:t>
                </w:r>
              </w:p>
            </w:txbxContent>
          </v:textbox>
          <w10:wrap anchorx="page" anchory="page"/>
          <w10:anchorlock/>
        </v:shape>
      </w:pict>
    </w:r>
    <w:r w:rsidR="009D4D16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2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1E7ABB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794E91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C16D53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9F3C04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C16D53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地方政府工资与津贴服务</w:t>
                </w:r>
              </w:p>
            </w:txbxContent>
          </v:textbox>
          <w10:wrap anchorx="page" anchory="page"/>
          <w10:anchorlock/>
        </v:shape>
      </w:pict>
    </w:r>
    <w:r w:rsidR="009D4D16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5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DC" w:rsidRDefault="00222ADC">
      <w:pPr>
        <w:spacing w:before="0" w:after="0"/>
      </w:pPr>
      <w:r>
        <w:separator/>
      </w:r>
    </w:p>
  </w:footnote>
  <w:footnote w:type="continuationSeparator" w:id="0">
    <w:p w:rsidR="00222ADC" w:rsidRDefault="00222A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E7ABB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1E7ABB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466CE5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E1A05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EC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C6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5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3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2E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41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A6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84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2B02658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AD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69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8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E2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6E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41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E8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6E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27B5A"/>
    <w:rsid w:val="00027C21"/>
    <w:rsid w:val="000916BF"/>
    <w:rsid w:val="000E24BA"/>
    <w:rsid w:val="000E5674"/>
    <w:rsid w:val="001349C6"/>
    <w:rsid w:val="00144500"/>
    <w:rsid w:val="00161605"/>
    <w:rsid w:val="00180B5B"/>
    <w:rsid w:val="001C1BD4"/>
    <w:rsid w:val="001C1D0E"/>
    <w:rsid w:val="001E7ABB"/>
    <w:rsid w:val="00203C65"/>
    <w:rsid w:val="00213C46"/>
    <w:rsid w:val="00214676"/>
    <w:rsid w:val="00222ADC"/>
    <w:rsid w:val="002254D5"/>
    <w:rsid w:val="0022611D"/>
    <w:rsid w:val="0026422D"/>
    <w:rsid w:val="00264A5E"/>
    <w:rsid w:val="00284164"/>
    <w:rsid w:val="002B3569"/>
    <w:rsid w:val="002B7197"/>
    <w:rsid w:val="002E1ADA"/>
    <w:rsid w:val="002F1786"/>
    <w:rsid w:val="00342903"/>
    <w:rsid w:val="003720E9"/>
    <w:rsid w:val="003C625A"/>
    <w:rsid w:val="003F775D"/>
    <w:rsid w:val="00420F04"/>
    <w:rsid w:val="0042444F"/>
    <w:rsid w:val="00450D0E"/>
    <w:rsid w:val="00466CE5"/>
    <w:rsid w:val="00477E77"/>
    <w:rsid w:val="004E4323"/>
    <w:rsid w:val="004F77AA"/>
    <w:rsid w:val="00500CB3"/>
    <w:rsid w:val="00513164"/>
    <w:rsid w:val="00541213"/>
    <w:rsid w:val="00546218"/>
    <w:rsid w:val="005653A9"/>
    <w:rsid w:val="005912BE"/>
    <w:rsid w:val="005F794B"/>
    <w:rsid w:val="00611CC1"/>
    <w:rsid w:val="006379CB"/>
    <w:rsid w:val="00683734"/>
    <w:rsid w:val="00686A7B"/>
    <w:rsid w:val="00691031"/>
    <w:rsid w:val="006A266A"/>
    <w:rsid w:val="006B6877"/>
    <w:rsid w:val="006E1ECA"/>
    <w:rsid w:val="00737CDF"/>
    <w:rsid w:val="00750D60"/>
    <w:rsid w:val="00794E91"/>
    <w:rsid w:val="007A05BE"/>
    <w:rsid w:val="007C75CB"/>
    <w:rsid w:val="007E1E1A"/>
    <w:rsid w:val="008067A1"/>
    <w:rsid w:val="0084007B"/>
    <w:rsid w:val="00844BB3"/>
    <w:rsid w:val="008456D5"/>
    <w:rsid w:val="0084634B"/>
    <w:rsid w:val="008A1887"/>
    <w:rsid w:val="008B6A81"/>
    <w:rsid w:val="008E2A0D"/>
    <w:rsid w:val="0090710F"/>
    <w:rsid w:val="0095189B"/>
    <w:rsid w:val="009909EC"/>
    <w:rsid w:val="009939E1"/>
    <w:rsid w:val="00996B8C"/>
    <w:rsid w:val="009B00F2"/>
    <w:rsid w:val="009D4D16"/>
    <w:rsid w:val="009F3C04"/>
    <w:rsid w:val="00A02D24"/>
    <w:rsid w:val="00A05F5E"/>
    <w:rsid w:val="00A070A2"/>
    <w:rsid w:val="00A146EE"/>
    <w:rsid w:val="00A55479"/>
    <w:rsid w:val="00A95970"/>
    <w:rsid w:val="00AD7703"/>
    <w:rsid w:val="00AE4298"/>
    <w:rsid w:val="00B0484D"/>
    <w:rsid w:val="00B42AC2"/>
    <w:rsid w:val="00BA05C8"/>
    <w:rsid w:val="00BA6544"/>
    <w:rsid w:val="00BB3AAC"/>
    <w:rsid w:val="00BE3AD8"/>
    <w:rsid w:val="00BE5C0A"/>
    <w:rsid w:val="00C16D53"/>
    <w:rsid w:val="00CB024A"/>
    <w:rsid w:val="00CD233E"/>
    <w:rsid w:val="00CF6CFD"/>
    <w:rsid w:val="00D02062"/>
    <w:rsid w:val="00D41DA5"/>
    <w:rsid w:val="00D5655E"/>
    <w:rsid w:val="00D625F4"/>
    <w:rsid w:val="00D771E0"/>
    <w:rsid w:val="00D779E8"/>
    <w:rsid w:val="00D93CF8"/>
    <w:rsid w:val="00DC2815"/>
    <w:rsid w:val="00DE4362"/>
    <w:rsid w:val="00DE4FE2"/>
    <w:rsid w:val="00E02C5D"/>
    <w:rsid w:val="00E0433A"/>
    <w:rsid w:val="00E04908"/>
    <w:rsid w:val="00E2218A"/>
    <w:rsid w:val="00E575B3"/>
    <w:rsid w:val="00E94FDD"/>
    <w:rsid w:val="00E95BA5"/>
    <w:rsid w:val="00EC70C6"/>
    <w:rsid w:val="00F11869"/>
    <w:rsid w:val="00F1428D"/>
    <w:rsid w:val="00F67CDB"/>
    <w:rsid w:val="00FB73D3"/>
    <w:rsid w:val="00FC32B2"/>
    <w:rsid w:val="00FC34AF"/>
    <w:rsid w:val="00FD4C36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CA233536-4A69-4EBA-948F-2F01CCAF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1E7ABB"/>
    <w:pPr>
      <w:spacing w:before="480" w:after="36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1E7ABB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paragraph" w:styleId="Revision">
    <w:name w:val="Revision"/>
    <w:hidden/>
    <w:uiPriority w:val="99"/>
    <w:semiHidden/>
    <w:rsid w:val="00D771E0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1E0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E0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salaries-and-allowances-tribun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nquiries@sat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AC7A33-DD00-4C99-A3D8-6E44C9B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74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salaries and allowances services</vt:lpstr>
    </vt:vector>
  </TitlesOfParts>
  <Company>Department of Infrastructure, Transport, Regional Development and Communications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salaries and allowances services</dc:title>
  <dc:creator>Department of Infrastructure, Transport, Regional Development and Communications</dc:creator>
  <cp:lastModifiedBy>HALL Theresa</cp:lastModifiedBy>
  <cp:revision>10</cp:revision>
  <cp:lastPrinted>1899-12-31T13:00:00Z</cp:lastPrinted>
  <dcterms:created xsi:type="dcterms:W3CDTF">2022-04-02T05:47:00Z</dcterms:created>
  <dcterms:modified xsi:type="dcterms:W3CDTF">2022-07-01T01:50:00Z</dcterms:modified>
</cp:coreProperties>
</file>