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B50BF8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70" w:rsidRPr="00B50BF8" w:rsidRDefault="00DD50DA" w:rsidP="00CA560A">
      <w:pPr>
        <w:pStyle w:val="Heading1"/>
      </w:pPr>
      <w:r w:rsidRPr="00B50BF8">
        <w:rPr>
          <w:rFonts w:hint="eastAsia"/>
        </w:rPr>
        <w:t>采矿、建</w:t>
      </w:r>
      <w:bookmarkStart w:id="0" w:name="_GoBack"/>
      <w:bookmarkEnd w:id="0"/>
      <w:r w:rsidRPr="00B50BF8">
        <w:rPr>
          <w:rFonts w:hint="eastAsia"/>
        </w:rPr>
        <w:t>筑与能源、</w:t>
      </w:r>
      <w:r w:rsidRPr="00EC2396">
        <w:rPr>
          <w:rFonts w:hint="eastAsia"/>
        </w:rPr>
        <w:t>消费者保护及安全监管服务</w:t>
      </w:r>
    </w:p>
    <w:p w:rsidR="00DE4FE2" w:rsidRPr="00B50BF8" w:rsidRDefault="00DD50DA" w:rsidP="00BE3AD8">
      <w:pPr>
        <w:pStyle w:val="Subtitle"/>
        <w:rPr>
          <w:rFonts w:asciiTheme="majorEastAsia" w:eastAsiaTheme="majorEastAsia" w:hAnsiTheme="majorEastAsia"/>
        </w:rPr>
      </w:pPr>
      <w:r w:rsidRPr="00B50BF8">
        <w:rPr>
          <w:rFonts w:asciiTheme="majorEastAsia" w:eastAsiaTheme="majorEastAsia" w:hAnsiTheme="majorEastAsia" w:hint="eastAsia"/>
        </w:rPr>
        <w:t>由矿业、工业</w:t>
      </w:r>
      <w:r w:rsidR="000B6FF4">
        <w:rPr>
          <w:rFonts w:asciiTheme="majorEastAsia" w:eastAsiaTheme="majorEastAsia" w:hAnsiTheme="majorEastAsia" w:hint="eastAsia"/>
        </w:rPr>
        <w:t>监管</w:t>
      </w:r>
      <w:r w:rsidRPr="00B50BF8">
        <w:rPr>
          <w:rFonts w:asciiTheme="majorEastAsia" w:eastAsiaTheme="majorEastAsia" w:hAnsiTheme="majorEastAsia" w:hint="eastAsia"/>
        </w:rPr>
        <w:t>与安全部</w:t>
      </w:r>
      <w:r w:rsidR="00326590">
        <w:rPr>
          <w:rFonts w:asciiTheme="majorEastAsia" w:eastAsiaTheme="majorEastAsia" w:hAnsiTheme="majorEastAsia" w:hint="eastAsia"/>
        </w:rPr>
        <w:t>在</w:t>
      </w:r>
      <w:r w:rsidR="00326590" w:rsidRPr="00B50BF8">
        <w:rPr>
          <w:rFonts w:asciiTheme="majorEastAsia" w:eastAsiaTheme="majorEastAsia" w:hAnsiTheme="majorEastAsia" w:hint="eastAsia"/>
        </w:rPr>
        <w:t>印度洋领地</w:t>
      </w:r>
      <w:r w:rsidRPr="00B50BF8">
        <w:rPr>
          <w:rFonts w:asciiTheme="majorEastAsia" w:eastAsiaTheme="majorEastAsia" w:hAnsiTheme="majorEastAsia" w:hint="eastAsia"/>
        </w:rPr>
        <w:t>提供</w:t>
      </w:r>
    </w:p>
    <w:p w:rsidR="00DE4FE2" w:rsidRDefault="00DD50DA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D72468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4F7532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0" w:footer="567" w:gutter="0"/>
          <w:cols w:space="708"/>
          <w:titlePg/>
          <w:docGrid w:linePitch="360"/>
        </w:sectPr>
      </w:pPr>
      <w:bookmarkStart w:id="1" w:name="_Toc49855348"/>
    </w:p>
    <w:bookmarkEnd w:id="1"/>
    <w:p w:rsidR="00A02D24" w:rsidRDefault="00DD50DA" w:rsidP="00CA560A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2F77C5" w:rsidRDefault="00DD50DA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rPr>
          <w:rFonts w:hint="eastAsia"/>
        </w:rPr>
        <w:t>矿业、工业与安全监管部获澳大利亚联邦政府全款资助</w:t>
      </w:r>
      <w:r w:rsidR="00326590">
        <w:rPr>
          <w:rFonts w:hint="eastAsia"/>
        </w:rPr>
        <w:t>，</w:t>
      </w:r>
      <w:r>
        <w:rPr>
          <w:rFonts w:hint="eastAsia"/>
        </w:rPr>
        <w:t>并代表联邦</w:t>
      </w:r>
      <w:r w:rsidR="00290653">
        <w:rPr>
          <w:rFonts w:hint="eastAsia"/>
        </w:rPr>
        <w:t>政府</w:t>
      </w:r>
      <w:r>
        <w:rPr>
          <w:rFonts w:hint="eastAsia"/>
        </w:rPr>
        <w:t>在领地提供以下服务：</w:t>
      </w:r>
    </w:p>
    <w:p w:rsidR="00D6134D" w:rsidRPr="00D6134D" w:rsidRDefault="00DD50DA" w:rsidP="00D6134D">
      <w:pPr>
        <w:pStyle w:val="Bullet1"/>
      </w:pPr>
      <w:r>
        <w:rPr>
          <w:rFonts w:hint="eastAsia"/>
        </w:rPr>
        <w:t>资源与环境监管：</w:t>
      </w:r>
      <w:r w:rsidR="00290653">
        <w:rPr>
          <w:rFonts w:hint="eastAsia"/>
        </w:rPr>
        <w:t>负责</w:t>
      </w:r>
      <w:r>
        <w:rPr>
          <w:rFonts w:hint="eastAsia"/>
        </w:rPr>
        <w:t>矿场产权、特许经营权和环境管理</w:t>
      </w:r>
    </w:p>
    <w:p w:rsidR="00D6134D" w:rsidRPr="00D6134D" w:rsidRDefault="00DD50DA" w:rsidP="00D6134D">
      <w:pPr>
        <w:pStyle w:val="Bullet1"/>
      </w:pPr>
      <w:r>
        <w:rPr>
          <w:rFonts w:hint="eastAsia"/>
        </w:rPr>
        <w:t>行业监管和消费者权益保护，包括：</w:t>
      </w:r>
    </w:p>
    <w:p w:rsidR="00D6134D" w:rsidRPr="00D6134D" w:rsidRDefault="00DD50DA" w:rsidP="00D6134D">
      <w:pPr>
        <w:pStyle w:val="Bullet2"/>
      </w:pPr>
      <w:r>
        <w:rPr>
          <w:rFonts w:hint="eastAsia"/>
        </w:rPr>
        <w:t>建筑与能源事务处：负责执行建筑施工、油漆粉刷、建筑测量、管道设</w:t>
      </w:r>
      <w:r w:rsidR="00A469E0">
        <w:rPr>
          <w:rFonts w:hint="eastAsia"/>
        </w:rPr>
        <w:t>施</w:t>
      </w:r>
      <w:r w:rsidR="00F879E7">
        <w:rPr>
          <w:rFonts w:hint="eastAsia"/>
        </w:rPr>
        <w:t>服务</w:t>
      </w:r>
      <w:r>
        <w:rPr>
          <w:rFonts w:hint="eastAsia"/>
        </w:rPr>
        <w:t>以及电力</w:t>
      </w:r>
      <w:r w:rsidR="00942D3C">
        <w:rPr>
          <w:rFonts w:hint="eastAsia"/>
        </w:rPr>
        <w:t>和</w:t>
      </w:r>
      <w:r>
        <w:rPr>
          <w:rFonts w:hint="eastAsia"/>
        </w:rPr>
        <w:t>天然气安全使用的相关法规</w:t>
      </w:r>
    </w:p>
    <w:p w:rsidR="00D6134D" w:rsidRPr="00D6134D" w:rsidRDefault="00DD50DA" w:rsidP="00D6134D">
      <w:pPr>
        <w:pStyle w:val="Bullet2"/>
      </w:pPr>
      <w:r>
        <w:rPr>
          <w:rFonts w:hint="eastAsia"/>
        </w:rPr>
        <w:t>消费者权益保护处：负责执行公平交易、消费者权益、</w:t>
      </w:r>
      <w:r w:rsidR="00942D3C">
        <w:rPr>
          <w:rFonts w:hint="eastAsia"/>
        </w:rPr>
        <w:t>房地</w:t>
      </w:r>
      <w:r>
        <w:rPr>
          <w:rFonts w:hint="eastAsia"/>
        </w:rPr>
        <w:t>产销售和租赁</w:t>
      </w:r>
      <w:r w:rsidR="004027BC">
        <w:rPr>
          <w:rFonts w:hint="eastAsia"/>
        </w:rPr>
        <w:t>法规</w:t>
      </w:r>
      <w:r>
        <w:rPr>
          <w:rFonts w:hint="eastAsia"/>
        </w:rPr>
        <w:t>、</w:t>
      </w:r>
      <w:r w:rsidR="004027BC">
        <w:rPr>
          <w:rFonts w:hint="eastAsia"/>
        </w:rPr>
        <w:t>某些</w:t>
      </w:r>
      <w:r>
        <w:rPr>
          <w:rFonts w:hint="eastAsia"/>
        </w:rPr>
        <w:t>职业执照、合作社和非营利机构的相关法规</w:t>
      </w:r>
    </w:p>
    <w:p w:rsidR="00D6134D" w:rsidRPr="00D6134D" w:rsidRDefault="00DD50DA" w:rsidP="00D6134D">
      <w:pPr>
        <w:pStyle w:val="Bullet1"/>
      </w:pPr>
      <w:r>
        <w:rPr>
          <w:rFonts w:hint="eastAsia"/>
        </w:rPr>
        <w:t>安全法规，其中包括：</w:t>
      </w:r>
    </w:p>
    <w:p w:rsidR="00D6134D" w:rsidRPr="006A3F70" w:rsidRDefault="00DD50DA" w:rsidP="00C40113">
      <w:pPr>
        <w:pStyle w:val="Bullet2"/>
      </w:pPr>
      <w:r>
        <w:rPr>
          <w:rFonts w:hint="eastAsia"/>
        </w:rPr>
        <w:t>工作安全：保障一般行业的员工安全和健康，以及矿业和石油危险品</w:t>
      </w:r>
      <w:r w:rsidR="00731B61">
        <w:rPr>
          <w:rFonts w:hint="eastAsia"/>
        </w:rPr>
        <w:t>的</w:t>
      </w:r>
      <w:r>
        <w:rPr>
          <w:rFonts w:hint="eastAsia"/>
        </w:rPr>
        <w:t>安全。</w:t>
      </w:r>
    </w:p>
    <w:p w:rsidR="00D02062" w:rsidRPr="00D06EF0" w:rsidRDefault="00D06EF0" w:rsidP="00CA560A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073E2D" w:rsidRPr="00073E2D">
        <w:rPr>
          <w:rFonts w:eastAsiaTheme="majorEastAsia" w:hint="eastAsia"/>
        </w:rPr>
        <w:t>对我意味着什么？</w:t>
      </w:r>
    </w:p>
    <w:p w:rsidR="00770BDA" w:rsidRDefault="00DD50DA" w:rsidP="00770BDA">
      <w:pPr>
        <w:pStyle w:val="Bullet1"/>
        <w:numPr>
          <w:ilvl w:val="0"/>
          <w:numId w:val="0"/>
        </w:numPr>
      </w:pPr>
      <w:r>
        <w:rPr>
          <w:rFonts w:hint="eastAsia"/>
        </w:rPr>
        <w:t>矿业、工业与安全监管部</w:t>
      </w:r>
      <w:r w:rsidR="00D76D19">
        <w:rPr>
          <w:rFonts w:hint="eastAsia"/>
        </w:rPr>
        <w:t>和</w:t>
      </w:r>
      <w:r w:rsidR="00313E89">
        <w:rPr>
          <w:rFonts w:hint="eastAsia"/>
        </w:rPr>
        <w:t>大家</w:t>
      </w:r>
      <w:r w:rsidR="0077316F">
        <w:rPr>
          <w:rFonts w:hint="eastAsia"/>
        </w:rPr>
        <w:t>共同努力，</w:t>
      </w:r>
      <w:r>
        <w:rPr>
          <w:rFonts w:hint="eastAsia"/>
        </w:rPr>
        <w:t>以高标准保护雇主、劳工和消费者</w:t>
      </w:r>
      <w:r w:rsidR="00CC50FB">
        <w:rPr>
          <w:rFonts w:hint="eastAsia"/>
        </w:rPr>
        <w:t>的</w:t>
      </w:r>
      <w:r>
        <w:rPr>
          <w:rFonts w:hint="eastAsia"/>
        </w:rPr>
        <w:t>安全。</w:t>
      </w:r>
    </w:p>
    <w:p w:rsidR="00D6134D" w:rsidRDefault="00DD50DA" w:rsidP="00770BDA">
      <w:pPr>
        <w:pStyle w:val="Bullet1"/>
        <w:numPr>
          <w:ilvl w:val="0"/>
          <w:numId w:val="0"/>
        </w:numPr>
      </w:pPr>
      <w:r>
        <w:rPr>
          <w:rFonts w:hint="eastAsia"/>
        </w:rPr>
        <w:t>对于社区成员：</w:t>
      </w:r>
    </w:p>
    <w:p w:rsidR="00D6134D" w:rsidRDefault="00DD50DA" w:rsidP="00D6134D">
      <w:pPr>
        <w:pStyle w:val="Bullet1"/>
      </w:pPr>
      <w:r>
        <w:rPr>
          <w:rFonts w:hint="eastAsia"/>
        </w:rPr>
        <w:t>您进入的每一栋建筑</w:t>
      </w:r>
      <w:r w:rsidR="006B2996">
        <w:rPr>
          <w:rFonts w:hint="eastAsia"/>
        </w:rPr>
        <w:t>和使用的电力和天然气</w:t>
      </w:r>
      <w:r w:rsidR="00B62A69">
        <w:rPr>
          <w:rFonts w:hint="eastAsia"/>
        </w:rPr>
        <w:t>都是高质量的</w:t>
      </w:r>
      <w:r>
        <w:rPr>
          <w:rFonts w:hint="eastAsia"/>
        </w:rPr>
        <w:t>，</w:t>
      </w:r>
      <w:r w:rsidR="00CC50FB">
        <w:rPr>
          <w:rFonts w:hint="eastAsia"/>
        </w:rPr>
        <w:t>从而</w:t>
      </w:r>
      <w:r>
        <w:rPr>
          <w:rFonts w:hint="eastAsia"/>
        </w:rPr>
        <w:t>降低您和家人意外受伤的风险</w:t>
      </w:r>
      <w:r>
        <w:rPr>
          <w:rFonts w:hint="eastAsia"/>
        </w:rPr>
        <w:t xml:space="preserve"> </w:t>
      </w:r>
    </w:p>
    <w:p w:rsidR="00D6134D" w:rsidRDefault="00DD50DA" w:rsidP="00D6134D">
      <w:pPr>
        <w:pStyle w:val="Bullet1"/>
      </w:pPr>
      <w:r>
        <w:rPr>
          <w:rFonts w:hint="eastAsia"/>
        </w:rPr>
        <w:t>您</w:t>
      </w:r>
      <w:r w:rsidR="00537478">
        <w:rPr>
          <w:rFonts w:hint="eastAsia"/>
        </w:rPr>
        <w:t>使用的技工都要有许可证或经过注册，有资格完成</w:t>
      </w:r>
      <w:r w:rsidR="00A00756">
        <w:rPr>
          <w:rFonts w:hint="eastAsia"/>
        </w:rPr>
        <w:t>您购买的</w:t>
      </w:r>
      <w:r w:rsidR="009174A9">
        <w:rPr>
          <w:rFonts w:hint="eastAsia"/>
        </w:rPr>
        <w:t>技工</w:t>
      </w:r>
      <w:r w:rsidR="00A00756">
        <w:rPr>
          <w:rFonts w:hint="eastAsia"/>
        </w:rPr>
        <w:t>服务</w:t>
      </w:r>
    </w:p>
    <w:p w:rsidR="00D6134D" w:rsidRDefault="00DD50DA" w:rsidP="00D6134D">
      <w:pPr>
        <w:pStyle w:val="Bullet1"/>
      </w:pPr>
      <w:r>
        <w:rPr>
          <w:rFonts w:hint="eastAsia"/>
        </w:rPr>
        <w:t>建立健全的采矿权管理制度，并</w:t>
      </w:r>
      <w:r w:rsidR="00E97F09">
        <w:rPr>
          <w:rFonts w:hint="eastAsia"/>
        </w:rPr>
        <w:t>有一套机制</w:t>
      </w:r>
      <w:r>
        <w:rPr>
          <w:rFonts w:hint="eastAsia"/>
        </w:rPr>
        <w:t>确保采矿权义务得到履行</w:t>
      </w:r>
      <w:r>
        <w:rPr>
          <w:rFonts w:hint="eastAsia"/>
        </w:rPr>
        <w:t xml:space="preserve"> </w:t>
      </w:r>
    </w:p>
    <w:p w:rsidR="00D6134D" w:rsidRDefault="00DD50DA" w:rsidP="00D6134D">
      <w:pPr>
        <w:pStyle w:val="Bullet1"/>
      </w:pPr>
      <w:r>
        <w:rPr>
          <w:rFonts w:hint="eastAsia"/>
        </w:rPr>
        <w:t>根据相关法规和租赁协议，社区民众从</w:t>
      </w:r>
      <w:r w:rsidR="00B720EA">
        <w:rPr>
          <w:rFonts w:hint="eastAsia"/>
        </w:rPr>
        <w:t>社区的</w:t>
      </w:r>
      <w:r>
        <w:rPr>
          <w:rFonts w:hint="eastAsia"/>
        </w:rPr>
        <w:t>矿产石油资源开发中</w:t>
      </w:r>
      <w:r w:rsidR="00BE6D31">
        <w:rPr>
          <w:rFonts w:hint="eastAsia"/>
        </w:rPr>
        <w:t>收取回报</w:t>
      </w:r>
    </w:p>
    <w:p w:rsidR="00D6134D" w:rsidRDefault="00DD50DA" w:rsidP="00D6134D">
      <w:pPr>
        <w:pStyle w:val="Bullet1"/>
      </w:pPr>
      <w:r>
        <w:rPr>
          <w:rFonts w:hint="eastAsia"/>
        </w:rPr>
        <w:t>在采矿作业中全程执行环保法规</w:t>
      </w:r>
    </w:p>
    <w:p w:rsidR="00D6134D" w:rsidRDefault="00DD50DA" w:rsidP="00D6134D">
      <w:pPr>
        <w:pStyle w:val="Bullet1"/>
      </w:pPr>
      <w:r>
        <w:rPr>
          <w:rFonts w:hint="eastAsia"/>
        </w:rPr>
        <w:t>确保安全使用危险品，保护民众安全。</w:t>
      </w:r>
    </w:p>
    <w:p w:rsidR="002264A4" w:rsidRDefault="00DD50DA" w:rsidP="00D6134D">
      <w:pPr>
        <w:pStyle w:val="Bullet1"/>
        <w:numPr>
          <w:ilvl w:val="0"/>
          <w:numId w:val="0"/>
        </w:numPr>
      </w:pPr>
      <w:r>
        <w:rPr>
          <w:rFonts w:hint="eastAsia"/>
        </w:rPr>
        <w:t>对于商品服务的消费者或卖家：</w:t>
      </w:r>
    </w:p>
    <w:p w:rsidR="002264A4" w:rsidRPr="002264A4" w:rsidRDefault="00F02677" w:rsidP="002264A4">
      <w:pPr>
        <w:pStyle w:val="Bullet1"/>
      </w:pPr>
      <w:r>
        <w:rPr>
          <w:rFonts w:hint="eastAsia"/>
        </w:rPr>
        <w:t>你</w:t>
      </w:r>
      <w:r w:rsidR="00DD50DA">
        <w:rPr>
          <w:rFonts w:hint="eastAsia"/>
        </w:rPr>
        <w:t>每一次购买、租用或租赁商品（安全、耐用、无缺陷、质量好，具备商家所称</w:t>
      </w:r>
      <w:r w:rsidR="00F42B82">
        <w:rPr>
          <w:rFonts w:hint="eastAsia"/>
        </w:rPr>
        <w:t>的所有</w:t>
      </w:r>
      <w:r w:rsidR="00DD50DA">
        <w:rPr>
          <w:rFonts w:hint="eastAsia"/>
        </w:rPr>
        <w:t>功能）都自动享受特定的消费者权益保障</w:t>
      </w:r>
    </w:p>
    <w:p w:rsidR="002264A4" w:rsidRPr="002264A4" w:rsidRDefault="00DD50DA" w:rsidP="002264A4">
      <w:pPr>
        <w:pStyle w:val="Bullet1"/>
      </w:pPr>
      <w:r>
        <w:rPr>
          <w:rFonts w:hint="eastAsia"/>
        </w:rPr>
        <w:lastRenderedPageBreak/>
        <w:t>服务提供者必须</w:t>
      </w:r>
      <w:r w:rsidR="00FD30EF">
        <w:rPr>
          <w:rFonts w:hint="eastAsia"/>
        </w:rPr>
        <w:t>采</w:t>
      </w:r>
      <w:r w:rsidR="00DE0E03">
        <w:rPr>
          <w:rFonts w:hint="eastAsia"/>
        </w:rPr>
        <w:t>取</w:t>
      </w:r>
      <w:r w:rsidR="00FD30EF">
        <w:rPr>
          <w:rFonts w:hint="eastAsia"/>
        </w:rPr>
        <w:t>应有的谨慎和</w:t>
      </w:r>
      <w:r w:rsidR="001E0849">
        <w:rPr>
          <w:rFonts w:hint="eastAsia"/>
        </w:rPr>
        <w:t>应用所</w:t>
      </w:r>
      <w:r>
        <w:rPr>
          <w:rFonts w:hint="eastAsia"/>
        </w:rPr>
        <w:t>具备</w:t>
      </w:r>
      <w:r w:rsidR="001E0849">
        <w:rPr>
          <w:rFonts w:hint="eastAsia"/>
        </w:rPr>
        <w:t>的</w:t>
      </w:r>
      <w:r>
        <w:rPr>
          <w:rFonts w:hint="eastAsia"/>
        </w:rPr>
        <w:t>职业技能</w:t>
      </w:r>
    </w:p>
    <w:p w:rsidR="002264A4" w:rsidRDefault="00DD50DA" w:rsidP="002264A4">
      <w:pPr>
        <w:pStyle w:val="Bullet1"/>
      </w:pPr>
      <w:r>
        <w:rPr>
          <w:rFonts w:hint="eastAsia"/>
        </w:rPr>
        <w:t>物业租用者</w:t>
      </w:r>
      <w:r w:rsidR="00336968">
        <w:rPr>
          <w:rFonts w:hint="eastAsia"/>
        </w:rPr>
        <w:t>可以</w:t>
      </w:r>
      <w:r w:rsidR="00DB37D9">
        <w:rPr>
          <w:rFonts w:hint="eastAsia"/>
        </w:rPr>
        <w:t>期望其</w:t>
      </w:r>
      <w:r>
        <w:rPr>
          <w:rFonts w:hint="eastAsia"/>
        </w:rPr>
        <w:t>特定需求</w:t>
      </w:r>
      <w:r w:rsidR="00336968">
        <w:rPr>
          <w:rFonts w:hint="eastAsia"/>
        </w:rPr>
        <w:t>得到满足</w:t>
      </w:r>
    </w:p>
    <w:p w:rsidR="00D6134D" w:rsidRPr="002264A4" w:rsidRDefault="00DD50DA" w:rsidP="002264A4">
      <w:pPr>
        <w:pStyle w:val="Bullet1"/>
      </w:pPr>
      <w:r>
        <w:rPr>
          <w:rFonts w:hint="eastAsia"/>
        </w:rPr>
        <w:t>发现不公平行为时可以投诉并有相关机构调查投诉。</w:t>
      </w:r>
    </w:p>
    <w:p w:rsidR="002264A4" w:rsidRDefault="00DD50DA" w:rsidP="00D6134D">
      <w:pPr>
        <w:pStyle w:val="Bullet1"/>
        <w:numPr>
          <w:ilvl w:val="0"/>
          <w:numId w:val="0"/>
        </w:numPr>
      </w:pPr>
      <w:r>
        <w:rPr>
          <w:rFonts w:hint="eastAsia"/>
        </w:rPr>
        <w:t>对于雇主或</w:t>
      </w:r>
      <w:r w:rsidR="00026F1E">
        <w:rPr>
          <w:rFonts w:hint="eastAsia"/>
        </w:rPr>
        <w:t>职</w:t>
      </w:r>
      <w:r>
        <w:rPr>
          <w:rFonts w:hint="eastAsia"/>
        </w:rPr>
        <w:t>工：</w:t>
      </w:r>
    </w:p>
    <w:p w:rsidR="002264A4" w:rsidRPr="00074F15" w:rsidRDefault="00F02677" w:rsidP="002264A4">
      <w:pPr>
        <w:pStyle w:val="Bullet1"/>
      </w:pPr>
      <w:r>
        <w:rPr>
          <w:rFonts w:hint="eastAsia"/>
        </w:rPr>
        <w:t>你</w:t>
      </w:r>
      <w:r w:rsidR="0041377C">
        <w:rPr>
          <w:rFonts w:hint="eastAsia"/>
        </w:rPr>
        <w:t>要</w:t>
      </w:r>
      <w:r w:rsidR="00DD50DA">
        <w:rPr>
          <w:rFonts w:hint="eastAsia"/>
        </w:rPr>
        <w:t>与</w:t>
      </w:r>
      <w:r w:rsidR="00CE7160">
        <w:rPr>
          <w:rFonts w:hint="eastAsia"/>
        </w:rPr>
        <w:t>其</w:t>
      </w:r>
      <w:r w:rsidR="00DD50DA">
        <w:rPr>
          <w:rFonts w:hint="eastAsia"/>
        </w:rPr>
        <w:t>他在工作场所工作</w:t>
      </w:r>
      <w:r w:rsidR="00CE7160">
        <w:rPr>
          <w:rFonts w:hint="eastAsia"/>
        </w:rPr>
        <w:t>的人一起保持</w:t>
      </w:r>
      <w:r w:rsidR="00EB2BE2">
        <w:rPr>
          <w:rFonts w:hint="eastAsia"/>
        </w:rPr>
        <w:t>在工作场所</w:t>
      </w:r>
      <w:r w:rsidR="00DD50DA">
        <w:rPr>
          <w:rFonts w:hint="eastAsia"/>
        </w:rPr>
        <w:t>时</w:t>
      </w:r>
      <w:r w:rsidR="00EB2BE2">
        <w:rPr>
          <w:rFonts w:hint="eastAsia"/>
        </w:rPr>
        <w:t>的</w:t>
      </w:r>
      <w:r w:rsidR="00DD50DA">
        <w:rPr>
          <w:rFonts w:hint="eastAsia"/>
        </w:rPr>
        <w:t>安全和健康</w:t>
      </w:r>
    </w:p>
    <w:p w:rsidR="00C40113" w:rsidRPr="00074F15" w:rsidRDefault="0041377C" w:rsidP="002264A4">
      <w:pPr>
        <w:pStyle w:val="Bullet1"/>
      </w:pPr>
      <w:r>
        <w:rPr>
          <w:rFonts w:hint="eastAsia"/>
        </w:rPr>
        <w:t>你</w:t>
      </w:r>
      <w:r w:rsidR="00DD50DA">
        <w:rPr>
          <w:rFonts w:hint="eastAsia"/>
        </w:rPr>
        <w:t>可以</w:t>
      </w:r>
      <w:r w:rsidR="00CF79FC">
        <w:rPr>
          <w:rFonts w:hint="eastAsia"/>
        </w:rPr>
        <w:t>要求</w:t>
      </w:r>
      <w:r w:rsidR="005E27D0">
        <w:rPr>
          <w:rFonts w:hint="eastAsia"/>
        </w:rPr>
        <w:t>劳保</w:t>
      </w:r>
      <w:r w:rsidR="00DD50DA">
        <w:rPr>
          <w:rFonts w:hint="eastAsia"/>
        </w:rPr>
        <w:t>局（</w:t>
      </w:r>
      <w:r w:rsidR="00DD50DA">
        <w:rPr>
          <w:rFonts w:hint="eastAsia"/>
        </w:rPr>
        <w:t>WorkSafe</w:t>
      </w:r>
      <w:r w:rsidR="00DD50DA">
        <w:rPr>
          <w:rFonts w:hint="eastAsia"/>
        </w:rPr>
        <w:t>）</w:t>
      </w:r>
      <w:r w:rsidR="00CF79FC">
        <w:rPr>
          <w:rFonts w:hint="eastAsia"/>
        </w:rPr>
        <w:t>提供建议</w:t>
      </w:r>
    </w:p>
    <w:p w:rsidR="00C40113" w:rsidRDefault="00C626BA" w:rsidP="002264A4">
      <w:pPr>
        <w:pStyle w:val="Bullet1"/>
      </w:pPr>
      <w:r>
        <w:rPr>
          <w:rFonts w:hint="eastAsia"/>
        </w:rPr>
        <w:t>你</w:t>
      </w:r>
      <w:r w:rsidR="00DD50DA">
        <w:rPr>
          <w:rFonts w:hint="eastAsia"/>
        </w:rPr>
        <w:t>可以向</w:t>
      </w:r>
      <w:r w:rsidR="005E27D0">
        <w:rPr>
          <w:rFonts w:hint="eastAsia"/>
        </w:rPr>
        <w:t>劳保</w:t>
      </w:r>
      <w:r w:rsidR="00DD50DA">
        <w:rPr>
          <w:rFonts w:hint="eastAsia"/>
        </w:rPr>
        <w:t>局报告安全或健康问题。</w:t>
      </w:r>
    </w:p>
    <w:p w:rsidR="00D70182" w:rsidRPr="002264A4" w:rsidRDefault="00DD50DA" w:rsidP="002264A4">
      <w:pPr>
        <w:pStyle w:val="Bullet1"/>
        <w:numPr>
          <w:ilvl w:val="0"/>
          <w:numId w:val="0"/>
        </w:numPr>
      </w:pPr>
      <w:r>
        <w:rPr>
          <w:rFonts w:hint="eastAsia"/>
        </w:rPr>
        <w:t>相关义务适用于一般工作场所以及矿业和石油部门的工作场所。</w:t>
      </w:r>
    </w:p>
    <w:p w:rsidR="00D70182" w:rsidRDefault="00924B31" w:rsidP="00D6134D">
      <w:pPr>
        <w:pStyle w:val="Bullet1"/>
        <w:numPr>
          <w:ilvl w:val="0"/>
          <w:numId w:val="0"/>
        </w:numPr>
      </w:pPr>
      <w:r>
        <w:rPr>
          <w:rFonts w:hint="eastAsia"/>
        </w:rPr>
        <w:t>作为</w:t>
      </w:r>
      <w:r w:rsidR="00DD50DA">
        <w:rPr>
          <w:rFonts w:hint="eastAsia"/>
        </w:rPr>
        <w:t>雇主，</w:t>
      </w:r>
      <w:r>
        <w:rPr>
          <w:rFonts w:hint="eastAsia"/>
        </w:rPr>
        <w:t>你</w:t>
      </w:r>
      <w:r w:rsidR="00DD50DA">
        <w:rPr>
          <w:rFonts w:hint="eastAsia"/>
        </w:rPr>
        <w:t>可以</w:t>
      </w:r>
      <w:r>
        <w:rPr>
          <w:rFonts w:hint="eastAsia"/>
        </w:rPr>
        <w:t>获取</w:t>
      </w:r>
      <w:r w:rsidR="00DD50DA">
        <w:rPr>
          <w:rFonts w:hint="eastAsia"/>
        </w:rPr>
        <w:t>相关信息</w:t>
      </w:r>
      <w:r w:rsidR="00A7236D">
        <w:rPr>
          <w:rFonts w:hint="eastAsia"/>
        </w:rPr>
        <w:t>帮助你履行在社区中的职责</w:t>
      </w:r>
      <w:r w:rsidR="00DD50DA">
        <w:rPr>
          <w:rFonts w:hint="eastAsia"/>
        </w:rPr>
        <w:t>，了解自己对员工、消费者和工作场所应尽的义务，以及遵守</w:t>
      </w:r>
      <w:r w:rsidR="001D32D2">
        <w:rPr>
          <w:rFonts w:hint="eastAsia"/>
        </w:rPr>
        <w:t>适用</w:t>
      </w:r>
      <w:r w:rsidR="003B40ED">
        <w:rPr>
          <w:rFonts w:hint="eastAsia"/>
        </w:rPr>
        <w:t>的</w:t>
      </w:r>
      <w:r w:rsidR="00DD50DA">
        <w:rPr>
          <w:rFonts w:hint="eastAsia"/>
        </w:rPr>
        <w:t>法规。</w:t>
      </w:r>
    </w:p>
    <w:p w:rsidR="00D6134D" w:rsidRPr="00770BDA" w:rsidRDefault="00DD50DA" w:rsidP="00D6134D">
      <w:pPr>
        <w:pStyle w:val="Bullet1"/>
        <w:numPr>
          <w:ilvl w:val="0"/>
          <w:numId w:val="0"/>
        </w:numPr>
      </w:pPr>
      <w:r>
        <w:rPr>
          <w:rFonts w:hint="eastAsia"/>
        </w:rPr>
        <w:t>雇主的主要义务是</w:t>
      </w:r>
      <w:r w:rsidR="000E4B2A">
        <w:rPr>
          <w:rFonts w:hint="eastAsia"/>
        </w:rPr>
        <w:t>提供安全的</w:t>
      </w:r>
      <w:r>
        <w:rPr>
          <w:rFonts w:hint="eastAsia"/>
        </w:rPr>
        <w:t>工作场所。</w:t>
      </w:r>
      <w:r>
        <w:rPr>
          <w:rFonts w:hint="eastAsia"/>
        </w:rPr>
        <w:t xml:space="preserve"> </w:t>
      </w:r>
    </w:p>
    <w:p w:rsidR="0090710F" w:rsidRDefault="00DD50DA" w:rsidP="00CA560A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D25DDC" w:rsidTr="00D72468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5D55D5" w:rsidRDefault="00C53F65" w:rsidP="00D72468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5D55D5" w:rsidRDefault="00DD50DA" w:rsidP="00D72468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D25DDC" w:rsidTr="00D72468">
        <w:tc>
          <w:tcPr>
            <w:tcW w:w="2019" w:type="pct"/>
            <w:shd w:val="clear" w:color="auto" w:fill="auto"/>
          </w:tcPr>
          <w:p w:rsidR="0090710F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矿业和石油</w:t>
            </w:r>
          </w:p>
        </w:tc>
        <w:tc>
          <w:tcPr>
            <w:tcW w:w="2981" w:type="pct"/>
            <w:shd w:val="clear" w:color="auto" w:fill="auto"/>
          </w:tcPr>
          <w:p w:rsidR="0090710F" w:rsidRPr="005D55D5" w:rsidRDefault="00DD50DA" w:rsidP="00D72468">
            <w:pPr>
              <w:spacing w:before="80"/>
            </w:pPr>
            <w:r>
              <w:rPr>
                <w:rFonts w:hint="eastAsia"/>
              </w:rPr>
              <w:t>08 9222 3333</w:t>
            </w:r>
          </w:p>
        </w:tc>
      </w:tr>
      <w:tr w:rsidR="00D25DDC" w:rsidTr="00D72468">
        <w:tc>
          <w:tcPr>
            <w:tcW w:w="2019" w:type="pct"/>
            <w:shd w:val="clear" w:color="auto" w:fill="F2F2F2"/>
          </w:tcPr>
          <w:p w:rsidR="00D70182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建筑与能源</w:t>
            </w:r>
          </w:p>
        </w:tc>
        <w:tc>
          <w:tcPr>
            <w:tcW w:w="2981" w:type="pct"/>
            <w:shd w:val="clear" w:color="auto" w:fill="F2F2F2"/>
          </w:tcPr>
          <w:p w:rsidR="00D70182" w:rsidRPr="005D55D5" w:rsidRDefault="00DD50DA" w:rsidP="00D72468">
            <w:pPr>
              <w:spacing w:before="80"/>
            </w:pPr>
            <w:r>
              <w:rPr>
                <w:rFonts w:hint="eastAsia"/>
              </w:rPr>
              <w:t>1300 489 099</w:t>
            </w:r>
          </w:p>
        </w:tc>
      </w:tr>
      <w:tr w:rsidR="00D25DDC" w:rsidTr="00D72468">
        <w:tc>
          <w:tcPr>
            <w:tcW w:w="2019" w:type="pct"/>
            <w:shd w:val="clear" w:color="auto" w:fill="auto"/>
          </w:tcPr>
          <w:p w:rsidR="00D70182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消费者权益保护</w:t>
            </w:r>
          </w:p>
        </w:tc>
        <w:tc>
          <w:tcPr>
            <w:tcW w:w="2981" w:type="pct"/>
            <w:shd w:val="clear" w:color="auto" w:fill="auto"/>
          </w:tcPr>
          <w:p w:rsidR="00D70182" w:rsidRPr="005D55D5" w:rsidRDefault="00DD50DA" w:rsidP="00D72468">
            <w:pPr>
              <w:spacing w:before="80"/>
            </w:pPr>
            <w:r>
              <w:rPr>
                <w:rFonts w:hint="eastAsia"/>
              </w:rPr>
              <w:t>1300 304 054</w:t>
            </w:r>
          </w:p>
        </w:tc>
      </w:tr>
      <w:tr w:rsidR="00D25DDC" w:rsidTr="00D72468">
        <w:tc>
          <w:tcPr>
            <w:tcW w:w="2019" w:type="pct"/>
            <w:shd w:val="clear" w:color="auto" w:fill="F2F2F2"/>
          </w:tcPr>
          <w:p w:rsidR="00D70182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安全法规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工作安全局一般行业法规</w:t>
            </w:r>
          </w:p>
        </w:tc>
        <w:tc>
          <w:tcPr>
            <w:tcW w:w="2981" w:type="pct"/>
            <w:shd w:val="clear" w:color="auto" w:fill="F2F2F2"/>
          </w:tcPr>
          <w:p w:rsidR="00D70182" w:rsidRPr="005D55D5" w:rsidRDefault="00DD50DA" w:rsidP="00D72468">
            <w:pPr>
              <w:spacing w:before="80"/>
            </w:pPr>
            <w:r>
              <w:rPr>
                <w:rFonts w:hint="eastAsia"/>
              </w:rPr>
              <w:t>1300 307 877</w:t>
            </w:r>
          </w:p>
        </w:tc>
      </w:tr>
      <w:tr w:rsidR="00D25DDC" w:rsidTr="00D72468">
        <w:tc>
          <w:tcPr>
            <w:tcW w:w="2019" w:type="pct"/>
            <w:shd w:val="clear" w:color="auto" w:fill="auto"/>
          </w:tcPr>
          <w:p w:rsidR="00296956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安全法规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资源安全</w:t>
            </w:r>
          </w:p>
        </w:tc>
        <w:tc>
          <w:tcPr>
            <w:tcW w:w="2981" w:type="pct"/>
            <w:shd w:val="clear" w:color="auto" w:fill="auto"/>
          </w:tcPr>
          <w:p w:rsidR="00296956" w:rsidRPr="005D55D5" w:rsidRDefault="00DD50DA" w:rsidP="00D72468">
            <w:pPr>
              <w:spacing w:before="80"/>
            </w:pPr>
            <w:r>
              <w:rPr>
                <w:rFonts w:hint="eastAsia"/>
              </w:rPr>
              <w:t>08 9358 8002</w:t>
            </w:r>
          </w:p>
        </w:tc>
      </w:tr>
      <w:tr w:rsidR="00D25DDC" w:rsidTr="00D72468">
        <w:tc>
          <w:tcPr>
            <w:tcW w:w="2019" w:type="pct"/>
            <w:shd w:val="clear" w:color="auto" w:fill="F2F2F2"/>
          </w:tcPr>
          <w:p w:rsidR="00D70182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事故或事件报告热线</w:t>
            </w:r>
          </w:p>
          <w:p w:rsidR="00D70182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（建筑与能源，以及工作安全局）</w:t>
            </w:r>
          </w:p>
        </w:tc>
        <w:tc>
          <w:tcPr>
            <w:tcW w:w="2981" w:type="pct"/>
            <w:shd w:val="clear" w:color="auto" w:fill="F2F2F2"/>
          </w:tcPr>
          <w:p w:rsidR="00D70182" w:rsidRPr="005D55D5" w:rsidRDefault="00DD50DA" w:rsidP="00D72468">
            <w:pPr>
              <w:spacing w:before="80"/>
            </w:pPr>
            <w:r>
              <w:rPr>
                <w:rFonts w:hint="eastAsia"/>
              </w:rPr>
              <w:t xml:space="preserve">1800 678 198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24 </w:t>
            </w:r>
            <w:r>
              <w:rPr>
                <w:rFonts w:hint="eastAsia"/>
                <w:b/>
              </w:rPr>
              <w:t>小时开通）</w:t>
            </w:r>
          </w:p>
        </w:tc>
      </w:tr>
      <w:tr w:rsidR="00D25DDC" w:rsidTr="00D72468">
        <w:tc>
          <w:tcPr>
            <w:tcW w:w="2019" w:type="pct"/>
            <w:shd w:val="clear" w:color="auto" w:fill="auto"/>
          </w:tcPr>
          <w:p w:rsidR="009967A0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事故或事件报告热线</w:t>
            </w:r>
          </w:p>
          <w:p w:rsidR="00C40113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（矿业）</w:t>
            </w:r>
          </w:p>
        </w:tc>
        <w:tc>
          <w:tcPr>
            <w:tcW w:w="2981" w:type="pct"/>
            <w:shd w:val="clear" w:color="auto" w:fill="auto"/>
          </w:tcPr>
          <w:p w:rsidR="00C40113" w:rsidRPr="005D55D5" w:rsidRDefault="00DD50DA" w:rsidP="00D72468">
            <w:pPr>
              <w:spacing w:before="80"/>
            </w:pPr>
            <w:r>
              <w:rPr>
                <w:rFonts w:hint="eastAsia"/>
                <w:color w:val="auto"/>
              </w:rPr>
              <w:t xml:space="preserve">1 800 SAFEMINE </w:t>
            </w:r>
            <w:r>
              <w:rPr>
                <w:rFonts w:hint="eastAsia"/>
                <w:color w:val="auto"/>
              </w:rPr>
              <w:t>安全采矿</w:t>
            </w:r>
            <w:r>
              <w:rPr>
                <w:rFonts w:hint="eastAsia"/>
                <w:color w:val="auto"/>
              </w:rPr>
              <w:t xml:space="preserve"> (1800 723 364)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 xml:space="preserve">24 </w:t>
            </w:r>
            <w:r>
              <w:rPr>
                <w:rFonts w:hint="eastAsia"/>
                <w:color w:val="auto"/>
              </w:rPr>
              <w:t>小时开通）</w:t>
            </w:r>
          </w:p>
        </w:tc>
      </w:tr>
      <w:tr w:rsidR="00D25DDC" w:rsidTr="00D72468">
        <w:tc>
          <w:tcPr>
            <w:tcW w:w="2019" w:type="pct"/>
            <w:shd w:val="clear" w:color="auto" w:fill="F2F2F2"/>
          </w:tcPr>
          <w:p w:rsidR="0090710F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D70182" w:rsidRPr="005D55D5" w:rsidRDefault="00CA560A" w:rsidP="00D72468">
            <w:pPr>
              <w:spacing w:before="80"/>
            </w:pPr>
            <w:hyperlink r:id="rId18" w:history="1">
              <w:r w:rsidR="00DD50DA">
                <w:rPr>
                  <w:rStyle w:val="Hyperlink"/>
                  <w:rFonts w:hint="eastAsia"/>
                </w:rPr>
                <w:t>online@dmirs.wa.gov.au</w:t>
              </w:r>
            </w:hyperlink>
          </w:p>
        </w:tc>
      </w:tr>
      <w:tr w:rsidR="00D25DDC" w:rsidTr="00D72468">
        <w:tc>
          <w:tcPr>
            <w:tcW w:w="2019" w:type="pct"/>
            <w:shd w:val="clear" w:color="auto" w:fill="F2F6E8"/>
          </w:tcPr>
          <w:p w:rsidR="0090710F" w:rsidRPr="005D55D5" w:rsidRDefault="00DD50DA" w:rsidP="00D72468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D70182" w:rsidRPr="005D55D5" w:rsidRDefault="00CA560A" w:rsidP="00D72468">
            <w:pPr>
              <w:spacing w:before="80"/>
            </w:pPr>
            <w:hyperlink r:id="rId19" w:history="1">
              <w:r w:rsidR="00DD50DA">
                <w:rPr>
                  <w:rStyle w:val="Hyperlink"/>
                  <w:rFonts w:hint="eastAsia"/>
                </w:rPr>
                <w:t>www.dmirs.wa.gov.au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D72468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23" w:rsidRDefault="004F0023">
      <w:pPr>
        <w:spacing w:before="0" w:after="0"/>
      </w:pPr>
      <w:r>
        <w:separator/>
      </w:r>
    </w:p>
  </w:endnote>
  <w:endnote w:type="continuationSeparator" w:id="0">
    <w:p w:rsidR="004F0023" w:rsidRDefault="004F00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CA560A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073E2D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D50D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DD50DA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DD50DA" w:rsidP="00180B5B">
                <w:pPr>
                  <w:pStyle w:val="Footer"/>
                </w:pPr>
                <w:r>
                  <w:rPr>
                    <w:rFonts w:hint="eastAsia"/>
                  </w:rPr>
                  <w:t>采矿、建筑与能源、消费者保护及安全监管服务</w:t>
                </w:r>
              </w:p>
            </w:txbxContent>
          </v:textbox>
          <w10:wrap anchorx="page" anchory="page"/>
          <w10:anchorlock/>
        </v:shape>
      </w:pict>
    </w:r>
    <w:r w:rsidR="00B50BF8">
      <w:rPr>
        <w:rFonts w:hint="eastAsia"/>
        <w:noProof/>
        <w:lang w:val="en-US"/>
      </w:rPr>
      <w:drawing>
        <wp:anchor distT="0" distB="0" distL="114300" distR="114300" simplePos="0" relativeHeight="251671040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CA560A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073E2D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D50D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56536">
                  <w:rPr>
                    <w:rStyle w:val="PageNumber"/>
                    <w:noProof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59776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DD50DA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采矿、建筑与能源、消费者保护及安全监管服务</w:t>
                </w:r>
              </w:p>
            </w:txbxContent>
          </v:textbox>
          <w10:wrap anchorx="page" anchory="page"/>
          <w10:anchorlock/>
        </v:shape>
      </w:pict>
    </w:r>
    <w:r w:rsidR="00B50BF8">
      <w:rPr>
        <w:rFonts w:hint="eastAsia"/>
        <w:noProof/>
        <w:lang w:val="en-US"/>
      </w:rPr>
      <w:drawing>
        <wp:anchor distT="0" distB="0" distL="114300" distR="114300" simplePos="0" relativeHeight="251652608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CA560A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670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073E2D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DD50DA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56536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DD50DA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采矿、建筑与能源、消费者保护及安全监管服务</w:t>
                </w:r>
              </w:p>
            </w:txbxContent>
          </v:textbox>
          <w10:wrap anchorx="page" anchory="page"/>
          <w10:anchorlock/>
        </v:shape>
      </w:pict>
    </w:r>
    <w:r w:rsidR="00B50BF8">
      <w:rPr>
        <w:rFonts w:hint="eastAsia"/>
        <w:noProof/>
        <w:lang w:val="en-US"/>
      </w:rPr>
      <w:drawing>
        <wp:anchor distT="0" distB="0" distL="114300" distR="114300" simplePos="0" relativeHeight="25166182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23" w:rsidRDefault="004F0023">
      <w:pPr>
        <w:spacing w:before="0" w:after="0"/>
      </w:pPr>
      <w:r>
        <w:separator/>
      </w:r>
    </w:p>
  </w:footnote>
  <w:footnote w:type="continuationSeparator" w:id="0">
    <w:p w:rsidR="004F0023" w:rsidRDefault="004F00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CA560A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A46DB9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AE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A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B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C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C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9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6B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6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26F1E"/>
    <w:rsid w:val="00073E2D"/>
    <w:rsid w:val="00074F15"/>
    <w:rsid w:val="000B6FF4"/>
    <w:rsid w:val="000C22F2"/>
    <w:rsid w:val="000E24BA"/>
    <w:rsid w:val="000E4B2A"/>
    <w:rsid w:val="000E5674"/>
    <w:rsid w:val="001144FA"/>
    <w:rsid w:val="001349C6"/>
    <w:rsid w:val="00180B5B"/>
    <w:rsid w:val="001B09E5"/>
    <w:rsid w:val="001D32D2"/>
    <w:rsid w:val="001E0849"/>
    <w:rsid w:val="001E38F2"/>
    <w:rsid w:val="001F2940"/>
    <w:rsid w:val="001F5348"/>
    <w:rsid w:val="001F6882"/>
    <w:rsid w:val="00203EBD"/>
    <w:rsid w:val="00214082"/>
    <w:rsid w:val="002254D5"/>
    <w:rsid w:val="0022611D"/>
    <w:rsid w:val="002264A4"/>
    <w:rsid w:val="0026422D"/>
    <w:rsid w:val="00284164"/>
    <w:rsid w:val="00290653"/>
    <w:rsid w:val="00296956"/>
    <w:rsid w:val="002B131F"/>
    <w:rsid w:val="002B3569"/>
    <w:rsid w:val="002B7197"/>
    <w:rsid w:val="002C5DAC"/>
    <w:rsid w:val="002E1ADA"/>
    <w:rsid w:val="002F77C5"/>
    <w:rsid w:val="00313E89"/>
    <w:rsid w:val="00326590"/>
    <w:rsid w:val="00336968"/>
    <w:rsid w:val="003720E9"/>
    <w:rsid w:val="003B40ED"/>
    <w:rsid w:val="003C2E2C"/>
    <w:rsid w:val="003C625A"/>
    <w:rsid w:val="003D7B14"/>
    <w:rsid w:val="003E459E"/>
    <w:rsid w:val="003E4670"/>
    <w:rsid w:val="003E59D0"/>
    <w:rsid w:val="003F775D"/>
    <w:rsid w:val="004027BC"/>
    <w:rsid w:val="00403C8E"/>
    <w:rsid w:val="00413288"/>
    <w:rsid w:val="0041377C"/>
    <w:rsid w:val="00420F04"/>
    <w:rsid w:val="00422381"/>
    <w:rsid w:val="00450D0E"/>
    <w:rsid w:val="00471984"/>
    <w:rsid w:val="00477E77"/>
    <w:rsid w:val="004928F8"/>
    <w:rsid w:val="004B363E"/>
    <w:rsid w:val="004F0023"/>
    <w:rsid w:val="004F7532"/>
    <w:rsid w:val="004F77AA"/>
    <w:rsid w:val="00500CB3"/>
    <w:rsid w:val="00531214"/>
    <w:rsid w:val="00537478"/>
    <w:rsid w:val="00541213"/>
    <w:rsid w:val="00546218"/>
    <w:rsid w:val="00546723"/>
    <w:rsid w:val="005653A9"/>
    <w:rsid w:val="005912BE"/>
    <w:rsid w:val="005D532C"/>
    <w:rsid w:val="005D55D5"/>
    <w:rsid w:val="005E27D0"/>
    <w:rsid w:val="005F794B"/>
    <w:rsid w:val="0061130C"/>
    <w:rsid w:val="00611CC1"/>
    <w:rsid w:val="00656536"/>
    <w:rsid w:val="00686A7B"/>
    <w:rsid w:val="006A266A"/>
    <w:rsid w:val="006A3F70"/>
    <w:rsid w:val="006B2996"/>
    <w:rsid w:val="006E1ECA"/>
    <w:rsid w:val="006E5C74"/>
    <w:rsid w:val="00700396"/>
    <w:rsid w:val="00717CA1"/>
    <w:rsid w:val="00731B61"/>
    <w:rsid w:val="00732044"/>
    <w:rsid w:val="00734BA3"/>
    <w:rsid w:val="00736418"/>
    <w:rsid w:val="00770BDA"/>
    <w:rsid w:val="0077316F"/>
    <w:rsid w:val="007A05BE"/>
    <w:rsid w:val="007B2870"/>
    <w:rsid w:val="008067A1"/>
    <w:rsid w:val="008456D5"/>
    <w:rsid w:val="0084634B"/>
    <w:rsid w:val="008A1887"/>
    <w:rsid w:val="008A4976"/>
    <w:rsid w:val="008B6A81"/>
    <w:rsid w:val="008E2A0D"/>
    <w:rsid w:val="0090710F"/>
    <w:rsid w:val="009174A9"/>
    <w:rsid w:val="00924B31"/>
    <w:rsid w:val="009318B9"/>
    <w:rsid w:val="00942D3C"/>
    <w:rsid w:val="009909EC"/>
    <w:rsid w:val="009967A0"/>
    <w:rsid w:val="00996B8C"/>
    <w:rsid w:val="009A4282"/>
    <w:rsid w:val="009B00F2"/>
    <w:rsid w:val="00A00756"/>
    <w:rsid w:val="00A02D24"/>
    <w:rsid w:val="00A070A2"/>
    <w:rsid w:val="00A11EC3"/>
    <w:rsid w:val="00A146EE"/>
    <w:rsid w:val="00A469E0"/>
    <w:rsid w:val="00A55479"/>
    <w:rsid w:val="00A7236D"/>
    <w:rsid w:val="00A95970"/>
    <w:rsid w:val="00AD7703"/>
    <w:rsid w:val="00B0484D"/>
    <w:rsid w:val="00B42AC2"/>
    <w:rsid w:val="00B50BF8"/>
    <w:rsid w:val="00B62A69"/>
    <w:rsid w:val="00B702B8"/>
    <w:rsid w:val="00B720EA"/>
    <w:rsid w:val="00B769CC"/>
    <w:rsid w:val="00BB3AAC"/>
    <w:rsid w:val="00BB6483"/>
    <w:rsid w:val="00BE3AD8"/>
    <w:rsid w:val="00BE6D31"/>
    <w:rsid w:val="00BF05FF"/>
    <w:rsid w:val="00C02C98"/>
    <w:rsid w:val="00C03981"/>
    <w:rsid w:val="00C40113"/>
    <w:rsid w:val="00C53F65"/>
    <w:rsid w:val="00C626BA"/>
    <w:rsid w:val="00C84C2E"/>
    <w:rsid w:val="00CA560A"/>
    <w:rsid w:val="00CC50FB"/>
    <w:rsid w:val="00CD233E"/>
    <w:rsid w:val="00CE7160"/>
    <w:rsid w:val="00CF6CFD"/>
    <w:rsid w:val="00CF79FC"/>
    <w:rsid w:val="00D02062"/>
    <w:rsid w:val="00D06EF0"/>
    <w:rsid w:val="00D25DDC"/>
    <w:rsid w:val="00D5655E"/>
    <w:rsid w:val="00D6134D"/>
    <w:rsid w:val="00D70182"/>
    <w:rsid w:val="00D72468"/>
    <w:rsid w:val="00D76D19"/>
    <w:rsid w:val="00DB37D9"/>
    <w:rsid w:val="00DD50DA"/>
    <w:rsid w:val="00DE0E03"/>
    <w:rsid w:val="00DE4362"/>
    <w:rsid w:val="00DE4FE2"/>
    <w:rsid w:val="00E04908"/>
    <w:rsid w:val="00E2218A"/>
    <w:rsid w:val="00E36F36"/>
    <w:rsid w:val="00E829A0"/>
    <w:rsid w:val="00E94FDD"/>
    <w:rsid w:val="00E95BA5"/>
    <w:rsid w:val="00E97F09"/>
    <w:rsid w:val="00EB2BE2"/>
    <w:rsid w:val="00EB4D22"/>
    <w:rsid w:val="00EC2396"/>
    <w:rsid w:val="00F02677"/>
    <w:rsid w:val="00F11869"/>
    <w:rsid w:val="00F1428D"/>
    <w:rsid w:val="00F26A0E"/>
    <w:rsid w:val="00F42B82"/>
    <w:rsid w:val="00F45B5F"/>
    <w:rsid w:val="00F67CDB"/>
    <w:rsid w:val="00F879E7"/>
    <w:rsid w:val="00FC12E0"/>
    <w:rsid w:val="00FC32B2"/>
    <w:rsid w:val="00FC34AF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1120A772-2630-4238-A7EC-41D0D62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EC2396"/>
    <w:pPr>
      <w:spacing w:before="36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EC2396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D532C"/>
    <w:rPr>
      <w:color w:val="004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56"/>
    <w:pPr>
      <w:spacing w:before="0" w:after="0"/>
    </w:pPr>
    <w:rPr>
      <w:rFonts w:ascii="Segoe UI" w:hAnsi="Segoe UI"/>
      <w:color w:val="aut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956"/>
    <w:rPr>
      <w:rFonts w:ascii="Segoe UI" w:eastAsia="SimSun" w:hAnsi="Segoe UI" w:cs="Segoe UI"/>
      <w:kern w:val="12"/>
      <w:sz w:val="18"/>
      <w:szCs w:val="18"/>
    </w:rPr>
  </w:style>
  <w:style w:type="paragraph" w:styleId="Revision">
    <w:name w:val="Revision"/>
    <w:hidden/>
    <w:uiPriority w:val="99"/>
    <w:semiHidden/>
    <w:rsid w:val="00E829A0"/>
    <w:rPr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online@dmirs.wa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dmirs.wa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p:properties xmlns:p="http://schemas.microsoft.com/office/2006/metadata/properties" xmlns:xsi="http://www.w3.org/2001/XMLSchema-instance">
  <documentManagement>
    <OurDocsIsRecordsDocument xmlns="dce3ed02-b0cd-470d-9119-e5f1a2533a21">true</OurDocsIsRecordsDocument>
    <OurDocsDataStore xmlns="dce3ed02-b0cd-470d-9119-e5f1a2533a21">Central</OurDocsDataStore>
    <OurDocsDocId xmlns="dce3ed02-b0cd-470d-9119-e5f1a2533a21">005739.ODG</OurDocsDocId>
    <OurDocsVersionCreatedBy xmlns="dce3ed02-b0cd-470d-9119-e5f1a2533a21">MIJHOLM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A1832/201001</OurDocsFileNumbers>
    <OurDocsLockedOnBehalfOf xmlns="dce3ed02-b0cd-470d-9119-e5f1a2533a21" xsi:nil="true"/>
    <OurDocsDocumentDate xmlns="dce3ed02-b0cd-470d-9119-e5f1a2533a21" xsi:nil="true"/>
    <OurDocsVersionCreatedAt xmlns="dce3ed02-b0cd-470d-9119-e5f1a2533a21" xsi:nil="true"/>
    <OurDocsReleaseClassification xmlns="dce3ed02-b0cd-470d-9119-e5f1a2533a21">Departmental Use Only</OurDocsReleaseClassification>
    <OurDocsTitle xmlns="dce3ed02-b0cd-470d-9119-e5f1a2533a21">DRAFT fact sheet - Mining, building and energy, consumer protection and safety regulation services</OurDocsTitle>
    <OurDocsLocation xmlns="dce3ed02-b0cd-470d-9119-e5f1a2533a21">Perth</OurDocsLocation>
    <OurDocsDescription xmlns="dce3ed02-b0cd-470d-9119-e5f1a2533a21">Draft fact sheet developed by Department of Infrastructure - DMIRS asked to review and provide feedback</OurDocsDescription>
    <OurDocsVersionReason xmlns="dce3ed02-b0cd-470d-9119-e5f1a2533a21" xsi:nil="true"/>
    <OurDocsAuthor xmlns="dce3ed02-b0cd-470d-9119-e5f1a2533a21">MCCORMACK Jillian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D706D7-9F26-4255-B648-68AFE88E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824FA-3A51-4240-88D5-04327D6CDC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786F56-D0C2-4383-88D0-EBE97BFA436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ce3ed02-b0cd-470d-9119-e5f1a2533a2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9D066C4-21B3-464C-B34F-023F1709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976FFA-0C46-4D45-9B90-A87937FD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124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Mining, building and energy, consumer protection and safety regulation services</vt:lpstr>
    </vt:vector>
  </TitlesOfParts>
  <Company>Department of Infrastructure, Transport, Regional Development and Communications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Mining, building and energy, consumer protection and safety regulation services</dc:title>
  <dc:subject/>
  <dc:creator>Department of Infrastructure, Transport, Regional Development and Communications</dc:creator>
  <cp:lastModifiedBy>HALL Theresa</cp:lastModifiedBy>
  <cp:revision>11</cp:revision>
  <cp:lastPrinted>1899-12-31T13:00:00Z</cp:lastPrinted>
  <dcterms:created xsi:type="dcterms:W3CDTF">2022-04-03T11:53:00Z</dcterms:created>
  <dcterms:modified xsi:type="dcterms:W3CDTF">2022-06-29T07:04:00Z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0x0101000AC6246A9CD2FC45B52DC6FEC0F0AAAA00BA93749351D2F843A36296955CF57A87</vt:lpwstr>
  </property>
  <property fmtid="{D5CDD505-2E9C-101B-9397-08002B2CF9AE}" pid="3" name="DataStore">
    <vt:lpwstr>Central</vt:lpwstr>
  </property>
</Properties>
</file>