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FBD3" w14:textId="39628A23" w:rsidR="00203702" w:rsidRDefault="009C2AEC" w:rsidP="009C2AEC">
      <w:pPr>
        <w:spacing w:before="0" w:after="360"/>
        <w:ind w:left="-993"/>
      </w:pPr>
      <w:r>
        <w:rPr>
          <w:noProof/>
        </w:rPr>
        <w:drawing>
          <wp:inline distT="0" distB="0" distL="0" distR="0" wp14:anchorId="145A3EAE" wp14:editId="01B9671E">
            <wp:extent cx="7553857" cy="1923691"/>
            <wp:effectExtent l="0" t="0" r="0" b="635"/>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73627" cy="1928726"/>
                    </a:xfrm>
                    <a:prstGeom prst="rect">
                      <a:avLst/>
                    </a:prstGeom>
                  </pic:spPr>
                </pic:pic>
              </a:graphicData>
            </a:graphic>
          </wp:inline>
        </w:drawing>
      </w:r>
    </w:p>
    <w:p w14:paraId="5A70A6BE" w14:textId="10478B80" w:rsidR="009326DA" w:rsidRPr="00A106D4" w:rsidRDefault="003109F2" w:rsidP="009326DA">
      <w:pPr>
        <w:pStyle w:val="Heading1"/>
        <w:rPr>
          <w:b/>
        </w:rPr>
      </w:pPr>
      <w:bookmarkStart w:id="0" w:name="_Hlk126682798"/>
      <w:r>
        <w:rPr>
          <w:rFonts w:asciiTheme="minorHAnsi" w:hAnsiTheme="minorHAnsi" w:cs="Arial"/>
          <w:b/>
          <w:szCs w:val="44"/>
        </w:rPr>
        <w:t>Investing in Our Communities</w:t>
      </w:r>
      <w:r w:rsidR="009326DA" w:rsidRPr="00A106D4">
        <w:rPr>
          <w:rFonts w:asciiTheme="minorHAnsi" w:hAnsiTheme="minorHAnsi" w:cs="Arial"/>
          <w:b/>
          <w:szCs w:val="44"/>
        </w:rPr>
        <w:t xml:space="preserve"> </w:t>
      </w:r>
      <w:r w:rsidR="00985A20">
        <w:rPr>
          <w:rFonts w:asciiTheme="minorHAnsi" w:hAnsiTheme="minorHAnsi" w:cs="Arial"/>
          <w:b/>
          <w:szCs w:val="44"/>
        </w:rPr>
        <w:t>Program fact sheet</w:t>
      </w:r>
    </w:p>
    <w:bookmarkEnd w:id="0"/>
    <w:p w14:paraId="2EB99FBD" w14:textId="77777777" w:rsidR="009326DA" w:rsidRPr="005770B2" w:rsidRDefault="009326DA" w:rsidP="009326DA">
      <w:pPr>
        <w:rPr>
          <w:b/>
          <w:color w:val="081E3E"/>
        </w:rPr>
      </w:pPr>
      <w:r>
        <w:rPr>
          <w:b/>
          <w:color w:val="081E3E"/>
        </w:rPr>
        <w:t>February</w:t>
      </w:r>
      <w:r w:rsidRPr="005770B2">
        <w:rPr>
          <w:b/>
          <w:color w:val="081E3E"/>
        </w:rPr>
        <w:t xml:space="preserve"> </w:t>
      </w:r>
      <w:r>
        <w:rPr>
          <w:b/>
          <w:color w:val="081E3E"/>
        </w:rPr>
        <w:t>2023</w:t>
      </w:r>
    </w:p>
    <w:p w14:paraId="2231F1E6" w14:textId="77777777" w:rsidR="00DE4FE2" w:rsidRDefault="00DE4FE2" w:rsidP="00D02062">
      <w:pPr>
        <w:pBdr>
          <w:bottom w:val="single" w:sz="4" w:space="1" w:color="C0D48F" w:themeColor="accent5"/>
        </w:pBdr>
      </w:pPr>
    </w:p>
    <w:p w14:paraId="7119CF08" w14:textId="77777777" w:rsidR="00E95BA5" w:rsidRDefault="00E95BA5" w:rsidP="00D02062">
      <w:pPr>
        <w:pStyle w:val="Heading1"/>
        <w:sectPr w:rsidR="00E95BA5" w:rsidSect="009C2AEC">
          <w:headerReference w:type="even" r:id="rId10"/>
          <w:headerReference w:type="default" r:id="rId11"/>
          <w:footerReference w:type="even" r:id="rId12"/>
          <w:footerReference w:type="default" r:id="rId13"/>
          <w:headerReference w:type="first" r:id="rId14"/>
          <w:footerReference w:type="first" r:id="rId15"/>
          <w:pgSz w:w="11906" w:h="16838" w:code="9"/>
          <w:pgMar w:top="0" w:right="1021" w:bottom="1021" w:left="1021" w:header="510" w:footer="0" w:gutter="0"/>
          <w:cols w:space="708"/>
          <w:titlePg/>
          <w:docGrid w:linePitch="360"/>
          <w15:footnoteColumns w:val="1"/>
        </w:sectPr>
      </w:pPr>
      <w:bookmarkStart w:id="2" w:name="_Toc49855348"/>
    </w:p>
    <w:bookmarkEnd w:id="2"/>
    <w:p w14:paraId="1C28827B" w14:textId="77777777" w:rsidR="00985A20" w:rsidRDefault="00985A20" w:rsidP="00985A20">
      <w:pPr>
        <w:pStyle w:val="Heading2"/>
      </w:pPr>
      <w:r>
        <w:t>About the program</w:t>
      </w:r>
    </w:p>
    <w:p w14:paraId="59227483" w14:textId="77777777" w:rsidR="00985A20" w:rsidRDefault="00985A20" w:rsidP="00985A20">
      <w:pPr>
        <w:pStyle w:val="Normalitalics"/>
        <w:spacing w:line="276" w:lineRule="auto"/>
        <w:rPr>
          <w:rFonts w:asciiTheme="minorHAnsi" w:hAnsiTheme="minorHAnsi"/>
          <w:i w:val="0"/>
          <w:color w:val="06162E" w:themeColor="text2" w:themeShade="BF"/>
        </w:rPr>
      </w:pPr>
      <w:r>
        <w:rPr>
          <w:rFonts w:asciiTheme="minorHAnsi" w:hAnsiTheme="minorHAnsi"/>
          <w:i w:val="0"/>
          <w:color w:val="06162E" w:themeColor="text2" w:themeShade="BF"/>
        </w:rPr>
        <w:t>Investing in Our Communities (</w:t>
      </w:r>
      <w:proofErr w:type="spellStart"/>
      <w:r>
        <w:rPr>
          <w:rFonts w:asciiTheme="minorHAnsi" w:hAnsiTheme="minorHAnsi"/>
          <w:i w:val="0"/>
          <w:color w:val="06162E" w:themeColor="text2" w:themeShade="BF"/>
        </w:rPr>
        <w:t>IiOC</w:t>
      </w:r>
      <w:proofErr w:type="spellEnd"/>
      <w:r>
        <w:rPr>
          <w:rFonts w:asciiTheme="minorHAnsi" w:hAnsiTheme="minorHAnsi"/>
          <w:i w:val="0"/>
          <w:color w:val="06162E" w:themeColor="text2" w:themeShade="BF"/>
        </w:rPr>
        <w:t>) grants will deliver the Australian Government’s 2022 Federal Election commitments and identified commitments of the previous government of up to $5 million.</w:t>
      </w:r>
    </w:p>
    <w:p w14:paraId="19DC988A" w14:textId="77777777" w:rsidR="00985A20" w:rsidRDefault="00985A20" w:rsidP="00985A20">
      <w:proofErr w:type="spellStart"/>
      <w:r>
        <w:rPr>
          <w:color w:val="06162E" w:themeColor="text2" w:themeShade="BF"/>
        </w:rPr>
        <w:t>IiOC</w:t>
      </w:r>
      <w:proofErr w:type="spellEnd"/>
      <w:r>
        <w:rPr>
          <w:color w:val="06162E" w:themeColor="text2" w:themeShade="BF"/>
        </w:rPr>
        <w:t xml:space="preserve"> grants will deliver community and sporting infrastructure, open space improvements and other community priorities intended to assist communities to build their strengths and improve liveability.</w:t>
      </w:r>
    </w:p>
    <w:p w14:paraId="3ED49C88" w14:textId="77777777" w:rsidR="00985A20" w:rsidRDefault="00985A20" w:rsidP="00985A20">
      <w:pPr>
        <w:pStyle w:val="Heading2"/>
      </w:pPr>
      <w:r>
        <w:t>Some quick facts</w:t>
      </w:r>
    </w:p>
    <w:p w14:paraId="7D85E24C"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Eligibility</w:t>
      </w:r>
      <w:r>
        <w:rPr>
          <w:rFonts w:asciiTheme="minorHAnsi" w:hAnsiTheme="minorHAnsi"/>
          <w:b w:val="0"/>
          <w:color w:val="06162E" w:themeColor="text2" w:themeShade="BF"/>
        </w:rPr>
        <w:tab/>
        <w:t xml:space="preserve">You can only apply for an </w:t>
      </w:r>
      <w:proofErr w:type="spellStart"/>
      <w:r>
        <w:rPr>
          <w:rFonts w:asciiTheme="minorHAnsi" w:hAnsiTheme="minorHAnsi"/>
          <w:b w:val="0"/>
          <w:color w:val="06162E" w:themeColor="text2" w:themeShade="BF"/>
        </w:rPr>
        <w:t>IiOC</w:t>
      </w:r>
      <w:proofErr w:type="spellEnd"/>
      <w:r>
        <w:rPr>
          <w:rFonts w:asciiTheme="minorHAnsi" w:hAnsiTheme="minorHAnsi"/>
          <w:b w:val="0"/>
          <w:color w:val="06162E" w:themeColor="text2" w:themeShade="BF"/>
        </w:rPr>
        <w:t xml:space="preserve"> grant if you have received an invitation by email from the Australian Government. You must satisfy all eligibility criteria per the guidelines to receive funding.</w:t>
      </w:r>
    </w:p>
    <w:p w14:paraId="14477619"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Closing Date</w:t>
      </w:r>
      <w:r>
        <w:rPr>
          <w:rFonts w:asciiTheme="minorHAnsi" w:hAnsiTheme="minorHAnsi"/>
          <w:b w:val="0"/>
          <w:color w:val="06162E" w:themeColor="text2" w:themeShade="BF"/>
        </w:rPr>
        <w:tab/>
        <w:t>Applications must be submitted to we within 6 months of receiving your invitation to apply for the grant, including all supporting evidence.</w:t>
      </w:r>
    </w:p>
    <w:p w14:paraId="148A538F"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application</w:t>
      </w:r>
      <w:r>
        <w:rPr>
          <w:rFonts w:asciiTheme="minorHAnsi" w:hAnsiTheme="minorHAnsi"/>
          <w:color w:val="06162E" w:themeColor="text2" w:themeShade="BF"/>
        </w:rPr>
        <w:tab/>
      </w:r>
      <w:r>
        <w:rPr>
          <w:rFonts w:asciiTheme="minorHAnsi" w:hAnsiTheme="minorHAnsi"/>
          <w:b w:val="0"/>
          <w:color w:val="06162E" w:themeColor="text2" w:themeShade="BF"/>
        </w:rPr>
        <w:t>You will be required to complete and submit a grant application to address the eligibility and assessment criteria for the election commitment to be confirmed.</w:t>
      </w:r>
    </w:p>
    <w:p w14:paraId="19B44A73" w14:textId="343CA926"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Assessment</w:t>
      </w:r>
      <w:r>
        <w:rPr>
          <w:rFonts w:asciiTheme="minorHAnsi" w:hAnsiTheme="minorHAnsi"/>
          <w:color w:val="06162E" w:themeColor="text2" w:themeShade="BF"/>
        </w:rPr>
        <w:tab/>
      </w:r>
      <w:r>
        <w:rPr>
          <w:rFonts w:asciiTheme="minorHAnsi" w:hAnsiTheme="minorHAnsi"/>
          <w:b w:val="0"/>
          <w:color w:val="06162E" w:themeColor="text2" w:themeShade="BF"/>
        </w:rPr>
        <w:t>We assess all grant applications against the eligibility and assessment criteria and make recommendations to the Program Delegate.</w:t>
      </w:r>
    </w:p>
    <w:p w14:paraId="3498EBC7" w14:textId="77777777" w:rsidR="00985A20" w:rsidRDefault="00985A20" w:rsidP="00985A20">
      <w:pPr>
        <w:pStyle w:val="Normalbold"/>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Notification</w:t>
      </w:r>
      <w:r>
        <w:rPr>
          <w:rFonts w:asciiTheme="minorHAnsi" w:hAnsiTheme="minorHAnsi"/>
          <w:color w:val="06162E" w:themeColor="text2" w:themeShade="BF"/>
        </w:rPr>
        <w:tab/>
      </w:r>
      <w:r>
        <w:rPr>
          <w:rFonts w:asciiTheme="minorHAnsi" w:hAnsiTheme="minorHAnsi"/>
          <w:b w:val="0"/>
          <w:color w:val="06162E" w:themeColor="text2" w:themeShade="BF"/>
        </w:rPr>
        <w:t>We will notify both successful and unsuccessful applicants of the outcome of their application.</w:t>
      </w:r>
    </w:p>
    <w:p w14:paraId="699A0E80" w14:textId="77777777" w:rsidR="00985A20" w:rsidRDefault="00985A20" w:rsidP="00985A20">
      <w:pPr>
        <w:pStyle w:val="Normalbold"/>
        <w:tabs>
          <w:tab w:val="left" w:pos="2730"/>
        </w:tabs>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agreement</w:t>
      </w:r>
      <w:r>
        <w:rPr>
          <w:rFonts w:asciiTheme="minorHAnsi" w:hAnsiTheme="minorHAnsi"/>
          <w:color w:val="06162E" w:themeColor="text2" w:themeShade="BF"/>
        </w:rPr>
        <w:tab/>
      </w:r>
      <w:r>
        <w:rPr>
          <w:rFonts w:asciiTheme="minorHAnsi" w:hAnsiTheme="minorHAnsi"/>
          <w:b w:val="0"/>
          <w:color w:val="06162E" w:themeColor="text2" w:themeShade="BF"/>
        </w:rPr>
        <w:t>If your application is successful, we will enter into a grant agreement with you.</w:t>
      </w:r>
    </w:p>
    <w:p w14:paraId="562B4334" w14:textId="77777777" w:rsidR="00985A20" w:rsidRDefault="00985A20" w:rsidP="00985A20">
      <w:pPr>
        <w:pStyle w:val="Normalbold"/>
        <w:tabs>
          <w:tab w:val="left" w:pos="2730"/>
        </w:tabs>
        <w:spacing w:before="0" w:after="12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Delivery of Grant</w:t>
      </w:r>
      <w:r>
        <w:rPr>
          <w:rFonts w:asciiTheme="minorHAnsi" w:hAnsiTheme="minorHAnsi"/>
          <w:color w:val="06162E" w:themeColor="text2" w:themeShade="BF"/>
        </w:rPr>
        <w:tab/>
      </w:r>
      <w:r>
        <w:rPr>
          <w:rFonts w:asciiTheme="minorHAnsi" w:hAnsiTheme="minorHAnsi"/>
          <w:b w:val="0"/>
          <w:color w:val="06162E" w:themeColor="text2" w:themeShade="BF"/>
        </w:rPr>
        <w:t>You will undertake the activities outlined in the grant agreement to deliver the project and we will monitor your progress and make payments when project requirements are being met.</w:t>
      </w:r>
    </w:p>
    <w:p w14:paraId="54BE01A6" w14:textId="77777777" w:rsidR="00985A20" w:rsidRDefault="00985A20" w:rsidP="00985A20">
      <w:pPr>
        <w:pStyle w:val="Normalbold"/>
        <w:tabs>
          <w:tab w:val="left" w:pos="2730"/>
        </w:tabs>
        <w:spacing w:before="0" w:after="0" w:line="240" w:lineRule="auto"/>
        <w:ind w:left="2552" w:hanging="2552"/>
        <w:rPr>
          <w:rFonts w:asciiTheme="minorHAnsi" w:hAnsiTheme="minorHAnsi"/>
          <w:b w:val="0"/>
          <w:color w:val="06162E" w:themeColor="text2" w:themeShade="BF"/>
        </w:rPr>
      </w:pPr>
      <w:r>
        <w:rPr>
          <w:rFonts w:asciiTheme="minorHAnsi" w:hAnsiTheme="minorHAnsi"/>
          <w:color w:val="06162E" w:themeColor="text2" w:themeShade="BF"/>
        </w:rPr>
        <w:t>Grant Period</w:t>
      </w:r>
      <w:r>
        <w:rPr>
          <w:rFonts w:asciiTheme="minorHAnsi" w:hAnsiTheme="minorHAnsi"/>
          <w:b w:val="0"/>
          <w:color w:val="06162E" w:themeColor="text2" w:themeShade="BF"/>
        </w:rPr>
        <w:tab/>
        <w:t>You must complete your project by the project end date specified in your grant agreement. All projects should be completed by 31 December 2026. All final payments must be claimed by March 2027 to ensure payment is made before 30 June 2027.</w:t>
      </w:r>
    </w:p>
    <w:p w14:paraId="18521C64" w14:textId="77777777" w:rsidR="00985A20" w:rsidRDefault="00985A20" w:rsidP="00985A20">
      <w:pPr>
        <w:pStyle w:val="Heading2"/>
        <w:pageBreakBefore/>
      </w:pPr>
      <w:r>
        <w:lastRenderedPageBreak/>
        <w:t>Further information</w:t>
      </w:r>
    </w:p>
    <w:p w14:paraId="2117EF10" w14:textId="77777777" w:rsidR="00985A20" w:rsidRDefault="00985A20" w:rsidP="00985A20">
      <w:pPr>
        <w:pStyle w:val="Normalitalics"/>
        <w:spacing w:line="276" w:lineRule="auto"/>
        <w:rPr>
          <w:rFonts w:asciiTheme="minorHAnsi" w:hAnsiTheme="minorHAnsi"/>
          <w:i w:val="0"/>
          <w:color w:val="06162E" w:themeColor="text2" w:themeShade="BF"/>
        </w:rPr>
      </w:pPr>
      <w:r>
        <w:rPr>
          <w:rFonts w:asciiTheme="minorHAnsi" w:hAnsiTheme="minorHAnsi"/>
          <w:i w:val="0"/>
          <w:color w:val="06162E" w:themeColor="text2" w:themeShade="BF"/>
        </w:rPr>
        <w:t>This fact sheet is intended to complement our Grant Opportunity Guidelines for this program. Please read the guidelines as well as this fact sheet prior to contacting us.</w:t>
      </w:r>
    </w:p>
    <w:p w14:paraId="2E3AFE46" w14:textId="77777777" w:rsidR="00985A20" w:rsidRDefault="00985A20" w:rsidP="00985A20">
      <w:r>
        <w:rPr>
          <w:color w:val="06162E" w:themeColor="text2" w:themeShade="BF"/>
        </w:rPr>
        <w:t xml:space="preserve">If you have any questions during the application process, contact us via phone on 1800 044 938 or by email at </w:t>
      </w:r>
      <w:hyperlink r:id="rId16" w:history="1">
        <w:r>
          <w:rPr>
            <w:rStyle w:val="Hyperlink"/>
          </w:rPr>
          <w:t>IiOC@infrastructure.gov.au</w:t>
        </w:r>
      </w:hyperlink>
      <w:r>
        <w:rPr>
          <w:rFonts w:cstheme="minorHAnsi"/>
          <w:color w:val="06162E" w:themeColor="text2" w:themeShade="BF"/>
        </w:rPr>
        <w:t>.</w:t>
      </w:r>
    </w:p>
    <w:p w14:paraId="22C02EF9" w14:textId="1D6A9024" w:rsidR="00430511" w:rsidRPr="009C2AEC" w:rsidRDefault="00430511" w:rsidP="009C2AEC"/>
    <w:sectPr w:rsidR="00430511" w:rsidRPr="009C2AEC" w:rsidSect="00557E0A">
      <w:footerReference w:type="default" r:id="rId17"/>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3E13" w14:textId="77777777" w:rsidR="008B794D" w:rsidRDefault="008B794D" w:rsidP="008456D5">
      <w:pPr>
        <w:spacing w:before="0" w:after="0"/>
      </w:pPr>
      <w:r>
        <w:separator/>
      </w:r>
    </w:p>
  </w:endnote>
  <w:endnote w:type="continuationSeparator" w:id="0">
    <w:p w14:paraId="26DC3F26" w14:textId="77777777" w:rsidR="008B794D" w:rsidRDefault="008B794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A2B" w14:textId="4186DC86" w:rsidR="00180B5B" w:rsidRDefault="00180B5B" w:rsidP="00180B5B">
    <w:pPr>
      <w:pStyle w:val="Footer"/>
      <w:spacing w:before="720"/>
      <w:jc w:val="right"/>
    </w:pPr>
    <w:bookmarkStart w:id="1" w:name="_GoBack"/>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2162" w14:textId="1DBD3D9D" w:rsidR="009C2AEC" w:rsidRDefault="009C2AEC" w:rsidP="009C2AE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07A6480" w14:textId="77777777" w:rsidR="009C2AEC" w:rsidRPr="00FC413F" w:rsidRDefault="009C2AEC" w:rsidP="009C2AEC">
    <w:pPr>
      <w:pStyle w:val="Footer"/>
      <w:tabs>
        <w:tab w:val="clear" w:pos="4513"/>
        <w:tab w:val="clear" w:pos="9026"/>
      </w:tabs>
      <w:ind w:left="-1418"/>
      <w:rPr>
        <w:rFonts w:cs="Segoe UI"/>
        <w:szCs w:val="18"/>
      </w:rPr>
    </w:pPr>
    <w:r>
      <w:rPr>
        <w:noProof/>
        <w:lang w:eastAsia="en-AU"/>
      </w:rPr>
      <w:drawing>
        <wp:inline distT="0" distB="0" distL="0" distR="0" wp14:anchorId="326E494F" wp14:editId="4BFF2820">
          <wp:extent cx="7559650" cy="150641"/>
          <wp:effectExtent l="0" t="0" r="0" b="1905"/>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p w14:paraId="40F21577" w14:textId="327A64BB" w:rsidR="008456D5" w:rsidRPr="009C2AEC" w:rsidRDefault="008456D5" w:rsidP="009C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8402" w14:textId="35D80F03" w:rsidR="009C2AEC" w:rsidRDefault="009C2AEC" w:rsidP="009C2AE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F5E03">
      <w:rPr>
        <w:rFonts w:cs="Segoe UI"/>
        <w:noProof/>
        <w:szCs w:val="18"/>
      </w:rPr>
      <w:t>Investing in Our Communities Program fact sheet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65D6B34E" w14:textId="17896762" w:rsidR="00D02062" w:rsidRDefault="00D02062" w:rsidP="009C2AEC">
    <w:pPr>
      <w:pStyle w:val="Footer"/>
      <w:spacing w:before="120"/>
      <w:ind w:left="-993"/>
    </w:pPr>
    <w:r>
      <w:rPr>
        <w:noProof/>
        <w:lang w:eastAsia="en-AU"/>
      </w:rPr>
      <w:drawing>
        <wp:inline distT="0" distB="0" distL="0" distR="0" wp14:anchorId="1442FF77" wp14:editId="14E856D0">
          <wp:extent cx="7560000" cy="129564"/>
          <wp:effectExtent l="0" t="0" r="3175" b="381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F1DE" w14:textId="0D07CA89" w:rsidR="00557E0A" w:rsidRDefault="00557E0A" w:rsidP="009C2AEC">
    <w:pPr>
      <w:pStyle w:val="Footer"/>
      <w:tabs>
        <w:tab w:val="clear" w:pos="4513"/>
        <w:tab w:val="clear" w:pos="9026"/>
        <w:tab w:val="right" w:pos="9475"/>
      </w:tabs>
      <w:spacing w:after="120"/>
      <w:rPr>
        <w:rFonts w:cs="Segoe UI"/>
        <w:noProof/>
        <w:szCs w:val="18"/>
      </w:rPr>
    </w:pPr>
    <w:r w:rsidRPr="00557E0A">
      <w:rPr>
        <w:rFonts w:cs="Segoe UI"/>
        <w:noProof/>
        <w:szCs w:val="18"/>
      </w:rPr>
      <w:t>Investing in Our Communities Program fact sheet</w:t>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A1E90D0" w14:textId="77777777" w:rsidR="00557E0A" w:rsidRPr="00FC413F" w:rsidRDefault="00557E0A" w:rsidP="00557E0A">
    <w:pPr>
      <w:pStyle w:val="Footer"/>
      <w:tabs>
        <w:tab w:val="clear" w:pos="4513"/>
        <w:tab w:val="clear" w:pos="9026"/>
      </w:tabs>
      <w:ind w:left="-993"/>
      <w:rPr>
        <w:rFonts w:cs="Segoe UI"/>
        <w:szCs w:val="18"/>
      </w:rPr>
    </w:pPr>
    <w:r>
      <w:rPr>
        <w:noProof/>
        <w:lang w:eastAsia="en-AU"/>
      </w:rPr>
      <w:drawing>
        <wp:inline distT="0" distB="0" distL="0" distR="0" wp14:anchorId="55DC39F1" wp14:editId="7CA7B4DA">
          <wp:extent cx="7559650" cy="150641"/>
          <wp:effectExtent l="0" t="0" r="0" b="1905"/>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7753" w14:textId="77777777" w:rsidR="008B794D" w:rsidRPr="005912BE" w:rsidRDefault="008B794D" w:rsidP="005912BE">
      <w:pPr>
        <w:spacing w:before="300"/>
        <w:rPr>
          <w:color w:val="008089" w:themeColor="accent2"/>
        </w:rPr>
      </w:pPr>
      <w:r w:rsidRPr="001606C9">
        <w:rPr>
          <w:color w:val="004044" w:themeColor="accent2" w:themeShade="80"/>
        </w:rPr>
        <w:t>----------</w:t>
      </w:r>
    </w:p>
  </w:footnote>
  <w:footnote w:type="continuationSeparator" w:id="0">
    <w:p w14:paraId="36EDDA16" w14:textId="77777777" w:rsidR="008B794D" w:rsidRDefault="008B794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BA2B"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561" w14:textId="6DA18F28" w:rsidR="007A05BE" w:rsidRDefault="00141E9E" w:rsidP="00546218">
    <w:pPr>
      <w:pStyle w:val="Header"/>
      <w:spacing w:after="1320"/>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B34C" w14:textId="77777777" w:rsidR="000F5E03" w:rsidRDefault="000F5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2"/>
  </w:num>
  <w:num w:numId="29">
    <w:abstractNumId w:val="19"/>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1430B"/>
    <w:rsid w:val="000A24A6"/>
    <w:rsid w:val="000E24BA"/>
    <w:rsid w:val="000E5674"/>
    <w:rsid w:val="000E7E9F"/>
    <w:rsid w:val="000F5E03"/>
    <w:rsid w:val="001349C6"/>
    <w:rsid w:val="00141E9E"/>
    <w:rsid w:val="001606C9"/>
    <w:rsid w:val="00180B5B"/>
    <w:rsid w:val="001B089A"/>
    <w:rsid w:val="00203702"/>
    <w:rsid w:val="002254D5"/>
    <w:rsid w:val="0022611D"/>
    <w:rsid w:val="0026422D"/>
    <w:rsid w:val="00266955"/>
    <w:rsid w:val="00284164"/>
    <w:rsid w:val="002959FB"/>
    <w:rsid w:val="002B3569"/>
    <w:rsid w:val="002B7197"/>
    <w:rsid w:val="002E1ADA"/>
    <w:rsid w:val="003109F2"/>
    <w:rsid w:val="003720E9"/>
    <w:rsid w:val="003C625A"/>
    <w:rsid w:val="003F1371"/>
    <w:rsid w:val="003F775D"/>
    <w:rsid w:val="00420F04"/>
    <w:rsid w:val="00430511"/>
    <w:rsid w:val="00450D0E"/>
    <w:rsid w:val="00477E77"/>
    <w:rsid w:val="00483596"/>
    <w:rsid w:val="004F77AA"/>
    <w:rsid w:val="00541213"/>
    <w:rsid w:val="00546218"/>
    <w:rsid w:val="00557E0A"/>
    <w:rsid w:val="005653A9"/>
    <w:rsid w:val="005912BE"/>
    <w:rsid w:val="005F794B"/>
    <w:rsid w:val="00611CC1"/>
    <w:rsid w:val="00686A7B"/>
    <w:rsid w:val="006A0F8A"/>
    <w:rsid w:val="006A266A"/>
    <w:rsid w:val="006E1ECA"/>
    <w:rsid w:val="007A05BE"/>
    <w:rsid w:val="008067A1"/>
    <w:rsid w:val="008456D5"/>
    <w:rsid w:val="0084634B"/>
    <w:rsid w:val="008A1887"/>
    <w:rsid w:val="008B6A81"/>
    <w:rsid w:val="008B794D"/>
    <w:rsid w:val="008E2A0D"/>
    <w:rsid w:val="009326DA"/>
    <w:rsid w:val="00985A20"/>
    <w:rsid w:val="009909EC"/>
    <w:rsid w:val="00996B8C"/>
    <w:rsid w:val="009B00F2"/>
    <w:rsid w:val="009C2AEC"/>
    <w:rsid w:val="00A070A2"/>
    <w:rsid w:val="00A106D4"/>
    <w:rsid w:val="00A146EE"/>
    <w:rsid w:val="00A37CF5"/>
    <w:rsid w:val="00A55479"/>
    <w:rsid w:val="00A95970"/>
    <w:rsid w:val="00AD7703"/>
    <w:rsid w:val="00B0484D"/>
    <w:rsid w:val="00B42AC2"/>
    <w:rsid w:val="00B9430D"/>
    <w:rsid w:val="00BB3AAC"/>
    <w:rsid w:val="00BE3AD8"/>
    <w:rsid w:val="00CD233E"/>
    <w:rsid w:val="00CF6CFD"/>
    <w:rsid w:val="00CF763F"/>
    <w:rsid w:val="00CF78A5"/>
    <w:rsid w:val="00D02062"/>
    <w:rsid w:val="00D5655E"/>
    <w:rsid w:val="00D62C1B"/>
    <w:rsid w:val="00D96BC0"/>
    <w:rsid w:val="00DD09C2"/>
    <w:rsid w:val="00DE4362"/>
    <w:rsid w:val="00DE4FE2"/>
    <w:rsid w:val="00E04908"/>
    <w:rsid w:val="00E2218A"/>
    <w:rsid w:val="00E30EB4"/>
    <w:rsid w:val="00E94FDD"/>
    <w:rsid w:val="00E95BA5"/>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DCD6D"/>
  <w15:chartTrackingRefBased/>
  <w15:docId w15:val="{6CCC927E-79ED-45B5-A086-FF67358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Tablerowcolumnheading">
    <w:name w:val="Table row/column heading"/>
    <w:basedOn w:val="Normal"/>
    <w:next w:val="Normal"/>
    <w:rsid w:val="009326DA"/>
    <w:pPr>
      <w:shd w:val="clear" w:color="auto" w:fill="081E3E"/>
      <w:suppressAutoHyphens w:val="0"/>
      <w:spacing w:before="60" w:after="60"/>
    </w:pPr>
    <w:rPr>
      <w:rFonts w:ascii="Calibri" w:hAnsi="Calibri"/>
      <w:b/>
      <w:color w:val="FFFFFF" w:themeColor="background1"/>
      <w:szCs w:val="20"/>
    </w:rPr>
  </w:style>
  <w:style w:type="table" w:customStyle="1" w:styleId="DefaultTable11">
    <w:name w:val="Default Table 11"/>
    <w:basedOn w:val="TableNormal"/>
    <w:uiPriority w:val="99"/>
    <w:rsid w:val="009326DA"/>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
    <w:name w:val="List paragraph—bullets"/>
    <w:basedOn w:val="ListParagraph"/>
    <w:qFormat/>
    <w:rsid w:val="009326DA"/>
    <w:pPr>
      <w:numPr>
        <w:numId w:val="28"/>
      </w:numPr>
      <w:tabs>
        <w:tab w:val="num" w:pos="360"/>
      </w:tabs>
      <w:suppressAutoHyphens w:val="0"/>
      <w:spacing w:before="0" w:after="160"/>
      <w:ind w:left="567" w:hanging="567"/>
    </w:pPr>
    <w:rPr>
      <w:rFonts w:ascii="Calibri" w:hAnsi="Calibri"/>
      <w:color w:val="auto"/>
      <w:lang w:eastAsia="zh-TW"/>
    </w:rPr>
  </w:style>
  <w:style w:type="paragraph" w:customStyle="1" w:styleId="Listparagraphbulletssecondlevel">
    <w:name w:val="List paragraph—bullets—second level"/>
    <w:basedOn w:val="Normal"/>
    <w:autoRedefine/>
    <w:qFormat/>
    <w:rsid w:val="009326DA"/>
    <w:pPr>
      <w:numPr>
        <w:numId w:val="29"/>
      </w:numPr>
      <w:suppressAutoHyphens w:val="0"/>
      <w:spacing w:before="0" w:after="160"/>
      <w:ind w:left="1134" w:hanging="567"/>
      <w:contextualSpacing/>
    </w:pPr>
    <w:rPr>
      <w:rFonts w:ascii="Calibri" w:hAnsi="Calibri"/>
      <w:color w:val="auto"/>
      <w:szCs w:val="20"/>
      <w:lang w:eastAsia="zh-TW"/>
    </w:rPr>
  </w:style>
  <w:style w:type="paragraph" w:styleId="ListParagraph">
    <w:name w:val="List Paragraph"/>
    <w:basedOn w:val="Normal"/>
    <w:uiPriority w:val="99"/>
    <w:semiHidden/>
    <w:unhideWhenUsed/>
    <w:qFormat/>
    <w:rsid w:val="009326DA"/>
    <w:pPr>
      <w:ind w:left="720"/>
      <w:contextualSpacing/>
    </w:pPr>
  </w:style>
  <w:style w:type="paragraph" w:customStyle="1" w:styleId="Normalitalics">
    <w:name w:val="Normal + italics"/>
    <w:basedOn w:val="Normal"/>
    <w:qFormat/>
    <w:rsid w:val="00985A20"/>
    <w:pPr>
      <w:suppressAutoHyphens w:val="0"/>
      <w:spacing w:before="40" w:after="120" w:line="240" w:lineRule="atLeast"/>
    </w:pPr>
    <w:rPr>
      <w:rFonts w:ascii="Arial" w:eastAsia="Times New Roman" w:hAnsi="Arial" w:cs="Times New Roman"/>
      <w:i/>
      <w:color w:val="auto"/>
    </w:rPr>
  </w:style>
  <w:style w:type="paragraph" w:customStyle="1" w:styleId="Normalbold">
    <w:name w:val="Normal + bold"/>
    <w:basedOn w:val="Normal"/>
    <w:qFormat/>
    <w:rsid w:val="00985A20"/>
    <w:pPr>
      <w:suppressAutoHyphens w:val="0"/>
      <w:spacing w:before="40" w:after="240" w:line="240" w:lineRule="atLeast"/>
    </w:pPr>
    <w:rPr>
      <w:rFonts w:ascii="Arial" w:eastAsia="Times New Roman" w:hAnsi="Arial"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3085">
      <w:bodyDiv w:val="1"/>
      <w:marLeft w:val="0"/>
      <w:marRight w:val="0"/>
      <w:marTop w:val="0"/>
      <w:marBottom w:val="0"/>
      <w:divBdr>
        <w:top w:val="none" w:sz="0" w:space="0" w:color="auto"/>
        <w:left w:val="none" w:sz="0" w:space="0" w:color="auto"/>
        <w:bottom w:val="none" w:sz="0" w:space="0" w:color="auto"/>
        <w:right w:val="none" w:sz="0" w:space="0" w:color="auto"/>
      </w:divBdr>
    </w:div>
    <w:div w:id="118106736">
      <w:bodyDiv w:val="1"/>
      <w:marLeft w:val="0"/>
      <w:marRight w:val="0"/>
      <w:marTop w:val="0"/>
      <w:marBottom w:val="0"/>
      <w:divBdr>
        <w:top w:val="none" w:sz="0" w:space="0" w:color="auto"/>
        <w:left w:val="none" w:sz="0" w:space="0" w:color="auto"/>
        <w:bottom w:val="none" w:sz="0" w:space="0" w:color="auto"/>
        <w:right w:val="none" w:sz="0" w:space="0" w:color="auto"/>
      </w:divBdr>
    </w:div>
    <w:div w:id="153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iOC@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burian\AppData\Local\Temp\8\Temp1_Corporate%20Word%20and%20PowerPoint%20templates_1%20July%202022%20(1).zip\DITRDCA_Document%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2B4586-4A75-4A4A-9AF3-59EA9209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18</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Investing in Our Communities Program fact sheet</vt:lpstr>
    </vt:vector>
  </TitlesOfParts>
  <Company>Department of Infrastructure, Transport, Regional Development, Communications and the Arts</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Our Communities Program fact sheet</dc:title>
  <dc:subject/>
  <dc:creator>Department of Infrastructure, Transport, Regional Development, Communications and the Arts</dc:creator>
  <cp:keywords/>
  <dc:description/>
  <cp:lastModifiedBy>HALL Theresa</cp:lastModifiedBy>
  <cp:revision>5</cp:revision>
  <cp:lastPrinted>2023-02-07T06:51:00Z</cp:lastPrinted>
  <dcterms:created xsi:type="dcterms:W3CDTF">2023-02-07T07:23:00Z</dcterms:created>
  <dcterms:modified xsi:type="dcterms:W3CDTF">2023-02-08T01:24:00Z</dcterms:modified>
</cp:coreProperties>
</file>